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b/>
          <w:bCs/>
          <w:color w:val="000000"/>
          <w:sz w:val="36"/>
          <w:szCs w:val="36"/>
        </w:rPr>
      </w:pPr>
      <w:r>
        <w:rPr>
          <w:rFonts w:hint="eastAsia" w:ascii="方正小标宋简体" w:hAnsi="宋体" w:eastAsia="方正小标宋简体"/>
          <w:b/>
          <w:bCs/>
          <w:color w:val="000000"/>
          <w:sz w:val="36"/>
          <w:szCs w:val="36"/>
        </w:rPr>
        <w:t>宣汉县</w:t>
      </w:r>
      <w:r>
        <w:rPr>
          <w:rFonts w:hint="eastAsia" w:ascii="方正小标宋简体" w:hAnsi="宋体" w:eastAsia="方正小标宋简体"/>
          <w:b/>
          <w:bCs/>
          <w:color w:val="000000"/>
          <w:sz w:val="36"/>
          <w:szCs w:val="36"/>
          <w:lang w:eastAsia="zh-CN"/>
        </w:rPr>
        <w:t>新华中学</w:t>
      </w:r>
    </w:p>
    <w:p>
      <w:pPr>
        <w:spacing w:line="600" w:lineRule="exact"/>
        <w:jc w:val="center"/>
        <w:rPr>
          <w:rFonts w:ascii="方正小标宋简体" w:hAnsi="宋体" w:eastAsia="方正小标宋简体"/>
          <w:color w:val="000000"/>
          <w:sz w:val="36"/>
          <w:szCs w:val="36"/>
        </w:rPr>
      </w:pPr>
      <w:r>
        <w:rPr>
          <w:rFonts w:ascii="方正小标宋简体" w:hAnsi="宋体" w:eastAsia="方正小标宋简体"/>
          <w:b/>
          <w:bCs/>
          <w:color w:val="000000"/>
          <w:sz w:val="36"/>
          <w:szCs w:val="36"/>
        </w:rPr>
        <w:t>201</w:t>
      </w:r>
      <w:r>
        <w:rPr>
          <w:rFonts w:hint="eastAsia" w:ascii="方正小标宋简体" w:hAnsi="宋体" w:eastAsia="方正小标宋简体"/>
          <w:b/>
          <w:bCs/>
          <w:color w:val="000000"/>
          <w:sz w:val="36"/>
          <w:szCs w:val="36"/>
          <w:lang w:val="en-US" w:eastAsia="zh-CN"/>
        </w:rPr>
        <w:t>7</w:t>
      </w:r>
      <w:r>
        <w:rPr>
          <w:rFonts w:hint="eastAsia" w:ascii="方正小标宋简体" w:hAnsi="宋体" w:eastAsia="方正小标宋简体"/>
          <w:b/>
          <w:bCs/>
          <w:color w:val="000000"/>
          <w:sz w:val="36"/>
          <w:szCs w:val="36"/>
        </w:rPr>
        <w:t>年</w:t>
      </w:r>
      <w:r>
        <w:rPr>
          <w:rFonts w:hint="eastAsia" w:ascii="方正小标宋简体" w:hAnsi="宋体" w:eastAsia="方正小标宋简体"/>
          <w:b/>
          <w:bCs/>
          <w:sz w:val="36"/>
          <w:szCs w:val="36"/>
        </w:rPr>
        <w:t>部门</w:t>
      </w:r>
      <w:r>
        <w:rPr>
          <w:rFonts w:hint="eastAsia" w:ascii="方正小标宋简体" w:hAnsi="宋体" w:eastAsia="方正小标宋简体"/>
          <w:b/>
          <w:bCs/>
          <w:color w:val="000000"/>
          <w:sz w:val="36"/>
          <w:szCs w:val="36"/>
        </w:rPr>
        <w:t>决算编制说明</w:t>
      </w:r>
      <w:r>
        <w:rPr>
          <w:rFonts w:hint="eastAsia" w:ascii="方正小标宋简体" w:hAnsi="宋体" w:eastAsia="方正小标宋简体"/>
          <w:color w:val="000000"/>
          <w:sz w:val="36"/>
          <w:szCs w:val="36"/>
        </w:rPr>
        <w:t xml:space="preserve"> </w:t>
      </w:r>
    </w:p>
    <w:p>
      <w:pPr>
        <w:spacing w:line="600" w:lineRule="exact"/>
        <w:jc w:val="center"/>
        <w:rPr>
          <w:rFonts w:ascii="宋体"/>
          <w:b/>
          <w:color w:val="000000"/>
          <w:sz w:val="44"/>
          <w:szCs w:val="44"/>
        </w:rPr>
      </w:pPr>
    </w:p>
    <w:p>
      <w:pPr>
        <w:spacing w:line="600" w:lineRule="exact"/>
        <w:rPr>
          <w:rFonts w:ascii="黑体" w:eastAsia="黑体"/>
          <w:color w:val="000000"/>
          <w:sz w:val="32"/>
          <w:szCs w:val="32"/>
        </w:rPr>
      </w:pPr>
      <w:r>
        <w:rPr>
          <w:rFonts w:hint="eastAsia" w:ascii="黑体" w:eastAsia="黑体"/>
          <w:color w:val="000000"/>
          <w:sz w:val="32"/>
          <w:szCs w:val="32"/>
        </w:rPr>
        <w:t>一、基本职能及主要工作</w:t>
      </w:r>
    </w:p>
    <w:p>
      <w:pPr>
        <w:pStyle w:val="5"/>
        <w:keepNext w:val="0"/>
        <w:keepLines w:val="0"/>
        <w:widowControl/>
        <w:suppressLineNumbers w:val="0"/>
        <w:spacing w:line="19" w:lineRule="atLeast"/>
        <w:rPr>
          <w:rFonts w:hint="eastAsia" w:ascii="仿宋_GB2312" w:hAnsi="Times New Roman" w:eastAsia="仿宋_GB2312" w:cs="Times New Roman"/>
          <w:bCs/>
          <w:color w:val="000000"/>
          <w:kern w:val="0"/>
          <w:sz w:val="32"/>
          <w:szCs w:val="32"/>
          <w:lang w:val="en-US" w:eastAsia="zh-CN" w:bidi="ar-SA"/>
        </w:rPr>
      </w:pPr>
      <w:r>
        <w:rPr>
          <w:rFonts w:hint="eastAsia" w:ascii="仿宋_GB2312" w:hAnsi="Times New Roman" w:eastAsia="仿宋_GB2312" w:cs="Times New Roman"/>
          <w:bCs/>
          <w:color w:val="000000"/>
          <w:kern w:val="0"/>
          <w:sz w:val="32"/>
          <w:szCs w:val="32"/>
          <w:lang w:val="en-US" w:eastAsia="zh-CN" w:bidi="ar-SA"/>
        </w:rPr>
        <w:t>（一）主要职能：全面贯彻国家教育方针，培养学生的创新精神与实践能力，使之成为社会主义事业的建设者和接班人。我校是全日制农村寄宿制初级中学，</w:t>
      </w:r>
      <w:r>
        <w:rPr>
          <w:rFonts w:hint="eastAsia" w:ascii="仿宋_GB2312" w:hAnsi="仿宋" w:eastAsia="仿宋_GB2312"/>
          <w:sz w:val="32"/>
          <w:szCs w:val="32"/>
        </w:rPr>
        <w:t>负责新华辖区近3万人口的九年义务教育的初中学历教育</w:t>
      </w:r>
      <w:r>
        <w:rPr>
          <w:rFonts w:hint="eastAsia" w:ascii="仿宋_GB2312" w:hAnsi="Times New Roman" w:eastAsia="仿宋_GB2312" w:cs="Times New Roman"/>
          <w:bCs/>
          <w:color w:val="000000"/>
          <w:kern w:val="0"/>
          <w:sz w:val="32"/>
          <w:szCs w:val="32"/>
          <w:lang w:val="en-US" w:eastAsia="zh-CN" w:bidi="ar-SA"/>
        </w:rPr>
        <w:t>。</w:t>
      </w:r>
    </w:p>
    <w:p>
      <w:pPr>
        <w:pStyle w:val="2"/>
        <w:adjustRightInd w:val="0"/>
        <w:snapToGrid w:val="0"/>
        <w:spacing w:before="93" w:line="600" w:lineRule="exact"/>
        <w:rPr>
          <w:rFonts w:hint="eastAsia"/>
          <w:bCs/>
          <w:color w:val="000000"/>
          <w:sz w:val="32"/>
          <w:szCs w:val="32"/>
        </w:rPr>
      </w:pPr>
      <w:r>
        <w:rPr>
          <w:rFonts w:hint="eastAsia"/>
          <w:bCs/>
          <w:color w:val="000000"/>
          <w:sz w:val="32"/>
          <w:szCs w:val="32"/>
        </w:rPr>
        <w:t>（二）</w:t>
      </w:r>
      <w:r>
        <w:rPr>
          <w:bCs/>
          <w:color w:val="000000"/>
          <w:sz w:val="32"/>
          <w:szCs w:val="32"/>
        </w:rPr>
        <w:t>201</w:t>
      </w:r>
      <w:r>
        <w:rPr>
          <w:rFonts w:hint="eastAsia"/>
          <w:bCs/>
          <w:color w:val="000000"/>
          <w:sz w:val="32"/>
          <w:szCs w:val="32"/>
          <w:lang w:val="en-US" w:eastAsia="zh-CN"/>
        </w:rPr>
        <w:t>7</w:t>
      </w:r>
      <w:r>
        <w:rPr>
          <w:rFonts w:hint="eastAsia"/>
          <w:bCs/>
          <w:color w:val="000000"/>
          <w:sz w:val="32"/>
          <w:szCs w:val="32"/>
        </w:rPr>
        <w:t>年重点工作完成情况。</w:t>
      </w:r>
    </w:p>
    <w:p>
      <w:pPr>
        <w:pStyle w:val="2"/>
        <w:adjustRightInd w:val="0"/>
        <w:snapToGrid w:val="0"/>
        <w:spacing w:before="93" w:line="600" w:lineRule="exact"/>
        <w:ind w:firstLine="640" w:firstLineChars="200"/>
        <w:rPr>
          <w:rFonts w:hint="eastAsia" w:eastAsia="仿宋_GB2312"/>
          <w:bCs/>
          <w:color w:val="000000"/>
          <w:sz w:val="32"/>
          <w:szCs w:val="32"/>
          <w:lang w:eastAsia="zh-CN"/>
        </w:rPr>
      </w:pPr>
      <w:r>
        <w:rPr>
          <w:rFonts w:hint="eastAsia" w:ascii="仿宋_GB2312" w:eastAsia="仿宋_GB2312"/>
          <w:color w:val="000000"/>
          <w:sz w:val="32"/>
          <w:szCs w:val="32"/>
        </w:rPr>
        <w:t>按照县教科局提出的以提升质量为主线，以推进教育均衡发展为重点，以队伍建设为核心，以优化环境为目标，以科技引领为支撑，在</w:t>
      </w:r>
      <w:r>
        <w:rPr>
          <w:rFonts w:hint="eastAsia"/>
          <w:color w:val="000000"/>
          <w:sz w:val="32"/>
          <w:szCs w:val="32"/>
          <w:lang w:val="en-US" w:eastAsia="zh-CN"/>
        </w:rPr>
        <w:t>新华</w:t>
      </w:r>
      <w:r>
        <w:rPr>
          <w:rFonts w:hint="eastAsia" w:ascii="仿宋_GB2312" w:eastAsia="仿宋_GB2312"/>
          <w:color w:val="000000"/>
          <w:sz w:val="32"/>
          <w:szCs w:val="32"/>
        </w:rPr>
        <w:t>镇党委、政府的领导下学校制定了年初工作计划，按计划实施本年度工作,并</w:t>
      </w:r>
      <w:r>
        <w:rPr>
          <w:rFonts w:ascii="仿宋_GB2312" w:eastAsia="仿宋_GB2312"/>
          <w:color w:val="000000"/>
          <w:sz w:val="32"/>
          <w:szCs w:val="32"/>
        </w:rPr>
        <w:t>顺利完成本年度的教育教学工作</w:t>
      </w:r>
      <w:r>
        <w:rPr>
          <w:rFonts w:hint="eastAsia" w:ascii="仿宋_GB2312" w:eastAsia="仿宋_GB2312"/>
          <w:color w:val="000000"/>
          <w:sz w:val="32"/>
          <w:szCs w:val="32"/>
        </w:rPr>
        <w:t>。</w:t>
      </w:r>
      <w:r>
        <w:rPr>
          <w:rFonts w:hint="eastAsia"/>
          <w:color w:val="000000"/>
          <w:sz w:val="32"/>
          <w:szCs w:val="32"/>
          <w:lang w:eastAsia="zh-CN"/>
        </w:rPr>
        <w:t>学校获得</w:t>
      </w:r>
      <w:r>
        <w:rPr>
          <w:rFonts w:hint="eastAsia"/>
          <w:bCs/>
          <w:color w:val="000000"/>
          <w:sz w:val="32"/>
          <w:szCs w:val="32"/>
          <w:lang w:eastAsia="zh-CN"/>
        </w:rPr>
        <w:t>县级</w:t>
      </w:r>
      <w:r>
        <w:rPr>
          <w:rFonts w:hint="eastAsia"/>
          <w:bCs/>
          <w:color w:val="000000"/>
          <w:sz w:val="32"/>
          <w:szCs w:val="32"/>
        </w:rPr>
        <w:t>“</w:t>
      </w:r>
      <w:r>
        <w:rPr>
          <w:rFonts w:hint="eastAsia"/>
          <w:bCs/>
          <w:color w:val="000000"/>
          <w:sz w:val="32"/>
          <w:szCs w:val="32"/>
          <w:lang w:eastAsia="zh-CN"/>
        </w:rPr>
        <w:t>五四红旗团委</w:t>
      </w:r>
      <w:r>
        <w:rPr>
          <w:rFonts w:hint="eastAsia"/>
          <w:bCs/>
          <w:color w:val="000000"/>
          <w:sz w:val="32"/>
          <w:szCs w:val="32"/>
        </w:rPr>
        <w:t>”、</w:t>
      </w:r>
      <w:r>
        <w:rPr>
          <w:rFonts w:hint="eastAsia"/>
          <w:bCs/>
          <w:color w:val="000000"/>
          <w:sz w:val="32"/>
          <w:szCs w:val="32"/>
          <w:lang w:eastAsia="zh-CN"/>
        </w:rPr>
        <w:t>县级</w:t>
      </w:r>
      <w:r>
        <w:rPr>
          <w:rFonts w:hint="eastAsia"/>
          <w:bCs/>
          <w:color w:val="000000"/>
          <w:sz w:val="32"/>
          <w:szCs w:val="32"/>
        </w:rPr>
        <w:t>“中学生</w:t>
      </w:r>
      <w:r>
        <w:rPr>
          <w:rFonts w:hint="eastAsia"/>
          <w:bCs/>
          <w:color w:val="000000"/>
          <w:sz w:val="32"/>
          <w:szCs w:val="32"/>
          <w:lang w:eastAsia="zh-CN"/>
        </w:rPr>
        <w:t>篮球赛初中女子组第二名”、县级“防艾教育先进集体”、县级“爱国卫生先进集体”</w:t>
      </w:r>
      <w:r>
        <w:rPr>
          <w:rFonts w:hint="eastAsia"/>
          <w:bCs/>
          <w:color w:val="000000"/>
          <w:sz w:val="32"/>
          <w:szCs w:val="32"/>
        </w:rPr>
        <w:t>等多项殊誉</w:t>
      </w:r>
      <w:r>
        <w:rPr>
          <w:rFonts w:hint="eastAsia"/>
          <w:bCs/>
          <w:color w:val="000000"/>
          <w:sz w:val="32"/>
          <w:szCs w:val="32"/>
          <w:lang w:eastAsia="zh-CN"/>
        </w:rPr>
        <w:t>。学校</w:t>
      </w:r>
      <w:r>
        <w:rPr>
          <w:rFonts w:hint="eastAsia" w:ascii="仿宋_GB2312" w:hAnsi="仿宋" w:eastAsia="仿宋_GB2312"/>
          <w:sz w:val="32"/>
          <w:szCs w:val="32"/>
          <w:lang w:eastAsia="zh-CN"/>
        </w:rPr>
        <w:t>改建教学楼</w:t>
      </w:r>
      <w:r>
        <w:rPr>
          <w:rFonts w:hint="eastAsia" w:ascii="仿宋_GB2312" w:hAnsi="仿宋" w:eastAsia="仿宋_GB2312"/>
          <w:sz w:val="32"/>
          <w:szCs w:val="32"/>
          <w:lang w:val="en-US" w:eastAsia="zh-CN"/>
        </w:rPr>
        <w:t>1800平方米，投资360万。</w:t>
      </w:r>
      <w:r>
        <w:rPr>
          <w:rFonts w:hint="eastAsia" w:ascii="仿宋_GB2312" w:hAnsi="仿宋" w:eastAsia="仿宋_GB2312"/>
          <w:sz w:val="32"/>
          <w:szCs w:val="32"/>
        </w:rPr>
        <w:t>201</w:t>
      </w:r>
      <w:r>
        <w:rPr>
          <w:rFonts w:hint="eastAsia" w:ascii="仿宋_GB2312" w:hAnsi="仿宋" w:eastAsia="仿宋_GB2312"/>
          <w:sz w:val="32"/>
          <w:szCs w:val="32"/>
          <w:lang w:val="en-US" w:eastAsia="zh-CN"/>
        </w:rPr>
        <w:t>7</w:t>
      </w:r>
      <w:r>
        <w:rPr>
          <w:rFonts w:hint="eastAsia" w:ascii="仿宋_GB2312" w:hAnsi="仿宋" w:eastAsia="仿宋_GB2312"/>
          <w:sz w:val="32"/>
          <w:szCs w:val="32"/>
        </w:rPr>
        <w:t>年升入国家重点中学</w:t>
      </w:r>
      <w:r>
        <w:rPr>
          <w:rFonts w:hint="eastAsia" w:ascii="仿宋_GB2312" w:hAnsi="仿宋" w:eastAsia="仿宋_GB2312"/>
          <w:sz w:val="32"/>
          <w:szCs w:val="32"/>
          <w:lang w:val="en-US" w:eastAsia="zh-CN"/>
        </w:rPr>
        <w:t>39</w:t>
      </w:r>
      <w:r>
        <w:rPr>
          <w:rFonts w:hint="eastAsia" w:ascii="仿宋_GB2312" w:hAnsi="仿宋" w:eastAsia="仿宋_GB2312"/>
          <w:sz w:val="32"/>
          <w:szCs w:val="32"/>
        </w:rPr>
        <w:t>人，获教育局同等学校教育教学先进学校，获教育局同等学校教学目标考核</w:t>
      </w:r>
      <w:r>
        <w:rPr>
          <w:rFonts w:hint="eastAsia" w:ascii="仿宋_GB2312" w:hAnsi="仿宋" w:eastAsia="仿宋_GB2312"/>
          <w:sz w:val="32"/>
          <w:szCs w:val="32"/>
          <w:lang w:eastAsia="zh-CN"/>
        </w:rPr>
        <w:t>二</w:t>
      </w:r>
      <w:r>
        <w:rPr>
          <w:rFonts w:hint="eastAsia" w:ascii="仿宋_GB2312" w:hAnsi="仿宋" w:eastAsia="仿宋_GB2312"/>
          <w:sz w:val="32"/>
          <w:szCs w:val="32"/>
        </w:rPr>
        <w:t>等奖</w:t>
      </w:r>
      <w:r>
        <w:rPr>
          <w:rFonts w:hint="eastAsia" w:hAnsi="仿宋"/>
          <w:sz w:val="32"/>
          <w:szCs w:val="32"/>
          <w:lang w:eastAsia="zh-CN"/>
        </w:rPr>
        <w:t>。</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二、机构人员情况</w:t>
      </w:r>
    </w:p>
    <w:p>
      <w:pPr>
        <w:snapToGrid w:val="0"/>
        <w:spacing w:line="588" w:lineRule="exact"/>
        <w:ind w:firstLine="640" w:firstLineChars="200"/>
        <w:rPr>
          <w:color w:val="000000"/>
          <w:sz w:val="32"/>
          <w:szCs w:val="32"/>
        </w:rPr>
      </w:pPr>
      <w:r>
        <w:rPr>
          <w:rFonts w:hint="eastAsia" w:ascii="仿宋_GB2312" w:hAnsi="仿宋" w:eastAsia="仿宋_GB2312"/>
          <w:sz w:val="32"/>
          <w:szCs w:val="32"/>
        </w:rPr>
        <w:t>学校编制72人，学校年末学生人数1</w:t>
      </w:r>
      <w:r>
        <w:rPr>
          <w:rFonts w:hint="eastAsia" w:ascii="仿宋_GB2312" w:hAnsi="仿宋" w:eastAsia="仿宋_GB2312"/>
          <w:sz w:val="32"/>
          <w:szCs w:val="32"/>
          <w:lang w:val="en-US" w:eastAsia="zh-CN"/>
        </w:rPr>
        <w:t>036</w:t>
      </w:r>
      <w:r>
        <w:rPr>
          <w:rFonts w:hint="eastAsia" w:ascii="仿宋_GB2312" w:hAnsi="仿宋" w:eastAsia="仿宋_GB2312"/>
          <w:sz w:val="32"/>
          <w:szCs w:val="32"/>
        </w:rPr>
        <w:t>人，实有教职工</w:t>
      </w:r>
      <w:r>
        <w:rPr>
          <w:rFonts w:hint="eastAsia" w:ascii="仿宋_GB2312" w:hAnsi="仿宋" w:eastAsia="仿宋_GB2312"/>
          <w:sz w:val="32"/>
          <w:szCs w:val="32"/>
          <w:lang w:val="en-US" w:eastAsia="zh-CN"/>
        </w:rPr>
        <w:t>63</w:t>
      </w:r>
      <w:r>
        <w:rPr>
          <w:rFonts w:hint="eastAsia" w:ascii="仿宋_GB2312" w:hAnsi="仿宋" w:eastAsia="仿宋_GB2312"/>
          <w:sz w:val="32"/>
          <w:szCs w:val="32"/>
        </w:rPr>
        <w:t>人，特岗教师</w:t>
      </w:r>
      <w:r>
        <w:rPr>
          <w:rFonts w:hint="eastAsia" w:ascii="仿宋_GB2312" w:hAnsi="仿宋" w:eastAsia="仿宋_GB2312"/>
          <w:sz w:val="32"/>
          <w:szCs w:val="32"/>
          <w:lang w:val="en-US" w:eastAsia="zh-CN"/>
        </w:rPr>
        <w:t>9</w:t>
      </w:r>
      <w:r>
        <w:rPr>
          <w:rFonts w:hint="eastAsia" w:ascii="仿宋_GB2312" w:hAnsi="仿宋" w:eastAsia="仿宋_GB2312"/>
          <w:sz w:val="32"/>
          <w:szCs w:val="32"/>
        </w:rPr>
        <w:t>人，代课</w:t>
      </w:r>
      <w:r>
        <w:rPr>
          <w:rFonts w:hint="eastAsia" w:ascii="仿宋_GB2312" w:hAnsi="仿宋" w:eastAsia="仿宋_GB2312"/>
          <w:sz w:val="32"/>
          <w:szCs w:val="32"/>
          <w:lang w:val="en-US" w:eastAsia="zh-CN"/>
        </w:rPr>
        <w:t>1</w:t>
      </w:r>
      <w:r>
        <w:rPr>
          <w:rFonts w:hint="eastAsia" w:ascii="仿宋_GB2312" w:hAnsi="仿宋" w:eastAsia="仿宋_GB2312"/>
          <w:sz w:val="32"/>
          <w:szCs w:val="32"/>
        </w:rPr>
        <w:t>人。学校校长刘欣，副校长</w:t>
      </w:r>
      <w:r>
        <w:rPr>
          <w:rFonts w:hint="eastAsia" w:ascii="仿宋_GB2312" w:hAnsi="仿宋" w:eastAsia="仿宋_GB2312"/>
          <w:sz w:val="32"/>
          <w:szCs w:val="32"/>
          <w:lang w:val="en-US" w:eastAsia="zh-CN"/>
        </w:rPr>
        <w:t>3</w:t>
      </w:r>
      <w:r>
        <w:rPr>
          <w:rFonts w:hint="eastAsia" w:ascii="仿宋_GB2312" w:hAnsi="仿宋" w:eastAsia="仿宋_GB2312"/>
          <w:sz w:val="32"/>
          <w:szCs w:val="32"/>
        </w:rPr>
        <w:t>名：吴芝奎、侯志芳、朱宇</w:t>
      </w:r>
      <w:r>
        <w:rPr>
          <w:rFonts w:hint="eastAsia" w:ascii="仿宋_GB2312" w:hAnsi="仿宋" w:eastAsia="仿宋_GB2312"/>
          <w:sz w:val="32"/>
          <w:szCs w:val="32"/>
          <w:lang w:eastAsia="zh-CN"/>
        </w:rPr>
        <w:t>；</w:t>
      </w:r>
      <w:r>
        <w:rPr>
          <w:rFonts w:hint="eastAsia" w:ascii="仿宋_GB2312" w:hAnsi="仿宋" w:eastAsia="仿宋_GB2312"/>
          <w:sz w:val="32"/>
          <w:szCs w:val="32"/>
        </w:rPr>
        <w:t>中层有教务主任</w:t>
      </w:r>
      <w:r>
        <w:rPr>
          <w:rFonts w:hint="eastAsia" w:ascii="仿宋_GB2312" w:hAnsi="仿宋" w:eastAsia="仿宋_GB2312"/>
          <w:sz w:val="32"/>
          <w:szCs w:val="32"/>
          <w:lang w:val="en-US" w:eastAsia="zh-CN"/>
        </w:rPr>
        <w:t>1</w:t>
      </w:r>
      <w:r>
        <w:rPr>
          <w:rFonts w:hint="eastAsia" w:ascii="仿宋_GB2312" w:hAnsi="仿宋" w:eastAsia="仿宋_GB2312"/>
          <w:sz w:val="32"/>
          <w:szCs w:val="32"/>
        </w:rPr>
        <w:t>人，办公室负责人</w:t>
      </w:r>
      <w:r>
        <w:rPr>
          <w:rFonts w:hint="eastAsia" w:ascii="仿宋_GB2312" w:hAnsi="仿宋" w:eastAsia="仿宋_GB2312"/>
          <w:sz w:val="32"/>
          <w:szCs w:val="32"/>
          <w:lang w:val="en-US" w:eastAsia="zh-CN"/>
        </w:rPr>
        <w:t>1</w:t>
      </w:r>
      <w:r>
        <w:rPr>
          <w:rFonts w:hint="eastAsia" w:ascii="仿宋_GB2312" w:hAnsi="仿宋" w:eastAsia="仿宋_GB2312"/>
          <w:sz w:val="32"/>
          <w:szCs w:val="32"/>
        </w:rPr>
        <w:t>人，政教处主任</w:t>
      </w:r>
      <w:r>
        <w:rPr>
          <w:rFonts w:hint="eastAsia" w:ascii="仿宋_GB2312" w:hAnsi="仿宋" w:eastAsia="仿宋_GB2312"/>
          <w:sz w:val="32"/>
          <w:szCs w:val="32"/>
          <w:lang w:val="en-US" w:eastAsia="zh-CN"/>
        </w:rPr>
        <w:t>1</w:t>
      </w:r>
      <w:r>
        <w:rPr>
          <w:rFonts w:hint="eastAsia" w:ascii="仿宋_GB2312" w:hAnsi="仿宋" w:eastAsia="仿宋_GB2312"/>
          <w:sz w:val="32"/>
          <w:szCs w:val="32"/>
        </w:rPr>
        <w:t>人，总务处主任</w:t>
      </w:r>
      <w:r>
        <w:rPr>
          <w:rFonts w:hint="eastAsia" w:ascii="仿宋_GB2312" w:hAnsi="仿宋" w:eastAsia="仿宋_GB2312"/>
          <w:sz w:val="32"/>
          <w:szCs w:val="32"/>
          <w:lang w:val="en-US" w:eastAsia="zh-CN"/>
        </w:rPr>
        <w:t>1</w:t>
      </w:r>
      <w:r>
        <w:rPr>
          <w:rFonts w:hint="eastAsia" w:ascii="仿宋_GB2312" w:hAnsi="仿宋" w:eastAsia="仿宋_GB2312"/>
          <w:sz w:val="32"/>
          <w:szCs w:val="32"/>
        </w:rPr>
        <w:t>人，安办主任</w:t>
      </w:r>
      <w:r>
        <w:rPr>
          <w:rFonts w:hint="eastAsia" w:ascii="仿宋_GB2312" w:hAnsi="仿宋" w:eastAsia="仿宋_GB2312"/>
          <w:sz w:val="32"/>
          <w:szCs w:val="32"/>
          <w:lang w:val="en-US" w:eastAsia="zh-CN"/>
        </w:rPr>
        <w:t>1</w:t>
      </w:r>
      <w:r>
        <w:rPr>
          <w:rFonts w:hint="eastAsia" w:ascii="仿宋_GB2312" w:hAnsi="仿宋" w:eastAsia="仿宋_GB2312"/>
          <w:sz w:val="32"/>
          <w:szCs w:val="32"/>
        </w:rPr>
        <w:t>人。</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三、收支决算总体情况</w:t>
      </w:r>
    </w:p>
    <w:p>
      <w:pPr>
        <w:snapToGrid w:val="0"/>
        <w:spacing w:line="588"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drawing>
          <wp:anchor distT="0" distB="0" distL="114300" distR="114300" simplePos="0" relativeHeight="251659264" behindDoc="0" locked="0" layoutInCell="1" allowOverlap="1">
            <wp:simplePos x="0" y="0"/>
            <wp:positionH relativeFrom="column">
              <wp:posOffset>821055</wp:posOffset>
            </wp:positionH>
            <wp:positionV relativeFrom="paragraph">
              <wp:posOffset>1274445</wp:posOffset>
            </wp:positionV>
            <wp:extent cx="3716655" cy="2933065"/>
            <wp:effectExtent l="4445" t="4445" r="12700" b="1524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_GB2312" w:eastAsia="仿宋_GB2312"/>
          <w:color w:val="000000"/>
          <w:sz w:val="32"/>
          <w:szCs w:val="32"/>
          <w:lang w:val="en-US" w:eastAsia="zh-CN"/>
        </w:rPr>
        <w:t>2017年新华中学本年</w:t>
      </w:r>
      <w:r>
        <w:rPr>
          <w:rFonts w:hint="eastAsia" w:ascii="仿宋_GB2312" w:hAnsi="仿宋" w:eastAsia="仿宋_GB2312"/>
          <w:sz w:val="32"/>
          <w:szCs w:val="32"/>
        </w:rPr>
        <w:t>收入总额</w:t>
      </w:r>
      <w:r>
        <w:rPr>
          <w:rFonts w:hint="eastAsia" w:ascii="仿宋_GB2312" w:hAnsi="仿宋" w:eastAsia="仿宋_GB2312"/>
          <w:sz w:val="32"/>
          <w:szCs w:val="32"/>
          <w:lang w:val="en-US" w:eastAsia="zh-CN"/>
        </w:rPr>
        <w:t>1545.76万</w:t>
      </w:r>
      <w:r>
        <w:rPr>
          <w:rFonts w:hint="eastAsia" w:ascii="仿宋_GB2312" w:hAnsi="仿宋" w:eastAsia="仿宋_GB2312"/>
          <w:sz w:val="32"/>
          <w:szCs w:val="32"/>
        </w:rPr>
        <w:t>元，其中，公共财政补助拨款</w:t>
      </w:r>
      <w:r>
        <w:rPr>
          <w:rFonts w:hint="eastAsia" w:ascii="仿宋_GB2312" w:hAnsi="仿宋" w:eastAsia="仿宋_GB2312"/>
          <w:sz w:val="32"/>
          <w:szCs w:val="32"/>
          <w:lang w:val="en-US" w:eastAsia="zh-CN"/>
        </w:rPr>
        <w:t>1545.41万元</w:t>
      </w:r>
      <w:r>
        <w:rPr>
          <w:rFonts w:hint="eastAsia" w:ascii="仿宋_GB2312" w:hAnsi="仿宋" w:eastAsia="仿宋_GB2312"/>
          <w:sz w:val="32"/>
          <w:szCs w:val="32"/>
        </w:rPr>
        <w:t>，</w:t>
      </w:r>
      <w:r>
        <w:rPr>
          <w:rFonts w:hint="eastAsia" w:ascii="仿宋_GB2312" w:eastAsia="仿宋_GB2312"/>
          <w:color w:val="000000"/>
          <w:sz w:val="32"/>
          <w:szCs w:val="32"/>
        </w:rPr>
        <w:t>占</w:t>
      </w:r>
      <w:r>
        <w:rPr>
          <w:rFonts w:hint="eastAsia" w:ascii="仿宋_GB2312" w:eastAsia="仿宋_GB2312"/>
          <w:color w:val="000000"/>
          <w:sz w:val="32"/>
          <w:szCs w:val="32"/>
          <w:lang w:val="en-US" w:eastAsia="zh-CN"/>
        </w:rPr>
        <w:t>99.97</w:t>
      </w:r>
      <w:r>
        <w:rPr>
          <w:rFonts w:ascii="仿宋_GB2312" w:eastAsia="仿宋_GB2312"/>
          <w:color w:val="000000"/>
          <w:sz w:val="32"/>
          <w:szCs w:val="32"/>
        </w:rPr>
        <w:t>%</w:t>
      </w:r>
      <w:r>
        <w:rPr>
          <w:rFonts w:hint="eastAsia" w:ascii="仿宋_GB2312" w:hAnsi="仿宋" w:eastAsia="仿宋_GB2312"/>
          <w:sz w:val="32"/>
          <w:szCs w:val="32"/>
        </w:rPr>
        <w:t>其他收入</w:t>
      </w:r>
      <w:r>
        <w:rPr>
          <w:rFonts w:hint="eastAsia" w:ascii="仿宋_GB2312" w:hAnsi="仿宋" w:eastAsia="仿宋_GB2312"/>
          <w:sz w:val="32"/>
          <w:szCs w:val="32"/>
          <w:lang w:val="en-US" w:eastAsia="zh-CN"/>
        </w:rPr>
        <w:t>0.35万</w:t>
      </w:r>
      <w:r>
        <w:rPr>
          <w:rFonts w:hint="eastAsia" w:ascii="仿宋_GB2312" w:hAnsi="仿宋" w:eastAsia="仿宋_GB2312"/>
          <w:sz w:val="32"/>
          <w:szCs w:val="32"/>
        </w:rPr>
        <w:t>元</w:t>
      </w:r>
      <w:r>
        <w:rPr>
          <w:rFonts w:hint="eastAsia" w:ascii="仿宋_GB2312" w:hAnsi="仿宋" w:eastAsia="仿宋_GB2312"/>
          <w:sz w:val="32"/>
          <w:szCs w:val="32"/>
          <w:lang w:eastAsia="zh-CN"/>
        </w:rPr>
        <w:t>，</w:t>
      </w:r>
      <w:r>
        <w:rPr>
          <w:rFonts w:hint="eastAsia" w:ascii="仿宋_GB2312" w:eastAsia="仿宋_GB2312"/>
          <w:color w:val="000000"/>
          <w:sz w:val="32"/>
          <w:szCs w:val="32"/>
        </w:rPr>
        <w:t>占</w:t>
      </w:r>
      <w:r>
        <w:rPr>
          <w:rFonts w:hint="eastAsia" w:ascii="仿宋_GB2312" w:eastAsia="仿宋_GB2312"/>
          <w:color w:val="000000"/>
          <w:sz w:val="32"/>
          <w:szCs w:val="32"/>
          <w:lang w:val="en-US" w:eastAsia="zh-CN"/>
        </w:rPr>
        <w:t>0.03</w:t>
      </w:r>
      <w:r>
        <w:rPr>
          <w:rFonts w:ascii="仿宋_GB2312" w:eastAsia="仿宋_GB2312"/>
          <w:color w:val="000000"/>
          <w:sz w:val="32"/>
          <w:szCs w:val="32"/>
        </w:rPr>
        <w:t>%</w:t>
      </w:r>
      <w:r>
        <w:rPr>
          <w:rFonts w:hint="eastAsia" w:ascii="仿宋_GB2312" w:hAnsi="仿宋" w:eastAsia="仿宋_GB2312"/>
          <w:sz w:val="32"/>
          <w:szCs w:val="32"/>
        </w:rPr>
        <w:t>。</w:t>
      </w:r>
      <w:r>
        <w:rPr>
          <w:rFonts w:hint="eastAsia" w:ascii="仿宋_GB2312" w:hAnsi="仿宋" w:eastAsia="仿宋_GB2312"/>
          <w:sz w:val="32"/>
          <w:szCs w:val="32"/>
          <w:lang w:val="en-US" w:eastAsia="zh-CN"/>
        </w:rPr>
        <w:t xml:space="preserve"> </w:t>
      </w:r>
      <w:r>
        <w:rPr>
          <w:rFonts w:hint="eastAsia" w:ascii="仿宋_GB2312" w:eastAsia="仿宋_GB2312"/>
          <w:color w:val="000000"/>
          <w:sz w:val="32"/>
          <w:szCs w:val="32"/>
        </w:rPr>
        <w:t>（饼状图）</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2017年新华中学本年支出</w:t>
      </w:r>
      <w:r>
        <w:rPr>
          <w:rFonts w:hint="eastAsia" w:ascii="仿宋_GB2312" w:hAnsi="仿宋" w:eastAsia="仿宋_GB2312"/>
          <w:sz w:val="32"/>
          <w:szCs w:val="32"/>
        </w:rPr>
        <w:t>总额</w:t>
      </w:r>
      <w:r>
        <w:rPr>
          <w:rFonts w:hint="eastAsia" w:ascii="仿宋_GB2312" w:hAnsi="仿宋" w:eastAsia="仿宋_GB2312"/>
          <w:sz w:val="32"/>
          <w:szCs w:val="32"/>
          <w:lang w:val="en-US" w:eastAsia="zh-CN"/>
        </w:rPr>
        <w:t>1545.76万</w:t>
      </w:r>
      <w:r>
        <w:rPr>
          <w:rFonts w:hint="eastAsia" w:ascii="仿宋_GB2312" w:hAnsi="仿宋" w:eastAsia="仿宋_GB2312"/>
          <w:sz w:val="32"/>
          <w:szCs w:val="32"/>
        </w:rPr>
        <w:t>元</w:t>
      </w:r>
      <w:r>
        <w:rPr>
          <w:rFonts w:hint="eastAsia" w:ascii="仿宋_GB2312" w:eastAsia="仿宋_GB2312"/>
          <w:color w:val="000000"/>
          <w:sz w:val="32"/>
          <w:szCs w:val="32"/>
        </w:rPr>
        <w:t>，其中：基本支出</w:t>
      </w:r>
      <w:r>
        <w:rPr>
          <w:rFonts w:hint="eastAsia" w:ascii="仿宋_GB2312" w:eastAsia="仿宋_GB2312"/>
          <w:color w:val="000000"/>
          <w:sz w:val="32"/>
          <w:szCs w:val="32"/>
          <w:lang w:val="en-US" w:eastAsia="zh-CN"/>
        </w:rPr>
        <w:t>994.69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64.35</w:t>
      </w:r>
      <w:r>
        <w:rPr>
          <w:rFonts w:ascii="仿宋_GB2312" w:eastAsia="仿宋_GB2312"/>
          <w:color w:val="000000"/>
          <w:sz w:val="32"/>
          <w:szCs w:val="32"/>
        </w:rPr>
        <w:t>%</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551.06</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35.65</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（饼状图）</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drawing>
          <wp:anchor distT="0" distB="0" distL="114300" distR="114300" simplePos="0" relativeHeight="251661312" behindDoc="0" locked="0" layoutInCell="1" allowOverlap="1">
            <wp:simplePos x="0" y="0"/>
            <wp:positionH relativeFrom="column">
              <wp:posOffset>1061720</wp:posOffset>
            </wp:positionH>
            <wp:positionV relativeFrom="paragraph">
              <wp:posOffset>99695</wp:posOffset>
            </wp:positionV>
            <wp:extent cx="3507740" cy="2790825"/>
            <wp:effectExtent l="4445" t="4445" r="12065" b="508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eastAsia="黑体"/>
          <w:color w:val="000000"/>
          <w:sz w:val="32"/>
          <w:szCs w:val="32"/>
        </w:rPr>
        <w:t>四、财政拨款收支决算情况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宣汉县新华中学</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年度财政拨款收支总决算</w:t>
      </w:r>
      <w:r>
        <w:rPr>
          <w:rFonts w:hint="eastAsia" w:ascii="仿宋_GB2312" w:eastAsia="仿宋_GB2312"/>
          <w:color w:val="000000"/>
          <w:sz w:val="32"/>
          <w:szCs w:val="32"/>
          <w:lang w:val="en-US" w:eastAsia="zh-CN"/>
        </w:rPr>
        <w:t>1545,41</w:t>
      </w:r>
      <w:r>
        <w:rPr>
          <w:rFonts w:hint="eastAsia" w:ascii="仿宋_GB2312" w:eastAsia="仿宋_GB2312"/>
          <w:color w:val="000000"/>
          <w:sz w:val="32"/>
          <w:szCs w:val="32"/>
        </w:rPr>
        <w:t>万元。与</w:t>
      </w:r>
      <w:r>
        <w:rPr>
          <w:rFonts w:ascii="仿宋_GB2312" w:eastAsia="仿宋_GB2312"/>
          <w:color w:val="000000"/>
          <w:sz w:val="32"/>
          <w:szCs w:val="32"/>
        </w:rPr>
        <w:t>201</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年相比，财政拨款收、支总计各增加</w:t>
      </w:r>
      <w:r>
        <w:rPr>
          <w:rFonts w:hint="eastAsia" w:ascii="仿宋_GB2312" w:eastAsia="仿宋_GB2312"/>
          <w:color w:val="000000"/>
          <w:sz w:val="32"/>
          <w:szCs w:val="32"/>
          <w:lang w:val="en-US" w:eastAsia="zh-CN"/>
        </w:rPr>
        <w:t>275.02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21.65</w:t>
      </w:r>
      <w:r>
        <w:rPr>
          <w:rFonts w:ascii="仿宋_GB2312" w:eastAsia="仿宋_GB2312"/>
          <w:color w:val="000000"/>
          <w:sz w:val="32"/>
          <w:szCs w:val="32"/>
        </w:rPr>
        <w:t>%</w:t>
      </w:r>
      <w:r>
        <w:rPr>
          <w:rFonts w:hint="eastAsia" w:ascii="仿宋_GB2312" w:eastAsia="仿宋_GB2312"/>
          <w:color w:val="000000"/>
          <w:sz w:val="32"/>
          <w:szCs w:val="32"/>
        </w:rPr>
        <w:t>。（柱状图）</w:t>
      </w:r>
    </w:p>
    <w:p>
      <w:pPr>
        <w:spacing w:line="600" w:lineRule="exact"/>
        <w:ind w:firstLine="640" w:firstLineChars="200"/>
        <w:rPr>
          <w:rFonts w:ascii="仿宋_GB2312" w:eastAsia="仿宋_GB2312"/>
          <w:b/>
          <w:i/>
          <w:color w:val="404040"/>
          <w:sz w:val="32"/>
          <w:szCs w:val="32"/>
        </w:rPr>
      </w:pPr>
      <w:r>
        <w:rPr>
          <w:sz w:val="32"/>
        </w:rPr>
        <mc:AlternateContent>
          <mc:Choice Requires="wps">
            <w:drawing>
              <wp:anchor distT="0" distB="0" distL="114300" distR="114300" simplePos="0" relativeHeight="251669504" behindDoc="0" locked="0" layoutInCell="1" allowOverlap="1">
                <wp:simplePos x="0" y="0"/>
                <wp:positionH relativeFrom="column">
                  <wp:posOffset>3338195</wp:posOffset>
                </wp:positionH>
                <wp:positionV relativeFrom="paragraph">
                  <wp:posOffset>438785</wp:posOffset>
                </wp:positionV>
                <wp:extent cx="1108710" cy="404495"/>
                <wp:effectExtent l="0" t="0" r="15240" b="14605"/>
                <wp:wrapTopAndBottom/>
                <wp:docPr id="13" name="文本框 13"/>
                <wp:cNvGraphicFramePr/>
                <a:graphic xmlns:a="http://schemas.openxmlformats.org/drawingml/2006/main">
                  <a:graphicData uri="http://schemas.microsoft.com/office/word/2010/wordprocessingShape">
                    <wps:wsp>
                      <wps:cNvSpPr txBox="1"/>
                      <wps:spPr>
                        <a:xfrm>
                          <a:off x="4385945" y="7278370"/>
                          <a:ext cx="1108710" cy="4044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color w:val="FF0000"/>
                                <w:lang w:eastAsia="zh-CN"/>
                              </w:rPr>
                            </w:pPr>
                            <w:r>
                              <w:rPr>
                                <w:rFonts w:hint="eastAsia"/>
                                <w:color w:val="FF0000"/>
                                <w:lang w:eastAsia="zh-CN"/>
                              </w:rPr>
                              <w:t>增长</w:t>
                            </w:r>
                            <w:r>
                              <w:rPr>
                                <w:rFonts w:hint="eastAsia"/>
                                <w:color w:val="FF0000"/>
                                <w:lang w:val="en-US" w:eastAsia="zh-CN"/>
                              </w:rPr>
                              <w:t>21.65%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2.85pt;margin-top:34.55pt;height:31.85pt;width:87.3pt;mso-wrap-distance-bottom:0pt;mso-wrap-distance-top:0pt;z-index:251669504;mso-width-relative:page;mso-height-relative:page;" fillcolor="#FFFFFF [3201]" filled="t" stroked="f" coordsize="21600,21600" o:gfxdata="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HX4PVAAAACgEAAA8AAAAAAAAAAQAgAAAAIgAAAGRy&#10;cy9kb3ducmV2LnhtbFBLAQIUABQAAAAIAIdO4kC6KSsbQQIAAE8EAAAOAAAAAAAAAAEAIAAAACQB&#10;AABkcnMvZTJvRG9jLnhtbFBLBQYAAAAABgAGAFkBAADXBQAAAAA=&#10;">
                <v:fill on="t" focussize="0,0"/>
                <v:stroke on="f" weight="0.5pt"/>
                <v:imagedata o:title=""/>
                <o:lock v:ext="edit" aspectratio="f"/>
                <v:textbox>
                  <w:txbxContent>
                    <w:p>
                      <w:pPr>
                        <w:rPr>
                          <w:rFonts w:hint="eastAsia" w:eastAsia="宋体"/>
                          <w:color w:val="FF0000"/>
                          <w:lang w:eastAsia="zh-CN"/>
                        </w:rPr>
                      </w:pPr>
                      <w:r>
                        <w:rPr>
                          <w:rFonts w:hint="eastAsia"/>
                          <w:color w:val="FF0000"/>
                          <w:lang w:eastAsia="zh-CN"/>
                        </w:rPr>
                        <w:t>增长</w:t>
                      </w:r>
                      <w:r>
                        <w:rPr>
                          <w:rFonts w:hint="eastAsia"/>
                          <w:color w:val="FF0000"/>
                          <w:lang w:val="en-US" w:eastAsia="zh-CN"/>
                        </w:rPr>
                        <w:t>21.65%</w:t>
                      </w:r>
                    </w:p>
                  </w:txbxContent>
                </v:textbox>
                <w10:wrap type="topAndBottom"/>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3329940</wp:posOffset>
                </wp:positionH>
                <wp:positionV relativeFrom="paragraph">
                  <wp:posOffset>361950</wp:posOffset>
                </wp:positionV>
                <wp:extent cx="0" cy="375285"/>
                <wp:effectExtent l="48895" t="0" r="65405" b="5715"/>
                <wp:wrapTopAndBottom/>
                <wp:docPr id="14" name="直接箭头连接符 14"/>
                <wp:cNvGraphicFramePr/>
                <a:graphic xmlns:a="http://schemas.openxmlformats.org/drawingml/2006/main">
                  <a:graphicData uri="http://schemas.microsoft.com/office/word/2010/wordprocessingShape">
                    <wps:wsp>
                      <wps:cNvCnPr/>
                      <wps:spPr>
                        <a:xfrm flipV="1">
                          <a:off x="4377690" y="7287260"/>
                          <a:ext cx="0" cy="37528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2.2pt;margin-top:28.5pt;height:29.55pt;width:0pt;mso-wrap-distance-bottom:0pt;mso-wrap-distance-top:0pt;z-index:251670528;mso-width-relative:page;mso-height-relative:page;" filled="f" stroked="t" coordsize="21600,21600" o:gfxdata="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NGElNUAAAAKAQAADwAAAAAAAAABACAAAAAiAAAAZHJzL2Rvd25yZXYueG1sUEsBAhQA&#10;FAAAAAgAh07iQCsA8Mn1AQAAkAMAAA4AAAAAAAAAAQAgAAAAJAEAAGRycy9lMm9Eb2MueG1sUEsF&#10;BgAAAAAGAAYAWQEAAIsFAAAAAA==&#10;">
                <v:fill on="f" focussize="0,0"/>
                <v:stroke color="#FF0000 [3204]" joinstyle="round" endarrow="open"/>
                <v:imagedata o:title=""/>
                <o:lock v:ext="edit" aspectratio="f"/>
                <w10:wrap type="topAndBottom"/>
              </v:shape>
            </w:pict>
          </mc:Fallback>
        </mc:AlternateContent>
      </w:r>
      <w:r>
        <w:rPr>
          <w:sz w:val="32"/>
        </w:rPr>
        <w:drawing>
          <wp:anchor distT="0" distB="0" distL="114300" distR="114300" simplePos="0" relativeHeight="251668480" behindDoc="0" locked="0" layoutInCell="1" allowOverlap="1">
            <wp:simplePos x="0" y="0"/>
            <wp:positionH relativeFrom="column">
              <wp:posOffset>699770</wp:posOffset>
            </wp:positionH>
            <wp:positionV relativeFrom="paragraph">
              <wp:posOffset>118110</wp:posOffset>
            </wp:positionV>
            <wp:extent cx="4001770" cy="2722880"/>
            <wp:effectExtent l="4445" t="4445" r="13335" b="1587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eastAsia="仿宋_GB2312"/>
          <w:b/>
          <w:i/>
          <w:color w:val="404040"/>
          <w:sz w:val="32"/>
          <w:szCs w:val="32"/>
        </w:rPr>
        <w:t>（数据来源财决</w:t>
      </w:r>
      <w:r>
        <w:rPr>
          <w:rFonts w:ascii="仿宋_GB2312" w:eastAsia="仿宋_GB2312"/>
          <w:b/>
          <w:i/>
          <w:color w:val="404040"/>
          <w:sz w:val="32"/>
          <w:szCs w:val="32"/>
        </w:rPr>
        <w:t>Z01-1</w:t>
      </w:r>
      <w:r>
        <w:rPr>
          <w:rFonts w:hint="eastAsia" w:ascii="仿宋_GB2312" w:eastAsia="仿宋_GB2312"/>
          <w:b/>
          <w:i/>
          <w:color w:val="404040"/>
          <w:sz w:val="32"/>
          <w:szCs w:val="32"/>
        </w:rPr>
        <w:t>表，口径为“总计”数）</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五、一般公共预算财政拨款支出决算情况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宣汉县新华中学</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年度一般公共预算财政拨款支出</w:t>
      </w:r>
      <w:r>
        <w:rPr>
          <w:rFonts w:hint="eastAsia" w:ascii="仿宋_GB2312" w:hAnsi="仿宋" w:eastAsia="仿宋_GB2312"/>
          <w:sz w:val="32"/>
          <w:szCs w:val="32"/>
          <w:lang w:val="en-US" w:eastAsia="zh-CN"/>
        </w:rPr>
        <w:t>1545,41</w:t>
      </w:r>
      <w:r>
        <w:rPr>
          <w:rFonts w:hint="eastAsia" w:ascii="仿宋_GB2312" w:eastAsia="仿宋_GB2312"/>
          <w:color w:val="000000"/>
          <w:sz w:val="32"/>
          <w:szCs w:val="32"/>
        </w:rPr>
        <w:t>万元，占本年支出合计的</w:t>
      </w:r>
      <w:r>
        <w:rPr>
          <w:rFonts w:hint="eastAsia" w:ascii="仿宋_GB2312" w:eastAsia="仿宋_GB2312"/>
          <w:color w:val="000000"/>
          <w:sz w:val="32"/>
          <w:szCs w:val="32"/>
          <w:lang w:val="en-US" w:eastAsia="zh-CN"/>
        </w:rPr>
        <w:t>99.97</w:t>
      </w:r>
      <w:r>
        <w:rPr>
          <w:rFonts w:ascii="仿宋_GB2312" w:eastAsia="仿宋_GB2312"/>
          <w:color w:val="000000"/>
          <w:sz w:val="32"/>
          <w:szCs w:val="32"/>
        </w:rPr>
        <w:t>%</w:t>
      </w:r>
      <w:r>
        <w:rPr>
          <w:rFonts w:hint="eastAsia" w:ascii="仿宋_GB2312" w:eastAsia="仿宋_GB2312"/>
          <w:color w:val="000000"/>
          <w:sz w:val="32"/>
          <w:szCs w:val="32"/>
        </w:rPr>
        <w:t>。与</w:t>
      </w:r>
      <w:r>
        <w:rPr>
          <w:rFonts w:ascii="仿宋_GB2312" w:eastAsia="仿宋_GB2312"/>
          <w:color w:val="000000"/>
          <w:sz w:val="32"/>
          <w:szCs w:val="32"/>
        </w:rPr>
        <w:t>201</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年相比，一般公共预算财政拨款增加</w:t>
      </w:r>
      <w:r>
        <w:rPr>
          <w:rFonts w:hint="eastAsia" w:ascii="仿宋_GB2312" w:eastAsia="仿宋_GB2312"/>
          <w:color w:val="000000"/>
          <w:sz w:val="32"/>
          <w:szCs w:val="32"/>
          <w:lang w:val="en-US" w:eastAsia="zh-CN"/>
        </w:rPr>
        <w:t>275.02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21.65</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（二）一般公共预算财政拨款支出决算结构情况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宣汉县新华中学</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年一般公共预算财政拨款支出</w:t>
      </w:r>
      <w:r>
        <w:rPr>
          <w:rFonts w:hint="eastAsia" w:ascii="仿宋_GB2312" w:hAnsi="仿宋" w:eastAsia="仿宋_GB2312"/>
          <w:sz w:val="32"/>
          <w:szCs w:val="32"/>
          <w:lang w:val="en-US" w:eastAsia="zh-CN"/>
        </w:rPr>
        <w:t>1545.41</w:t>
      </w:r>
      <w:r>
        <w:rPr>
          <w:rFonts w:hint="eastAsia" w:ascii="仿宋_GB2312" w:eastAsia="仿宋_GB2312"/>
          <w:color w:val="000000"/>
          <w:sz w:val="32"/>
          <w:szCs w:val="32"/>
        </w:rPr>
        <w:t>万元，主要用于以下方面</w:t>
      </w:r>
      <w:r>
        <w:rPr>
          <w:rFonts w:ascii="仿宋_GB2312" w:eastAsia="仿宋_GB2312"/>
          <w:color w:val="000000"/>
          <w:sz w:val="32"/>
          <w:szCs w:val="32"/>
        </w:rPr>
        <w:t>:</w:t>
      </w:r>
      <w:r>
        <w:rPr>
          <w:rFonts w:hint="eastAsia" w:ascii="仿宋_GB2312" w:eastAsia="仿宋_GB2312"/>
          <w:color w:val="000000"/>
          <w:sz w:val="32"/>
          <w:szCs w:val="32"/>
        </w:rPr>
        <w:t>一般公共服务支出</w:t>
      </w:r>
      <w:r>
        <w:rPr>
          <w:rFonts w:hint="eastAsia" w:ascii="仿宋_GB2312" w:eastAsia="仿宋_GB2312"/>
          <w:color w:val="000000"/>
          <w:sz w:val="32"/>
          <w:szCs w:val="32"/>
          <w:lang w:val="en-US" w:eastAsia="zh-CN"/>
        </w:rPr>
        <w:t>1545.41</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；教育支出</w:t>
      </w:r>
      <w:r>
        <w:rPr>
          <w:rFonts w:hint="eastAsia" w:ascii="仿宋_GB2312" w:eastAsia="仿宋_GB2312"/>
          <w:color w:val="000000"/>
          <w:sz w:val="32"/>
          <w:szCs w:val="32"/>
          <w:lang w:val="en-US" w:eastAsia="zh-CN"/>
        </w:rPr>
        <w:t>1367.56</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88.49</w:t>
      </w:r>
      <w:r>
        <w:rPr>
          <w:rFonts w:ascii="仿宋_GB2312" w:eastAsia="仿宋_GB2312"/>
          <w:color w:val="000000"/>
          <w:sz w:val="32"/>
          <w:szCs w:val="32"/>
        </w:rPr>
        <w:t>%</w:t>
      </w:r>
      <w:r>
        <w:rPr>
          <w:rFonts w:hint="eastAsia" w:ascii="仿宋_GB2312" w:eastAsia="仿宋_GB2312"/>
          <w:color w:val="000000"/>
          <w:sz w:val="32"/>
          <w:szCs w:val="32"/>
        </w:rPr>
        <w:t>；社会保障和就业支出</w:t>
      </w:r>
      <w:r>
        <w:rPr>
          <w:rFonts w:hint="eastAsia" w:ascii="仿宋_GB2312" w:eastAsia="仿宋_GB2312"/>
          <w:color w:val="000000"/>
          <w:sz w:val="32"/>
          <w:szCs w:val="32"/>
          <w:lang w:val="en-US" w:eastAsia="zh-CN"/>
        </w:rPr>
        <w:t>94.71</w:t>
      </w:r>
      <w:r>
        <w:rPr>
          <w:rFonts w:hint="eastAsia" w:ascii="仿宋_GB2312" w:eastAsia="仿宋_GB2312"/>
          <w:color w:val="000000"/>
          <w:sz w:val="32"/>
          <w:szCs w:val="32"/>
        </w:rPr>
        <w:t>万元，</w:t>
      </w:r>
      <w:r>
        <w:rPr>
          <w:rFonts w:hint="eastAsia" w:ascii="仿宋_GB2312" w:eastAsia="仿宋_GB2312"/>
          <w:color w:val="auto"/>
          <w:sz w:val="32"/>
          <w:szCs w:val="32"/>
        </w:rPr>
        <w:t>占</w:t>
      </w:r>
      <w:r>
        <w:rPr>
          <w:rFonts w:hint="eastAsia" w:ascii="仿宋_GB2312" w:eastAsia="仿宋_GB2312"/>
          <w:color w:val="auto"/>
          <w:sz w:val="32"/>
          <w:szCs w:val="32"/>
          <w:lang w:val="en-US" w:eastAsia="zh-CN"/>
        </w:rPr>
        <w:t>6.12</w:t>
      </w:r>
      <w:r>
        <w:rPr>
          <w:rFonts w:ascii="仿宋_GB2312" w:eastAsia="仿宋_GB2312"/>
          <w:color w:val="auto"/>
          <w:sz w:val="32"/>
          <w:szCs w:val="32"/>
        </w:rPr>
        <w:t>%</w:t>
      </w:r>
      <w:r>
        <w:rPr>
          <w:rFonts w:hint="eastAsia" w:ascii="仿宋_GB2312" w:eastAsia="仿宋_GB2312"/>
          <w:color w:val="auto"/>
          <w:sz w:val="32"/>
          <w:szCs w:val="32"/>
        </w:rPr>
        <w:t>；医</w:t>
      </w:r>
      <w:r>
        <w:rPr>
          <w:rFonts w:hint="eastAsia" w:ascii="仿宋_GB2312" w:eastAsia="仿宋_GB2312"/>
          <w:color w:val="000000"/>
          <w:sz w:val="32"/>
          <w:szCs w:val="32"/>
        </w:rPr>
        <w:t>疗卫生支出</w:t>
      </w:r>
      <w:r>
        <w:rPr>
          <w:rFonts w:hint="eastAsia" w:ascii="仿宋_GB2312" w:eastAsia="仿宋_GB2312"/>
          <w:color w:val="000000"/>
          <w:sz w:val="32"/>
          <w:szCs w:val="32"/>
          <w:lang w:val="en-US" w:eastAsia="zh-CN"/>
        </w:rPr>
        <w:t>29.9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1.93</w:t>
      </w:r>
      <w:r>
        <w:rPr>
          <w:rFonts w:ascii="仿宋_GB2312" w:eastAsia="仿宋_GB2312"/>
          <w:color w:val="000000"/>
          <w:sz w:val="32"/>
          <w:szCs w:val="32"/>
        </w:rPr>
        <w:t>%</w:t>
      </w:r>
      <w:r>
        <w:rPr>
          <w:rFonts w:hint="eastAsia" w:ascii="仿宋_GB2312" w:eastAsia="仿宋_GB2312"/>
          <w:color w:val="000000"/>
          <w:sz w:val="32"/>
          <w:szCs w:val="32"/>
        </w:rPr>
        <w:t>；住房保障支出</w:t>
      </w:r>
      <w:r>
        <w:rPr>
          <w:rFonts w:hint="eastAsia" w:ascii="仿宋_GB2312" w:eastAsia="仿宋_GB2312"/>
          <w:color w:val="000000"/>
          <w:sz w:val="32"/>
          <w:szCs w:val="32"/>
          <w:lang w:val="en-US" w:eastAsia="zh-CN"/>
        </w:rPr>
        <w:t>53.59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3.46</w:t>
      </w:r>
      <w:r>
        <w:rPr>
          <w:rFonts w:ascii="仿宋_GB2312" w:eastAsia="仿宋_GB2312"/>
          <w:color w:val="000000"/>
          <w:sz w:val="32"/>
          <w:szCs w:val="32"/>
        </w:rPr>
        <w:t>%</w:t>
      </w:r>
      <w:r>
        <w:rPr>
          <w:rFonts w:hint="eastAsia" w:ascii="仿宋_GB2312" w:eastAsia="仿宋_GB2312"/>
          <w:color w:val="000000"/>
          <w:sz w:val="32"/>
          <w:szCs w:val="32"/>
        </w:rPr>
        <w:t>。（饼状图）</w:t>
      </w:r>
    </w:p>
    <w:p>
      <w:pPr>
        <w:spacing w:line="600" w:lineRule="exact"/>
        <w:ind w:firstLine="640" w:firstLineChars="200"/>
        <w:rPr>
          <w:rFonts w:ascii="仿宋_GB2312" w:eastAsia="仿宋_GB2312"/>
          <w:i/>
          <w:color w:val="404040"/>
          <w:sz w:val="32"/>
          <w:szCs w:val="32"/>
        </w:rPr>
      </w:pPr>
      <w:r>
        <w:rPr>
          <w:rFonts w:hint="eastAsia" w:ascii="仿宋_GB2312" w:eastAsia="仿宋_GB2312"/>
          <w:color w:val="000000"/>
          <w:sz w:val="32"/>
          <w:szCs w:val="32"/>
          <w:lang w:eastAsia="zh-CN"/>
        </w:rPr>
        <w:drawing>
          <wp:anchor distT="0" distB="0" distL="114300" distR="114300" simplePos="0" relativeHeight="251666432" behindDoc="0" locked="0" layoutInCell="1" allowOverlap="1">
            <wp:simplePos x="0" y="0"/>
            <wp:positionH relativeFrom="column">
              <wp:posOffset>554990</wp:posOffset>
            </wp:positionH>
            <wp:positionV relativeFrom="paragraph">
              <wp:posOffset>109220</wp:posOffset>
            </wp:positionV>
            <wp:extent cx="4460240" cy="3409315"/>
            <wp:effectExtent l="5080" t="4445" r="11430" b="15240"/>
            <wp:wrapTopAndBottom/>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eastAsia="仿宋_GB2312"/>
          <w:b/>
          <w:i/>
          <w:color w:val="404040"/>
          <w:sz w:val="32"/>
          <w:szCs w:val="32"/>
        </w:rPr>
        <w:t>（罗列全部功能分类科目，至类级）</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（三）一般公共预算财政拨款支出决算具体情况</w:t>
      </w:r>
    </w:p>
    <w:p>
      <w:pPr>
        <w:numPr>
          <w:ilvl w:val="0"/>
          <w:numId w:val="1"/>
        </w:numPr>
        <w:spacing w:line="600" w:lineRule="exact"/>
        <w:ind w:firstLine="643" w:firstLineChars="200"/>
        <w:rPr>
          <w:rFonts w:hint="eastAsia" w:ascii="仿宋_GB2312" w:eastAsia="仿宋_GB2312"/>
          <w:color w:val="000000"/>
          <w:sz w:val="32"/>
          <w:szCs w:val="32"/>
          <w:lang w:eastAsia="zh-CN"/>
        </w:rPr>
      </w:pPr>
      <w:r>
        <w:rPr>
          <w:rStyle w:val="7"/>
          <w:rFonts w:hint="eastAsia" w:ascii="仿宋_GB2312" w:eastAsia="仿宋_GB2312"/>
          <w:bCs/>
          <w:color w:val="000000"/>
          <w:sz w:val="32"/>
          <w:szCs w:val="32"/>
        </w:rPr>
        <w:t>一般公共服务（类）</w:t>
      </w:r>
      <w:r>
        <w:rPr>
          <w:rStyle w:val="7"/>
          <w:rFonts w:hint="eastAsia" w:ascii="仿宋_GB2312" w:eastAsia="仿宋_GB2312"/>
          <w:bCs/>
          <w:color w:val="000000"/>
          <w:sz w:val="32"/>
          <w:szCs w:val="32"/>
          <w:lang w:val="en-US" w:eastAsia="zh-CN"/>
        </w:rPr>
        <w:t>205</w:t>
      </w:r>
      <w:r>
        <w:rPr>
          <w:rStyle w:val="7"/>
          <w:rFonts w:hint="eastAsia" w:ascii="仿宋_GB2312" w:eastAsia="仿宋_GB2312"/>
          <w:bCs/>
          <w:color w:val="000000"/>
          <w:sz w:val="32"/>
          <w:szCs w:val="32"/>
        </w:rPr>
        <w:t>（款）</w:t>
      </w:r>
      <w:r>
        <w:rPr>
          <w:rStyle w:val="7"/>
          <w:rFonts w:hint="eastAsia" w:ascii="仿宋_GB2312" w:eastAsia="仿宋_GB2312"/>
          <w:bCs/>
          <w:color w:val="000000"/>
          <w:sz w:val="32"/>
          <w:szCs w:val="32"/>
          <w:lang w:val="en-US" w:eastAsia="zh-CN"/>
        </w:rPr>
        <w:t>0203</w:t>
      </w:r>
      <w:r>
        <w:rPr>
          <w:rStyle w:val="7"/>
          <w:rFonts w:hint="eastAsia" w:ascii="仿宋_GB2312" w:eastAsia="仿宋_GB2312"/>
          <w:bCs/>
          <w:color w:val="000000"/>
          <w:sz w:val="32"/>
          <w:szCs w:val="32"/>
        </w:rPr>
        <w:t>项）</w:t>
      </w:r>
      <w:r>
        <w:rPr>
          <w:rStyle w:val="7"/>
          <w:rFonts w:ascii="仿宋_GB2312" w:eastAsia="仿宋_GB2312"/>
          <w:bCs/>
          <w:color w:val="000000"/>
          <w:sz w:val="32"/>
          <w:szCs w:val="32"/>
        </w:rPr>
        <w:t>:</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1545.41</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lang w:eastAsia="zh-CN"/>
        </w:rPr>
        <w:t>。</w:t>
      </w:r>
    </w:p>
    <w:p>
      <w:pPr>
        <w:numPr>
          <w:ilvl w:val="0"/>
          <w:numId w:val="1"/>
        </w:numPr>
        <w:spacing w:line="600" w:lineRule="exact"/>
        <w:ind w:firstLine="643" w:firstLineChars="200"/>
        <w:rPr>
          <w:rFonts w:hint="eastAsia" w:ascii="仿宋_GB2312" w:eastAsia="仿宋_GB2312"/>
          <w:color w:val="000000"/>
          <w:sz w:val="32"/>
          <w:szCs w:val="32"/>
        </w:rPr>
      </w:pPr>
      <w:r>
        <w:rPr>
          <w:rStyle w:val="7"/>
          <w:rFonts w:hint="eastAsia" w:ascii="仿宋_GB2312" w:eastAsia="仿宋_GB2312"/>
          <w:bCs/>
          <w:color w:val="000000"/>
          <w:sz w:val="32"/>
          <w:szCs w:val="32"/>
        </w:rPr>
        <w:t>教育（类）</w:t>
      </w:r>
      <w:r>
        <w:rPr>
          <w:rStyle w:val="7"/>
          <w:rFonts w:hint="eastAsia" w:ascii="仿宋_GB2312" w:eastAsia="仿宋_GB2312"/>
          <w:bCs/>
          <w:color w:val="000000"/>
          <w:sz w:val="32"/>
          <w:szCs w:val="32"/>
          <w:lang w:val="en-US" w:eastAsia="zh-CN"/>
        </w:rPr>
        <w:t>205</w:t>
      </w:r>
      <w:r>
        <w:rPr>
          <w:rStyle w:val="7"/>
          <w:rFonts w:hint="eastAsia" w:ascii="仿宋_GB2312" w:eastAsia="仿宋_GB2312"/>
          <w:bCs/>
          <w:color w:val="000000"/>
          <w:sz w:val="32"/>
          <w:szCs w:val="32"/>
        </w:rPr>
        <w:t>（款）</w:t>
      </w:r>
      <w:r>
        <w:rPr>
          <w:rStyle w:val="7"/>
          <w:rFonts w:hint="eastAsia" w:ascii="仿宋_GB2312" w:eastAsia="仿宋_GB2312"/>
          <w:bCs/>
          <w:color w:val="000000"/>
          <w:sz w:val="32"/>
          <w:szCs w:val="32"/>
          <w:lang w:val="en-US" w:eastAsia="zh-CN"/>
        </w:rPr>
        <w:t>0203</w:t>
      </w:r>
      <w:r>
        <w:rPr>
          <w:rStyle w:val="7"/>
          <w:rFonts w:hint="eastAsia" w:ascii="仿宋_GB2312" w:eastAsia="仿宋_GB2312"/>
          <w:bCs/>
          <w:color w:val="000000"/>
          <w:sz w:val="32"/>
          <w:szCs w:val="32"/>
        </w:rPr>
        <w:t>（项）</w:t>
      </w:r>
      <w:r>
        <w:rPr>
          <w:rStyle w:val="7"/>
          <w:rFonts w:ascii="仿宋_GB2312" w:eastAsia="仿宋_GB2312"/>
          <w:bCs/>
          <w:color w:val="000000"/>
          <w:sz w:val="32"/>
          <w:szCs w:val="32"/>
        </w:rPr>
        <w:t>:</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1346.71</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w:t>
      </w:r>
    </w:p>
    <w:p>
      <w:pPr>
        <w:numPr>
          <w:ilvl w:val="0"/>
          <w:numId w:val="0"/>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w:t>
      </w:r>
      <w:r>
        <w:rPr>
          <w:rStyle w:val="7"/>
          <w:rFonts w:ascii="仿宋_GB2312" w:eastAsia="仿宋_GB2312"/>
          <w:bCs/>
          <w:color w:val="000000"/>
          <w:sz w:val="32"/>
          <w:szCs w:val="32"/>
        </w:rPr>
        <w:t>.</w:t>
      </w:r>
      <w:r>
        <w:rPr>
          <w:rStyle w:val="7"/>
          <w:rFonts w:hint="eastAsia" w:ascii="仿宋_GB2312" w:eastAsia="仿宋_GB2312"/>
          <w:bCs/>
          <w:color w:val="000000"/>
          <w:sz w:val="32"/>
          <w:szCs w:val="32"/>
        </w:rPr>
        <w:t>社会保障和就业（类）</w:t>
      </w:r>
      <w:r>
        <w:rPr>
          <w:rStyle w:val="7"/>
          <w:rFonts w:hint="eastAsia" w:ascii="仿宋_GB2312" w:eastAsia="仿宋_GB2312"/>
          <w:bCs/>
          <w:color w:val="000000"/>
          <w:sz w:val="32"/>
          <w:szCs w:val="32"/>
          <w:lang w:val="en-US" w:eastAsia="zh-CN"/>
        </w:rPr>
        <w:t>208</w:t>
      </w:r>
      <w:r>
        <w:rPr>
          <w:rStyle w:val="7"/>
          <w:rFonts w:hint="eastAsia" w:ascii="仿宋_GB2312" w:eastAsia="仿宋_GB2312"/>
          <w:bCs/>
          <w:color w:val="000000"/>
          <w:sz w:val="32"/>
          <w:szCs w:val="32"/>
        </w:rPr>
        <w:t>（款）</w:t>
      </w:r>
      <w:r>
        <w:rPr>
          <w:rStyle w:val="7"/>
          <w:rFonts w:hint="eastAsia" w:ascii="仿宋_GB2312" w:eastAsia="仿宋_GB2312"/>
          <w:bCs/>
          <w:color w:val="000000"/>
          <w:sz w:val="32"/>
          <w:szCs w:val="32"/>
          <w:lang w:val="en-US" w:eastAsia="zh-CN"/>
        </w:rPr>
        <w:t>0502</w:t>
      </w:r>
      <w:r>
        <w:rPr>
          <w:rStyle w:val="7"/>
          <w:rFonts w:hint="eastAsia" w:ascii="仿宋_GB2312" w:eastAsia="仿宋_GB2312"/>
          <w:bCs/>
          <w:color w:val="000000"/>
          <w:sz w:val="32"/>
          <w:szCs w:val="32"/>
        </w:rPr>
        <w:t>（项）</w:t>
      </w:r>
      <w:r>
        <w:rPr>
          <w:rStyle w:val="7"/>
          <w:rFonts w:ascii="仿宋_GB2312" w:eastAsia="仿宋_GB2312"/>
          <w:bCs/>
          <w:color w:val="000000"/>
          <w:sz w:val="32"/>
          <w:szCs w:val="32"/>
        </w:rPr>
        <w:t>:</w:t>
      </w:r>
      <w:r>
        <w:rPr>
          <w:rFonts w:ascii="仿宋_GB2312" w:eastAsia="仿宋_GB2312"/>
          <w:color w:val="000000"/>
          <w:sz w:val="32"/>
          <w:szCs w:val="32"/>
        </w:rPr>
        <w:t>2016</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94.71</w:t>
      </w:r>
      <w:r>
        <w:rPr>
          <w:rFonts w:hint="eastAsia" w:ascii="仿宋_GB2312" w:eastAsia="仿宋_GB2312"/>
          <w:color w:val="000000"/>
          <w:sz w:val="32"/>
          <w:szCs w:val="32"/>
        </w:rPr>
        <w:t>元，完成预算</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仿宋_GB2312" w:eastAsia="仿宋_GB2312"/>
          <w:color w:val="000000"/>
          <w:sz w:val="32"/>
          <w:szCs w:val="32"/>
          <w:lang w:val="en-US" w:eastAsia="zh-CN"/>
        </w:rPr>
        <w:t xml:space="preserve">  4</w:t>
      </w:r>
      <w:r>
        <w:rPr>
          <w:rStyle w:val="7"/>
          <w:rFonts w:ascii="仿宋_GB2312" w:eastAsia="仿宋_GB2312"/>
          <w:bCs/>
          <w:color w:val="000000"/>
          <w:sz w:val="32"/>
          <w:szCs w:val="32"/>
        </w:rPr>
        <w:t>.</w:t>
      </w:r>
      <w:r>
        <w:rPr>
          <w:rStyle w:val="7"/>
          <w:rFonts w:hint="eastAsia" w:ascii="仿宋_GB2312" w:eastAsia="仿宋_GB2312"/>
          <w:bCs/>
          <w:color w:val="000000"/>
          <w:sz w:val="32"/>
          <w:szCs w:val="32"/>
        </w:rPr>
        <w:t>医疗卫生与计划生育（类）</w:t>
      </w:r>
      <w:r>
        <w:rPr>
          <w:rStyle w:val="7"/>
          <w:rFonts w:hint="eastAsia" w:ascii="仿宋_GB2312" w:eastAsia="仿宋_GB2312"/>
          <w:bCs/>
          <w:color w:val="000000"/>
          <w:sz w:val="32"/>
          <w:szCs w:val="32"/>
          <w:lang w:val="en-US" w:eastAsia="zh-CN"/>
        </w:rPr>
        <w:t>210</w:t>
      </w:r>
      <w:r>
        <w:rPr>
          <w:rStyle w:val="7"/>
          <w:rFonts w:hint="eastAsia" w:ascii="仿宋_GB2312" w:eastAsia="仿宋_GB2312"/>
          <w:bCs/>
          <w:color w:val="000000"/>
          <w:sz w:val="32"/>
          <w:szCs w:val="32"/>
        </w:rPr>
        <w:t>（款）</w:t>
      </w:r>
      <w:r>
        <w:rPr>
          <w:rStyle w:val="7"/>
          <w:rFonts w:hint="eastAsia" w:ascii="仿宋_GB2312" w:eastAsia="仿宋_GB2312"/>
          <w:bCs/>
          <w:color w:val="000000"/>
          <w:sz w:val="32"/>
          <w:szCs w:val="32"/>
          <w:lang w:val="en-US" w:eastAsia="zh-CN"/>
        </w:rPr>
        <w:t>0502</w:t>
      </w:r>
      <w:r>
        <w:rPr>
          <w:rStyle w:val="7"/>
          <w:rFonts w:hint="eastAsia" w:ascii="仿宋_GB2312" w:eastAsia="仿宋_GB2312"/>
          <w:bCs/>
          <w:color w:val="000000"/>
          <w:sz w:val="32"/>
          <w:szCs w:val="32"/>
        </w:rPr>
        <w:t>（项）</w:t>
      </w:r>
      <w:r>
        <w:rPr>
          <w:rStyle w:val="7"/>
          <w:rFonts w:ascii="仿宋_GB2312" w:eastAsia="仿宋_GB2312"/>
          <w:bCs/>
          <w:color w:val="000000"/>
          <w:sz w:val="32"/>
          <w:szCs w:val="32"/>
        </w:rPr>
        <w:t>:</w:t>
      </w:r>
      <w:r>
        <w:rPr>
          <w:rFonts w:ascii="仿宋_GB2312" w:eastAsia="仿宋_GB2312"/>
          <w:color w:val="000000"/>
          <w:sz w:val="32"/>
          <w:szCs w:val="32"/>
        </w:rPr>
        <w:t>2016</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29.9</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br w:type="textWrapping"/>
      </w:r>
      <w:r>
        <w:rPr>
          <w:rFonts w:ascii="仿宋_GB2312" w:eastAsia="仿宋_GB2312"/>
          <w:color w:val="000000"/>
          <w:sz w:val="32"/>
          <w:szCs w:val="32"/>
        </w:rPr>
        <w:t xml:space="preserve">     </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lang w:eastAsia="zh-CN"/>
        </w:rPr>
        <w:t>住房保障类</w:t>
      </w:r>
      <w:r>
        <w:rPr>
          <w:rStyle w:val="7"/>
          <w:rFonts w:hint="eastAsia" w:ascii="仿宋_GB2312" w:eastAsia="仿宋_GB2312"/>
          <w:bCs/>
          <w:color w:val="000000"/>
          <w:sz w:val="32"/>
          <w:szCs w:val="32"/>
        </w:rPr>
        <w:t>（类）</w:t>
      </w:r>
      <w:r>
        <w:rPr>
          <w:rStyle w:val="7"/>
          <w:rFonts w:hint="eastAsia" w:ascii="仿宋_GB2312" w:eastAsia="仿宋_GB2312"/>
          <w:bCs/>
          <w:color w:val="000000"/>
          <w:sz w:val="32"/>
          <w:szCs w:val="32"/>
          <w:lang w:val="en-US" w:eastAsia="zh-CN"/>
        </w:rPr>
        <w:t>221</w:t>
      </w:r>
      <w:r>
        <w:rPr>
          <w:rStyle w:val="7"/>
          <w:rFonts w:hint="eastAsia" w:ascii="仿宋_GB2312" w:eastAsia="仿宋_GB2312"/>
          <w:bCs/>
          <w:color w:val="000000"/>
          <w:sz w:val="32"/>
          <w:szCs w:val="32"/>
        </w:rPr>
        <w:t>（款）</w:t>
      </w:r>
      <w:r>
        <w:rPr>
          <w:rStyle w:val="7"/>
          <w:rFonts w:hint="eastAsia" w:ascii="仿宋_GB2312" w:eastAsia="仿宋_GB2312"/>
          <w:bCs/>
          <w:color w:val="000000"/>
          <w:sz w:val="32"/>
          <w:szCs w:val="32"/>
          <w:lang w:val="en-US" w:eastAsia="zh-CN"/>
        </w:rPr>
        <w:t>0201</w:t>
      </w:r>
      <w:r>
        <w:rPr>
          <w:rStyle w:val="7"/>
          <w:rFonts w:hint="eastAsia" w:ascii="仿宋_GB2312" w:eastAsia="仿宋_GB2312"/>
          <w:bCs/>
          <w:color w:val="000000"/>
          <w:sz w:val="32"/>
          <w:szCs w:val="32"/>
        </w:rPr>
        <w:t>（项）</w:t>
      </w:r>
      <w:r>
        <w:rPr>
          <w:rStyle w:val="7"/>
          <w:rFonts w:ascii="仿宋_GB2312" w:eastAsia="仿宋_GB2312"/>
          <w:bCs/>
          <w:color w:val="000000"/>
          <w:sz w:val="32"/>
          <w:szCs w:val="32"/>
        </w:rPr>
        <w:t>:</w:t>
      </w:r>
      <w:r>
        <w:rPr>
          <w:rFonts w:ascii="仿宋_GB2312" w:eastAsia="仿宋_GB2312"/>
          <w:color w:val="000000"/>
          <w:sz w:val="32"/>
          <w:szCs w:val="32"/>
        </w:rPr>
        <w:t>2016</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53.59</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lang w:eastAsia="zh-CN"/>
        </w:rPr>
        <w:t>。</w:t>
      </w:r>
    </w:p>
    <w:p>
      <w:pPr>
        <w:spacing w:line="600" w:lineRule="exact"/>
        <w:ind w:firstLine="640"/>
        <w:rPr>
          <w:rFonts w:ascii="仿宋_GB2312" w:eastAsia="仿宋_GB2312"/>
          <w:b/>
          <w:i/>
          <w:color w:val="404040"/>
          <w:sz w:val="32"/>
          <w:szCs w:val="32"/>
        </w:rPr>
      </w:pPr>
      <w:r>
        <w:rPr>
          <w:rFonts w:hint="eastAsia" w:ascii="仿宋_GB2312" w:eastAsia="仿宋_GB2312"/>
          <w:b/>
          <w:i/>
          <w:color w:val="404040"/>
          <w:sz w:val="32"/>
          <w:szCs w:val="32"/>
        </w:rPr>
        <w:t>（数据来源财决</w:t>
      </w:r>
      <w:r>
        <w:rPr>
          <w:rFonts w:ascii="仿宋_GB2312" w:eastAsia="仿宋_GB2312"/>
          <w:b/>
          <w:i/>
          <w:color w:val="404040"/>
          <w:sz w:val="32"/>
          <w:szCs w:val="32"/>
        </w:rPr>
        <w:t>08</w:t>
      </w:r>
      <w:r>
        <w:rPr>
          <w:rFonts w:hint="eastAsia" w:ascii="仿宋_GB2312" w:eastAsia="仿宋_GB2312"/>
          <w:b/>
          <w:i/>
          <w:color w:val="404040"/>
          <w:sz w:val="32"/>
          <w:szCs w:val="32"/>
        </w:rPr>
        <w:t>表，罗列全部功能分类科目，至项级。上述“预算”口径为调整预算数。增减变动原因为决算数</w:t>
      </w:r>
      <w:r>
        <w:rPr>
          <w:rFonts w:ascii="仿宋_GB2312" w:eastAsia="仿宋_GB2312"/>
          <w:b/>
          <w:i/>
          <w:color w:val="404040"/>
          <w:sz w:val="32"/>
          <w:szCs w:val="32"/>
        </w:rPr>
        <w:t>&lt;</w:t>
      </w:r>
      <w:r>
        <w:rPr>
          <w:rFonts w:hint="eastAsia" w:ascii="仿宋_GB2312" w:eastAsia="仿宋_GB2312"/>
          <w:b/>
          <w:i/>
          <w:color w:val="404040"/>
          <w:sz w:val="32"/>
          <w:szCs w:val="32"/>
        </w:rPr>
        <w:t>项级</w:t>
      </w:r>
      <w:r>
        <w:rPr>
          <w:rFonts w:ascii="仿宋_GB2312" w:eastAsia="仿宋_GB2312"/>
          <w:b/>
          <w:i/>
          <w:color w:val="404040"/>
          <w:sz w:val="32"/>
          <w:szCs w:val="32"/>
        </w:rPr>
        <w:t>&gt;</w:t>
      </w:r>
      <w:r>
        <w:rPr>
          <w:rFonts w:hint="eastAsia" w:ascii="仿宋_GB2312" w:eastAsia="仿宋_GB2312"/>
          <w:b/>
          <w:i/>
          <w:color w:val="404040"/>
          <w:sz w:val="32"/>
          <w:szCs w:val="32"/>
        </w:rPr>
        <w:t>和调整预算数</w:t>
      </w:r>
      <w:r>
        <w:rPr>
          <w:rFonts w:ascii="仿宋_GB2312" w:eastAsia="仿宋_GB2312"/>
          <w:b/>
          <w:i/>
          <w:color w:val="404040"/>
          <w:sz w:val="32"/>
          <w:szCs w:val="32"/>
        </w:rPr>
        <w:t>&lt;</w:t>
      </w:r>
      <w:r>
        <w:rPr>
          <w:rFonts w:hint="eastAsia" w:ascii="仿宋_GB2312" w:eastAsia="仿宋_GB2312"/>
          <w:b/>
          <w:i/>
          <w:color w:val="404040"/>
          <w:sz w:val="32"/>
          <w:szCs w:val="32"/>
        </w:rPr>
        <w:t>项级</w:t>
      </w:r>
      <w:r>
        <w:rPr>
          <w:rFonts w:ascii="仿宋_GB2312" w:eastAsia="仿宋_GB2312"/>
          <w:b/>
          <w:i/>
          <w:color w:val="404040"/>
          <w:sz w:val="32"/>
          <w:szCs w:val="32"/>
        </w:rPr>
        <w:t>&gt;</w:t>
      </w:r>
      <w:r>
        <w:rPr>
          <w:rFonts w:hint="eastAsia" w:ascii="仿宋_GB2312" w:eastAsia="仿宋_GB2312"/>
          <w:b/>
          <w:i/>
          <w:color w:val="404040"/>
          <w:sz w:val="32"/>
          <w:szCs w:val="32"/>
        </w:rPr>
        <w:t>比较，与预算数持平可以不写原因。）</w:t>
      </w:r>
    </w:p>
    <w:p>
      <w:pPr>
        <w:spacing w:line="600" w:lineRule="exact"/>
        <w:ind w:firstLine="640"/>
        <w:rPr>
          <w:rFonts w:ascii="黑体" w:eastAsia="黑体"/>
          <w:color w:val="000000"/>
          <w:sz w:val="32"/>
          <w:szCs w:val="32"/>
        </w:rPr>
      </w:pPr>
      <w:r>
        <w:rPr>
          <w:rFonts w:hint="eastAsia" w:ascii="黑体" w:eastAsia="黑体"/>
          <w:color w:val="000000"/>
          <w:sz w:val="32"/>
          <w:szCs w:val="32"/>
        </w:rPr>
        <w:t>六、一般公共预算财政拨款基本支出决算情况</w:t>
      </w:r>
    </w:p>
    <w:p>
      <w:pPr>
        <w:spacing w:line="600" w:lineRule="exact"/>
        <w:ind w:firstLine="645"/>
        <w:rPr>
          <w:rFonts w:ascii="仿宋_GB2312" w:eastAsia="仿宋_GB2312"/>
          <w:color w:val="000000"/>
          <w:sz w:val="32"/>
          <w:szCs w:val="32"/>
        </w:rPr>
      </w:pPr>
      <w:r>
        <w:rPr>
          <w:rFonts w:hint="eastAsia" w:ascii="仿宋_GB2312" w:eastAsia="仿宋_GB2312"/>
          <w:color w:val="000000"/>
          <w:sz w:val="32"/>
          <w:szCs w:val="32"/>
          <w:lang w:eastAsia="zh-CN"/>
        </w:rPr>
        <w:t>宣汉县新华中学</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年一般公共预算财政拨款基本支出</w:t>
      </w:r>
      <w:r>
        <w:rPr>
          <w:rFonts w:hint="eastAsia" w:ascii="仿宋_GB2312" w:eastAsia="仿宋_GB2312"/>
          <w:color w:val="000000"/>
          <w:sz w:val="32"/>
          <w:szCs w:val="32"/>
          <w:lang w:val="en-US" w:eastAsia="zh-CN"/>
        </w:rPr>
        <w:t>994.34</w:t>
      </w:r>
      <w:r>
        <w:rPr>
          <w:rFonts w:hint="eastAsia" w:ascii="仿宋_GB2312" w:eastAsia="仿宋_GB2312"/>
          <w:color w:val="000000"/>
          <w:sz w:val="32"/>
          <w:szCs w:val="32"/>
        </w:rPr>
        <w:t>万元，其中：</w:t>
      </w:r>
    </w:p>
    <w:p>
      <w:pPr>
        <w:spacing w:line="600" w:lineRule="exact"/>
        <w:ind w:firstLine="645"/>
        <w:rPr>
          <w:rFonts w:hint="eastAsia" w:ascii="仿宋_GB2312" w:eastAsia="仿宋_GB2312"/>
          <w:color w:val="000000"/>
          <w:sz w:val="32"/>
          <w:szCs w:val="32"/>
          <w:lang w:val="en-US" w:eastAsia="zh-CN"/>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857.75</w:t>
      </w:r>
      <w:r>
        <w:rPr>
          <w:rFonts w:hint="eastAsia" w:ascii="仿宋_GB2312" w:eastAsia="仿宋_GB2312"/>
          <w:color w:val="000000"/>
          <w:sz w:val="32"/>
          <w:szCs w:val="32"/>
        </w:rPr>
        <w:t>万元，主要包括：基本工资</w:t>
      </w:r>
      <w:r>
        <w:rPr>
          <w:rFonts w:hint="eastAsia" w:ascii="仿宋_GB2312" w:eastAsia="仿宋_GB2312"/>
          <w:color w:val="000000"/>
          <w:sz w:val="32"/>
          <w:szCs w:val="32"/>
          <w:lang w:val="en-US" w:eastAsia="zh-CN"/>
        </w:rPr>
        <w:t>207.35万元</w:t>
      </w:r>
      <w:r>
        <w:rPr>
          <w:rFonts w:hint="eastAsia" w:ascii="仿宋_GB2312" w:eastAsia="仿宋_GB2312"/>
          <w:color w:val="000000"/>
          <w:sz w:val="32"/>
          <w:szCs w:val="32"/>
        </w:rPr>
        <w:t>、津贴补贴</w:t>
      </w:r>
      <w:r>
        <w:rPr>
          <w:rFonts w:hint="eastAsia" w:ascii="仿宋_GB2312" w:eastAsia="仿宋_GB2312"/>
          <w:color w:val="000000"/>
          <w:sz w:val="32"/>
          <w:szCs w:val="32"/>
          <w:lang w:val="en-US" w:eastAsia="zh-CN"/>
        </w:rPr>
        <w:t>90.33万元</w:t>
      </w:r>
      <w:r>
        <w:rPr>
          <w:rFonts w:hint="eastAsia" w:ascii="仿宋_GB2312" w:eastAsia="仿宋_GB2312"/>
          <w:color w:val="000000"/>
          <w:sz w:val="32"/>
          <w:szCs w:val="32"/>
        </w:rPr>
        <w:t>、绩效工资</w:t>
      </w:r>
      <w:r>
        <w:rPr>
          <w:rFonts w:hint="eastAsia" w:ascii="仿宋_GB2312" w:eastAsia="仿宋_GB2312"/>
          <w:color w:val="000000"/>
          <w:sz w:val="32"/>
          <w:szCs w:val="32"/>
          <w:lang w:val="en-US" w:eastAsia="zh-CN"/>
        </w:rPr>
        <w:t>215.63万元</w:t>
      </w:r>
      <w:r>
        <w:rPr>
          <w:rFonts w:hint="eastAsia" w:ascii="仿宋_GB2312" w:eastAsia="仿宋_GB2312"/>
          <w:color w:val="000000"/>
          <w:sz w:val="32"/>
          <w:szCs w:val="32"/>
        </w:rPr>
        <w:t>、机关事业单位基本养老保险缴费</w:t>
      </w:r>
      <w:r>
        <w:rPr>
          <w:rFonts w:hint="eastAsia" w:ascii="仿宋_GB2312" w:eastAsia="仿宋_GB2312"/>
          <w:color w:val="000000"/>
          <w:sz w:val="32"/>
          <w:szCs w:val="32"/>
          <w:lang w:val="en-US" w:eastAsia="zh-CN"/>
        </w:rPr>
        <w:t>89.31万元</w:t>
      </w:r>
      <w:r>
        <w:rPr>
          <w:rFonts w:hint="eastAsia" w:ascii="仿宋_GB2312" w:eastAsia="仿宋_GB2312"/>
          <w:color w:val="000000"/>
          <w:sz w:val="32"/>
          <w:szCs w:val="32"/>
        </w:rPr>
        <w:t>、其他工资福利支出</w:t>
      </w:r>
      <w:r>
        <w:rPr>
          <w:rFonts w:hint="eastAsia" w:ascii="仿宋_GB2312" w:eastAsia="仿宋_GB2312"/>
          <w:color w:val="000000"/>
          <w:sz w:val="32"/>
          <w:szCs w:val="32"/>
          <w:lang w:val="en-US" w:eastAsia="zh-CN"/>
        </w:rPr>
        <w:t>2.91万元；</w:t>
      </w:r>
      <w:r>
        <w:rPr>
          <w:rFonts w:hint="eastAsia" w:ascii="仿宋_GB2312" w:eastAsia="仿宋_GB2312"/>
          <w:color w:val="000000"/>
          <w:sz w:val="32"/>
          <w:szCs w:val="32"/>
        </w:rPr>
        <w:t>生活补助</w:t>
      </w:r>
      <w:r>
        <w:rPr>
          <w:rFonts w:hint="eastAsia" w:ascii="仿宋_GB2312" w:eastAsia="仿宋_GB2312"/>
          <w:color w:val="000000"/>
          <w:sz w:val="32"/>
          <w:szCs w:val="32"/>
          <w:lang w:val="en-US" w:eastAsia="zh-CN"/>
        </w:rPr>
        <w:t>124.45万元</w:t>
      </w:r>
      <w:r>
        <w:rPr>
          <w:rFonts w:hint="eastAsia" w:ascii="仿宋_GB2312" w:eastAsia="仿宋_GB2312"/>
          <w:color w:val="000000"/>
          <w:sz w:val="32"/>
          <w:szCs w:val="32"/>
        </w:rPr>
        <w:t>、医疗费</w:t>
      </w:r>
      <w:r>
        <w:rPr>
          <w:rFonts w:hint="eastAsia" w:ascii="仿宋_GB2312" w:eastAsia="仿宋_GB2312"/>
          <w:color w:val="000000"/>
          <w:sz w:val="32"/>
          <w:szCs w:val="32"/>
          <w:lang w:val="en-US" w:eastAsia="zh-CN"/>
        </w:rPr>
        <w:t>37.65万元</w:t>
      </w:r>
      <w:r>
        <w:rPr>
          <w:rFonts w:hint="eastAsia" w:ascii="仿宋_GB2312" w:eastAsia="仿宋_GB2312"/>
          <w:color w:val="000000"/>
          <w:sz w:val="32"/>
          <w:szCs w:val="32"/>
        </w:rPr>
        <w:t>、奖励金、住房公积金</w:t>
      </w:r>
      <w:r>
        <w:rPr>
          <w:rFonts w:hint="eastAsia" w:ascii="仿宋_GB2312" w:eastAsia="仿宋_GB2312"/>
          <w:color w:val="000000"/>
          <w:sz w:val="32"/>
          <w:szCs w:val="32"/>
          <w:lang w:val="en-US" w:eastAsia="zh-CN"/>
        </w:rPr>
        <w:t>53.59万元，安葬抚恤、残疾人生活补助等29.13万元</w:t>
      </w:r>
    </w:p>
    <w:p>
      <w:pPr>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公用经费</w:t>
      </w:r>
      <w:r>
        <w:rPr>
          <w:rFonts w:hint="eastAsia" w:ascii="仿宋_GB2312" w:eastAsia="仿宋_GB2312"/>
          <w:color w:val="000000"/>
          <w:sz w:val="32"/>
          <w:szCs w:val="32"/>
          <w:lang w:val="en-US" w:eastAsia="zh-CN"/>
        </w:rPr>
        <w:t>136.59</w:t>
      </w:r>
      <w:r>
        <w:rPr>
          <w:rFonts w:hint="eastAsia" w:ascii="仿宋_GB2312" w:eastAsia="仿宋_GB2312"/>
          <w:color w:val="000000"/>
          <w:sz w:val="32"/>
          <w:szCs w:val="32"/>
        </w:rPr>
        <w:t>万元，主要包括：办公费</w:t>
      </w:r>
      <w:r>
        <w:rPr>
          <w:rFonts w:hint="eastAsia" w:ascii="仿宋_GB2312" w:eastAsia="仿宋_GB2312"/>
          <w:color w:val="000000"/>
          <w:sz w:val="32"/>
          <w:szCs w:val="32"/>
          <w:lang w:val="en-US" w:eastAsia="zh-CN"/>
        </w:rPr>
        <w:t>32.23万元</w:t>
      </w:r>
      <w:r>
        <w:rPr>
          <w:rFonts w:hint="eastAsia" w:ascii="仿宋_GB2312" w:eastAsia="仿宋_GB2312"/>
          <w:color w:val="000000"/>
          <w:sz w:val="32"/>
          <w:szCs w:val="32"/>
        </w:rPr>
        <w:t>、印刷费</w:t>
      </w:r>
      <w:r>
        <w:rPr>
          <w:rFonts w:hint="eastAsia" w:ascii="仿宋_GB2312" w:eastAsia="仿宋_GB2312"/>
          <w:color w:val="000000"/>
          <w:sz w:val="32"/>
          <w:szCs w:val="32"/>
          <w:lang w:val="en-US" w:eastAsia="zh-CN"/>
        </w:rPr>
        <w:t>4.33万元</w:t>
      </w:r>
      <w:r>
        <w:rPr>
          <w:rFonts w:hint="eastAsia" w:ascii="仿宋_GB2312" w:eastAsia="仿宋_GB2312"/>
          <w:color w:val="000000"/>
          <w:sz w:val="32"/>
          <w:szCs w:val="32"/>
        </w:rPr>
        <w:t>、咨询费</w:t>
      </w:r>
      <w:r>
        <w:rPr>
          <w:rFonts w:hint="eastAsia" w:ascii="仿宋_GB2312" w:eastAsia="仿宋_GB2312"/>
          <w:color w:val="000000"/>
          <w:sz w:val="32"/>
          <w:szCs w:val="32"/>
          <w:lang w:val="en-US" w:eastAsia="zh-CN"/>
        </w:rPr>
        <w:t>1.15万元</w:t>
      </w:r>
      <w:r>
        <w:rPr>
          <w:rFonts w:hint="eastAsia" w:ascii="仿宋_GB2312" w:eastAsia="仿宋_GB2312"/>
          <w:color w:val="000000"/>
          <w:sz w:val="32"/>
          <w:szCs w:val="32"/>
        </w:rPr>
        <w:t>、水费</w:t>
      </w:r>
      <w:r>
        <w:rPr>
          <w:rFonts w:hint="eastAsia" w:ascii="仿宋_GB2312" w:eastAsia="仿宋_GB2312"/>
          <w:color w:val="000000"/>
          <w:sz w:val="32"/>
          <w:szCs w:val="32"/>
          <w:lang w:val="en-US" w:eastAsia="zh-CN"/>
        </w:rPr>
        <w:t>0.86万元</w:t>
      </w:r>
      <w:r>
        <w:rPr>
          <w:rFonts w:hint="eastAsia" w:ascii="仿宋_GB2312" w:eastAsia="仿宋_GB2312"/>
          <w:color w:val="000000"/>
          <w:sz w:val="32"/>
          <w:szCs w:val="32"/>
        </w:rPr>
        <w:t>、电费</w:t>
      </w:r>
      <w:r>
        <w:rPr>
          <w:rFonts w:hint="eastAsia" w:ascii="仿宋_GB2312" w:eastAsia="仿宋_GB2312"/>
          <w:color w:val="000000"/>
          <w:sz w:val="32"/>
          <w:szCs w:val="32"/>
          <w:lang w:val="en-US" w:eastAsia="zh-CN"/>
        </w:rPr>
        <w:t>6万元</w:t>
      </w:r>
      <w:r>
        <w:rPr>
          <w:rFonts w:hint="eastAsia" w:ascii="仿宋_GB2312" w:eastAsia="仿宋_GB2312"/>
          <w:color w:val="000000"/>
          <w:sz w:val="32"/>
          <w:szCs w:val="32"/>
        </w:rPr>
        <w:t>、邮电费</w:t>
      </w:r>
      <w:r>
        <w:rPr>
          <w:rFonts w:hint="eastAsia" w:ascii="仿宋_GB2312" w:eastAsia="仿宋_GB2312"/>
          <w:color w:val="000000"/>
          <w:sz w:val="32"/>
          <w:szCs w:val="32"/>
          <w:lang w:val="en-US" w:eastAsia="zh-CN"/>
        </w:rPr>
        <w:t>1.37万元</w:t>
      </w:r>
      <w:r>
        <w:rPr>
          <w:rFonts w:hint="eastAsia" w:ascii="仿宋_GB2312" w:eastAsia="仿宋_GB2312"/>
          <w:color w:val="000000"/>
          <w:sz w:val="32"/>
          <w:szCs w:val="32"/>
        </w:rPr>
        <w:t>、物业管理费</w:t>
      </w:r>
      <w:r>
        <w:rPr>
          <w:rFonts w:hint="eastAsia" w:ascii="仿宋_GB2312" w:eastAsia="仿宋_GB2312"/>
          <w:color w:val="000000"/>
          <w:sz w:val="32"/>
          <w:szCs w:val="32"/>
          <w:lang w:val="en-US" w:eastAsia="zh-CN"/>
        </w:rPr>
        <w:t>11.02万元</w:t>
      </w:r>
      <w:r>
        <w:rPr>
          <w:rFonts w:hint="eastAsia" w:ascii="仿宋_GB2312" w:eastAsia="仿宋_GB2312"/>
          <w:color w:val="000000"/>
          <w:sz w:val="32"/>
          <w:szCs w:val="32"/>
        </w:rPr>
        <w:t>、差旅费</w:t>
      </w:r>
      <w:r>
        <w:rPr>
          <w:rFonts w:hint="eastAsia" w:ascii="仿宋_GB2312" w:eastAsia="仿宋_GB2312"/>
          <w:color w:val="000000"/>
          <w:sz w:val="32"/>
          <w:szCs w:val="32"/>
          <w:lang w:val="en-US" w:eastAsia="zh-CN"/>
        </w:rPr>
        <w:t>7.02万元</w:t>
      </w:r>
      <w:r>
        <w:rPr>
          <w:rFonts w:hint="eastAsia" w:ascii="仿宋_GB2312" w:eastAsia="仿宋_GB2312"/>
          <w:color w:val="000000"/>
          <w:sz w:val="32"/>
          <w:szCs w:val="32"/>
        </w:rPr>
        <w:t>、维修（护）费</w:t>
      </w:r>
      <w:r>
        <w:rPr>
          <w:rFonts w:hint="eastAsia" w:ascii="仿宋_GB2312" w:eastAsia="仿宋_GB2312"/>
          <w:color w:val="000000"/>
          <w:sz w:val="32"/>
          <w:szCs w:val="32"/>
          <w:lang w:val="en-US" w:eastAsia="zh-CN"/>
        </w:rPr>
        <w:t>56.07万元</w:t>
      </w:r>
      <w:r>
        <w:rPr>
          <w:rFonts w:hint="eastAsia" w:ascii="仿宋_GB2312" w:eastAsia="仿宋_GB2312"/>
          <w:color w:val="000000"/>
          <w:sz w:val="32"/>
          <w:szCs w:val="32"/>
        </w:rPr>
        <w:t>、会议费</w:t>
      </w:r>
      <w:r>
        <w:rPr>
          <w:rFonts w:hint="eastAsia" w:ascii="仿宋_GB2312" w:eastAsia="仿宋_GB2312"/>
          <w:color w:val="000000"/>
          <w:sz w:val="32"/>
          <w:szCs w:val="32"/>
          <w:lang w:val="en-US" w:eastAsia="zh-CN"/>
        </w:rPr>
        <w:t>3.24万元</w:t>
      </w:r>
      <w:r>
        <w:rPr>
          <w:rFonts w:hint="eastAsia" w:ascii="仿宋_GB2312" w:eastAsia="仿宋_GB2312"/>
          <w:color w:val="000000"/>
          <w:sz w:val="32"/>
          <w:szCs w:val="32"/>
        </w:rPr>
        <w:t>、培训费</w:t>
      </w:r>
      <w:r>
        <w:rPr>
          <w:rFonts w:hint="eastAsia" w:ascii="仿宋_GB2312" w:eastAsia="仿宋_GB2312"/>
          <w:color w:val="000000"/>
          <w:sz w:val="32"/>
          <w:szCs w:val="32"/>
          <w:lang w:val="en-US" w:eastAsia="zh-CN"/>
        </w:rPr>
        <w:t>7.12万元</w:t>
      </w:r>
      <w:r>
        <w:rPr>
          <w:rFonts w:hint="eastAsia" w:ascii="仿宋_GB2312" w:eastAsia="仿宋_GB2312"/>
          <w:color w:val="000000"/>
          <w:sz w:val="32"/>
          <w:szCs w:val="32"/>
        </w:rPr>
        <w:t>、公务接待费</w:t>
      </w:r>
      <w:r>
        <w:rPr>
          <w:rFonts w:hint="eastAsia" w:ascii="仿宋_GB2312" w:eastAsia="仿宋_GB2312"/>
          <w:color w:val="000000"/>
          <w:sz w:val="32"/>
          <w:szCs w:val="32"/>
          <w:lang w:val="en-US" w:eastAsia="zh-CN"/>
        </w:rPr>
        <w:t>1.78万元</w:t>
      </w:r>
      <w:r>
        <w:rPr>
          <w:rFonts w:hint="eastAsia" w:ascii="仿宋_GB2312" w:eastAsia="仿宋_GB2312"/>
          <w:color w:val="000000"/>
          <w:sz w:val="32"/>
          <w:szCs w:val="32"/>
        </w:rPr>
        <w:t>、工会经费</w:t>
      </w:r>
      <w:r>
        <w:rPr>
          <w:rFonts w:hint="eastAsia" w:ascii="仿宋_GB2312" w:eastAsia="仿宋_GB2312"/>
          <w:color w:val="000000"/>
          <w:sz w:val="32"/>
          <w:szCs w:val="32"/>
          <w:lang w:val="en-US" w:eastAsia="zh-CN"/>
        </w:rPr>
        <w:t>4.38万元</w:t>
      </w:r>
      <w:r>
        <w:rPr>
          <w:rFonts w:hint="eastAsia" w:ascii="仿宋_GB2312" w:eastAsia="仿宋_GB2312"/>
          <w:color w:val="000000"/>
          <w:sz w:val="32"/>
          <w:szCs w:val="32"/>
        </w:rPr>
        <w:t>。</w:t>
      </w:r>
    </w:p>
    <w:p>
      <w:pPr>
        <w:spacing w:line="600" w:lineRule="exact"/>
        <w:ind w:firstLine="640"/>
        <w:rPr>
          <w:rFonts w:ascii="仿宋_GB2312" w:eastAsia="仿宋_GB2312"/>
          <w:b/>
          <w:i/>
          <w:color w:val="404040"/>
          <w:sz w:val="32"/>
          <w:szCs w:val="32"/>
        </w:rPr>
      </w:pPr>
      <w:r>
        <w:rPr>
          <w:rFonts w:hint="eastAsia" w:ascii="仿宋_GB2312" w:eastAsia="仿宋_GB2312"/>
          <w:b/>
          <w:i/>
          <w:color w:val="404040"/>
          <w:sz w:val="32"/>
          <w:szCs w:val="32"/>
        </w:rPr>
        <w:t>（数据来源数据来源财决</w:t>
      </w:r>
      <w:r>
        <w:rPr>
          <w:rFonts w:ascii="仿宋_GB2312" w:eastAsia="仿宋_GB2312"/>
          <w:b/>
          <w:i/>
          <w:color w:val="404040"/>
          <w:sz w:val="32"/>
          <w:szCs w:val="32"/>
        </w:rPr>
        <w:t>08-1</w:t>
      </w:r>
      <w:r>
        <w:rPr>
          <w:rFonts w:hint="eastAsia" w:ascii="仿宋_GB2312" w:eastAsia="仿宋_GB2312"/>
          <w:b/>
          <w:i/>
          <w:color w:val="404040"/>
          <w:sz w:val="32"/>
          <w:szCs w:val="32"/>
        </w:rPr>
        <w:t>表，罗列全部经济分类科目）</w:t>
      </w:r>
    </w:p>
    <w:p>
      <w:pPr>
        <w:spacing w:line="600" w:lineRule="exact"/>
        <w:ind w:firstLine="640"/>
        <w:rPr>
          <w:rFonts w:ascii="黑体" w:eastAsia="黑体"/>
          <w:color w:val="000000"/>
          <w:sz w:val="32"/>
          <w:szCs w:val="32"/>
        </w:rPr>
      </w:pPr>
      <w:r>
        <w:rPr>
          <w:rFonts w:hint="eastAsia" w:ascii="黑体" w:eastAsia="黑体"/>
          <w:color w:val="000000"/>
          <w:sz w:val="32"/>
          <w:szCs w:val="32"/>
        </w:rPr>
        <w:t>七、“三公”经费财政拨款支出决算情况</w:t>
      </w: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（一）“三公”经费财政拨款支出决算总体情况说明</w:t>
      </w:r>
    </w:p>
    <w:p>
      <w:pPr>
        <w:spacing w:line="600" w:lineRule="exact"/>
        <w:ind w:firstLine="640"/>
        <w:rPr>
          <w:rFonts w:ascii="仿宋_GB2312" w:eastAsia="仿宋_GB2312"/>
          <w:color w:val="333333"/>
          <w:sz w:val="32"/>
          <w:szCs w:val="32"/>
        </w:rPr>
      </w:pPr>
      <w:r>
        <w:rPr>
          <w:rFonts w:hint="eastAsia" w:ascii="仿宋_GB2312" w:eastAsia="仿宋_GB2312"/>
          <w:color w:val="333333"/>
          <w:sz w:val="32"/>
          <w:szCs w:val="32"/>
          <w:lang w:eastAsia="zh-CN"/>
        </w:rPr>
        <w:t>宣汉县新华中学</w:t>
      </w:r>
      <w:r>
        <w:rPr>
          <w:rFonts w:ascii="仿宋_GB2312" w:eastAsia="仿宋_GB2312"/>
          <w:color w:val="333333"/>
          <w:sz w:val="32"/>
          <w:szCs w:val="32"/>
        </w:rPr>
        <w:t>201</w:t>
      </w:r>
      <w:r>
        <w:rPr>
          <w:rFonts w:hint="eastAsia" w:ascii="仿宋_GB2312" w:eastAsia="仿宋_GB2312"/>
          <w:color w:val="333333"/>
          <w:sz w:val="32"/>
          <w:szCs w:val="32"/>
          <w:lang w:val="en-US" w:eastAsia="zh-CN"/>
        </w:rPr>
        <w:t>7</w:t>
      </w:r>
      <w:r>
        <w:rPr>
          <w:rFonts w:hint="eastAsia" w:ascii="仿宋_GB2312" w:eastAsia="仿宋_GB2312"/>
          <w:color w:val="333333"/>
          <w:sz w:val="32"/>
          <w:szCs w:val="32"/>
        </w:rPr>
        <w:t>年度“三公”经费财政拨款支出决算为</w:t>
      </w:r>
      <w:r>
        <w:rPr>
          <w:rFonts w:hint="eastAsia" w:ascii="仿宋_GB2312" w:eastAsia="仿宋_GB2312"/>
          <w:color w:val="333333"/>
          <w:sz w:val="32"/>
          <w:szCs w:val="32"/>
          <w:lang w:val="en-US" w:eastAsia="zh-CN"/>
        </w:rPr>
        <w:t>1.78</w:t>
      </w:r>
      <w:r>
        <w:rPr>
          <w:rFonts w:hint="eastAsia" w:ascii="仿宋_GB2312" w:eastAsia="仿宋_GB2312"/>
          <w:color w:val="333333"/>
          <w:sz w:val="32"/>
          <w:szCs w:val="32"/>
        </w:rPr>
        <w:t>万元，完成预算</w:t>
      </w:r>
      <w:r>
        <w:rPr>
          <w:rFonts w:hint="eastAsia" w:ascii="仿宋_GB2312" w:eastAsia="仿宋_GB2312"/>
          <w:color w:val="333333"/>
          <w:sz w:val="32"/>
          <w:szCs w:val="32"/>
          <w:lang w:val="en-US" w:eastAsia="zh-CN"/>
        </w:rPr>
        <w:t>100</w:t>
      </w:r>
      <w:r>
        <w:rPr>
          <w:rFonts w:ascii="仿宋_GB2312" w:eastAsia="仿宋_GB2312"/>
          <w:color w:val="333333"/>
          <w:sz w:val="32"/>
          <w:szCs w:val="32"/>
        </w:rPr>
        <w:t>%</w:t>
      </w:r>
      <w:r>
        <w:rPr>
          <w:rFonts w:hint="eastAsia" w:ascii="仿宋_GB2312" w:eastAsia="仿宋_GB2312"/>
          <w:color w:val="333333"/>
          <w:sz w:val="32"/>
          <w:szCs w:val="32"/>
        </w:rPr>
        <w:t>，其中：因公出国（境）费支出决算为</w:t>
      </w:r>
      <w:r>
        <w:rPr>
          <w:rFonts w:hint="eastAsia" w:ascii="仿宋_GB2312" w:eastAsia="仿宋_GB2312"/>
          <w:color w:val="333333"/>
          <w:sz w:val="32"/>
          <w:szCs w:val="32"/>
          <w:lang w:val="en-US" w:eastAsia="zh-CN"/>
        </w:rPr>
        <w:t>0</w:t>
      </w:r>
      <w:r>
        <w:rPr>
          <w:rFonts w:hint="eastAsia" w:ascii="仿宋_GB2312" w:eastAsia="仿宋_GB2312"/>
          <w:color w:val="333333"/>
          <w:sz w:val="32"/>
          <w:szCs w:val="32"/>
        </w:rPr>
        <w:t>万元，完成预算</w:t>
      </w:r>
      <w:r>
        <w:rPr>
          <w:rFonts w:hint="eastAsia" w:ascii="仿宋_GB2312" w:eastAsia="仿宋_GB2312"/>
          <w:color w:val="333333"/>
          <w:sz w:val="32"/>
          <w:szCs w:val="32"/>
          <w:lang w:val="en-US" w:eastAsia="zh-CN"/>
        </w:rPr>
        <w:t>0</w:t>
      </w:r>
      <w:r>
        <w:rPr>
          <w:rFonts w:ascii="仿宋_GB2312" w:eastAsia="仿宋_GB2312"/>
          <w:color w:val="333333"/>
          <w:sz w:val="32"/>
          <w:szCs w:val="32"/>
        </w:rPr>
        <w:t>%</w:t>
      </w:r>
      <w:r>
        <w:rPr>
          <w:rFonts w:hint="eastAsia" w:ascii="仿宋_GB2312" w:eastAsia="仿宋_GB2312"/>
          <w:color w:val="333333"/>
          <w:sz w:val="32"/>
          <w:szCs w:val="32"/>
        </w:rPr>
        <w:t>；公务用车购置及运行维护费支出决算为</w:t>
      </w:r>
      <w:r>
        <w:rPr>
          <w:rFonts w:hint="eastAsia" w:ascii="仿宋_GB2312" w:eastAsia="仿宋_GB2312"/>
          <w:color w:val="333333"/>
          <w:sz w:val="32"/>
          <w:szCs w:val="32"/>
          <w:lang w:val="en-US" w:eastAsia="zh-CN"/>
        </w:rPr>
        <w:t>0</w:t>
      </w:r>
      <w:r>
        <w:rPr>
          <w:rFonts w:hint="eastAsia" w:ascii="仿宋_GB2312" w:eastAsia="仿宋_GB2312"/>
          <w:color w:val="333333"/>
          <w:sz w:val="32"/>
          <w:szCs w:val="32"/>
        </w:rPr>
        <w:t>万元，完成预算</w:t>
      </w:r>
      <w:r>
        <w:rPr>
          <w:rFonts w:hint="eastAsia" w:ascii="仿宋_GB2312" w:eastAsia="仿宋_GB2312"/>
          <w:color w:val="333333"/>
          <w:sz w:val="32"/>
          <w:szCs w:val="32"/>
          <w:lang w:val="en-US" w:eastAsia="zh-CN"/>
        </w:rPr>
        <w:t>0</w:t>
      </w:r>
      <w:r>
        <w:rPr>
          <w:rFonts w:ascii="仿宋_GB2312" w:eastAsia="仿宋_GB2312"/>
          <w:color w:val="333333"/>
          <w:sz w:val="32"/>
          <w:szCs w:val="32"/>
        </w:rPr>
        <w:t>%</w:t>
      </w:r>
      <w:r>
        <w:rPr>
          <w:rFonts w:hint="eastAsia" w:ascii="仿宋_GB2312" w:eastAsia="仿宋_GB2312"/>
          <w:color w:val="333333"/>
          <w:sz w:val="32"/>
          <w:szCs w:val="32"/>
        </w:rPr>
        <w:t>；公务接待费支出决算为</w:t>
      </w:r>
      <w:r>
        <w:rPr>
          <w:rFonts w:hint="eastAsia" w:ascii="仿宋_GB2312" w:eastAsia="仿宋_GB2312"/>
          <w:color w:val="333333"/>
          <w:sz w:val="32"/>
          <w:szCs w:val="32"/>
          <w:lang w:val="en-US" w:eastAsia="zh-CN"/>
        </w:rPr>
        <w:t>1.78</w:t>
      </w:r>
      <w:r>
        <w:rPr>
          <w:rFonts w:hint="eastAsia" w:ascii="仿宋_GB2312" w:eastAsia="仿宋_GB2312"/>
          <w:color w:val="333333"/>
          <w:sz w:val="32"/>
          <w:szCs w:val="32"/>
        </w:rPr>
        <w:t>万元，完成预算</w:t>
      </w:r>
      <w:r>
        <w:rPr>
          <w:rFonts w:hint="eastAsia" w:ascii="仿宋_GB2312" w:eastAsia="仿宋_GB2312"/>
          <w:color w:val="333333"/>
          <w:sz w:val="32"/>
          <w:szCs w:val="32"/>
          <w:lang w:val="en-US" w:eastAsia="zh-CN"/>
        </w:rPr>
        <w:t>100</w:t>
      </w:r>
      <w:r>
        <w:rPr>
          <w:rFonts w:ascii="仿宋_GB2312" w:eastAsia="仿宋_GB2312"/>
          <w:color w:val="333333"/>
          <w:sz w:val="32"/>
          <w:szCs w:val="32"/>
        </w:rPr>
        <w:t>%</w:t>
      </w:r>
      <w:r>
        <w:rPr>
          <w:rFonts w:hint="eastAsia" w:ascii="仿宋_GB2312" w:eastAsia="仿宋_GB2312"/>
          <w:color w:val="333333"/>
          <w:sz w:val="32"/>
          <w:szCs w:val="32"/>
        </w:rPr>
        <w:t>。</w:t>
      </w:r>
    </w:p>
    <w:p>
      <w:pPr>
        <w:spacing w:line="600" w:lineRule="exact"/>
        <w:ind w:firstLine="640"/>
        <w:rPr>
          <w:rFonts w:ascii="仿宋_GB2312" w:eastAsia="仿宋_GB2312"/>
          <w:b/>
          <w:i/>
          <w:color w:val="404040"/>
          <w:sz w:val="32"/>
          <w:szCs w:val="32"/>
        </w:rPr>
      </w:pPr>
      <w:r>
        <w:rPr>
          <w:rFonts w:hint="eastAsia" w:ascii="仿宋_GB2312" w:eastAsia="仿宋_GB2312"/>
          <w:b/>
          <w:i/>
          <w:color w:val="404040"/>
          <w:sz w:val="32"/>
          <w:szCs w:val="32"/>
        </w:rPr>
        <w:t>（上述“预算”口径为调整预算数。）</w:t>
      </w:r>
    </w:p>
    <w:p>
      <w:pPr>
        <w:spacing w:line="600" w:lineRule="exact"/>
        <w:ind w:firstLine="640"/>
        <w:rPr>
          <w:rFonts w:ascii="仿宋_GB2312" w:eastAsia="仿宋_GB2312"/>
          <w:color w:val="333333"/>
          <w:sz w:val="32"/>
          <w:szCs w:val="32"/>
        </w:rPr>
      </w:pPr>
      <w:r>
        <w:rPr>
          <w:rFonts w:ascii="仿宋_GB2312" w:eastAsia="仿宋_GB2312"/>
          <w:color w:val="333333"/>
          <w:sz w:val="32"/>
          <w:szCs w:val="32"/>
        </w:rPr>
        <w:t>201</w:t>
      </w:r>
      <w:r>
        <w:rPr>
          <w:rFonts w:hint="eastAsia" w:ascii="仿宋_GB2312" w:eastAsia="仿宋_GB2312"/>
          <w:color w:val="333333"/>
          <w:sz w:val="32"/>
          <w:szCs w:val="32"/>
          <w:lang w:val="en-US" w:eastAsia="zh-CN"/>
        </w:rPr>
        <w:t>7</w:t>
      </w:r>
      <w:r>
        <w:rPr>
          <w:rFonts w:hint="eastAsia" w:ascii="仿宋_GB2312" w:eastAsia="仿宋_GB2312"/>
          <w:color w:val="333333"/>
          <w:sz w:val="32"/>
          <w:szCs w:val="32"/>
        </w:rPr>
        <w:t>年度“三公”经费财政拨款支出决算数比</w:t>
      </w:r>
      <w:r>
        <w:rPr>
          <w:rFonts w:ascii="仿宋_GB2312" w:eastAsia="仿宋_GB2312"/>
          <w:color w:val="333333"/>
          <w:sz w:val="32"/>
          <w:szCs w:val="32"/>
        </w:rPr>
        <w:t>2015</w:t>
      </w:r>
      <w:r>
        <w:rPr>
          <w:rFonts w:hint="eastAsia" w:ascii="仿宋_GB2312" w:eastAsia="仿宋_GB2312"/>
          <w:color w:val="333333"/>
          <w:sz w:val="32"/>
          <w:szCs w:val="32"/>
        </w:rPr>
        <w:t>年</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0.08</w:t>
      </w:r>
      <w:r>
        <w:rPr>
          <w:rFonts w:hint="eastAsia" w:ascii="仿宋_GB2312" w:eastAsia="仿宋_GB2312"/>
          <w:color w:val="333333"/>
          <w:sz w:val="32"/>
          <w:szCs w:val="32"/>
        </w:rPr>
        <w:t>万元，</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4.3</w:t>
      </w:r>
      <w:r>
        <w:rPr>
          <w:rFonts w:ascii="仿宋_GB2312" w:eastAsia="仿宋_GB2312"/>
          <w:color w:val="000000"/>
          <w:sz w:val="32"/>
          <w:szCs w:val="32"/>
        </w:rPr>
        <w:t>%</w:t>
      </w:r>
      <w:r>
        <w:rPr>
          <w:rFonts w:hint="eastAsia" w:ascii="仿宋_GB2312" w:eastAsia="仿宋_GB2312"/>
          <w:color w:val="000000"/>
          <w:sz w:val="32"/>
          <w:szCs w:val="32"/>
        </w:rPr>
        <w:t>，其中：</w:t>
      </w:r>
      <w:r>
        <w:rPr>
          <w:rFonts w:hint="eastAsia" w:ascii="仿宋_GB2312" w:eastAsia="仿宋_GB2312"/>
          <w:color w:val="333333"/>
          <w:sz w:val="32"/>
          <w:szCs w:val="32"/>
        </w:rPr>
        <w:t>因公出国（境）费支出决算</w:t>
      </w:r>
      <w:r>
        <w:rPr>
          <w:rFonts w:hint="eastAsia" w:ascii="仿宋_GB2312" w:eastAsia="仿宋_GB2312"/>
          <w:color w:val="000000"/>
          <w:sz w:val="32"/>
          <w:szCs w:val="32"/>
        </w:rPr>
        <w:t>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333333"/>
          <w:sz w:val="32"/>
          <w:szCs w:val="32"/>
        </w:rPr>
        <w:t>万元，</w:t>
      </w:r>
      <w:r>
        <w:rPr>
          <w:rFonts w:hint="eastAsia" w:ascii="仿宋_GB2312" w:eastAsia="仿宋_GB2312"/>
          <w:color w:val="000000"/>
          <w:sz w:val="32"/>
          <w:szCs w:val="32"/>
        </w:rPr>
        <w:t>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333333"/>
          <w:sz w:val="32"/>
          <w:szCs w:val="32"/>
        </w:rPr>
        <w:t>；公务用车购置及运行维护费支出决算</w:t>
      </w:r>
      <w:r>
        <w:rPr>
          <w:rFonts w:hint="eastAsia" w:ascii="仿宋_GB2312" w:eastAsia="仿宋_GB2312"/>
          <w:color w:val="000000"/>
          <w:sz w:val="32"/>
          <w:szCs w:val="32"/>
        </w:rPr>
        <w:t>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333333"/>
          <w:sz w:val="32"/>
          <w:szCs w:val="32"/>
        </w:rPr>
        <w:t>万元，</w:t>
      </w:r>
      <w:r>
        <w:rPr>
          <w:rFonts w:hint="eastAsia" w:ascii="仿宋_GB2312" w:eastAsia="仿宋_GB2312"/>
          <w:color w:val="000000"/>
          <w:sz w:val="32"/>
          <w:szCs w:val="32"/>
        </w:rPr>
        <w:t>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333333"/>
          <w:sz w:val="32"/>
          <w:szCs w:val="32"/>
        </w:rPr>
        <w:t>；公务接待费支出决算</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0.08</w:t>
      </w:r>
      <w:r>
        <w:rPr>
          <w:rFonts w:hint="eastAsia" w:ascii="仿宋_GB2312" w:eastAsia="仿宋_GB2312"/>
          <w:color w:val="333333"/>
          <w:sz w:val="32"/>
          <w:szCs w:val="32"/>
        </w:rPr>
        <w:t>万元，</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4.3</w:t>
      </w:r>
      <w:r>
        <w:rPr>
          <w:rFonts w:ascii="仿宋_GB2312" w:eastAsia="仿宋_GB2312"/>
          <w:color w:val="000000"/>
          <w:sz w:val="32"/>
          <w:szCs w:val="32"/>
        </w:rPr>
        <w:t>%</w:t>
      </w:r>
      <w:r>
        <w:rPr>
          <w:rFonts w:hint="eastAsia" w:ascii="仿宋_GB2312" w:eastAsia="仿宋_GB2312"/>
          <w:color w:val="333333"/>
          <w:sz w:val="32"/>
          <w:szCs w:val="32"/>
        </w:rPr>
        <w:t>。增减变动的主要原因</w:t>
      </w:r>
      <w:r>
        <w:rPr>
          <w:rFonts w:hint="eastAsia" w:ascii="仿宋_GB2312" w:eastAsia="仿宋_GB2312"/>
          <w:color w:val="333333"/>
          <w:sz w:val="32"/>
          <w:szCs w:val="32"/>
          <w:lang w:val="en-US" w:eastAsia="zh-CN"/>
        </w:rPr>
        <w:t>:严格控制了接待次数和接待标准。</w:t>
      </w:r>
    </w:p>
    <w:p>
      <w:pPr>
        <w:spacing w:line="600" w:lineRule="exact"/>
        <w:ind w:firstLine="640"/>
        <w:rPr>
          <w:rFonts w:ascii="仿宋_GB2312" w:eastAsia="仿宋_GB2312"/>
          <w:b/>
          <w:color w:val="333333"/>
          <w:sz w:val="32"/>
          <w:szCs w:val="32"/>
        </w:rPr>
      </w:pPr>
      <w:r>
        <w:rPr>
          <w:rFonts w:hint="eastAsia" w:ascii="仿宋_GB2312" w:eastAsia="仿宋_GB2312"/>
          <w:b/>
          <w:color w:val="333333"/>
          <w:sz w:val="32"/>
          <w:szCs w:val="32"/>
        </w:rPr>
        <w:t>（二）“三公”经费财政拨款支出决算具体情况说明</w:t>
      </w:r>
    </w:p>
    <w:p>
      <w:pPr>
        <w:spacing w:line="600" w:lineRule="exact"/>
        <w:ind w:firstLine="640"/>
        <w:rPr>
          <w:rFonts w:ascii="仿宋_GB2312" w:eastAsia="仿宋_GB2312"/>
          <w:color w:val="333333"/>
          <w:sz w:val="32"/>
          <w:szCs w:val="32"/>
        </w:rPr>
      </w:pPr>
      <w:r>
        <w:rPr>
          <w:rFonts w:ascii="仿宋_GB2312" w:eastAsia="仿宋_GB2312"/>
          <w:color w:val="333333"/>
          <w:sz w:val="32"/>
          <w:szCs w:val="32"/>
        </w:rPr>
        <w:t>201</w:t>
      </w:r>
      <w:r>
        <w:rPr>
          <w:rFonts w:hint="eastAsia" w:ascii="仿宋_GB2312" w:eastAsia="仿宋_GB2312"/>
          <w:color w:val="333333"/>
          <w:sz w:val="32"/>
          <w:szCs w:val="32"/>
          <w:lang w:val="en-US" w:eastAsia="zh-CN"/>
        </w:rPr>
        <w:t>7</w:t>
      </w:r>
      <w:r>
        <w:rPr>
          <w:rFonts w:hint="eastAsia" w:ascii="仿宋_GB2312" w:eastAsia="仿宋_GB2312"/>
          <w:color w:val="333333"/>
          <w:sz w:val="32"/>
          <w:szCs w:val="32"/>
        </w:rPr>
        <w:t>年度“三公”经费财政拨款支出决算中，因公出国（境）费支出决算</w:t>
      </w:r>
      <w:r>
        <w:rPr>
          <w:rFonts w:hint="eastAsia" w:ascii="仿宋_GB2312" w:eastAsia="仿宋_GB2312"/>
          <w:color w:val="333333"/>
          <w:sz w:val="32"/>
          <w:szCs w:val="32"/>
          <w:lang w:val="en-US" w:eastAsia="zh-CN"/>
        </w:rPr>
        <w:t>0</w:t>
      </w:r>
      <w:r>
        <w:rPr>
          <w:rFonts w:hint="eastAsia" w:ascii="仿宋_GB2312" w:eastAsia="仿宋_GB2312"/>
          <w:color w:val="333333"/>
          <w:sz w:val="32"/>
          <w:szCs w:val="32"/>
        </w:rPr>
        <w:t>万元，</w:t>
      </w:r>
      <w:r>
        <w:rPr>
          <w:rFonts w:hint="eastAsia" w:ascii="仿宋_GB2312" w:eastAsia="仿宋_GB2312"/>
          <w:color w:val="000000"/>
          <w:sz w:val="32"/>
          <w:szCs w:val="32"/>
        </w:rPr>
        <w:t>占</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333333"/>
          <w:sz w:val="32"/>
          <w:szCs w:val="32"/>
        </w:rPr>
        <w:t>；公务用车购置及运行维护费支出决算</w:t>
      </w:r>
      <w:r>
        <w:rPr>
          <w:rFonts w:hint="eastAsia" w:ascii="仿宋_GB2312" w:eastAsia="仿宋_GB2312"/>
          <w:color w:val="333333"/>
          <w:sz w:val="32"/>
          <w:szCs w:val="32"/>
          <w:lang w:val="en-US" w:eastAsia="zh-CN"/>
        </w:rPr>
        <w:t>0</w:t>
      </w:r>
      <w:r>
        <w:rPr>
          <w:rFonts w:hint="eastAsia" w:ascii="仿宋_GB2312" w:eastAsia="仿宋_GB2312"/>
          <w:color w:val="333333"/>
          <w:sz w:val="32"/>
          <w:szCs w:val="32"/>
        </w:rPr>
        <w:t>万元，</w:t>
      </w:r>
      <w:r>
        <w:rPr>
          <w:rFonts w:hint="eastAsia" w:ascii="仿宋_GB2312" w:eastAsia="仿宋_GB2312"/>
          <w:color w:val="000000"/>
          <w:sz w:val="32"/>
          <w:szCs w:val="32"/>
        </w:rPr>
        <w:t>占</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333333"/>
          <w:sz w:val="32"/>
          <w:szCs w:val="32"/>
        </w:rPr>
        <w:t>；公务接待费支出决算</w:t>
      </w:r>
      <w:r>
        <w:rPr>
          <w:rFonts w:hint="eastAsia" w:ascii="仿宋_GB2312" w:eastAsia="仿宋_GB2312"/>
          <w:color w:val="333333"/>
          <w:sz w:val="32"/>
          <w:szCs w:val="32"/>
          <w:lang w:val="en-US" w:eastAsia="zh-CN"/>
        </w:rPr>
        <w:t>1.78</w:t>
      </w:r>
      <w:r>
        <w:rPr>
          <w:rFonts w:hint="eastAsia" w:ascii="仿宋_GB2312" w:eastAsia="仿宋_GB2312"/>
          <w:color w:val="333333"/>
          <w:sz w:val="32"/>
          <w:szCs w:val="32"/>
        </w:rPr>
        <w:t>万元，</w:t>
      </w:r>
      <w:r>
        <w:rPr>
          <w:rFonts w:hint="eastAsia" w:ascii="仿宋_GB2312" w:eastAsia="仿宋_GB2312"/>
          <w:color w:val="000000"/>
          <w:sz w:val="32"/>
          <w:szCs w:val="32"/>
        </w:rPr>
        <w:t>占</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。具体情况如下：</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（饼状图）</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drawing>
          <wp:anchor distT="0" distB="0" distL="114300" distR="114300" simplePos="0" relativeHeight="251667456" behindDoc="0" locked="0" layoutInCell="1" allowOverlap="1">
            <wp:simplePos x="0" y="0"/>
            <wp:positionH relativeFrom="column">
              <wp:posOffset>496570</wp:posOffset>
            </wp:positionH>
            <wp:positionV relativeFrom="paragraph">
              <wp:posOffset>156845</wp:posOffset>
            </wp:positionV>
            <wp:extent cx="4308475" cy="2762250"/>
            <wp:effectExtent l="4445" t="4445" r="11430" b="14605"/>
            <wp:wrapTopAndBottom/>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w:t>
      </w:r>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年因公出国（境）费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年公务用车购置及运行维护费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3" w:firstLineChars="200"/>
        <w:rPr>
          <w:rFonts w:ascii="楷体_GB2312" w:eastAsia="楷体_GB2312"/>
          <w:b/>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w:t>
      </w:r>
    </w:p>
    <w:p>
      <w:pPr>
        <w:spacing w:line="600" w:lineRule="exact"/>
        <w:ind w:firstLine="640"/>
        <w:rPr>
          <w:rFonts w:hint="eastAsia" w:ascii="仿宋_GB2312" w:eastAsia="仿宋_GB2312"/>
          <w:color w:val="000000"/>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年公务接待费</w:t>
      </w:r>
      <w:r>
        <w:rPr>
          <w:rFonts w:hint="eastAsia" w:ascii="仿宋_GB2312" w:eastAsia="仿宋_GB2312"/>
          <w:color w:val="000000"/>
          <w:sz w:val="32"/>
          <w:szCs w:val="32"/>
          <w:lang w:val="en-US" w:eastAsia="zh-CN"/>
        </w:rPr>
        <w:t>1.78</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61</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590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1.78</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接待项目建设</w:t>
      </w:r>
      <w:r>
        <w:rPr>
          <w:rFonts w:hint="eastAsia" w:ascii="仿宋_GB2312" w:eastAsia="仿宋_GB2312"/>
          <w:color w:val="000000"/>
          <w:sz w:val="32"/>
          <w:szCs w:val="32"/>
          <w:lang w:val="en-US" w:eastAsia="zh-CN"/>
        </w:rPr>
        <w:t>2578元；</w:t>
      </w:r>
      <w:r>
        <w:rPr>
          <w:rFonts w:hint="eastAsia" w:ascii="仿宋_GB2312" w:eastAsia="仿宋_GB2312"/>
          <w:color w:val="000000"/>
          <w:sz w:val="32"/>
          <w:szCs w:val="32"/>
          <w:lang w:eastAsia="zh-CN"/>
        </w:rPr>
        <w:t>接待</w:t>
      </w:r>
      <w:r>
        <w:rPr>
          <w:rFonts w:hint="eastAsia" w:ascii="仿宋_GB2312" w:eastAsia="仿宋_GB2312"/>
          <w:color w:val="000000"/>
          <w:sz w:val="32"/>
          <w:szCs w:val="32"/>
          <w:lang w:val="en-US" w:eastAsia="zh-CN"/>
        </w:rPr>
        <w:t>教学常规检查5621元；接待教改教研活动3120元；接待校园安全管理检查3248元；接待初三体考、实考2985元等。</w:t>
      </w:r>
    </w:p>
    <w:p>
      <w:pPr>
        <w:spacing w:line="600" w:lineRule="exact"/>
        <w:ind w:firstLine="640"/>
        <w:rPr>
          <w:rFonts w:ascii="黑体" w:eastAsia="黑体"/>
          <w:color w:val="000000"/>
          <w:sz w:val="32"/>
          <w:szCs w:val="32"/>
        </w:rPr>
      </w:pPr>
      <w:r>
        <w:rPr>
          <w:rFonts w:hint="eastAsia" w:ascii="仿宋_GB2312" w:eastAsia="仿宋_GB2312"/>
          <w:color w:val="000000"/>
          <w:sz w:val="32"/>
          <w:szCs w:val="32"/>
        </w:rPr>
        <w:t>（</w:t>
      </w:r>
      <w:r>
        <w:rPr>
          <w:rFonts w:hint="eastAsia" w:ascii="黑体" w:eastAsia="黑体"/>
          <w:color w:val="000000"/>
          <w:sz w:val="32"/>
          <w:szCs w:val="32"/>
        </w:rPr>
        <w:t>八、政府性基金预算财政拨款支出决算情况</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宣汉县新华中学</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年使用政府性基金预算财政拨款支出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九、其他重要事项的情况说明</w:t>
      </w:r>
    </w:p>
    <w:p>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（一）机关运行经费支出情况</w:t>
      </w:r>
    </w:p>
    <w:p>
      <w:pPr>
        <w:spacing w:line="600" w:lineRule="exact"/>
        <w:ind w:firstLine="1600" w:firstLineChars="500"/>
        <w:rPr>
          <w:rFonts w:ascii="仿宋_GB2312" w:eastAsia="仿宋_GB2312"/>
          <w:color w:val="000000"/>
          <w:sz w:val="32"/>
          <w:szCs w:val="32"/>
        </w:rPr>
      </w:pPr>
      <w:r>
        <w:rPr>
          <w:rFonts w:hint="eastAsia" w:ascii="仿宋_GB2312" w:eastAsia="仿宋_GB2312"/>
          <w:color w:val="000000"/>
          <w:sz w:val="32"/>
          <w:szCs w:val="32"/>
          <w:lang w:eastAsia="zh-CN"/>
        </w:rPr>
        <w:t>无</w:t>
      </w:r>
    </w:p>
    <w:p>
      <w:pPr>
        <w:spacing w:line="600" w:lineRule="exact"/>
        <w:ind w:firstLine="640"/>
        <w:rPr>
          <w:rFonts w:ascii="仿宋_GB2312" w:eastAsia="仿宋_GB2312"/>
          <w:b/>
          <w:color w:val="000000"/>
          <w:sz w:val="32"/>
          <w:szCs w:val="32"/>
        </w:rPr>
      </w:pPr>
      <w:r>
        <w:rPr>
          <w:rFonts w:hint="eastAsia" w:ascii="仿宋_GB2312" w:eastAsia="仿宋_GB2312"/>
          <w:b/>
          <w:i/>
          <w:color w:val="404040"/>
          <w:sz w:val="32"/>
          <w:szCs w:val="32"/>
        </w:rPr>
        <w:t>（数据来源财决</w:t>
      </w:r>
      <w:r>
        <w:rPr>
          <w:rFonts w:ascii="仿宋_GB2312" w:eastAsia="仿宋_GB2312"/>
          <w:b/>
          <w:i/>
          <w:color w:val="404040"/>
          <w:sz w:val="32"/>
          <w:szCs w:val="32"/>
        </w:rPr>
        <w:t>CS05</w:t>
      </w:r>
      <w:r>
        <w:rPr>
          <w:rFonts w:hint="eastAsia" w:ascii="仿宋_GB2312" w:eastAsia="仿宋_GB2312"/>
          <w:b/>
          <w:i/>
          <w:color w:val="404040"/>
          <w:sz w:val="32"/>
          <w:szCs w:val="32"/>
        </w:rPr>
        <w:t>表）</w:t>
      </w:r>
    </w:p>
    <w:p>
      <w:pPr>
        <w:autoSpaceDE w:val="0"/>
        <w:autoSpaceDN w:val="0"/>
        <w:adjustRightInd w:val="0"/>
        <w:spacing w:line="600" w:lineRule="exact"/>
        <w:ind w:firstLine="643" w:firstLineChars="200"/>
        <w:jc w:val="left"/>
        <w:rPr>
          <w:rFonts w:ascii="仿宋_GB2312" w:eastAsia="仿宋_GB2312"/>
          <w:b/>
          <w:color w:val="000000"/>
          <w:sz w:val="32"/>
          <w:szCs w:val="32"/>
        </w:rPr>
      </w:pPr>
      <w:r>
        <w:rPr>
          <w:rFonts w:hint="eastAsia" w:ascii="仿宋_GB2312" w:eastAsia="仿宋_GB2312"/>
          <w:b/>
          <w:color w:val="000000"/>
          <w:sz w:val="32"/>
          <w:szCs w:val="32"/>
        </w:rPr>
        <w:t>（二）政府采购支出情况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年度，</w:t>
      </w:r>
      <w:r>
        <w:rPr>
          <w:rFonts w:hint="eastAsia" w:ascii="仿宋_GB2312" w:eastAsia="仿宋_GB2312"/>
          <w:color w:val="000000"/>
          <w:sz w:val="32"/>
          <w:szCs w:val="32"/>
          <w:lang w:eastAsia="zh-CN"/>
        </w:rPr>
        <w:t>宣汉县新华中学</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bookmarkStart w:id="0" w:name="_GoBack"/>
      <w:bookmarkEnd w:id="0"/>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rPr>
          <w:rFonts w:ascii="仿宋_GB2312" w:eastAsia="仿宋_GB2312"/>
          <w:b/>
          <w:i/>
          <w:color w:val="404040"/>
          <w:sz w:val="32"/>
          <w:szCs w:val="32"/>
        </w:rPr>
      </w:pPr>
      <w:r>
        <w:rPr>
          <w:rFonts w:hint="eastAsia" w:ascii="仿宋_GB2312" w:eastAsia="仿宋_GB2312"/>
          <w:b/>
          <w:i/>
          <w:color w:val="404040"/>
          <w:sz w:val="32"/>
          <w:szCs w:val="32"/>
        </w:rPr>
        <w:t>（数据来源财决</w:t>
      </w:r>
      <w:r>
        <w:rPr>
          <w:rFonts w:ascii="仿宋_GB2312" w:eastAsia="仿宋_GB2312"/>
          <w:b/>
          <w:i/>
          <w:color w:val="404040"/>
          <w:sz w:val="32"/>
          <w:szCs w:val="32"/>
        </w:rPr>
        <w:t>CS06</w:t>
      </w:r>
      <w:r>
        <w:rPr>
          <w:rFonts w:hint="eastAsia" w:ascii="仿宋_GB2312" w:eastAsia="仿宋_GB2312"/>
          <w:b/>
          <w:i/>
          <w:color w:val="404040"/>
          <w:sz w:val="32"/>
          <w:szCs w:val="32"/>
        </w:rPr>
        <w:t>表）</w:t>
      </w:r>
    </w:p>
    <w:p>
      <w:pPr>
        <w:autoSpaceDE w:val="0"/>
        <w:autoSpaceDN w:val="0"/>
        <w:adjustRightInd w:val="0"/>
        <w:spacing w:line="600" w:lineRule="exact"/>
        <w:ind w:firstLine="643" w:firstLineChars="200"/>
        <w:jc w:val="left"/>
        <w:rPr>
          <w:rFonts w:ascii="仿宋_GB2312" w:eastAsia="仿宋_GB2312"/>
          <w:b/>
          <w:color w:val="000000"/>
          <w:sz w:val="32"/>
          <w:szCs w:val="32"/>
        </w:rPr>
      </w:pPr>
      <w:r>
        <w:rPr>
          <w:rFonts w:hint="eastAsia" w:ascii="仿宋_GB2312" w:eastAsia="仿宋_GB2312"/>
          <w:b/>
          <w:color w:val="000000"/>
          <w:sz w:val="32"/>
          <w:szCs w:val="32"/>
        </w:rPr>
        <w:t>（三）国有资产占有使用情况</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宣汉县新华中学</w:t>
      </w:r>
      <w:r>
        <w:rPr>
          <w:rFonts w:hint="eastAsia" w:ascii="仿宋_GB2312" w:eastAsia="仿宋_GB2312"/>
          <w:color w:val="000000"/>
          <w:sz w:val="32"/>
          <w:szCs w:val="32"/>
        </w:rPr>
        <w:t>公有车辆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ascii="仿宋_GB2312" w:eastAsia="仿宋_GB2312"/>
          <w:b/>
          <w:color w:val="000000"/>
          <w:sz w:val="32"/>
          <w:szCs w:val="32"/>
        </w:rPr>
      </w:pPr>
      <w:r>
        <w:rPr>
          <w:rFonts w:hint="eastAsia" w:ascii="仿宋_GB2312" w:eastAsia="仿宋_GB2312"/>
          <w:b/>
          <w:i/>
          <w:color w:val="404040"/>
          <w:sz w:val="32"/>
          <w:szCs w:val="32"/>
        </w:rPr>
        <w:t>（数据来源财决</w:t>
      </w:r>
      <w:r>
        <w:rPr>
          <w:rFonts w:ascii="仿宋_GB2312" w:eastAsia="仿宋_GB2312"/>
          <w:b/>
          <w:i/>
          <w:color w:val="404040"/>
          <w:sz w:val="32"/>
          <w:szCs w:val="32"/>
        </w:rPr>
        <w:t>CS05</w:t>
      </w:r>
      <w:r>
        <w:rPr>
          <w:rFonts w:hint="eastAsia" w:ascii="仿宋_GB2312" w:eastAsia="仿宋_GB2312"/>
          <w:b/>
          <w:i/>
          <w:color w:val="404040"/>
          <w:sz w:val="32"/>
          <w:szCs w:val="32"/>
        </w:rPr>
        <w:t>表）</w:t>
      </w:r>
    </w:p>
    <w:p>
      <w:pPr>
        <w:autoSpaceDE w:val="0"/>
        <w:autoSpaceDN w:val="0"/>
        <w:adjustRightInd w:val="0"/>
        <w:spacing w:line="600" w:lineRule="exact"/>
        <w:ind w:firstLine="643" w:firstLineChars="200"/>
        <w:jc w:val="left"/>
        <w:rPr>
          <w:rFonts w:ascii="仿宋_GB2312" w:eastAsia="仿宋_GB2312"/>
          <w:b/>
          <w:color w:val="000000"/>
          <w:sz w:val="32"/>
          <w:szCs w:val="32"/>
        </w:rPr>
      </w:pPr>
      <w:r>
        <w:rPr>
          <w:rFonts w:hint="eastAsia" w:ascii="仿宋_GB2312" w:eastAsia="仿宋_GB2312"/>
          <w:b/>
          <w:color w:val="000000"/>
          <w:sz w:val="32"/>
          <w:szCs w:val="32"/>
        </w:rPr>
        <w:t>（四）预算绩效情况</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按照预算绩效管理要求，本部门对</w:t>
      </w:r>
      <w:r>
        <w:rPr>
          <w:rFonts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年一般公共预算项目支出开展了绩效目标管理，共编制绩效目标</w:t>
      </w:r>
      <w:r>
        <w:rPr>
          <w:rFonts w:hint="eastAsia" w:ascii="仿宋_GB2312" w:eastAsia="仿宋_GB2312"/>
          <w:sz w:val="32"/>
          <w:szCs w:val="32"/>
          <w:lang w:val="en-US" w:eastAsia="zh-CN"/>
        </w:rPr>
        <w:t>2</w:t>
      </w:r>
      <w:r>
        <w:rPr>
          <w:rFonts w:hint="eastAsia" w:ascii="仿宋_GB2312" w:eastAsia="仿宋_GB2312"/>
          <w:sz w:val="32"/>
          <w:szCs w:val="32"/>
        </w:rPr>
        <w:t>个，涉及财政资金</w:t>
      </w:r>
      <w:r>
        <w:rPr>
          <w:rFonts w:hint="eastAsia" w:ascii="仿宋_GB2312" w:eastAsia="仿宋_GB2312"/>
          <w:sz w:val="32"/>
          <w:szCs w:val="32"/>
          <w:lang w:val="en-US" w:eastAsia="zh-CN"/>
        </w:rPr>
        <w:t>360</w:t>
      </w:r>
      <w:r>
        <w:rPr>
          <w:rFonts w:hint="eastAsia" w:ascii="仿宋_GB2312" w:eastAsia="仿宋_GB2312"/>
          <w:sz w:val="32"/>
          <w:szCs w:val="32"/>
        </w:rPr>
        <w:t>万元，覆盖率达到</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。开展了项目绩效自评，请将自评结果得分、存在的问题、整改措施等相关情况</w:t>
      </w:r>
      <w:r>
        <w:rPr>
          <w:rFonts w:hint="eastAsia" w:ascii="仿宋_GB2312" w:eastAsia="仿宋_GB2312"/>
          <w:sz w:val="32"/>
          <w:szCs w:val="32"/>
          <w:lang w:eastAsia="zh-CN"/>
        </w:rPr>
        <w:t>上报主管局审核后，及时整改，达到预期目标</w:t>
      </w:r>
      <w:r>
        <w:rPr>
          <w:rFonts w:hint="eastAsia" w:ascii="仿宋_GB2312" w:eastAsia="仿宋_GB2312"/>
          <w:sz w:val="32"/>
          <w:szCs w:val="32"/>
        </w:rPr>
        <w:t>。</w:t>
      </w:r>
    </w:p>
    <w:p>
      <w:pPr>
        <w:autoSpaceDE w:val="0"/>
        <w:autoSpaceDN w:val="0"/>
        <w:adjustRightInd w:val="0"/>
        <w:spacing w:line="600" w:lineRule="exact"/>
        <w:ind w:firstLine="640" w:firstLineChars="200"/>
        <w:jc w:val="left"/>
        <w:rPr>
          <w:rFonts w:ascii="黑体" w:eastAsia="黑体"/>
          <w:color w:val="000000"/>
          <w:sz w:val="32"/>
          <w:szCs w:val="32"/>
        </w:rPr>
      </w:pPr>
      <w:r>
        <w:rPr>
          <w:rFonts w:hint="eastAsia" w:ascii="黑体" w:eastAsia="黑体"/>
          <w:color w:val="000000"/>
          <w:sz w:val="32"/>
          <w:szCs w:val="32"/>
        </w:rPr>
        <w:t>十、名词解释</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财政拨款收入：指省级财政当年拨付的资金。</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事业收入：指事业单位开展专业业务活动及辅助活动所取得的收入。如…（二级预算单位事业收入情况）等。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其他收入：指除上述“财政拨款收入”、“事业收入”、“经营收入”等以外的收入。主要是…（收入类型）等。</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一般公共服务（类）</w:t>
      </w:r>
      <w:r>
        <w:rPr>
          <w:rFonts w:hint="eastAsia" w:ascii="仿宋_GB2312" w:eastAsia="仿宋_GB2312"/>
          <w:color w:val="000000"/>
          <w:sz w:val="32"/>
          <w:szCs w:val="32"/>
          <w:lang w:val="en-US" w:eastAsia="zh-CN"/>
        </w:rPr>
        <w:t>205</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0203</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教育支出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教育（类）</w:t>
      </w:r>
      <w:r>
        <w:rPr>
          <w:rFonts w:hint="eastAsia" w:ascii="仿宋_GB2312" w:eastAsia="仿宋_GB2312"/>
          <w:color w:val="000000"/>
          <w:sz w:val="32"/>
          <w:szCs w:val="32"/>
          <w:lang w:val="en-US" w:eastAsia="zh-CN"/>
        </w:rPr>
        <w:t>205</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0203</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初中教育</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Style w:val="7"/>
          <w:rFonts w:hint="eastAsia" w:ascii="仿宋_GB2312" w:eastAsia="仿宋_GB2312"/>
          <w:bCs/>
          <w:color w:val="000000"/>
          <w:sz w:val="32"/>
          <w:szCs w:val="32"/>
        </w:rPr>
        <w:t>医疗卫生与计划生育（类）</w:t>
      </w:r>
      <w:r>
        <w:rPr>
          <w:rStyle w:val="7"/>
          <w:rFonts w:hint="eastAsia" w:ascii="仿宋_GB2312" w:eastAsia="仿宋_GB2312"/>
          <w:bCs/>
          <w:color w:val="000000"/>
          <w:sz w:val="32"/>
          <w:szCs w:val="32"/>
          <w:lang w:val="en-US" w:eastAsia="zh-CN"/>
        </w:rPr>
        <w:t>210</w:t>
      </w:r>
      <w:r>
        <w:rPr>
          <w:rStyle w:val="7"/>
          <w:rFonts w:hint="eastAsia" w:ascii="仿宋_GB2312" w:eastAsia="仿宋_GB2312"/>
          <w:bCs/>
          <w:color w:val="000000"/>
          <w:sz w:val="32"/>
          <w:szCs w:val="32"/>
        </w:rPr>
        <w:t>（款）</w:t>
      </w:r>
      <w:r>
        <w:rPr>
          <w:rStyle w:val="7"/>
          <w:rFonts w:hint="eastAsia" w:ascii="仿宋_GB2312" w:eastAsia="仿宋_GB2312"/>
          <w:bCs/>
          <w:color w:val="000000"/>
          <w:sz w:val="32"/>
          <w:szCs w:val="32"/>
          <w:lang w:val="en-US" w:eastAsia="zh-CN"/>
        </w:rPr>
        <w:t>0502</w:t>
      </w:r>
      <w:r>
        <w:rPr>
          <w:rStyle w:val="7"/>
          <w:rFonts w:hint="eastAsia" w:ascii="仿宋_GB2312" w:eastAsia="仿宋_GB2312"/>
          <w:bCs/>
          <w:color w:val="000000"/>
          <w:sz w:val="32"/>
          <w:szCs w:val="32"/>
        </w:rPr>
        <w:t>（项）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教职工医保缴费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lang w:eastAsia="zh-CN"/>
        </w:rPr>
        <w:t>住房保障类</w:t>
      </w:r>
      <w:r>
        <w:rPr>
          <w:rStyle w:val="7"/>
          <w:rFonts w:hint="eastAsia" w:ascii="仿宋_GB2312" w:eastAsia="仿宋_GB2312"/>
          <w:bCs/>
          <w:color w:val="000000"/>
          <w:sz w:val="32"/>
          <w:szCs w:val="32"/>
        </w:rPr>
        <w:t>（类）</w:t>
      </w:r>
      <w:r>
        <w:rPr>
          <w:rStyle w:val="7"/>
          <w:rFonts w:hint="eastAsia" w:ascii="仿宋_GB2312" w:eastAsia="仿宋_GB2312"/>
          <w:bCs/>
          <w:color w:val="000000"/>
          <w:sz w:val="32"/>
          <w:szCs w:val="32"/>
          <w:lang w:val="en-US" w:eastAsia="zh-CN"/>
        </w:rPr>
        <w:t>221</w:t>
      </w:r>
      <w:r>
        <w:rPr>
          <w:rStyle w:val="7"/>
          <w:rFonts w:hint="eastAsia" w:ascii="仿宋_GB2312" w:eastAsia="仿宋_GB2312"/>
          <w:bCs/>
          <w:color w:val="000000"/>
          <w:sz w:val="32"/>
          <w:szCs w:val="32"/>
        </w:rPr>
        <w:t>（款）</w:t>
      </w:r>
      <w:r>
        <w:rPr>
          <w:rStyle w:val="7"/>
          <w:rFonts w:hint="eastAsia" w:ascii="仿宋_GB2312" w:eastAsia="仿宋_GB2312"/>
          <w:bCs/>
          <w:color w:val="000000"/>
          <w:sz w:val="32"/>
          <w:szCs w:val="32"/>
          <w:lang w:val="en-US" w:eastAsia="zh-CN"/>
        </w:rPr>
        <w:t>0201</w:t>
      </w:r>
      <w:r>
        <w:rPr>
          <w:rStyle w:val="7"/>
          <w:rFonts w:hint="eastAsia" w:ascii="仿宋_GB2312" w:eastAsia="仿宋_GB2312"/>
          <w:bCs/>
          <w:color w:val="000000"/>
          <w:sz w:val="32"/>
          <w:szCs w:val="32"/>
        </w:rPr>
        <w:t>（项）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教职工医保缴费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Style w:val="7"/>
          <w:rFonts w:hint="eastAsia" w:ascii="仿宋_GB2312" w:eastAsia="仿宋_GB2312"/>
          <w:bCs/>
          <w:color w:val="000000"/>
          <w:sz w:val="32"/>
          <w:szCs w:val="32"/>
        </w:rPr>
        <w:t>社会保障和就业（类）</w:t>
      </w:r>
      <w:r>
        <w:rPr>
          <w:rStyle w:val="7"/>
          <w:rFonts w:hint="eastAsia" w:ascii="仿宋_GB2312" w:eastAsia="仿宋_GB2312"/>
          <w:bCs/>
          <w:color w:val="000000"/>
          <w:sz w:val="32"/>
          <w:szCs w:val="32"/>
          <w:lang w:val="en-US" w:eastAsia="zh-CN"/>
        </w:rPr>
        <w:t>208</w:t>
      </w:r>
      <w:r>
        <w:rPr>
          <w:rStyle w:val="7"/>
          <w:rFonts w:hint="eastAsia" w:ascii="仿宋_GB2312" w:eastAsia="仿宋_GB2312"/>
          <w:bCs/>
          <w:color w:val="000000"/>
          <w:sz w:val="32"/>
          <w:szCs w:val="32"/>
        </w:rPr>
        <w:t>（款）</w:t>
      </w:r>
      <w:r>
        <w:rPr>
          <w:rStyle w:val="7"/>
          <w:rFonts w:hint="eastAsia" w:ascii="仿宋_GB2312" w:eastAsia="仿宋_GB2312"/>
          <w:bCs/>
          <w:color w:val="000000"/>
          <w:sz w:val="32"/>
          <w:szCs w:val="32"/>
          <w:lang w:val="en-US" w:eastAsia="zh-CN"/>
        </w:rPr>
        <w:t>0502</w:t>
      </w:r>
      <w:r>
        <w:rPr>
          <w:rStyle w:val="7"/>
          <w:rFonts w:hint="eastAsia" w:ascii="仿宋_GB2312" w:eastAsia="仿宋_GB2312"/>
          <w:bCs/>
          <w:color w:val="000000"/>
          <w:sz w:val="32"/>
          <w:szCs w:val="32"/>
        </w:rPr>
        <w:t>（项）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退休职工生活补助</w:t>
      </w:r>
      <w:r>
        <w:rPr>
          <w:rFonts w:hint="eastAsia" w:ascii="仿宋_GB2312" w:eastAsia="仿宋_GB2312"/>
          <w:color w:val="000000"/>
          <w:sz w:val="32"/>
          <w:szCs w:val="32"/>
        </w:rPr>
        <w:t>。</w:t>
      </w:r>
    </w:p>
    <w:p>
      <w:pPr>
        <w:spacing w:line="600" w:lineRule="exact"/>
        <w:ind w:firstLine="640"/>
        <w:rPr>
          <w:rFonts w:ascii="仿宋_GB2312" w:eastAsia="仿宋_GB2312"/>
          <w:b/>
          <w:i/>
          <w:color w:val="404040"/>
          <w:sz w:val="32"/>
          <w:szCs w:val="32"/>
        </w:rPr>
      </w:pPr>
      <w:r>
        <w:rPr>
          <w:rFonts w:hint="eastAsia" w:ascii="仿宋_GB2312" w:eastAsia="仿宋_GB2312"/>
          <w:b/>
          <w:i/>
          <w:color w:val="404040"/>
          <w:sz w:val="32"/>
          <w:szCs w:val="32"/>
        </w:rPr>
        <w:t>（解释本部门决算报表中全部功能分类科目，至项级，参照《</w:t>
      </w:r>
      <w:r>
        <w:rPr>
          <w:rFonts w:ascii="仿宋_GB2312" w:eastAsia="仿宋_GB2312"/>
          <w:b/>
          <w:i/>
          <w:color w:val="404040"/>
          <w:sz w:val="32"/>
          <w:szCs w:val="32"/>
        </w:rPr>
        <w:t>2016</w:t>
      </w:r>
      <w:r>
        <w:rPr>
          <w:rFonts w:hint="eastAsia" w:ascii="仿宋_GB2312" w:eastAsia="仿宋_GB2312"/>
          <w:b/>
          <w:i/>
          <w:color w:val="404040"/>
          <w:sz w:val="32"/>
          <w:szCs w:val="32"/>
        </w:rPr>
        <w:t>年政府收支分类科目》）</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结余分配：指事业单位按规定提取的职工福利基金、事业基金和缴纳的所得税，以及建设单位按规定应交回的基本建设竣工项目结余资金。</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年末结转和结余：指本年度或以前年度预算安排、因客观条件发生变化无法按原计划实施，需延迟到以后年度按有关规定继续使用的资金。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经营支出：指事业单位在专业业务活动及其辅助活动之外开展非独立核算经营活动发生的支出。</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9"/>
        <w:spacing w:line="560" w:lineRule="exact"/>
        <w:ind w:firstLine="640" w:firstLineChars="200"/>
        <w:rPr>
          <w:rFonts w:ascii="仿宋_GB2312" w:eastAsia="仿宋_GB2312" w:cs="黑体"/>
          <w:sz w:val="32"/>
          <w:szCs w:val="32"/>
        </w:rPr>
      </w:pPr>
    </w:p>
    <w:p>
      <w:pPr>
        <w:rPr>
          <w:rFonts w:ascii="仿宋_GB2312" w:eastAsia="仿宋_GB2312"/>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9</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DC300"/>
    <w:multiLevelType w:val="singleLevel"/>
    <w:tmpl w:val="59DDC30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B047F"/>
    <w:rsid w:val="000B5A48"/>
    <w:rsid w:val="000C3CA6"/>
    <w:rsid w:val="000D5782"/>
    <w:rsid w:val="000E63D4"/>
    <w:rsid w:val="0014729F"/>
    <w:rsid w:val="00191536"/>
    <w:rsid w:val="001D4573"/>
    <w:rsid w:val="00236BFA"/>
    <w:rsid w:val="00260C38"/>
    <w:rsid w:val="0037013F"/>
    <w:rsid w:val="003A484F"/>
    <w:rsid w:val="003B0C1B"/>
    <w:rsid w:val="004D119C"/>
    <w:rsid w:val="00510CFC"/>
    <w:rsid w:val="0058486E"/>
    <w:rsid w:val="005D5CED"/>
    <w:rsid w:val="00607E6C"/>
    <w:rsid w:val="0066343B"/>
    <w:rsid w:val="0068457C"/>
    <w:rsid w:val="0070084B"/>
    <w:rsid w:val="0076182A"/>
    <w:rsid w:val="00767B7E"/>
    <w:rsid w:val="007770C3"/>
    <w:rsid w:val="00794588"/>
    <w:rsid w:val="007D7FA5"/>
    <w:rsid w:val="00800112"/>
    <w:rsid w:val="008434F8"/>
    <w:rsid w:val="00871F71"/>
    <w:rsid w:val="00951248"/>
    <w:rsid w:val="0095152F"/>
    <w:rsid w:val="00971FFC"/>
    <w:rsid w:val="009B4EAE"/>
    <w:rsid w:val="009B7573"/>
    <w:rsid w:val="009D3447"/>
    <w:rsid w:val="00A307CD"/>
    <w:rsid w:val="00A35A11"/>
    <w:rsid w:val="00A62661"/>
    <w:rsid w:val="00A67F54"/>
    <w:rsid w:val="00B03C9D"/>
    <w:rsid w:val="00B10517"/>
    <w:rsid w:val="00B310B9"/>
    <w:rsid w:val="00C03E31"/>
    <w:rsid w:val="00C35554"/>
    <w:rsid w:val="00C533CC"/>
    <w:rsid w:val="00C62B85"/>
    <w:rsid w:val="00CC09B6"/>
    <w:rsid w:val="00CE7B61"/>
    <w:rsid w:val="00DC3E14"/>
    <w:rsid w:val="00DC410D"/>
    <w:rsid w:val="00E34066"/>
    <w:rsid w:val="00E82267"/>
    <w:rsid w:val="00ED1B63"/>
    <w:rsid w:val="00EF4C34"/>
    <w:rsid w:val="00F1361C"/>
    <w:rsid w:val="00F160C7"/>
    <w:rsid w:val="00FA14D5"/>
    <w:rsid w:val="00FC067D"/>
    <w:rsid w:val="00FF1E02"/>
    <w:rsid w:val="09D35789"/>
    <w:rsid w:val="0A2A35C1"/>
    <w:rsid w:val="0AA36606"/>
    <w:rsid w:val="0AEE671B"/>
    <w:rsid w:val="0EC12585"/>
    <w:rsid w:val="133E5482"/>
    <w:rsid w:val="16A326A8"/>
    <w:rsid w:val="16EC1AA9"/>
    <w:rsid w:val="17B16047"/>
    <w:rsid w:val="18125DA9"/>
    <w:rsid w:val="1AD12E3C"/>
    <w:rsid w:val="1C1775F0"/>
    <w:rsid w:val="24A52C4D"/>
    <w:rsid w:val="25401B58"/>
    <w:rsid w:val="2CC3190E"/>
    <w:rsid w:val="2E2B6A3D"/>
    <w:rsid w:val="30667612"/>
    <w:rsid w:val="321A6F60"/>
    <w:rsid w:val="35CA67B0"/>
    <w:rsid w:val="35EC1F80"/>
    <w:rsid w:val="37070755"/>
    <w:rsid w:val="376A627B"/>
    <w:rsid w:val="37817D55"/>
    <w:rsid w:val="382D3220"/>
    <w:rsid w:val="382D468F"/>
    <w:rsid w:val="38F31F5A"/>
    <w:rsid w:val="3F681C00"/>
    <w:rsid w:val="404F6AF8"/>
    <w:rsid w:val="40531197"/>
    <w:rsid w:val="46455521"/>
    <w:rsid w:val="47770008"/>
    <w:rsid w:val="47E11605"/>
    <w:rsid w:val="4B064435"/>
    <w:rsid w:val="4CD414E7"/>
    <w:rsid w:val="5306744B"/>
    <w:rsid w:val="53210F6D"/>
    <w:rsid w:val="627C7BA4"/>
    <w:rsid w:val="6283172D"/>
    <w:rsid w:val="6572437E"/>
    <w:rsid w:val="69961C65"/>
    <w:rsid w:val="69E27F56"/>
    <w:rsid w:val="71324F42"/>
    <w:rsid w:val="72DF1088"/>
    <w:rsid w:val="72E44913"/>
    <w:rsid w:val="78F9348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8"/>
    <w:qFormat/>
    <w:uiPriority w:val="99"/>
    <w:pPr>
      <w:spacing w:beforeLines="30"/>
    </w:pPr>
    <w:rPr>
      <w:rFonts w:ascii="仿宋_GB2312" w:eastAsia="仿宋_GB2312"/>
      <w:kern w:val="0"/>
      <w:sz w:val="30"/>
    </w:rPr>
  </w:style>
  <w:style w:type="paragraph" w:styleId="3">
    <w:name w:val="footer"/>
    <w:basedOn w:val="1"/>
    <w:link w:val="17"/>
    <w:unhideWhenUsed/>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unhideWhenUsed/>
    <w:qFormat/>
    <w:uiPriority w:val="99"/>
    <w:rPr>
      <w:color w:val="3665C3"/>
      <w:u w:val="none"/>
    </w:rPr>
  </w:style>
  <w:style w:type="character" w:styleId="9">
    <w:name w:val="Emphasis"/>
    <w:basedOn w:val="6"/>
    <w:qFormat/>
    <w:uiPriority w:val="20"/>
  </w:style>
  <w:style w:type="character" w:styleId="10">
    <w:name w:val="HTML Definition"/>
    <w:basedOn w:val="6"/>
    <w:unhideWhenUsed/>
    <w:qFormat/>
    <w:uiPriority w:val="99"/>
  </w:style>
  <w:style w:type="character" w:styleId="11">
    <w:name w:val="HTML Variable"/>
    <w:basedOn w:val="6"/>
    <w:unhideWhenUsed/>
    <w:qFormat/>
    <w:uiPriority w:val="99"/>
  </w:style>
  <w:style w:type="character" w:styleId="12">
    <w:name w:val="Hyperlink"/>
    <w:basedOn w:val="6"/>
    <w:unhideWhenUsed/>
    <w:qFormat/>
    <w:uiPriority w:val="99"/>
    <w:rPr>
      <w:color w:val="3665C3"/>
      <w:u w:val="none"/>
    </w:rPr>
  </w:style>
  <w:style w:type="character" w:styleId="13">
    <w:name w:val="HTML Code"/>
    <w:basedOn w:val="6"/>
    <w:unhideWhenUsed/>
    <w:qFormat/>
    <w:uiPriority w:val="99"/>
    <w:rPr>
      <w:rFonts w:ascii="Courier New" w:hAnsi="Courier New"/>
      <w:sz w:val="20"/>
    </w:rPr>
  </w:style>
  <w:style w:type="character" w:styleId="14">
    <w:name w:val="HTML Cite"/>
    <w:basedOn w:val="6"/>
    <w:unhideWhenUsed/>
    <w:qFormat/>
    <w:uiPriority w:val="99"/>
  </w:style>
  <w:style w:type="character" w:customStyle="1" w:styleId="16">
    <w:name w:val="页眉 Char"/>
    <w:basedOn w:val="6"/>
    <w:link w:val="4"/>
    <w:semiHidden/>
    <w:qFormat/>
    <w:locked/>
    <w:uiPriority w:val="99"/>
    <w:rPr>
      <w:sz w:val="18"/>
    </w:rPr>
  </w:style>
  <w:style w:type="character" w:customStyle="1" w:styleId="17">
    <w:name w:val="页脚 Char"/>
    <w:basedOn w:val="6"/>
    <w:link w:val="3"/>
    <w:qFormat/>
    <w:locked/>
    <w:uiPriority w:val="99"/>
    <w:rPr>
      <w:sz w:val="18"/>
    </w:rPr>
  </w:style>
  <w:style w:type="character" w:customStyle="1" w:styleId="18">
    <w:name w:val="正文文本 Char"/>
    <w:basedOn w:val="6"/>
    <w:link w:val="2"/>
    <w:qFormat/>
    <w:locked/>
    <w:uiPriority w:val="99"/>
    <w:rPr>
      <w:rFonts w:ascii="仿宋_GB2312" w:hAnsi="Times New Roman" w:eastAsia="仿宋_GB2312"/>
      <w:sz w:val="24"/>
    </w:rPr>
  </w:style>
  <w:style w:type="paragraph" w:customStyle="1" w:styleId="1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0">
    <w:name w:val="hover26"/>
    <w:basedOn w:val="6"/>
    <w:qFormat/>
    <w:uiPriority w:val="0"/>
  </w:style>
  <w:style w:type="character" w:customStyle="1" w:styleId="21">
    <w:name w:val="cu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b="1">
                <a:solidFill>
                  <a:sysClr val="windowText" lastClr="000000"/>
                </a:solidFill>
              </a:rPr>
              <a:t>本年收入总额</a:t>
            </a:r>
            <a:endParaRPr b="1">
              <a:solidFill>
                <a:sysClr val="windowText" lastClr="000000"/>
              </a:solidFill>
            </a:endParaRPr>
          </a:p>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b="1">
                <a:solidFill>
                  <a:sysClr val="windowText" lastClr="000000"/>
                </a:solidFill>
              </a:rPr>
              <a:t>1545.76</a:t>
            </a:r>
            <a:r>
              <a:rPr b="1">
                <a:solidFill>
                  <a:sysClr val="windowText" lastClr="000000"/>
                </a:solidFill>
              </a:rPr>
              <a:t>万元</a:t>
            </a:r>
            <a:endParaRPr b="1">
              <a:solidFill>
                <a:sysClr val="windowText" lastClr="000000"/>
              </a:solidFill>
            </a:endParaRPr>
          </a:p>
        </c:rich>
      </c:tx>
      <c:layout>
        <c:manualLayout>
          <c:xMode val="edge"/>
          <c:yMode val="edge"/>
          <c:x val="0.340722166499498"/>
          <c:y val="0.0311418685121107"/>
        </c:manualLayout>
      </c:layout>
      <c:overlay val="0"/>
      <c:spPr>
        <a:noFill/>
        <a:ln>
          <a:solidFill>
            <a:srgbClr val="0000FF"/>
          </a:solidFill>
        </a:ln>
        <a:effectLst/>
      </c:spPr>
    </c:title>
    <c:autoTitleDeleted val="0"/>
    <c:plotArea>
      <c:layout/>
      <c:pieChart>
        <c:varyColors val="1"/>
        <c:ser>
          <c:idx val="0"/>
          <c:order val="0"/>
          <c:tx>
            <c:strRef>
              <c:f>Sheet1!$B$1</c:f>
              <c:strCache>
                <c:ptCount val="1"/>
                <c:pt idx="0">
                  <c:v>本年支出总额
1545.76万元</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rgbClr val="0000FF"/>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rgbClr val="0000FF"/>
                </a:solidFill>
                <a:round/>
              </a:ln>
              <a:effectLst>
                <a:outerShdw blurRad="40000" dist="20000" dir="5400000" rotWithShape="0">
                  <a:srgbClr val="000000">
                    <a:alpha val="38000"/>
                  </a:srgbClr>
                </a:outerShdw>
              </a:effectLst>
            </c:spPr>
          </c:dPt>
          <c:dLbls>
            <c:dLbl>
              <c:idx val="0"/>
              <c:layout/>
              <c:tx>
                <c:rich>
                  <a:bodyPr rot="0" spcFirstLastPara="0" vertOverflow="ellipsis" vert="horz" wrap="square" lIns="38100" tIns="19050" rIns="38100" bIns="19050" anchor="ctr" anchorCtr="1"/>
                  <a:lstStyle/>
                  <a:p>
                    <a:pPr defTabSz="914400">
                      <a:defRPr lang="zh-CN" sz="900" b="1" i="0" u="none" strike="noStrike" kern="1200" cap="none" spc="0" normalizeH="0" baseline="0">
                        <a:solidFill>
                          <a:schemeClr val="tx1"/>
                        </a:solidFill>
                        <a:uFill>
                          <a:solidFill>
                            <a:schemeClr val="tx1">
                              <a:lumMod val="65000"/>
                              <a:lumOff val="35000"/>
                            </a:schemeClr>
                          </a:solidFill>
                        </a:uFill>
                        <a:latin typeface="+mn-lt"/>
                        <a:ea typeface="+mn-ea"/>
                        <a:cs typeface="+mn-cs"/>
                      </a:defRPr>
                    </a:pPr>
                    <a:r>
                      <a:rPr b="1" u="none" strike="noStrike" cap="none" normalizeH="0">
                        <a:solidFill>
                          <a:schemeClr val="tx1"/>
                        </a:solidFill>
                        <a:uFill>
                          <a:solidFill>
                            <a:schemeClr val="tx1">
                              <a:lumMod val="65000"/>
                              <a:lumOff val="35000"/>
                            </a:schemeClr>
                          </a:solidFill>
                        </a:uFill>
                      </a:rPr>
                      <a:t>99.9</a:t>
                    </a:r>
                    <a:r>
                      <a:rPr lang="en-US" altLang="zh-CN" b="1" u="none" strike="noStrike" cap="none" normalizeH="0">
                        <a:solidFill>
                          <a:schemeClr val="tx1"/>
                        </a:solidFill>
                        <a:uFill>
                          <a:solidFill>
                            <a:schemeClr val="tx1">
                              <a:lumMod val="65000"/>
                              <a:lumOff val="35000"/>
                            </a:schemeClr>
                          </a:solidFill>
                        </a:uFill>
                      </a:rPr>
                      <a:t>7</a:t>
                    </a:r>
                    <a:r>
                      <a:rPr b="1" u="none" strike="noStrike" cap="none" normalizeH="0">
                        <a:solidFill>
                          <a:schemeClr val="tx1"/>
                        </a:solidFill>
                        <a:uFill>
                          <a:solidFill>
                            <a:schemeClr val="tx1">
                              <a:lumMod val="65000"/>
                              <a:lumOff val="35000"/>
                            </a:schemeClr>
                          </a:solidFill>
                        </a:uFill>
                      </a:rPr>
                      <a:t>%</a:t>
                    </a:r>
                    <a:endParaRPr b="1" u="none" strike="noStrike" cap="none" normalizeH="0">
                      <a:solidFill>
                        <a:schemeClr val="tx1"/>
                      </a:solidFill>
                      <a:uFill>
                        <a:solidFill>
                          <a:schemeClr val="tx1">
                            <a:lumMod val="65000"/>
                            <a:lumOff val="35000"/>
                          </a:schemeClr>
                        </a:solidFill>
                      </a:uFill>
                    </a:endParaRP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1" i="0" u="none" strike="noStrike" kern="1200" cap="none" spc="0" normalizeH="0" baseline="0">
                        <a:solidFill>
                          <a:schemeClr val="tx1"/>
                        </a:solidFill>
                        <a:uFill>
                          <a:solidFill>
                            <a:schemeClr val="tx1">
                              <a:lumMod val="65000"/>
                              <a:lumOff val="35000"/>
                            </a:schemeClr>
                          </a:solidFill>
                        </a:uFill>
                        <a:latin typeface="+mn-lt"/>
                        <a:ea typeface="+mn-ea"/>
                        <a:cs typeface="+mn-cs"/>
                      </a:defRPr>
                    </a:pPr>
                    <a:r>
                      <a:rPr b="1" u="none" strike="noStrike" cap="none" normalizeH="0">
                        <a:solidFill>
                          <a:schemeClr val="tx1"/>
                        </a:solidFill>
                        <a:uFill>
                          <a:solidFill>
                            <a:schemeClr val="tx1">
                              <a:lumMod val="65000"/>
                              <a:lumOff val="35000"/>
                            </a:schemeClr>
                          </a:solidFill>
                        </a:uFill>
                      </a:rPr>
                      <a:t>0.0</a:t>
                    </a:r>
                    <a:r>
                      <a:rPr lang="en-US" altLang="zh-CN" b="1" u="none" strike="noStrike" cap="none" normalizeH="0">
                        <a:solidFill>
                          <a:schemeClr val="tx1"/>
                        </a:solidFill>
                        <a:uFill>
                          <a:solidFill>
                            <a:schemeClr val="tx1">
                              <a:lumMod val="65000"/>
                              <a:lumOff val="35000"/>
                            </a:schemeClr>
                          </a:solidFill>
                        </a:uFill>
                      </a:rPr>
                      <a:t>3</a:t>
                    </a:r>
                    <a:r>
                      <a:rPr b="1" u="none" strike="noStrike" cap="none" normalizeH="0">
                        <a:solidFill>
                          <a:schemeClr val="tx1"/>
                        </a:solidFill>
                        <a:uFill>
                          <a:solidFill>
                            <a:schemeClr val="tx1">
                              <a:lumMod val="65000"/>
                              <a:lumOff val="35000"/>
                            </a:schemeClr>
                          </a:solidFill>
                        </a:uFill>
                      </a:rPr>
                      <a:t>%</a:t>
                    </a:r>
                    <a:endParaRPr b="1" u="none" strike="noStrike" cap="none" normalizeH="0">
                      <a:solidFill>
                        <a:schemeClr val="tx1"/>
                      </a:solidFill>
                      <a:uFill>
                        <a:solidFill>
                          <a:schemeClr val="tx1">
                            <a:lumMod val="65000"/>
                            <a:lumOff val="35000"/>
                          </a:schemeClr>
                        </a:solidFill>
                      </a:uFill>
                    </a:endParaRP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spPr>
              <a:noFill/>
              <a:ln>
                <a:solidFill>
                  <a:srgbClr val="0000FF"/>
                </a:solidFill>
              </a:ln>
              <a:effectLst/>
            </c:spPr>
            <c:txPr>
              <a:bodyPr rot="0" spcFirstLastPara="0" vertOverflow="ellipsis" vert="horz" wrap="square" lIns="38100" tIns="19050" rIns="38100" bIns="19050" anchor="ctr" anchorCtr="1"/>
              <a:lstStyle/>
              <a:p>
                <a:pPr>
                  <a:defRPr lang="zh-CN" sz="900" b="1"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公共财政补助拨款
1545,41万元</c:v>
                </c:pt>
                <c:pt idx="1">
                  <c:v>其他收入
0.35万元</c:v>
                </c:pt>
              </c:strCache>
            </c:strRef>
          </c:cat>
          <c:val>
            <c:numRef>
              <c:f>Sheet1!$B$2:$B$3</c:f>
              <c:numCache>
                <c:formatCode>General</c:formatCode>
                <c:ptCount val="2"/>
                <c:pt idx="0">
                  <c:v>99.97</c:v>
                </c:pt>
                <c:pt idx="1">
                  <c:v>0.03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cap="none" spc="0" normalizeH="0" baseline="0">
                <a:solidFill>
                  <a:schemeClr val="tx1"/>
                </a:solidFill>
                <a:uFill>
                  <a:solidFill>
                    <a:schemeClr val="tx1">
                      <a:lumMod val="50000"/>
                      <a:lumOff val="50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cap="none" spc="0" normalizeH="0" baseline="0">
                <a:solidFill>
                  <a:schemeClr val="tx1"/>
                </a:solidFill>
                <a:uFill>
                  <a:solidFill>
                    <a:schemeClr val="tx1">
                      <a:lumMod val="50000"/>
                      <a:lumOff val="50000"/>
                    </a:schemeClr>
                  </a:solidFill>
                </a:uFill>
                <a:latin typeface="+mn-lt"/>
                <a:ea typeface="+mn-ea"/>
                <a:cs typeface="+mn-cs"/>
              </a:defRPr>
            </a:pPr>
          </a:p>
        </c:txPr>
      </c:legendEntry>
      <c:layout>
        <c:manualLayout>
          <c:xMode val="edge"/>
          <c:yMode val="edge"/>
          <c:x val="0.151253761283852"/>
          <c:y val="0.845674740484429"/>
          <c:w val="0.752256770310933"/>
          <c:h val="0.126643598615917"/>
        </c:manualLayout>
      </c:layout>
      <c:overlay val="0"/>
      <c:spPr>
        <a:noFill/>
        <a:ln>
          <a:solidFill>
            <a:srgbClr val="0000FF"/>
          </a:solidFill>
        </a:ln>
        <a:effectLst/>
      </c:spPr>
      <c:txPr>
        <a:bodyPr rot="0" spcFirstLastPara="0" vertOverflow="ellipsis" vert="horz" wrap="square" anchor="ctr" anchorCtr="1"/>
        <a:lstStyle/>
        <a:p>
          <a:pPr>
            <a:defRPr lang="zh-CN" sz="900" b="1" i="0" u="none" strike="noStrike" kern="1200" cap="none" spc="0" normalizeH="0" baseline="0">
              <a:solidFill>
                <a:schemeClr val="tx1"/>
              </a:solidFill>
              <a:uFill>
                <a:solidFill>
                  <a:schemeClr val="tx1">
                    <a:lumMod val="50000"/>
                    <a:lumOff val="50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b="1">
                <a:solidFill>
                  <a:sysClr val="windowText" lastClr="000000"/>
                </a:solidFill>
              </a:rPr>
              <a:t>2017</a:t>
            </a:r>
            <a:r>
              <a:rPr b="1">
                <a:solidFill>
                  <a:sysClr val="windowText" lastClr="000000"/>
                </a:solidFill>
              </a:rPr>
              <a:t>年支出总额</a:t>
            </a:r>
            <a:endParaRPr b="1">
              <a:solidFill>
                <a:sysClr val="windowText" lastClr="000000"/>
              </a:solidFill>
            </a:endParaRPr>
          </a:p>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b="1">
                <a:solidFill>
                  <a:sysClr val="windowText" lastClr="000000"/>
                </a:solidFill>
              </a:rPr>
              <a:t>1545.76</a:t>
            </a:r>
            <a:r>
              <a:rPr b="1">
                <a:solidFill>
                  <a:sysClr val="windowText" lastClr="000000"/>
                </a:solidFill>
              </a:rPr>
              <a:t>万元</a:t>
            </a:r>
            <a:endParaRPr b="1">
              <a:solidFill>
                <a:sysClr val="windowText" lastClr="000000"/>
              </a:solidFill>
            </a:endParaRPr>
          </a:p>
        </c:rich>
      </c:tx>
      <c:layout/>
      <c:overlay val="0"/>
      <c:spPr>
        <a:noFill/>
        <a:ln>
          <a:solidFill>
            <a:srgbClr val="0000FF"/>
          </a:solidFill>
        </a:ln>
        <a:effectLst/>
      </c:spPr>
    </c:title>
    <c:autoTitleDeleted val="0"/>
    <c:plotArea>
      <c:layout/>
      <c:pieChart>
        <c:varyColors val="1"/>
        <c:ser>
          <c:idx val="0"/>
          <c:order val="0"/>
          <c:tx>
            <c:strRef>
              <c:f>Sheet1!$B$1</c:f>
              <c:strCache>
                <c:ptCount val="1"/>
                <c:pt idx="0">
                  <c:v>本年支出总额
1545.76万元</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rgbClr val="0000FF"/>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Lbls>
            <c:dLbl>
              <c:idx val="0"/>
              <c:layout/>
              <c:tx>
                <c:rich>
                  <a:bodyPr rot="0" spcFirstLastPara="0" vertOverflow="ellipsis" vert="horz" wrap="square" lIns="38100" tIns="19050" rIns="38100" bIns="19050" anchor="ctr" anchorCtr="1"/>
                  <a:lstStyle/>
                  <a:p>
                    <a:pPr defTabSz="914400">
                      <a:defRPr lang="zh-CN" sz="900" b="1" i="0" u="none" strike="noStrike" kern="1200" cap="none" spc="0" normalizeH="0" baseline="0">
                        <a:solidFill>
                          <a:schemeClr val="tx1"/>
                        </a:solidFill>
                        <a:uFill>
                          <a:solidFill>
                            <a:schemeClr val="tx1">
                              <a:lumMod val="65000"/>
                              <a:lumOff val="35000"/>
                            </a:schemeClr>
                          </a:solidFill>
                        </a:uFill>
                        <a:latin typeface="+mn-lt"/>
                        <a:ea typeface="+mn-ea"/>
                        <a:cs typeface="+mn-cs"/>
                      </a:defRPr>
                    </a:pPr>
                    <a:r>
                      <a:rPr b="1" u="none" strike="noStrike" cap="none" normalizeH="0">
                        <a:solidFill>
                          <a:schemeClr val="tx1"/>
                        </a:solidFill>
                        <a:uFill>
                          <a:solidFill>
                            <a:schemeClr val="tx1">
                              <a:lumMod val="65000"/>
                              <a:lumOff val="35000"/>
                            </a:schemeClr>
                          </a:solidFill>
                        </a:uFill>
                      </a:rPr>
                      <a:t>6</a:t>
                    </a:r>
                    <a:r>
                      <a:rPr lang="en-US" altLang="zh-CN" b="1" u="none" strike="noStrike" cap="none" normalizeH="0">
                        <a:solidFill>
                          <a:schemeClr val="tx1"/>
                        </a:solidFill>
                        <a:uFill>
                          <a:solidFill>
                            <a:schemeClr val="tx1">
                              <a:lumMod val="65000"/>
                              <a:lumOff val="35000"/>
                            </a:schemeClr>
                          </a:solidFill>
                        </a:uFill>
                      </a:rPr>
                      <a:t>4.35</a:t>
                    </a:r>
                    <a:r>
                      <a:rPr b="1" u="none" strike="noStrike" cap="none" normalizeH="0">
                        <a:solidFill>
                          <a:schemeClr val="tx1"/>
                        </a:solidFill>
                        <a:uFill>
                          <a:solidFill>
                            <a:schemeClr val="tx1">
                              <a:lumMod val="65000"/>
                              <a:lumOff val="35000"/>
                            </a:schemeClr>
                          </a:solidFill>
                        </a:uFill>
                      </a:rPr>
                      <a:t>%</a:t>
                    </a:r>
                    <a:endParaRPr b="1" u="none" strike="noStrike" cap="none" normalizeH="0">
                      <a:solidFill>
                        <a:schemeClr val="tx1"/>
                      </a:solidFill>
                      <a:uFill>
                        <a:solidFill>
                          <a:schemeClr val="tx1">
                            <a:lumMod val="65000"/>
                            <a:lumOff val="35000"/>
                          </a:schemeClr>
                        </a:solidFill>
                      </a:uFill>
                    </a:endParaRP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1" i="0" u="none" strike="noStrike" kern="1200" cap="none" spc="0" normalizeH="0" baseline="0">
                        <a:solidFill>
                          <a:schemeClr val="tx1"/>
                        </a:solidFill>
                        <a:uFill>
                          <a:solidFill>
                            <a:schemeClr val="tx1">
                              <a:lumMod val="65000"/>
                              <a:lumOff val="35000"/>
                            </a:schemeClr>
                          </a:solidFill>
                        </a:uFill>
                        <a:latin typeface="+mn-lt"/>
                        <a:ea typeface="+mn-ea"/>
                        <a:cs typeface="+mn-cs"/>
                      </a:defRPr>
                    </a:pPr>
                    <a:r>
                      <a:rPr b="1" u="none" strike="noStrike" cap="none" normalizeH="0">
                        <a:solidFill>
                          <a:schemeClr val="tx1"/>
                        </a:solidFill>
                        <a:uFill>
                          <a:solidFill>
                            <a:schemeClr val="tx1">
                              <a:lumMod val="65000"/>
                              <a:lumOff val="35000"/>
                            </a:schemeClr>
                          </a:solidFill>
                        </a:uFill>
                      </a:rPr>
                      <a:t>3</a:t>
                    </a:r>
                    <a:r>
                      <a:rPr lang="en-US" altLang="zh-CN" b="1" u="none" strike="noStrike" cap="none" normalizeH="0">
                        <a:solidFill>
                          <a:schemeClr val="tx1"/>
                        </a:solidFill>
                        <a:uFill>
                          <a:solidFill>
                            <a:schemeClr val="tx1">
                              <a:lumMod val="65000"/>
                              <a:lumOff val="35000"/>
                            </a:schemeClr>
                          </a:solidFill>
                        </a:uFill>
                      </a:rPr>
                      <a:t>5.65</a:t>
                    </a:r>
                    <a:r>
                      <a:rPr b="1" u="none" strike="noStrike" cap="none" normalizeH="0">
                        <a:solidFill>
                          <a:schemeClr val="tx1"/>
                        </a:solidFill>
                        <a:uFill>
                          <a:solidFill>
                            <a:schemeClr val="tx1">
                              <a:lumMod val="65000"/>
                              <a:lumOff val="35000"/>
                            </a:schemeClr>
                          </a:solidFill>
                        </a:uFill>
                      </a:rPr>
                      <a:t>%</a:t>
                    </a:r>
                    <a:endParaRPr b="1" u="none" strike="noStrike" cap="none" normalizeH="0">
                      <a:solidFill>
                        <a:schemeClr val="tx1"/>
                      </a:solidFill>
                      <a:uFill>
                        <a:solidFill>
                          <a:schemeClr val="tx1">
                            <a:lumMod val="65000"/>
                            <a:lumOff val="35000"/>
                          </a:schemeClr>
                        </a:solidFill>
                      </a:uFill>
                    </a:endParaRP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spPr>
              <a:noFill/>
              <a:ln>
                <a:solidFill>
                  <a:srgbClr val="0000FF"/>
                </a:solidFill>
              </a:ln>
              <a:effectLst/>
            </c:spPr>
            <c:txPr>
              <a:bodyPr rot="0" spcFirstLastPara="0" vertOverflow="ellipsis" vert="horz" wrap="square" lIns="38100" tIns="19050" rIns="38100" bIns="19050" anchor="ctr" anchorCtr="1"/>
              <a:lstStyle/>
              <a:p>
                <a:pPr>
                  <a:defRPr lang="zh-CN" sz="900" b="1"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基本支出
994.65万元</c:v>
                </c:pt>
                <c:pt idx="1">
                  <c:v>项目支出
551.06万元</c:v>
                </c:pt>
              </c:strCache>
            </c:strRef>
          </c:cat>
          <c:val>
            <c:numRef>
              <c:f>Sheet1!$B$2:$B$3</c:f>
              <c:numCache>
                <c:formatCode>General</c:formatCode>
                <c:ptCount val="2"/>
                <c:pt idx="0">
                  <c:v>994.65</c:v>
                </c:pt>
                <c:pt idx="1">
                  <c:v>551.06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cap="none" spc="0" normalizeH="0" baseline="0">
                <a:solidFill>
                  <a:schemeClr val="tx1"/>
                </a:solidFill>
                <a:uFill>
                  <a:solidFill>
                    <a:schemeClr val="tx1">
                      <a:lumMod val="50000"/>
                      <a:lumOff val="50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cap="none" spc="0" normalizeH="0" baseline="0">
                <a:solidFill>
                  <a:schemeClr val="tx1"/>
                </a:solidFill>
                <a:uFill>
                  <a:solidFill>
                    <a:schemeClr val="tx1">
                      <a:lumMod val="50000"/>
                      <a:lumOff val="50000"/>
                    </a:schemeClr>
                  </a:solidFill>
                </a:uFill>
                <a:latin typeface="+mn-lt"/>
                <a:ea typeface="+mn-ea"/>
                <a:cs typeface="+mn-cs"/>
              </a:defRPr>
            </a:pPr>
          </a:p>
        </c:txPr>
      </c:legendEntry>
      <c:layout>
        <c:manualLayout>
          <c:xMode val="edge"/>
          <c:yMode val="edge"/>
          <c:x val="0.144232698094283"/>
          <c:y val="0.845674740484429"/>
          <c:w val="0.746238716148445"/>
          <c:h val="0.126643598615917"/>
        </c:manualLayout>
      </c:layout>
      <c:overlay val="0"/>
      <c:spPr>
        <a:noFill/>
        <a:ln>
          <a:solidFill>
            <a:srgbClr val="0000FF"/>
          </a:solidFill>
        </a:ln>
        <a:effectLst/>
      </c:spPr>
      <c:txPr>
        <a:bodyPr rot="0" spcFirstLastPara="0" vertOverflow="ellipsis" vert="horz" wrap="square" anchor="ctr" anchorCtr="1"/>
        <a:lstStyle/>
        <a:p>
          <a:pPr>
            <a:defRPr lang="zh-CN" sz="900" b="1" i="0" u="none" strike="noStrike" kern="1200" cap="none" spc="0" normalizeH="0" baseline="0">
              <a:solidFill>
                <a:schemeClr val="tx1"/>
              </a:solidFill>
              <a:uFill>
                <a:solidFill>
                  <a:schemeClr val="tx1">
                    <a:lumMod val="50000"/>
                    <a:lumOff val="50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547511312217"/>
          <c:y val="0.0725833058396569"/>
          <c:w val="0.535095022624434"/>
          <c:h val="0.768525239194985"/>
        </c:manualLayout>
      </c:layout>
      <c:barChart>
        <c:barDir val="col"/>
        <c:grouping val="percentStacked"/>
        <c:varyColors val="0"/>
        <c:ser>
          <c:idx val="0"/>
          <c:order val="0"/>
          <c:tx>
            <c:strRef>
              <c:f>Sheet1!$B$1</c:f>
              <c:strCache>
                <c:ptCount val="1"/>
                <c:pt idx="0">
                  <c:v>2016年</c:v>
                </c:pt>
              </c:strCache>
            </c:strRef>
          </c:tx>
          <c:spPr>
            <a:solidFill>
              <a:schemeClr val="tx2">
                <a:lumMod val="40000"/>
                <a:lumOff val="60000"/>
              </a:schemeClr>
            </a:solidFill>
            <a:ln>
              <a:solidFill>
                <a:srgbClr val="0000FF"/>
              </a:solidFill>
            </a:ln>
            <a:effectLst/>
          </c:spPr>
          <c:invertIfNegative val="0"/>
          <c:dLbls>
            <c:dLbl>
              <c:idx val="0"/>
              <c:layout>
                <c:manualLayout>
                  <c:x val="-0.0023801967629324"/>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2016</a:t>
                    </a:r>
                    <a:r>
                      <a:rPr altLang="en-US"/>
                      <a:t>年</a:t>
                    </a:r>
                    <a:endParaRPr alt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2016</a:t>
                    </a:r>
                    <a:r>
                      <a:rPr altLang="en-US"/>
                      <a:t>年</a:t>
                    </a:r>
                    <a:endParaRPr altLang="en-US"/>
                  </a:p>
                </c:rich>
              </c:tx>
              <c:dLblPos val="ctr"/>
              <c:showLegendKey val="0"/>
              <c:showVal val="1"/>
              <c:showCatName val="0"/>
              <c:showSerName val="0"/>
              <c:showPercent val="0"/>
              <c:showBubbleSize val="0"/>
              <c:extLst>
                <c:ext xmlns:c15="http://schemas.microsoft.com/office/drawing/2012/chart" uri="{CE6537A1-D6FC-4f65-9D91-7224C49458BB}"/>
              </c:extLst>
            </c:dLbl>
            <c:spPr>
              <a:noFill/>
              <a:ln>
                <a:solidFill>
                  <a:srgbClr val="0000FF"/>
                </a:soli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c:v>
                </c:pt>
                <c:pt idx="1">
                  <c:v>财政拨款支</c:v>
                </c:pt>
              </c:strCache>
            </c:strRef>
          </c:cat>
          <c:val>
            <c:numRef>
              <c:f>Sheet1!$B$2:$B$3</c:f>
              <c:numCache>
                <c:formatCode>General</c:formatCode>
                <c:ptCount val="2"/>
                <c:pt idx="0">
                  <c:v>1270.39</c:v>
                </c:pt>
                <c:pt idx="1">
                  <c:v>1270.39</c:v>
                </c:pt>
              </c:numCache>
            </c:numRef>
          </c:val>
        </c:ser>
        <c:ser>
          <c:idx val="1"/>
          <c:order val="1"/>
          <c:tx>
            <c:strRef>
              <c:f>Sheet1!$C$1</c:f>
              <c:strCache>
                <c:ptCount val="1"/>
                <c:pt idx="0">
                  <c:v>总决算增加金额（万元）</c:v>
                </c:pt>
              </c:strCache>
            </c:strRef>
          </c:tx>
          <c:spPr>
            <a:solidFill>
              <a:schemeClr val="accent6">
                <a:lumMod val="60000"/>
                <a:lumOff val="40000"/>
              </a:schemeClr>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cap="none" spc="0" normalizeH="0" baseline="0">
                        <a:solidFill>
                          <a:srgbClr val="FF0000"/>
                        </a:solidFill>
                        <a:uFill>
                          <a:solidFill>
                            <a:schemeClr val="tx1">
                              <a:lumMod val="75000"/>
                              <a:lumOff val="25000"/>
                            </a:schemeClr>
                          </a:solidFill>
                        </a:uFill>
                        <a:latin typeface="+mn-lt"/>
                        <a:ea typeface="宋体" panose="02010600030101010101" charset="-122"/>
                        <a:cs typeface="+mn-cs"/>
                      </a:defRPr>
                    </a:pPr>
                    <a:r>
                      <a:rPr lang="en-US" altLang="zh-CN"/>
                      <a:t>275.02</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cap="none" spc="0" normalizeH="0" baseline="0">
                        <a:solidFill>
                          <a:srgbClr val="FF0000"/>
                        </a:solidFill>
                        <a:uFill>
                          <a:solidFill>
                            <a:schemeClr val="tx1">
                              <a:lumMod val="75000"/>
                              <a:lumOff val="25000"/>
                            </a:schemeClr>
                          </a:solidFill>
                        </a:uFill>
                        <a:latin typeface="+mn-lt"/>
                        <a:ea typeface="宋体" panose="02010600030101010101" charset="-122"/>
                        <a:cs typeface="+mn-cs"/>
                      </a:defRPr>
                    </a:pPr>
                    <a:r>
                      <a:rPr lang="en-US" altLang="zh-CN"/>
                      <a:t>275.02</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spPr>
              <a:noFill/>
              <a:ln>
                <a:solidFill>
                  <a:srgbClr val="0000FF"/>
                </a:solid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rgbClr val="FF0000"/>
                    </a:solidFill>
                    <a:uFill>
                      <a:solidFill>
                        <a:schemeClr val="tx1">
                          <a:lumMod val="75000"/>
                          <a:lumOff val="25000"/>
                        </a:schemeClr>
                      </a:solidFill>
                    </a:uFill>
                    <a:latin typeface="+mn-lt"/>
                    <a:ea typeface="宋体" panose="02010600030101010101" charset="-122"/>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c:v>
                </c:pt>
                <c:pt idx="1">
                  <c:v>财政拨款支</c:v>
                </c:pt>
              </c:strCache>
            </c:strRef>
          </c:cat>
          <c:val>
            <c:numRef>
              <c:f>Sheet1!$C$2:$C$3</c:f>
              <c:numCache>
                <c:formatCode>General</c:formatCode>
                <c:ptCount val="2"/>
                <c:pt idx="0">
                  <c:v>275.02</c:v>
                </c:pt>
                <c:pt idx="1">
                  <c:v>275.02</c:v>
                </c:pt>
              </c:numCache>
            </c:numRef>
          </c:val>
        </c:ser>
        <c:dLbls>
          <c:showLegendKey val="0"/>
          <c:showVal val="1"/>
          <c:showCatName val="0"/>
          <c:showSerName val="0"/>
          <c:showPercent val="0"/>
          <c:showBubbleSize val="0"/>
        </c:dLbls>
        <c:gapWidth val="150"/>
        <c:overlap val="100"/>
        <c:axId val="410846924"/>
        <c:axId val="452587061"/>
      </c:barChart>
      <c:catAx>
        <c:axId val="4108469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crossAx val="452587061"/>
        <c:crosses val="autoZero"/>
        <c:auto val="1"/>
        <c:lblAlgn val="ctr"/>
        <c:lblOffset val="100"/>
        <c:noMultiLvlLbl val="0"/>
      </c:catAx>
      <c:valAx>
        <c:axId val="45258706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846924"/>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900" b="1"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ayout/>
      <c:overlay val="0"/>
      <c:spPr>
        <a:noFill/>
        <a:ln>
          <a:solidFill>
            <a:srgbClr val="0000FF"/>
          </a:solidFill>
        </a:ln>
        <a:effectLst/>
      </c:spPr>
      <c:txPr>
        <a:bodyPr rot="0" spcFirstLastPara="0" vertOverflow="ellipsis" vert="horz" wrap="square" anchor="ctr" anchorCtr="1"/>
        <a:lstStyle/>
        <a:p>
          <a:pPr>
            <a:defRPr lang="zh-CN" sz="900" b="0" i="0" u="none" strike="noStrike" kern="1200" cap="none" spc="0" normalizeH="0" baseline="0">
              <a:solidFill>
                <a:srgbClr val="00B050"/>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rPr sz="1400" b="1">
                <a:solidFill>
                  <a:schemeClr val="tx1"/>
                </a:solidFill>
                <a:uFillTx/>
                <a:latin typeface="+mj-ea"/>
              </a:rPr>
              <a:t>201</a:t>
            </a:r>
            <a:r>
              <a:rPr lang="en-US" altLang="zh-CN" sz="1400" b="1">
                <a:solidFill>
                  <a:schemeClr val="tx1"/>
                </a:solidFill>
                <a:uFillTx/>
                <a:latin typeface="+mj-ea"/>
              </a:rPr>
              <a:t>7</a:t>
            </a:r>
            <a:r>
              <a:rPr sz="1400" b="1">
                <a:solidFill>
                  <a:schemeClr val="tx1"/>
                </a:solidFill>
                <a:uFillTx/>
                <a:latin typeface="+mj-ea"/>
              </a:rPr>
              <a:t>年一般公共预</a:t>
            </a:r>
            <a:r>
              <a:rPr b="1">
                <a:solidFill>
                  <a:schemeClr val="tx1"/>
                </a:solidFill>
                <a:latin typeface="+mj-ea"/>
              </a:rPr>
              <a:t>算财政拨款支出</a:t>
            </a:r>
            <a:endParaRPr b="1">
              <a:solidFill>
                <a:schemeClr val="tx1"/>
              </a:solidFill>
              <a:latin typeface="+mj-ea"/>
            </a:endParaRPr>
          </a:p>
        </c:rich>
      </c:tx>
      <c:layout>
        <c:manualLayout>
          <c:xMode val="edge"/>
          <c:yMode val="edge"/>
          <c:x val="0.228359908883827"/>
          <c:y val="0.036319612590799"/>
        </c:manualLayout>
      </c:layout>
      <c:overlay val="0"/>
      <c:spPr>
        <a:noFill/>
        <a:ln>
          <a:solidFill>
            <a:srgbClr val="0000FF"/>
          </a:solidFill>
        </a:ln>
        <a:effectLst/>
      </c:spPr>
    </c:title>
    <c:autoTitleDeleted val="0"/>
    <c:plotArea>
      <c:layout/>
      <c:pieChart>
        <c:varyColors val="1"/>
        <c:ser>
          <c:idx val="0"/>
          <c:order val="0"/>
          <c:spPr>
            <a:solidFill>
              <a:schemeClr val="accent6">
                <a:lumMod val="60000"/>
                <a:lumOff val="40000"/>
              </a:schemeClr>
            </a:solidFill>
          </c:spPr>
          <c:explosion val="0"/>
          <c:dPt>
            <c:idx val="0"/>
            <c:bubble3D val="0"/>
            <c:spPr>
              <a:solidFill>
                <a:schemeClr val="accent6">
                  <a:lumMod val="60000"/>
                  <a:lumOff val="40000"/>
                </a:schemeClr>
              </a:solidFill>
              <a:ln w="19050">
                <a:solidFill>
                  <a:schemeClr val="lt1"/>
                </a:solidFill>
              </a:ln>
              <a:effectLst/>
            </c:spPr>
          </c:dPt>
          <c:dPt>
            <c:idx val="1"/>
            <c:bubble3D val="0"/>
            <c:spPr>
              <a:gradFill>
                <a:gsLst>
                  <a:gs pos="0">
                    <a:srgbClr val="FE4444"/>
                  </a:gs>
                  <a:gs pos="100000">
                    <a:srgbClr val="832B2B"/>
                  </a:gs>
                </a:gsLst>
                <a:lin ang="16200000" scaled="0"/>
              </a:gradFill>
              <a:ln w="19050">
                <a:solidFill>
                  <a:schemeClr val="lt1"/>
                </a:solidFill>
              </a:ln>
              <a:effectLst/>
            </c:spPr>
          </c:dPt>
          <c:dPt>
            <c:idx val="2"/>
            <c:bubble3D val="0"/>
            <c:explosion val="0"/>
            <c:spPr>
              <a:solidFill>
                <a:schemeClr val="accent2">
                  <a:lumMod val="40000"/>
                  <a:lumOff val="60000"/>
                </a:schemeClr>
              </a:solidFill>
              <a:ln w="19050">
                <a:solidFill>
                  <a:schemeClr val="lt1"/>
                </a:solidFill>
              </a:ln>
              <a:effectLst/>
            </c:spPr>
          </c:dPt>
          <c:dPt>
            <c:idx val="3"/>
            <c:bubble3D val="0"/>
            <c:spPr>
              <a:solidFill>
                <a:schemeClr val="tx2">
                  <a:lumMod val="60000"/>
                  <a:lumOff val="40000"/>
                </a:schemeClr>
              </a:solidFill>
              <a:ln w="19050">
                <a:solidFill>
                  <a:schemeClr val="lt1"/>
                </a:solidFill>
              </a:ln>
              <a:effectLst/>
            </c:spPr>
          </c:dPt>
          <c:dLbls>
            <c:dLbl>
              <c:idx val="0"/>
              <c:layout>
                <c:manualLayout>
                  <c:x val="-0.0695324044838885"/>
                  <c:y val="-0.355238129919308"/>
                </c:manualLayout>
              </c:layout>
              <c:tx>
                <c:rich>
                  <a:bodyPr rot="0" spcFirstLastPara="0" vertOverflow="ellipsis" vert="horz" wrap="square" lIns="38100" tIns="19050" rIns="38100" bIns="19050" anchor="ctr" anchorCtr="1"/>
                  <a:lstStyle/>
                  <a:p>
                    <a:pPr defTabSz="914400">
                      <a:defRPr lang="zh-CN"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r>
                      <a:rPr lang="en-US" altLang="zh-CN" sz="1200"/>
                      <a:t>88.49</a:t>
                    </a:r>
                    <a:r>
                      <a:rPr sz="1200"/>
                      <a:t>%</a:t>
                    </a:r>
                    <a:endParaRPr sz="1200"/>
                  </a:p>
                </c:rich>
              </c:tx>
              <c:numFmt formatCode="General" sourceLinked="1"/>
              <c:spPr>
                <a:noFill/>
                <a:ln>
                  <a:solidFill>
                    <a:srgbClr val="0000FF"/>
                  </a:solid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149629840546697"/>
                      <c:h val="0.0884708511827156"/>
                    </c:manualLayout>
                  </c15:layout>
                </c:ext>
              </c:extLst>
            </c:dLbl>
            <c:dLbl>
              <c:idx val="3"/>
              <c:layout>
                <c:manualLayout>
                  <c:x val="0.0157863979191723"/>
                  <c:y val="0.0937149259482362"/>
                </c:manualLayout>
              </c:layout>
              <c:tx>
                <c:rich>
                  <a:bodyPr rot="0" spcFirstLastPara="0" vertOverflow="ellipsis" vert="horz" wrap="square" lIns="38100" tIns="19050" rIns="38100" bIns="19050" anchor="ctr" anchorCtr="1"/>
                  <a:lstStyle/>
                  <a:p>
                    <a:pPr defTabSz="914400">
                      <a:defRPr lang="zh-CN" sz="10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r>
                      <a:rPr lang="en-US" altLang="zh-CN"/>
                      <a:t>6.12</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solidFill>
                  <a:srgbClr val="0000FF"/>
                </a:solid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医疗卫生支出</c:v>
                </c:pt>
                <c:pt idx="3">
                  <c:v>住房保障支出</c:v>
                </c:pt>
              </c:strCache>
            </c:strRef>
          </c:cat>
          <c:val>
            <c:numRef>
              <c:f>Sheet1!$B$2:$B$5</c:f>
              <c:numCache>
                <c:formatCode>General</c:formatCode>
                <c:ptCount val="4"/>
                <c:pt idx="0">
                  <c:v>1367.56</c:v>
                </c:pt>
                <c:pt idx="1">
                  <c:v>94.71</c:v>
                </c:pt>
                <c:pt idx="2">
                  <c:v>29.9</c:v>
                </c:pt>
                <c:pt idx="3">
                  <c:v>53.59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ayout>
        <c:manualLayout>
          <c:xMode val="edge"/>
          <c:yMode val="edge"/>
          <c:x val="0.699743735763098"/>
          <c:y val="0.24306202272304"/>
          <c:w val="0.291571753986333"/>
          <c:h val="0.441422983795865"/>
        </c:manualLayout>
      </c:layout>
      <c:overlay val="0"/>
      <c:spPr>
        <a:noFill/>
        <a:ln>
          <a:noFill/>
        </a:ln>
        <a:effectLst/>
      </c:spPr>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b="1">
                <a:latin typeface="+mj-ea"/>
              </a:rPr>
              <a:t>“</a:t>
            </a:r>
            <a:r>
              <a:rPr b="1">
                <a:latin typeface="+mj-ea"/>
              </a:rPr>
              <a:t>三公</a:t>
            </a:r>
            <a:r>
              <a:rPr lang="en-US" altLang="zh-CN" b="1">
                <a:latin typeface="+mj-ea"/>
              </a:rPr>
              <a:t>”</a:t>
            </a:r>
            <a:r>
              <a:rPr altLang="en-US" b="1">
                <a:latin typeface="+mj-ea"/>
              </a:rPr>
              <a:t>经费财政拨款支出</a:t>
            </a:r>
            <a:endParaRPr altLang="en-US" b="1">
              <a:latin typeface="+mj-ea"/>
            </a:endParaRP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2"/>
              <c:layout>
                <c:manualLayout>
                  <c:x val="0.0178409127991974"/>
                  <c:y val="-0.37962999264839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400"/>
                      <a:t>100%</a:t>
                    </a:r>
                    <a:endParaRPr sz="1400"/>
                  </a:p>
                </c:rich>
              </c:tx>
              <c:dLblPos val="bestFit"/>
              <c:showLegendKey val="0"/>
              <c:showVal val="0"/>
              <c:showCatName val="0"/>
              <c:showSerName val="0"/>
              <c:showPercent val="1"/>
              <c:showBubbleSize val="0"/>
              <c:extLst>
                <c:ext xmlns:c15="http://schemas.microsoft.com/office/drawing/2012/chart" uri="{CE6537A1-D6FC-4f65-9D91-7224C49458BB}">
                  <c15:layout>
                    <c:manualLayout>
                      <c:w val="0.138864109426108"/>
                      <c:h val="0.1521685861308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因公出国（境）支出</c:v>
                </c:pt>
                <c:pt idx="1">
                  <c:v>公务用车购置及运行维护费支出</c:v>
                </c:pt>
                <c:pt idx="2">
                  <c:v>公务接待费支出</c:v>
                </c:pt>
              </c:strCache>
            </c:strRef>
          </c:cat>
          <c:val>
            <c:numRef>
              <c:f>Sheet1!$B$2:$B$4</c:f>
              <c:numCache>
                <c:formatCode>General</c:formatCode>
                <c:ptCount val="3"/>
                <c:pt idx="0">
                  <c:v>0</c:v>
                </c:pt>
                <c:pt idx="1">
                  <c:v>0</c:v>
                </c:pt>
                <c:pt idx="2">
                  <c:v>1.86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1983348201011"/>
          <c:y val="0.298456260720412"/>
          <c:w val="0.333333333333333"/>
          <c:h val="0.45993629012496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632</Words>
  <Characters>3609</Characters>
  <Lines>30</Lines>
  <Paragraphs>8</Paragraphs>
  <TotalTime>83</TotalTime>
  <ScaleCrop>false</ScaleCrop>
  <LinksUpToDate>false</LinksUpToDate>
  <CharactersWithSpaces>4233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2017-08-07T01:48:00Z</dcterms:created>
  <dc:creator>张彬茜</dc:creator>
  <cp:lastModifiedBy>Administrator</cp:lastModifiedBy>
  <cp:lastPrinted>2018-09-05T06:55:00Z</cp:lastPrinted>
  <dcterms:modified xsi:type="dcterms:W3CDTF">2018-09-06T00:41:35Z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