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华文中宋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华文中宋" w:eastAsia="黑体"/>
          <w:color w:val="000000"/>
          <w:sz w:val="36"/>
          <w:szCs w:val="36"/>
        </w:rPr>
        <w:t>宣汉县土黄中学</w:t>
      </w:r>
    </w:p>
    <w:p>
      <w:pPr>
        <w:spacing w:line="600" w:lineRule="exact"/>
        <w:jc w:val="center"/>
        <w:rPr>
          <w:rFonts w:ascii="黑体" w:hAnsi="华文中宋" w:eastAsia="黑体"/>
          <w:color w:val="000000"/>
          <w:sz w:val="36"/>
          <w:szCs w:val="36"/>
        </w:rPr>
      </w:pPr>
      <w:r>
        <w:rPr>
          <w:rFonts w:hint="eastAsia" w:ascii="黑体" w:hAnsi="华文中宋" w:eastAsia="黑体"/>
          <w:color w:val="000000"/>
          <w:sz w:val="36"/>
          <w:szCs w:val="36"/>
        </w:rPr>
        <w:t>2017年</w:t>
      </w:r>
      <w:r>
        <w:rPr>
          <w:rFonts w:hint="eastAsia" w:ascii="黑体" w:hAnsi="华文中宋" w:eastAsia="黑体"/>
          <w:sz w:val="36"/>
          <w:szCs w:val="36"/>
        </w:rPr>
        <w:t>部门</w:t>
      </w:r>
      <w:r>
        <w:rPr>
          <w:rFonts w:hint="eastAsia" w:ascii="黑体" w:hAnsi="华文中宋" w:eastAsia="黑体"/>
          <w:color w:val="000000"/>
          <w:sz w:val="36"/>
          <w:szCs w:val="36"/>
        </w:rPr>
        <w:t xml:space="preserve">决算编制说明 </w:t>
      </w:r>
    </w:p>
    <w:p>
      <w:pPr>
        <w:spacing w:line="600" w:lineRule="exact"/>
        <w:jc w:val="center"/>
        <w:rPr>
          <w:rFonts w:ascii="宋体"/>
          <w:b/>
          <w:color w:val="000000"/>
          <w:sz w:val="44"/>
          <w:szCs w:val="44"/>
        </w:rPr>
      </w:pPr>
    </w:p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一、基本职能及主要工作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宣汉县土黄中学是一所山区高完中，建校于1956年，地理位置较为偏僻，基础设施较为薄弱，实验设备较为简陋。目前全校共有50个教学班，在校学生人数共3339人（其中初中学生1630人，高中学生1709人），在编教职工159人，特岗教师13人，门卫、宿舍管理员等临聘用人员9人。退休人员24人，遗嘱人员9人。学校占地面积32584平方米，校舍建筑面积24788平方米，固定资产总值3973万元。主要从事初中阶段、高中阶段教育、教学工作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宣汉县土黄中学经过几代人的艰苦奋斗，学校规模不断壮大，办学条件不断改善，办学特色不断彰显，教育质量不断提高，学校面貌焕然一新。2010年成功申创为“达州市示范高中”。</w:t>
      </w:r>
    </w:p>
    <w:p>
      <w:pPr>
        <w:spacing w:line="560" w:lineRule="exact"/>
        <w:ind w:firstLine="560" w:firstLineChars="200"/>
        <w:rPr>
          <w:rFonts w:ascii="黑体" w:eastAsia="黑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2017年，我校通过各级部门的关心、支持与帮助，学校各方面工作取得了较好的成绩，尤其高考再创辉煌，本科上线人数达236人，较2016年净增52人，其中：重本上线人数23人，高考成绩创本校新高，列全市同级同类农村高完中高考排名前茅。其他方面也得到长足发展，硬、软件设施不断完善，新修了教师周转宿舍。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二、收支决算总体情况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7年土黄中学本年收入合计3966.19万元，其中：财政拨款收入3868.65万元，占97.54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；事业收入67.73万元，占1.7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；其他收入29.81万元，占0.76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7年土黄中学本年支出合计3966.19万元，其中：基本支出2393.45万元，占60.34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；项目支出1572.74万元，占39.66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三、财政拨款收支决算情况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土黄中学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7年度财政拨款收支总决算3868.65万元。与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6年相比，财政拨款收、支总计各增加1146.38万元，增长42.11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四、一般公共预算财政拨款支出决算情况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（一）一般公共预算财政拨款支出决算总体情况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土黄中学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7年度一般公共预算财政拨款支出3868.65万元，占本年支出合计的97.54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。与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6年相比，一般公共预算财政拨款增加1146.38万元，增长42.11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（二）一般公共预算财政拨款支出决算结构情况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土黄中学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7年一般公共预算财政拨款支出3868.65万元，主要用于以下方面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sz w:val="32"/>
          <w:szCs w:val="32"/>
        </w:rPr>
        <w:t>教育支出3408.59万元，占88.12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；社会保障和就业支出244.69万元，占6.32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；医疗卫生支出76.87万元，占1.98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；住房保障支出138.5万元，占3.58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（三）一般公共预算财政拨款支出决算具体情况</w:t>
      </w:r>
    </w:p>
    <w:tbl>
      <w:tblPr>
        <w:tblStyle w:val="7"/>
        <w:tblW w:w="907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0" w:type="dxa"/>
            <w:shd w:val="clear" w:color="auto" w:fill="FFFFFF"/>
          </w:tcPr>
          <w:tbl>
            <w:tblPr>
              <w:tblStyle w:val="7"/>
              <w:tblW w:w="120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000"/>
            </w:tblGrid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Style w:val="7"/>
                    <w:tblW w:w="12000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00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widowControl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" w:hRule="atLeast"/>
                <w:tblCellSpacing w:w="0" w:type="dxa"/>
                <w:jc w:val="center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8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0" w:type="dxa"/>
            <w:shd w:val="clear" w:color="auto" w:fill="FFFFFF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7年决算数为3868.65万元，完成预算100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1.教育支出3408.59万元，完成预算100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，包括：初中教育支出524.70万元，高中教育支出：2877.89万元，教育费附加安排的支出：2.5万元，其他教育支出：3.5万元。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2.社会保障和就业支出244.69万元，完成预算100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，系事业单位离退休支出13.86万元，机关事业单位基本养老保险缴费支出：230.83万元。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3.医疗卫生支出76.87万元，完成预算100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，系事业单位医疗支出76.87万元。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4.住房保障支出138.5万元，完成预算100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，系住房公积金支出138.5万元。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五、一般公共预算财政拨款基本支出决算情况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土黄中学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7年一般公共预算财政拨款基本支出2322.48万元，其中：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人员经费2165.40万元，主要包括：基本工资867.31万元、津贴补贴211.32万元、绩效工资413.97万元、机关事业单位基本养老保险缴费230.83万元、其他社会保障缴费97.07万元、其他工资福利支出2.5万元、生活补助20.24万元、奖励金：183.66万元，住房公积金138.50万元。</w:t>
      </w:r>
      <w:r>
        <w:rPr>
          <w:rFonts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公用经费157.08万元，主要包括：办公费47.52万元、印刷费0.89万元、水费4.65万元、电费15.53万元、邮电费8.37万元、物业管理费12.6万元、差旅费15.09万元、维修（护）费21.40万元、会议费8.33万元、培训费9.08万元、公务接待费2.08万元、工会经费11.54万元。</w:t>
      </w:r>
    </w:p>
    <w:p>
      <w:pPr>
        <w:spacing w:line="600" w:lineRule="exac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六、“三公”经费财政拨款支出决算情况</w:t>
      </w:r>
    </w:p>
    <w:p>
      <w:pPr>
        <w:spacing w:line="600" w:lineRule="exact"/>
        <w:ind w:firstLine="64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（一）“三公”经费财政拨款支出决算总体情况说明</w:t>
      </w:r>
    </w:p>
    <w:p>
      <w:pPr>
        <w:spacing w:line="600" w:lineRule="exac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土黄中学</w:t>
      </w:r>
      <w:r>
        <w:rPr>
          <w:rFonts w:ascii="仿宋_GB2312" w:eastAsia="仿宋_GB2312"/>
          <w:color w:val="333333"/>
          <w:sz w:val="32"/>
          <w:szCs w:val="32"/>
        </w:rPr>
        <w:t>201</w:t>
      </w:r>
      <w:r>
        <w:rPr>
          <w:rFonts w:hint="eastAsia" w:ascii="仿宋_GB2312" w:eastAsia="仿宋_GB2312"/>
          <w:color w:val="333333"/>
          <w:sz w:val="32"/>
          <w:szCs w:val="32"/>
        </w:rPr>
        <w:t>7年度“三公”经费财政拨款支出决算为2.08万元，完成预算100</w:t>
      </w:r>
      <w:r>
        <w:rPr>
          <w:rFonts w:ascii="仿宋_GB2312" w:eastAsia="仿宋_GB2312"/>
          <w:color w:val="333333"/>
          <w:sz w:val="32"/>
          <w:szCs w:val="32"/>
        </w:rPr>
        <w:t>%</w:t>
      </w:r>
      <w:r>
        <w:rPr>
          <w:rFonts w:hint="eastAsia" w:ascii="仿宋_GB2312" w:eastAsia="仿宋_GB2312"/>
          <w:color w:val="333333"/>
          <w:sz w:val="32"/>
          <w:szCs w:val="32"/>
        </w:rPr>
        <w:t>，其中：公务接待费支出决算为2.08万元，完成预算100</w:t>
      </w:r>
      <w:r>
        <w:rPr>
          <w:rFonts w:ascii="仿宋_GB2312" w:eastAsia="仿宋_GB2312"/>
          <w:color w:val="333333"/>
          <w:sz w:val="32"/>
          <w:szCs w:val="32"/>
        </w:rPr>
        <w:t>%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  <w:r>
        <w:rPr>
          <w:rFonts w:ascii="仿宋_GB2312" w:eastAsia="仿宋_GB2312"/>
          <w:color w:val="333333"/>
          <w:sz w:val="32"/>
          <w:szCs w:val="32"/>
        </w:rPr>
        <w:t>201</w:t>
      </w:r>
      <w:r>
        <w:rPr>
          <w:rFonts w:hint="eastAsia" w:ascii="仿宋_GB2312" w:eastAsia="仿宋_GB2312"/>
          <w:color w:val="333333"/>
          <w:sz w:val="32"/>
          <w:szCs w:val="32"/>
        </w:rPr>
        <w:t>7年度“三公”经费支出决算数等于预算数的主要原因是加大了预算管理，严格控制开支规模与数量，做到量入为出，厉行节约。</w:t>
      </w:r>
    </w:p>
    <w:p>
      <w:pPr>
        <w:spacing w:line="600" w:lineRule="exac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201</w:t>
      </w:r>
      <w:r>
        <w:rPr>
          <w:rFonts w:hint="eastAsia" w:ascii="仿宋_GB2312" w:eastAsia="仿宋_GB2312"/>
          <w:color w:val="333333"/>
          <w:sz w:val="32"/>
          <w:szCs w:val="32"/>
        </w:rPr>
        <w:t>7年度“三公”经费财政拨款支出决算数比</w:t>
      </w:r>
      <w:r>
        <w:rPr>
          <w:rFonts w:ascii="仿宋_GB2312" w:eastAsia="仿宋_GB2312"/>
          <w:color w:val="333333"/>
          <w:sz w:val="32"/>
          <w:szCs w:val="32"/>
        </w:rPr>
        <w:t>201</w:t>
      </w:r>
      <w:r>
        <w:rPr>
          <w:rFonts w:hint="eastAsia" w:ascii="仿宋_GB2312" w:eastAsia="仿宋_GB2312"/>
          <w:color w:val="333333"/>
          <w:sz w:val="32"/>
          <w:szCs w:val="32"/>
        </w:rPr>
        <w:t>6年</w:t>
      </w:r>
      <w:r>
        <w:rPr>
          <w:rFonts w:hint="eastAsia" w:ascii="仿宋_GB2312" w:eastAsia="仿宋_GB2312"/>
          <w:color w:val="000000"/>
          <w:sz w:val="32"/>
          <w:szCs w:val="32"/>
        </w:rPr>
        <w:t>减少</w:t>
      </w:r>
      <w:r>
        <w:rPr>
          <w:rFonts w:hint="eastAsia" w:ascii="仿宋_GB2312" w:eastAsia="仿宋_GB2312"/>
          <w:color w:val="333333"/>
          <w:sz w:val="32"/>
          <w:szCs w:val="32"/>
        </w:rPr>
        <w:t>0.11万元，</w:t>
      </w:r>
      <w:r>
        <w:rPr>
          <w:rFonts w:hint="eastAsia" w:ascii="仿宋_GB2312" w:eastAsia="仿宋_GB2312"/>
          <w:color w:val="000000"/>
          <w:sz w:val="32"/>
          <w:szCs w:val="32"/>
        </w:rPr>
        <w:t>下降5.02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，其中：</w:t>
      </w:r>
      <w:r>
        <w:rPr>
          <w:rFonts w:hint="eastAsia" w:ascii="仿宋_GB2312" w:eastAsia="仿宋_GB2312"/>
          <w:color w:val="333333"/>
          <w:sz w:val="32"/>
          <w:szCs w:val="32"/>
        </w:rPr>
        <w:t>公务接待费支出决算</w:t>
      </w:r>
      <w:r>
        <w:rPr>
          <w:rFonts w:hint="eastAsia" w:ascii="仿宋_GB2312" w:eastAsia="仿宋_GB2312"/>
          <w:color w:val="000000"/>
          <w:sz w:val="32"/>
          <w:szCs w:val="32"/>
        </w:rPr>
        <w:t>减少</w:t>
      </w:r>
      <w:r>
        <w:rPr>
          <w:rFonts w:hint="eastAsia" w:ascii="仿宋_GB2312" w:eastAsia="仿宋_GB2312"/>
          <w:color w:val="333333"/>
          <w:sz w:val="32"/>
          <w:szCs w:val="32"/>
        </w:rPr>
        <w:t>0.11万元，</w:t>
      </w:r>
      <w:r>
        <w:rPr>
          <w:rFonts w:hint="eastAsia" w:ascii="仿宋_GB2312" w:eastAsia="仿宋_GB2312"/>
          <w:color w:val="000000"/>
          <w:sz w:val="32"/>
          <w:szCs w:val="32"/>
        </w:rPr>
        <w:t>下降5.02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333333"/>
          <w:sz w:val="32"/>
          <w:szCs w:val="32"/>
        </w:rPr>
        <w:t>。增减变动的主要原因加大了预算管理，严格控制开支规模与数量，做到量入为出，厉行节约。</w:t>
      </w:r>
    </w:p>
    <w:p>
      <w:pPr>
        <w:spacing w:line="600" w:lineRule="exact"/>
        <w:ind w:firstLine="640"/>
        <w:rPr>
          <w:rFonts w:ascii="仿宋_GB2312" w:eastAsia="仿宋_GB2312"/>
          <w:b/>
          <w:color w:val="333333"/>
          <w:sz w:val="32"/>
          <w:szCs w:val="32"/>
        </w:rPr>
      </w:pPr>
      <w:r>
        <w:rPr>
          <w:rFonts w:hint="eastAsia" w:ascii="仿宋_GB2312" w:eastAsia="仿宋_GB2312"/>
          <w:b/>
          <w:color w:val="333333"/>
          <w:sz w:val="32"/>
          <w:szCs w:val="32"/>
        </w:rPr>
        <w:t>（二）“三公”经费财政拨款支出决算具体情况说明</w:t>
      </w:r>
    </w:p>
    <w:p>
      <w:pPr>
        <w:spacing w:line="600" w:lineRule="exac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201</w:t>
      </w:r>
      <w:r>
        <w:rPr>
          <w:rFonts w:hint="eastAsia" w:ascii="仿宋_GB2312" w:eastAsia="仿宋_GB2312"/>
          <w:color w:val="333333"/>
          <w:sz w:val="32"/>
          <w:szCs w:val="32"/>
        </w:rPr>
        <w:t>7年度“三公”经费财政拨款支出决算中，公务接待费支出决算2.08万元，</w:t>
      </w:r>
      <w:r>
        <w:rPr>
          <w:rFonts w:hint="eastAsia" w:ascii="仿宋_GB2312" w:eastAsia="仿宋_GB2312"/>
          <w:color w:val="000000"/>
          <w:sz w:val="32"/>
          <w:szCs w:val="32"/>
        </w:rPr>
        <w:t>占100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7年公务接待费2.08万元。主要用于执行公务、开展业务活动开支的住宿费、用餐费等。国内公务接待442批次，1280人，共计支出2.08万元，主要是接待上级各部门检查指导学校工作而开支的招待费。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4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2017年度政府性基金预算拨款支出0万元。</w:t>
      </w:r>
    </w:p>
    <w:p>
      <w:pPr>
        <w:spacing w:line="600" w:lineRule="exact"/>
        <w:ind w:firstLine="64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八、国有资本经营预算支出决算情况说明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2017年度国有资本经营预算拨款支出0万元。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九、预算绩效情况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按照预算绩效管理要求，本部门对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7年一般公共预算项目支出开展了绩效目标管理，共编制绩效目标17个，涉及财政资金3868.65万元，覆盖率达到100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。开展了整体支出绩效自评和项目绩效自评，得分分别为94分和97分、主要存在的问题是预算编制及执行还不够规范。今后必须做到严格预算管理，严格按预算管理规程开支。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2017年部门整体支出绩效评价得分表</w:t>
      </w:r>
    </w:p>
    <w:tbl>
      <w:tblPr>
        <w:tblStyle w:val="7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3402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部门决策（25分）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目标任务（15分）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相关性（5分）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明确性（5分）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合理性（5分）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预算编制（10分）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测算依据（5分）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目标管理（5分）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综合管理（30分）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专项资金分配时限（2分）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省级财力专项预算分配时限（1分）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中央专款分配合规率（1分）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中期评估（2分）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执行中期评估（2分）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绩效监控（5分）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预算执行进度监控（2分）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绩效目标动态监控（3分）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非税收入执收情况（2分）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非税收入征收情况（1分）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非税收入上缴情况（1分）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资产管理（6分）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资产管理信息化情况（2分）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行政事业单位资产报告情况（2分）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资产管理与预算管理相结合（2分）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内控制度管理（2分）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内部控制度健全完整（2分）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信息公开（6分）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预算公开（2分）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决算公开（2分）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绩效信息公开（2分）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绩效评价（5分）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绩效评价开展（2分）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评价结果应用（3分）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部门绩效情况（45分）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履职成效（20分）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部门特性指标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可持续发展能力（15分）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重点改革（重点工作）完成情况（5分）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科技（制度、方法、机制等）创新（5分）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人才培养（5分）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满意度（10分）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协作部门满意度（3分）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管理对象满意度（3分）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社会公众满意度（4分）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rPr>
          <w:color w:val="000000"/>
        </w:rPr>
      </w:pPr>
    </w:p>
    <w:p>
      <w:pPr>
        <w:spacing w:line="600" w:lineRule="atLeas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2017年项目支出绩效评价得分表</w:t>
      </w:r>
    </w:p>
    <w:tbl>
      <w:tblPr>
        <w:tblStyle w:val="7"/>
        <w:tblW w:w="9888" w:type="dxa"/>
        <w:jc w:val="center"/>
        <w:tblInd w:w="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113"/>
        <w:gridCol w:w="3535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单位名称/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270" w:type="dxa"/>
            <w:gridSpan w:val="4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（20分）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项目决策</w:t>
            </w:r>
          </w:p>
        </w:tc>
        <w:tc>
          <w:tcPr>
            <w:tcW w:w="2113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（10分）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科学决策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必要性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（政策依据)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可行性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（政策完善）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（10）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绩效目标    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明确性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合理性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18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（10分）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2113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（7分）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资金分配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资金使用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（3分）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项目执行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执行规范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18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（特性指标70分）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项目绩效  </w:t>
            </w:r>
          </w:p>
        </w:tc>
        <w:tc>
          <w:tcPr>
            <w:tcW w:w="2113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项目完成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完成数量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完成质量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完成时效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完成成本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（50分）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项目效益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经济效益（可选项）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社会效益（可选项）</w:t>
            </w: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生态效益（可选项）</w:t>
            </w: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可持续效益（可选项）</w:t>
            </w: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公平效率（可选项）</w:t>
            </w: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使用效率（可选项）</w:t>
            </w: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服务对象满意度    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1" w:type="dxa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70" w:type="dxa"/>
            <w:gridSpan w:val="4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97</w:t>
            </w:r>
          </w:p>
        </w:tc>
      </w:tr>
    </w:tbl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tLeast"/>
        <w:ind w:left="7038" w:leftChars="304" w:hanging="6400" w:hanging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2018.09.03  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C"/>
    <w:rsid w:val="00003013"/>
    <w:rsid w:val="00017B74"/>
    <w:rsid w:val="00071DCE"/>
    <w:rsid w:val="00082F15"/>
    <w:rsid w:val="00084F28"/>
    <w:rsid w:val="000875B4"/>
    <w:rsid w:val="000B047F"/>
    <w:rsid w:val="000B5A48"/>
    <w:rsid w:val="000C3CA6"/>
    <w:rsid w:val="000D5782"/>
    <w:rsid w:val="000E63D4"/>
    <w:rsid w:val="000F68F6"/>
    <w:rsid w:val="001007A6"/>
    <w:rsid w:val="001200CD"/>
    <w:rsid w:val="00121ED0"/>
    <w:rsid w:val="0014729F"/>
    <w:rsid w:val="001660F0"/>
    <w:rsid w:val="00191536"/>
    <w:rsid w:val="00193FC1"/>
    <w:rsid w:val="00197914"/>
    <w:rsid w:val="001C02F2"/>
    <w:rsid w:val="00236BFA"/>
    <w:rsid w:val="00253703"/>
    <w:rsid w:val="00260C38"/>
    <w:rsid w:val="002B08FE"/>
    <w:rsid w:val="002E21E0"/>
    <w:rsid w:val="002E24FC"/>
    <w:rsid w:val="0030546C"/>
    <w:rsid w:val="00305894"/>
    <w:rsid w:val="00316B0C"/>
    <w:rsid w:val="00367CED"/>
    <w:rsid w:val="0037013F"/>
    <w:rsid w:val="00377601"/>
    <w:rsid w:val="00391604"/>
    <w:rsid w:val="003A484F"/>
    <w:rsid w:val="003A7DDB"/>
    <w:rsid w:val="003B0C1B"/>
    <w:rsid w:val="003E12FE"/>
    <w:rsid w:val="003E56B1"/>
    <w:rsid w:val="003F22F5"/>
    <w:rsid w:val="00402639"/>
    <w:rsid w:val="00422268"/>
    <w:rsid w:val="00422D04"/>
    <w:rsid w:val="00424723"/>
    <w:rsid w:val="00453826"/>
    <w:rsid w:val="00471B24"/>
    <w:rsid w:val="00487CC0"/>
    <w:rsid w:val="004A3DE7"/>
    <w:rsid w:val="004B41EB"/>
    <w:rsid w:val="004C02DA"/>
    <w:rsid w:val="004D119C"/>
    <w:rsid w:val="00510CFC"/>
    <w:rsid w:val="00530BB9"/>
    <w:rsid w:val="00544C05"/>
    <w:rsid w:val="0055704D"/>
    <w:rsid w:val="00574590"/>
    <w:rsid w:val="00575272"/>
    <w:rsid w:val="0058486E"/>
    <w:rsid w:val="00597B60"/>
    <w:rsid w:val="005A0F6F"/>
    <w:rsid w:val="005B0D70"/>
    <w:rsid w:val="005C6B04"/>
    <w:rsid w:val="005D5CED"/>
    <w:rsid w:val="00607E6C"/>
    <w:rsid w:val="00612147"/>
    <w:rsid w:val="00651FA4"/>
    <w:rsid w:val="0066081C"/>
    <w:rsid w:val="0066343B"/>
    <w:rsid w:val="00683754"/>
    <w:rsid w:val="0068457C"/>
    <w:rsid w:val="006A0AB7"/>
    <w:rsid w:val="006A3066"/>
    <w:rsid w:val="006C3897"/>
    <w:rsid w:val="0070084B"/>
    <w:rsid w:val="007255F5"/>
    <w:rsid w:val="007316C4"/>
    <w:rsid w:val="0076182A"/>
    <w:rsid w:val="00767B7E"/>
    <w:rsid w:val="007770C3"/>
    <w:rsid w:val="007825D7"/>
    <w:rsid w:val="00782AB3"/>
    <w:rsid w:val="00793529"/>
    <w:rsid w:val="00794588"/>
    <w:rsid w:val="007A04D7"/>
    <w:rsid w:val="007A5445"/>
    <w:rsid w:val="007B1F80"/>
    <w:rsid w:val="007C63D5"/>
    <w:rsid w:val="007D1B2B"/>
    <w:rsid w:val="007D7FA5"/>
    <w:rsid w:val="00800112"/>
    <w:rsid w:val="008434F8"/>
    <w:rsid w:val="00855570"/>
    <w:rsid w:val="00871979"/>
    <w:rsid w:val="00871F71"/>
    <w:rsid w:val="008A4A09"/>
    <w:rsid w:val="008B69B8"/>
    <w:rsid w:val="008F0346"/>
    <w:rsid w:val="00906D8F"/>
    <w:rsid w:val="00907861"/>
    <w:rsid w:val="009320F4"/>
    <w:rsid w:val="009445E5"/>
    <w:rsid w:val="00951248"/>
    <w:rsid w:val="0095152F"/>
    <w:rsid w:val="00953296"/>
    <w:rsid w:val="0096085E"/>
    <w:rsid w:val="00971FFC"/>
    <w:rsid w:val="0098530E"/>
    <w:rsid w:val="0099661F"/>
    <w:rsid w:val="009B4EAE"/>
    <w:rsid w:val="009B7573"/>
    <w:rsid w:val="009D3447"/>
    <w:rsid w:val="009D7E9B"/>
    <w:rsid w:val="00A307CD"/>
    <w:rsid w:val="00A35A11"/>
    <w:rsid w:val="00A36AB3"/>
    <w:rsid w:val="00A62661"/>
    <w:rsid w:val="00A67F54"/>
    <w:rsid w:val="00A9015A"/>
    <w:rsid w:val="00AA3425"/>
    <w:rsid w:val="00AA45F2"/>
    <w:rsid w:val="00AB4C40"/>
    <w:rsid w:val="00AE6E26"/>
    <w:rsid w:val="00B03C9D"/>
    <w:rsid w:val="00B10517"/>
    <w:rsid w:val="00B310B9"/>
    <w:rsid w:val="00B3629B"/>
    <w:rsid w:val="00B51141"/>
    <w:rsid w:val="00B85D79"/>
    <w:rsid w:val="00BE190A"/>
    <w:rsid w:val="00BE1E86"/>
    <w:rsid w:val="00BF58EE"/>
    <w:rsid w:val="00C03E31"/>
    <w:rsid w:val="00C136FB"/>
    <w:rsid w:val="00C21AB5"/>
    <w:rsid w:val="00C2771C"/>
    <w:rsid w:val="00C35162"/>
    <w:rsid w:val="00C35554"/>
    <w:rsid w:val="00C37D7E"/>
    <w:rsid w:val="00C51C1D"/>
    <w:rsid w:val="00C533CC"/>
    <w:rsid w:val="00C62B85"/>
    <w:rsid w:val="00C7520B"/>
    <w:rsid w:val="00CA5D44"/>
    <w:rsid w:val="00CC09B6"/>
    <w:rsid w:val="00CC2F06"/>
    <w:rsid w:val="00CE7B61"/>
    <w:rsid w:val="00D0280C"/>
    <w:rsid w:val="00D06C40"/>
    <w:rsid w:val="00D15CD7"/>
    <w:rsid w:val="00D52BAD"/>
    <w:rsid w:val="00D63213"/>
    <w:rsid w:val="00D96AD7"/>
    <w:rsid w:val="00DA6FDD"/>
    <w:rsid w:val="00DB3DA4"/>
    <w:rsid w:val="00DC3E14"/>
    <w:rsid w:val="00DC410D"/>
    <w:rsid w:val="00DF0DDF"/>
    <w:rsid w:val="00DF560E"/>
    <w:rsid w:val="00E34066"/>
    <w:rsid w:val="00E60C9D"/>
    <w:rsid w:val="00E7248B"/>
    <w:rsid w:val="00E82267"/>
    <w:rsid w:val="00E95FE6"/>
    <w:rsid w:val="00EA1EA1"/>
    <w:rsid w:val="00EB16B1"/>
    <w:rsid w:val="00EC7790"/>
    <w:rsid w:val="00ED1B63"/>
    <w:rsid w:val="00ED30A7"/>
    <w:rsid w:val="00EE2209"/>
    <w:rsid w:val="00EE251A"/>
    <w:rsid w:val="00EE5BE1"/>
    <w:rsid w:val="00EF1344"/>
    <w:rsid w:val="00EF4C34"/>
    <w:rsid w:val="00EF7788"/>
    <w:rsid w:val="00F00F08"/>
    <w:rsid w:val="00F1361C"/>
    <w:rsid w:val="00F160C7"/>
    <w:rsid w:val="00F43192"/>
    <w:rsid w:val="00F61FE4"/>
    <w:rsid w:val="00FA14D5"/>
    <w:rsid w:val="00FC067D"/>
    <w:rsid w:val="00FC6FAC"/>
    <w:rsid w:val="00FD53DE"/>
    <w:rsid w:val="00FE4E34"/>
    <w:rsid w:val="00FF1E02"/>
    <w:rsid w:val="00FF3BC7"/>
    <w:rsid w:val="00FF4F5E"/>
    <w:rsid w:val="6D1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semiHidden/>
    <w:locked/>
    <w:uiPriority w:val="99"/>
    <w:rPr>
      <w:sz w:val="18"/>
    </w:rPr>
  </w:style>
  <w:style w:type="character" w:customStyle="1" w:styleId="9">
    <w:name w:val="页脚 Char"/>
    <w:basedOn w:val="5"/>
    <w:link w:val="3"/>
    <w:locked/>
    <w:uiPriority w:val="99"/>
    <w:rPr>
      <w:sz w:val="18"/>
    </w:rPr>
  </w:style>
  <w:style w:type="character" w:customStyle="1" w:styleId="10">
    <w:name w:val="正文文本 Char"/>
    <w:basedOn w:val="5"/>
    <w:link w:val="2"/>
    <w:locked/>
    <w:uiPriority w:val="99"/>
    <w:rPr>
      <w:rFonts w:ascii="仿宋_GB2312" w:hAnsi="Times New Roman" w:eastAsia="仿宋_GB2312"/>
      <w:sz w:val="24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四川省财政厅</Company>
  <Pages>7</Pages>
  <Words>543</Words>
  <Characters>3097</Characters>
  <Lines>25</Lines>
  <Paragraphs>7</Paragraphs>
  <TotalTime>382</TotalTime>
  <ScaleCrop>false</ScaleCrop>
  <LinksUpToDate>false</LinksUpToDate>
  <CharactersWithSpaces>3633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2017-08-07T01:48:00Z</dcterms:created>
  <dc:creator>张彬茜</dc:creator>
  <cp:lastModifiedBy>椿堞</cp:lastModifiedBy>
  <cp:lastPrinted>2017-08-03T09:26:00Z</cp:lastPrinted>
  <dcterms:modified xsi:type="dcterms:W3CDTF">2018-09-04T09:14:58Z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