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华文中宋" w:eastAsia="黑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黑体" w:hAnsi="华文中宋" w:eastAsia="黑体"/>
          <w:color w:val="000000"/>
          <w:sz w:val="36"/>
          <w:szCs w:val="36"/>
        </w:rPr>
        <w:t>宣汉县土黄中学</w:t>
      </w:r>
    </w:p>
    <w:p>
      <w:pPr>
        <w:spacing w:line="600" w:lineRule="exact"/>
        <w:jc w:val="center"/>
        <w:rPr>
          <w:rFonts w:ascii="黑体" w:hAnsi="华文中宋" w:eastAsia="黑体"/>
          <w:color w:val="000000"/>
          <w:sz w:val="36"/>
          <w:szCs w:val="36"/>
        </w:rPr>
      </w:pPr>
      <w:r>
        <w:rPr>
          <w:rFonts w:hint="eastAsia" w:ascii="黑体" w:hAnsi="华文中宋" w:eastAsia="黑体"/>
          <w:color w:val="000000"/>
          <w:sz w:val="36"/>
          <w:szCs w:val="36"/>
        </w:rPr>
        <w:t>2017年</w:t>
      </w:r>
      <w:r>
        <w:rPr>
          <w:rFonts w:hint="eastAsia" w:ascii="黑体" w:hAnsi="华文中宋" w:eastAsia="黑体"/>
          <w:sz w:val="36"/>
          <w:szCs w:val="36"/>
        </w:rPr>
        <w:t>部门</w:t>
      </w:r>
      <w:r>
        <w:rPr>
          <w:rFonts w:hint="eastAsia" w:ascii="黑体" w:hAnsi="华文中宋" w:eastAsia="黑体"/>
          <w:color w:val="000000"/>
          <w:sz w:val="36"/>
          <w:szCs w:val="36"/>
        </w:rPr>
        <w:t xml:space="preserve">决算编制说明 </w:t>
      </w:r>
    </w:p>
    <w:p>
      <w:pPr>
        <w:spacing w:line="600" w:lineRule="exact"/>
        <w:jc w:val="center"/>
        <w:rPr>
          <w:rFonts w:ascii="宋体"/>
          <w:b/>
          <w:color w:val="000000"/>
          <w:sz w:val="44"/>
          <w:szCs w:val="44"/>
        </w:rPr>
      </w:pPr>
    </w:p>
    <w:p>
      <w:pPr>
        <w:spacing w:line="56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一、基本职能及主要工作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宣汉县土黄中学是一所山区高完中，建校于1956年，地理位置较为偏僻，基础设施较为薄弱，实验设备较为简陋。目前全校共有50个教学班，在校学生人数共3339人（其中初中学生1630人，高中学生1709人），在编教职工159人，特岗教师13人，门卫、宿舍管理员等临聘用人员9人。退休人员24人，遗嘱人员9人。学校占地面积32584平方米，校舍建筑面积24788平方米，固定资产总值3973万元。主要从事初中阶段、高中阶段教育、教学工作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宣汉县土黄中学经过几代人的艰苦奋斗，学校规模不断壮大，办学条件不断改善，办学特色不断彰显，教育质量不断提高，学校面貌焕然一新。2010年成功申创为“达州市示范高中”。</w:t>
      </w:r>
    </w:p>
    <w:p>
      <w:pPr>
        <w:spacing w:line="560" w:lineRule="exact"/>
        <w:ind w:firstLine="560" w:firstLineChars="200"/>
        <w:rPr>
          <w:rFonts w:ascii="黑体" w:eastAsia="黑体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2017年，我校通过各级部门的关心、支持与帮助，学校各方面工作取得了较好的成绩，尤其高考再创辉煌，本科上线人数达236人，较2016年净增52人，其中：重本上线人数23人，高考成绩创本校新高，列全市同级同类农村高完中高考排名前茅。其他方面也得到长足发展，硬、软件设施不断完善，新修了教师周转宿舍。</w:t>
      </w:r>
    </w:p>
    <w:p>
      <w:pPr>
        <w:spacing w:line="60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二、收支决算总体情况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</w:rPr>
        <w:t>7年土黄中学本年收入合计3966.19万元，其中：财政拨款收入3868.65万元，占97.54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；事业收入67.73万元，占1.7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；其他收入29.81万元，占0.76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</w:rPr>
        <w:t>7年土黄中学本年支出合计3966.19万元，其中：基本支出2393.45万元，占60.34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；项目支出1572.74万元，占39.66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.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三、财政拨款收支决算情况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土黄中学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</w:rPr>
        <w:t>7年度财政拨款收支总决算3868.65万元。与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</w:rPr>
        <w:t>6年相比，财政拨款收、支总计各增加1146.38万元，增长42.11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四、一般公共预算财政拨款支出决算情况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（一）一般公共预算财政拨款支出决算总体情况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土黄中学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</w:rPr>
        <w:t>7年度一般公共预算财政拨款支出3868.65万元，占本年支出合计的97.54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。与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</w:rPr>
        <w:t>6年相比，一般公共预算财政拨款增加1146.38万元，增长42.11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（二）一般公共预算财政拨款支出决算结构情况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土黄中学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</w:rPr>
        <w:t>7年一般公共预算财政拨款支出3868.65万元，主要用于以下方面</w:t>
      </w:r>
      <w:r>
        <w:rPr>
          <w:rFonts w:ascii="仿宋_GB2312" w:eastAsia="仿宋_GB2312"/>
          <w:color w:val="000000"/>
          <w:sz w:val="32"/>
          <w:szCs w:val="32"/>
        </w:rPr>
        <w:t>:</w:t>
      </w:r>
      <w:r>
        <w:rPr>
          <w:rFonts w:hint="eastAsia" w:ascii="仿宋_GB2312" w:eastAsia="仿宋_GB2312"/>
          <w:color w:val="000000"/>
          <w:sz w:val="32"/>
          <w:szCs w:val="32"/>
        </w:rPr>
        <w:t>教育支出3408.59万元，占88.12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；社会保障和就业支出244.69万元，占6.32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；医疗卫生支出76.87万元，占1.98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；住房保障支出138.5万元，占3.58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；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（三）一般公共预算财政拨款支出决算具体情况</w:t>
      </w:r>
    </w:p>
    <w:tbl>
      <w:tblPr>
        <w:tblStyle w:val="7"/>
        <w:tblW w:w="9070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70" w:type="dxa"/>
            <w:shd w:val="clear" w:color="auto" w:fill="FFFFFF"/>
          </w:tcPr>
          <w:tbl>
            <w:tblPr>
              <w:tblStyle w:val="7"/>
              <w:tblW w:w="12000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000"/>
            </w:tblGrid>
            <w:tr>
              <w:tblPrEx>
                <w:tblLayout w:type="fixed"/>
              </w:tblPrEx>
              <w:trPr>
                <w:tblCellSpacing w:w="0" w:type="dxa"/>
                <w:jc w:val="center"/>
              </w:trPr>
              <w:tc>
                <w:tcPr>
                  <w:tcW w:w="1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tbl>
                  <w:tblPr>
                    <w:tblStyle w:val="7"/>
                    <w:tblW w:w="12000" w:type="dxa"/>
                    <w:tblCellSpacing w:w="0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000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2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widowControl/>
                          <w:jc w:val="left"/>
                          <w:rPr>
                            <w:rFonts w:asci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 w:hRule="atLeast"/>
                <w:tblCellSpacing w:w="0" w:type="dxa"/>
                <w:jc w:val="center"/>
              </w:trPr>
              <w:tc>
                <w:tcPr>
                  <w:tcW w:w="12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8"/>
                      <w:szCs w:val="21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70" w:type="dxa"/>
            <w:shd w:val="clear" w:color="auto" w:fill="FFFFFF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</w:rPr>
        <w:t>7年决算数为3868.65万元，完成预算100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，其中：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1.教育支出3408.59万元，完成预算100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，包括：初中教育支出524.70万元，高中教育支出：2877.89万元，教育费附加安排的支出：2.5万元，其他教育支出：3.5万元。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2.社会保障和就业支出244.69万元，完成预算100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，系事业单位离退休支出13.86万元，机关事业单位基本养老保险缴费支出：230.83万元。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3.医疗卫生支出76.87万元，完成预算100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，系事业单位医疗支出76.87万元。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4.住房保障支出138.5万元，完成预算100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，系住房公积金支出138.5万元。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</w:p>
    <w:p>
      <w:pPr>
        <w:spacing w:line="600" w:lineRule="exact"/>
        <w:ind w:firstLine="64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五、一般公共预算财政拨款基本支出决算情况</w:t>
      </w:r>
    </w:p>
    <w:p>
      <w:pPr>
        <w:spacing w:line="60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土黄中学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</w:rPr>
        <w:t>7年一般公共预算财政拨款基本支出2322.48万元，其中：</w:t>
      </w:r>
    </w:p>
    <w:p>
      <w:pPr>
        <w:spacing w:line="60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人员经费2165.40万元，主要包括：基本工资867.31万元、津贴补贴211.32万元、绩效工资413.97万元、机关事业单位基本养老保险缴费230.83万元、其他社会保障缴费97.07万元、其他工资福利支出2.5万元、生活补助20.24万元、奖励金：183.66万元，住房公积金138.50万元。</w:t>
      </w:r>
      <w:r>
        <w:rPr>
          <w:rFonts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>　　公用经费157.08万元，主要包括：办公费47.52万元、印刷费0.89万元、水费4.65万元、电费15.53万元、邮电费8.37万元、物业管理费12.6万元、差旅费15.09万元、维修（护）费21.40万元、会议费8.33万元、培训费9.08万元、公务接待费2.08万元、工会经费11.54万元。</w:t>
      </w:r>
    </w:p>
    <w:p>
      <w:pPr>
        <w:spacing w:line="600" w:lineRule="exact"/>
        <w:ind w:firstLine="64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六、“三公”经费财政拨款支出决算情况</w:t>
      </w:r>
    </w:p>
    <w:p>
      <w:pPr>
        <w:spacing w:line="600" w:lineRule="exact"/>
        <w:ind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（一）“三公”经费财政拨款支出决算总体情况说明</w:t>
      </w:r>
    </w:p>
    <w:p>
      <w:pPr>
        <w:spacing w:line="600" w:lineRule="exact"/>
        <w:ind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土黄中学</w:t>
      </w:r>
      <w:r>
        <w:rPr>
          <w:rFonts w:ascii="仿宋_GB2312" w:eastAsia="仿宋_GB2312"/>
          <w:color w:val="333333"/>
          <w:sz w:val="32"/>
          <w:szCs w:val="32"/>
        </w:rPr>
        <w:t>201</w:t>
      </w:r>
      <w:r>
        <w:rPr>
          <w:rFonts w:hint="eastAsia" w:ascii="仿宋_GB2312" w:eastAsia="仿宋_GB2312"/>
          <w:color w:val="333333"/>
          <w:sz w:val="32"/>
          <w:szCs w:val="32"/>
        </w:rPr>
        <w:t>7年度“三公”经费财政拨款支出决算为2.08万元，完成预算100</w:t>
      </w:r>
      <w:r>
        <w:rPr>
          <w:rFonts w:ascii="仿宋_GB2312" w:eastAsia="仿宋_GB2312"/>
          <w:color w:val="333333"/>
          <w:sz w:val="32"/>
          <w:szCs w:val="32"/>
        </w:rPr>
        <w:t>%</w:t>
      </w:r>
      <w:r>
        <w:rPr>
          <w:rFonts w:hint="eastAsia" w:ascii="仿宋_GB2312" w:eastAsia="仿宋_GB2312"/>
          <w:color w:val="333333"/>
          <w:sz w:val="32"/>
          <w:szCs w:val="32"/>
        </w:rPr>
        <w:t>，其中：公务接待费支出决算为2.08万元，完成预算100</w:t>
      </w:r>
      <w:r>
        <w:rPr>
          <w:rFonts w:ascii="仿宋_GB2312" w:eastAsia="仿宋_GB2312"/>
          <w:color w:val="333333"/>
          <w:sz w:val="32"/>
          <w:szCs w:val="32"/>
        </w:rPr>
        <w:t>%</w:t>
      </w:r>
      <w:r>
        <w:rPr>
          <w:rFonts w:hint="eastAsia" w:ascii="仿宋_GB2312" w:eastAsia="仿宋_GB2312"/>
          <w:color w:val="333333"/>
          <w:sz w:val="32"/>
          <w:szCs w:val="32"/>
        </w:rPr>
        <w:t>。</w:t>
      </w:r>
      <w:r>
        <w:rPr>
          <w:rFonts w:ascii="仿宋_GB2312" w:eastAsia="仿宋_GB2312"/>
          <w:color w:val="333333"/>
          <w:sz w:val="32"/>
          <w:szCs w:val="32"/>
        </w:rPr>
        <w:t>201</w:t>
      </w:r>
      <w:r>
        <w:rPr>
          <w:rFonts w:hint="eastAsia" w:ascii="仿宋_GB2312" w:eastAsia="仿宋_GB2312"/>
          <w:color w:val="333333"/>
          <w:sz w:val="32"/>
          <w:szCs w:val="32"/>
        </w:rPr>
        <w:t>7年度“三公”经费支出决算数等于预算数的主要原因是加大了预算管理，严格控制开支规模与数量，做到量入为出，厉行节约。</w:t>
      </w:r>
    </w:p>
    <w:p>
      <w:pPr>
        <w:spacing w:line="600" w:lineRule="exact"/>
        <w:ind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/>
          <w:color w:val="333333"/>
          <w:sz w:val="32"/>
          <w:szCs w:val="32"/>
        </w:rPr>
        <w:t>201</w:t>
      </w:r>
      <w:r>
        <w:rPr>
          <w:rFonts w:hint="eastAsia" w:ascii="仿宋_GB2312" w:eastAsia="仿宋_GB2312"/>
          <w:color w:val="333333"/>
          <w:sz w:val="32"/>
          <w:szCs w:val="32"/>
        </w:rPr>
        <w:t>7年度“三公”经费财政拨款支出决算数比</w:t>
      </w:r>
      <w:r>
        <w:rPr>
          <w:rFonts w:ascii="仿宋_GB2312" w:eastAsia="仿宋_GB2312"/>
          <w:color w:val="333333"/>
          <w:sz w:val="32"/>
          <w:szCs w:val="32"/>
        </w:rPr>
        <w:t>201</w:t>
      </w:r>
      <w:r>
        <w:rPr>
          <w:rFonts w:hint="eastAsia" w:ascii="仿宋_GB2312" w:eastAsia="仿宋_GB2312"/>
          <w:color w:val="333333"/>
          <w:sz w:val="32"/>
          <w:szCs w:val="32"/>
        </w:rPr>
        <w:t>6年</w:t>
      </w:r>
      <w:r>
        <w:rPr>
          <w:rFonts w:hint="eastAsia" w:ascii="仿宋_GB2312" w:eastAsia="仿宋_GB2312"/>
          <w:color w:val="000000"/>
          <w:sz w:val="32"/>
          <w:szCs w:val="32"/>
        </w:rPr>
        <w:t>减少</w:t>
      </w:r>
      <w:r>
        <w:rPr>
          <w:rFonts w:hint="eastAsia" w:ascii="仿宋_GB2312" w:eastAsia="仿宋_GB2312"/>
          <w:color w:val="333333"/>
          <w:sz w:val="32"/>
          <w:szCs w:val="32"/>
        </w:rPr>
        <w:t>0.11万元，</w:t>
      </w:r>
      <w:r>
        <w:rPr>
          <w:rFonts w:hint="eastAsia" w:ascii="仿宋_GB2312" w:eastAsia="仿宋_GB2312"/>
          <w:color w:val="000000"/>
          <w:sz w:val="32"/>
          <w:szCs w:val="32"/>
        </w:rPr>
        <w:t>下降5.02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，其中：</w:t>
      </w:r>
      <w:r>
        <w:rPr>
          <w:rFonts w:hint="eastAsia" w:ascii="仿宋_GB2312" w:eastAsia="仿宋_GB2312"/>
          <w:color w:val="333333"/>
          <w:sz w:val="32"/>
          <w:szCs w:val="32"/>
        </w:rPr>
        <w:t>公务接待费支出决算</w:t>
      </w:r>
      <w:r>
        <w:rPr>
          <w:rFonts w:hint="eastAsia" w:ascii="仿宋_GB2312" w:eastAsia="仿宋_GB2312"/>
          <w:color w:val="000000"/>
          <w:sz w:val="32"/>
          <w:szCs w:val="32"/>
        </w:rPr>
        <w:t>减少</w:t>
      </w:r>
      <w:r>
        <w:rPr>
          <w:rFonts w:hint="eastAsia" w:ascii="仿宋_GB2312" w:eastAsia="仿宋_GB2312"/>
          <w:color w:val="333333"/>
          <w:sz w:val="32"/>
          <w:szCs w:val="32"/>
        </w:rPr>
        <w:t>0.11万元，</w:t>
      </w:r>
      <w:r>
        <w:rPr>
          <w:rFonts w:hint="eastAsia" w:ascii="仿宋_GB2312" w:eastAsia="仿宋_GB2312"/>
          <w:color w:val="000000"/>
          <w:sz w:val="32"/>
          <w:szCs w:val="32"/>
        </w:rPr>
        <w:t>下降5.02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333333"/>
          <w:sz w:val="32"/>
          <w:szCs w:val="32"/>
        </w:rPr>
        <w:t>。增减变动的主要原因加大了预算管理，严格控制开支规模与数量，做到量入为出，厉行节约。</w:t>
      </w:r>
    </w:p>
    <w:p>
      <w:pPr>
        <w:spacing w:line="600" w:lineRule="exact"/>
        <w:ind w:firstLine="640"/>
        <w:rPr>
          <w:rFonts w:ascii="仿宋_GB2312" w:eastAsia="仿宋_GB2312"/>
          <w:b/>
          <w:color w:val="333333"/>
          <w:sz w:val="32"/>
          <w:szCs w:val="32"/>
        </w:rPr>
      </w:pPr>
      <w:r>
        <w:rPr>
          <w:rFonts w:hint="eastAsia" w:ascii="仿宋_GB2312" w:eastAsia="仿宋_GB2312"/>
          <w:b/>
          <w:color w:val="333333"/>
          <w:sz w:val="32"/>
          <w:szCs w:val="32"/>
        </w:rPr>
        <w:t>（二）“三公”经费财政拨款支出决算具体情况说明</w:t>
      </w:r>
    </w:p>
    <w:p>
      <w:pPr>
        <w:spacing w:line="600" w:lineRule="exact"/>
        <w:ind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/>
          <w:color w:val="333333"/>
          <w:sz w:val="32"/>
          <w:szCs w:val="32"/>
        </w:rPr>
        <w:t>201</w:t>
      </w:r>
      <w:r>
        <w:rPr>
          <w:rFonts w:hint="eastAsia" w:ascii="仿宋_GB2312" w:eastAsia="仿宋_GB2312"/>
          <w:color w:val="333333"/>
          <w:sz w:val="32"/>
          <w:szCs w:val="32"/>
        </w:rPr>
        <w:t>7年度“三公”经费财政拨款支出决算中，公务接待费支出决算2.08万元，</w:t>
      </w:r>
      <w:r>
        <w:rPr>
          <w:rFonts w:hint="eastAsia" w:ascii="仿宋_GB2312" w:eastAsia="仿宋_GB2312"/>
          <w:color w:val="000000"/>
          <w:sz w:val="32"/>
          <w:szCs w:val="32"/>
        </w:rPr>
        <w:t>占100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</w:rPr>
        <w:t>7年公务接待费2.08万元。主要用于执行公务、开展业务活动开支的住宿费、用餐费等。国内公务接待442批次，1280人，共计支出2.08万元，主要是接待上级各部门检查指导学校工作而开支的招待费。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</w:p>
    <w:p>
      <w:pPr>
        <w:spacing w:line="600" w:lineRule="exact"/>
        <w:ind w:firstLine="64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七、政府性基金预算支出决算情况说明</w:t>
      </w:r>
    </w:p>
    <w:p>
      <w:pPr>
        <w:spacing w:line="60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2017年度政府性基金预算拨款支出0万元。</w:t>
      </w:r>
    </w:p>
    <w:p>
      <w:pPr>
        <w:spacing w:line="600" w:lineRule="exact"/>
        <w:ind w:firstLine="64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八、国有资本经营预算支出决算情况说明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2017年度国有资本经营预算拨款支出0万元。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九、预算绩效情况</w:t>
      </w:r>
    </w:p>
    <w:p>
      <w:pPr>
        <w:spacing w:line="60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按照预算绩效管理要求，本部门对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</w:rPr>
        <w:t>7年一般公共预算项目支出开展了绩效目标管理，共编制绩效目标17个，涉及财政资金3868.65万元，覆盖率达到100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。开展了整体支出绩效自评和项目绩效自评，得分分别为94分和97分、主要存在的问题是预算编制及执行还不够规范。今后必须做到严格预算管理，严格按预算管理规程开支。</w:t>
      </w:r>
    </w:p>
    <w:p>
      <w:pPr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2017年部门整体支出绩效评价得分表</w:t>
      </w:r>
    </w:p>
    <w:tbl>
      <w:tblPr>
        <w:tblStyle w:val="7"/>
        <w:tblW w:w="949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268"/>
        <w:gridCol w:w="3402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部门决策（25分）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目标任务（15分）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相关性（5分）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明确性（5分）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合理性（5分）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预算编制（10分）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测算依据（5分）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目标管理（5分）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综合管理（30分）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专项资金分配时限（2分）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省级财力专项预算分配时限（1分）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中央专款分配合规率（1分）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中期评估（2分）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执行中期评估（2分）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绩效监控（5分）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预算执行进度监控（2分）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绩效目标动态监控（3分）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非税收入执收情况（2分）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非税收入征收情况（1分）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非税收入上缴情况（1分）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资产管理（6分）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资产管理信息化情况（2分）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行政事业单位资产报告情况（2分）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资产管理与预算管理相结合（2分）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内控制度管理（2分）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内部控制度健全完整（2分）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信息公开（6分）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预算公开（2分）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决算公开（2分）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绩效信息公开（2分）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绩效评价（5分）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绩效评价开展（2分）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评价结果应用（3分）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部门绩效情况（45分）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履职成效（20分）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部门特性指标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可持续发展能力（15分）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重点改革（重点工作）完成情况（5分）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科技（制度、方法、机制等）创新（5分）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人才培养（5分）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满意度（10分）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协作部门满意度（3分）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管理对象满意度（3分）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社会公众满意度（4分）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>
      <w:pPr>
        <w:rPr>
          <w:color w:val="000000"/>
        </w:rPr>
      </w:pPr>
    </w:p>
    <w:p>
      <w:pPr>
        <w:spacing w:line="600" w:lineRule="atLeast"/>
        <w:ind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2017年项目支出绩效评价得分表</w:t>
      </w:r>
    </w:p>
    <w:tbl>
      <w:tblPr>
        <w:tblStyle w:val="7"/>
        <w:tblW w:w="9888" w:type="dxa"/>
        <w:jc w:val="center"/>
        <w:tblInd w:w="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2113"/>
        <w:gridCol w:w="3535"/>
        <w:gridCol w:w="1311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单位名称/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270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6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353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8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（20分）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项目决策</w:t>
            </w:r>
          </w:p>
        </w:tc>
        <w:tc>
          <w:tcPr>
            <w:tcW w:w="2113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（10分）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科学决策</w:t>
            </w:r>
          </w:p>
        </w:tc>
        <w:tc>
          <w:tcPr>
            <w:tcW w:w="353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必要性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（政策依据)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可行性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（政策完善）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（10）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绩效目标    </w:t>
            </w:r>
          </w:p>
        </w:tc>
        <w:tc>
          <w:tcPr>
            <w:tcW w:w="353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明确性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合理性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18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（10分）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2113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（7分）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资金管理</w:t>
            </w:r>
          </w:p>
        </w:tc>
        <w:tc>
          <w:tcPr>
            <w:tcW w:w="353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资金分配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1" w:type="dxa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vMerge w:val="continue"/>
            <w:shd w:val="clear" w:color="auto" w:fill="auto"/>
            <w:textDirection w:val="tbRlV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资金使用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11" w:type="dxa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textDirection w:val="tbRlV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（3分）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项目执行</w:t>
            </w:r>
          </w:p>
        </w:tc>
        <w:tc>
          <w:tcPr>
            <w:tcW w:w="353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执行规范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1" w:type="dxa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18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（特性指标70分）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项目绩效  </w:t>
            </w:r>
          </w:p>
        </w:tc>
        <w:tc>
          <w:tcPr>
            <w:tcW w:w="2113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（20）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项目完成</w:t>
            </w:r>
          </w:p>
        </w:tc>
        <w:tc>
          <w:tcPr>
            <w:tcW w:w="353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完成数量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311" w:type="dxa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完成质量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311" w:type="dxa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完成时效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完成成本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（50分）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项目效益</w:t>
            </w:r>
          </w:p>
        </w:tc>
        <w:tc>
          <w:tcPr>
            <w:tcW w:w="353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经济效益（可选项）</w:t>
            </w:r>
          </w:p>
        </w:tc>
        <w:tc>
          <w:tcPr>
            <w:tcW w:w="131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11" w:type="dxa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社会效益（可选项）</w:t>
            </w:r>
          </w:p>
        </w:tc>
        <w:tc>
          <w:tcPr>
            <w:tcW w:w="13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生态效益（可选项）</w:t>
            </w:r>
          </w:p>
        </w:tc>
        <w:tc>
          <w:tcPr>
            <w:tcW w:w="13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可持续效益（可选项）</w:t>
            </w:r>
          </w:p>
        </w:tc>
        <w:tc>
          <w:tcPr>
            <w:tcW w:w="13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公平效率（可选项）</w:t>
            </w:r>
          </w:p>
        </w:tc>
        <w:tc>
          <w:tcPr>
            <w:tcW w:w="13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使用效率（可选项）</w:t>
            </w:r>
          </w:p>
        </w:tc>
        <w:tc>
          <w:tcPr>
            <w:tcW w:w="13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服务对象满意度    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11" w:type="dxa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6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70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97</w:t>
            </w:r>
          </w:p>
        </w:tc>
      </w:tr>
    </w:tbl>
    <w:p>
      <w:pPr>
        <w:spacing w:line="600" w:lineRule="atLeas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atLeast"/>
        <w:ind w:left="7038" w:leftChars="304" w:hanging="6400" w:hangingChars="2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                                   2018.09.03  </w:t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03013"/>
    <w:rsid w:val="00017B74"/>
    <w:rsid w:val="00071DCE"/>
    <w:rsid w:val="00082F15"/>
    <w:rsid w:val="00084F28"/>
    <w:rsid w:val="000875B4"/>
    <w:rsid w:val="000B047F"/>
    <w:rsid w:val="000B5A48"/>
    <w:rsid w:val="000C3CA6"/>
    <w:rsid w:val="000D5782"/>
    <w:rsid w:val="000E63D4"/>
    <w:rsid w:val="000F68F6"/>
    <w:rsid w:val="001007A6"/>
    <w:rsid w:val="001200CD"/>
    <w:rsid w:val="00121ED0"/>
    <w:rsid w:val="0014729F"/>
    <w:rsid w:val="001660F0"/>
    <w:rsid w:val="00191536"/>
    <w:rsid w:val="00193FC1"/>
    <w:rsid w:val="00197914"/>
    <w:rsid w:val="001C02F2"/>
    <w:rsid w:val="00236BFA"/>
    <w:rsid w:val="00253703"/>
    <w:rsid w:val="00260C38"/>
    <w:rsid w:val="002B08FE"/>
    <w:rsid w:val="002E21E0"/>
    <w:rsid w:val="002E24FC"/>
    <w:rsid w:val="0030546C"/>
    <w:rsid w:val="00305894"/>
    <w:rsid w:val="00316B0C"/>
    <w:rsid w:val="00367CED"/>
    <w:rsid w:val="0037013F"/>
    <w:rsid w:val="00377601"/>
    <w:rsid w:val="00391604"/>
    <w:rsid w:val="003A484F"/>
    <w:rsid w:val="003A7DDB"/>
    <w:rsid w:val="003B0C1B"/>
    <w:rsid w:val="003E12FE"/>
    <w:rsid w:val="003E56B1"/>
    <w:rsid w:val="003F22F5"/>
    <w:rsid w:val="00402639"/>
    <w:rsid w:val="00422268"/>
    <w:rsid w:val="00422D04"/>
    <w:rsid w:val="00424723"/>
    <w:rsid w:val="00453826"/>
    <w:rsid w:val="00471B24"/>
    <w:rsid w:val="00487CC0"/>
    <w:rsid w:val="004A3DE7"/>
    <w:rsid w:val="004B41EB"/>
    <w:rsid w:val="004C02DA"/>
    <w:rsid w:val="004D119C"/>
    <w:rsid w:val="00510CFC"/>
    <w:rsid w:val="00530BB9"/>
    <w:rsid w:val="00544C05"/>
    <w:rsid w:val="0055704D"/>
    <w:rsid w:val="00574590"/>
    <w:rsid w:val="00575272"/>
    <w:rsid w:val="0058486E"/>
    <w:rsid w:val="00597B60"/>
    <w:rsid w:val="005A0F6F"/>
    <w:rsid w:val="005B0D70"/>
    <w:rsid w:val="005C6B04"/>
    <w:rsid w:val="005D5CED"/>
    <w:rsid w:val="00607E6C"/>
    <w:rsid w:val="00612147"/>
    <w:rsid w:val="00651FA4"/>
    <w:rsid w:val="0066081C"/>
    <w:rsid w:val="0066343B"/>
    <w:rsid w:val="00683754"/>
    <w:rsid w:val="0068457C"/>
    <w:rsid w:val="006A0AB7"/>
    <w:rsid w:val="006A3066"/>
    <w:rsid w:val="006C3897"/>
    <w:rsid w:val="0070084B"/>
    <w:rsid w:val="007255F5"/>
    <w:rsid w:val="007316C4"/>
    <w:rsid w:val="0076182A"/>
    <w:rsid w:val="00767B7E"/>
    <w:rsid w:val="007770C3"/>
    <w:rsid w:val="007825D7"/>
    <w:rsid w:val="00782AB3"/>
    <w:rsid w:val="00793529"/>
    <w:rsid w:val="00794588"/>
    <w:rsid w:val="007A04D7"/>
    <w:rsid w:val="007A5445"/>
    <w:rsid w:val="007B1F80"/>
    <w:rsid w:val="007C63D5"/>
    <w:rsid w:val="007D1B2B"/>
    <w:rsid w:val="007D7FA5"/>
    <w:rsid w:val="00800112"/>
    <w:rsid w:val="008434F8"/>
    <w:rsid w:val="00855570"/>
    <w:rsid w:val="00871979"/>
    <w:rsid w:val="00871F71"/>
    <w:rsid w:val="008A4A09"/>
    <w:rsid w:val="008B69B8"/>
    <w:rsid w:val="008F0346"/>
    <w:rsid w:val="00906D8F"/>
    <w:rsid w:val="00907861"/>
    <w:rsid w:val="009320F4"/>
    <w:rsid w:val="009445E5"/>
    <w:rsid w:val="00951248"/>
    <w:rsid w:val="0095152F"/>
    <w:rsid w:val="00953296"/>
    <w:rsid w:val="0096085E"/>
    <w:rsid w:val="00971FFC"/>
    <w:rsid w:val="0098530E"/>
    <w:rsid w:val="0099661F"/>
    <w:rsid w:val="009B4EAE"/>
    <w:rsid w:val="009B7573"/>
    <w:rsid w:val="009D3447"/>
    <w:rsid w:val="009D7E9B"/>
    <w:rsid w:val="00A307CD"/>
    <w:rsid w:val="00A35A11"/>
    <w:rsid w:val="00A36AB3"/>
    <w:rsid w:val="00A62661"/>
    <w:rsid w:val="00A67F54"/>
    <w:rsid w:val="00A9015A"/>
    <w:rsid w:val="00AA3425"/>
    <w:rsid w:val="00AA45F2"/>
    <w:rsid w:val="00AB4C40"/>
    <w:rsid w:val="00AE6E26"/>
    <w:rsid w:val="00B03C9D"/>
    <w:rsid w:val="00B10517"/>
    <w:rsid w:val="00B310B9"/>
    <w:rsid w:val="00B3629B"/>
    <w:rsid w:val="00B51141"/>
    <w:rsid w:val="00B85D79"/>
    <w:rsid w:val="00BE190A"/>
    <w:rsid w:val="00BE1E86"/>
    <w:rsid w:val="00BF58EE"/>
    <w:rsid w:val="00C03E31"/>
    <w:rsid w:val="00C136FB"/>
    <w:rsid w:val="00C21AB5"/>
    <w:rsid w:val="00C2771C"/>
    <w:rsid w:val="00C35162"/>
    <w:rsid w:val="00C35554"/>
    <w:rsid w:val="00C37D7E"/>
    <w:rsid w:val="00C51C1D"/>
    <w:rsid w:val="00C533CC"/>
    <w:rsid w:val="00C62B85"/>
    <w:rsid w:val="00C7520B"/>
    <w:rsid w:val="00CA5D44"/>
    <w:rsid w:val="00CC09B6"/>
    <w:rsid w:val="00CC2F06"/>
    <w:rsid w:val="00CE7B61"/>
    <w:rsid w:val="00D0280C"/>
    <w:rsid w:val="00D06C40"/>
    <w:rsid w:val="00D15CD7"/>
    <w:rsid w:val="00D52BAD"/>
    <w:rsid w:val="00D63213"/>
    <w:rsid w:val="00D96AD7"/>
    <w:rsid w:val="00DA6FDD"/>
    <w:rsid w:val="00DB3DA4"/>
    <w:rsid w:val="00DC3E14"/>
    <w:rsid w:val="00DC410D"/>
    <w:rsid w:val="00DF0DDF"/>
    <w:rsid w:val="00DF560E"/>
    <w:rsid w:val="00E34066"/>
    <w:rsid w:val="00E60C9D"/>
    <w:rsid w:val="00E7248B"/>
    <w:rsid w:val="00E82267"/>
    <w:rsid w:val="00E95FE6"/>
    <w:rsid w:val="00EA1EA1"/>
    <w:rsid w:val="00EB16B1"/>
    <w:rsid w:val="00EC7790"/>
    <w:rsid w:val="00ED1B63"/>
    <w:rsid w:val="00ED30A7"/>
    <w:rsid w:val="00EE2209"/>
    <w:rsid w:val="00EE251A"/>
    <w:rsid w:val="00EE5BE1"/>
    <w:rsid w:val="00EF1344"/>
    <w:rsid w:val="00EF4C34"/>
    <w:rsid w:val="00EF7788"/>
    <w:rsid w:val="00F00F08"/>
    <w:rsid w:val="00F1361C"/>
    <w:rsid w:val="00F160C7"/>
    <w:rsid w:val="00F43192"/>
    <w:rsid w:val="00F61FE4"/>
    <w:rsid w:val="00FA14D5"/>
    <w:rsid w:val="00FC067D"/>
    <w:rsid w:val="00FC6FAC"/>
    <w:rsid w:val="00FD53DE"/>
    <w:rsid w:val="00FE4E34"/>
    <w:rsid w:val="00FF1E02"/>
    <w:rsid w:val="00FF3BC7"/>
    <w:rsid w:val="00FF4F5E"/>
    <w:rsid w:val="6D1D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8">
    <w:name w:val="页眉 Char"/>
    <w:basedOn w:val="5"/>
    <w:link w:val="4"/>
    <w:semiHidden/>
    <w:locked/>
    <w:uiPriority w:val="99"/>
    <w:rPr>
      <w:sz w:val="18"/>
    </w:rPr>
  </w:style>
  <w:style w:type="character" w:customStyle="1" w:styleId="9">
    <w:name w:val="页脚 Char"/>
    <w:basedOn w:val="5"/>
    <w:link w:val="3"/>
    <w:locked/>
    <w:uiPriority w:val="99"/>
    <w:rPr>
      <w:sz w:val="18"/>
    </w:rPr>
  </w:style>
  <w:style w:type="character" w:customStyle="1" w:styleId="10">
    <w:name w:val="正文文本 Char"/>
    <w:basedOn w:val="5"/>
    <w:link w:val="2"/>
    <w:locked/>
    <w:uiPriority w:val="99"/>
    <w:rPr>
      <w:rFonts w:ascii="仿宋_GB2312" w:hAnsi="Times New Roman" w:eastAsia="仿宋_GB2312"/>
      <w:sz w:val="24"/>
    </w:r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四川省财政厅</Company>
  <Pages>7</Pages>
  <Words>543</Words>
  <Characters>3097</Characters>
  <Lines>25</Lines>
  <Paragraphs>7</Paragraphs>
  <TotalTime>382</TotalTime>
  <ScaleCrop>false</ScaleCrop>
  <LinksUpToDate>false</LinksUpToDate>
  <CharactersWithSpaces>3633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2017-08-07T01:48:00Z</dcterms:created>
  <dc:creator>张彬茜</dc:creator>
  <cp:lastModifiedBy>椿堞</cp:lastModifiedBy>
  <cp:lastPrinted>2017-08-03T09:26:00Z</cp:lastPrinted>
  <dcterms:modified xsi:type="dcterms:W3CDTF">2018-09-04T09:14:58Z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