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宣汉县桃花初级中学</w:t>
      </w:r>
    </w:p>
    <w:p>
      <w:pPr>
        <w:spacing w:line="600" w:lineRule="exact"/>
        <w:jc w:val="center"/>
        <w:rPr>
          <w:rFonts w:ascii="方正小标宋简体" w:hAnsi="宋体" w:eastAsia="方正小标宋简体"/>
          <w:color w:val="000000"/>
          <w:sz w:val="36"/>
          <w:szCs w:val="36"/>
        </w:rPr>
      </w:pPr>
      <w:r>
        <w:rPr>
          <w:rFonts w:ascii="方正小标宋简体" w:hAnsi="宋体" w:eastAsia="方正小标宋简体"/>
          <w:color w:val="000000"/>
          <w:sz w:val="36"/>
          <w:szCs w:val="36"/>
        </w:rPr>
        <w:t>201</w:t>
      </w:r>
      <w:r>
        <w:rPr>
          <w:rFonts w:hint="eastAsia" w:ascii="方正小标宋简体" w:hAnsi="宋体" w:eastAsia="方正小标宋简体"/>
          <w:color w:val="000000"/>
          <w:sz w:val="36"/>
          <w:szCs w:val="36"/>
          <w:lang w:val="en-US" w:eastAsia="zh-CN"/>
        </w:rPr>
        <w:t>7</w:t>
      </w:r>
      <w:r>
        <w:rPr>
          <w:rFonts w:hint="eastAsia" w:ascii="方正小标宋简体" w:hAnsi="宋体" w:eastAsia="方正小标宋简体"/>
          <w:color w:val="000000"/>
          <w:sz w:val="36"/>
          <w:szCs w:val="36"/>
        </w:rPr>
        <w:t>年</w:t>
      </w:r>
      <w:r>
        <w:rPr>
          <w:rFonts w:hint="eastAsia" w:ascii="方正小标宋简体" w:hAnsi="宋体" w:eastAsia="方正小标宋简体"/>
          <w:sz w:val="36"/>
          <w:szCs w:val="36"/>
        </w:rPr>
        <w:t>部门</w:t>
      </w:r>
      <w:r>
        <w:rPr>
          <w:rFonts w:hint="eastAsia" w:ascii="方正小标宋简体" w:hAnsi="宋体" w:eastAsia="方正小标宋简体"/>
          <w:color w:val="000000"/>
          <w:sz w:val="36"/>
          <w:szCs w:val="36"/>
        </w:rPr>
        <w:t xml:space="preserve">决算编制说明 </w:t>
      </w:r>
    </w:p>
    <w:p>
      <w:pPr>
        <w:spacing w:line="600" w:lineRule="exact"/>
        <w:jc w:val="center"/>
        <w:rPr>
          <w:rFonts w:ascii="宋体"/>
          <w:b/>
          <w:color w:val="000000"/>
          <w:sz w:val="44"/>
          <w:szCs w:val="44"/>
        </w:rPr>
      </w:pP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一、基本职能及主要工作</w:t>
      </w:r>
    </w:p>
    <w:p>
      <w:pPr>
        <w:pStyle w:val="2"/>
        <w:adjustRightInd w:val="0"/>
        <w:snapToGrid w:val="0"/>
        <w:spacing w:before="93" w:line="600" w:lineRule="exact"/>
        <w:ind w:firstLine="672" w:firstLineChars="210"/>
        <w:rPr>
          <w:bCs/>
          <w:color w:val="000000"/>
          <w:sz w:val="32"/>
          <w:szCs w:val="32"/>
        </w:rPr>
      </w:pPr>
      <w:r>
        <w:rPr>
          <w:rFonts w:hint="eastAsia"/>
          <w:bCs/>
          <w:color w:val="000000"/>
          <w:sz w:val="32"/>
          <w:szCs w:val="32"/>
        </w:rPr>
        <w:t>（一）主要职能。</w:t>
      </w:r>
    </w:p>
    <w:p>
      <w:pPr>
        <w:pStyle w:val="2"/>
        <w:adjustRightInd w:val="0"/>
        <w:snapToGrid w:val="0"/>
        <w:spacing w:before="93" w:line="600" w:lineRule="exact"/>
        <w:ind w:firstLine="672" w:firstLineChars="210"/>
        <w:rPr>
          <w:rFonts w:hint="eastAsia" w:hAnsi="仿宋" w:cs="仿宋"/>
          <w:sz w:val="32"/>
          <w:szCs w:val="32"/>
          <w:shd w:val="clear" w:color="auto" w:fill="FFFFFF"/>
        </w:rPr>
      </w:pPr>
      <w:r>
        <w:rPr>
          <w:rFonts w:hint="eastAsia" w:hAnsi="仿宋" w:cs="仿宋"/>
          <w:sz w:val="32"/>
          <w:szCs w:val="32"/>
          <w:shd w:val="clear" w:color="auto" w:fill="FFFFFF"/>
        </w:rPr>
        <w:t>201</w:t>
      </w:r>
      <w:r>
        <w:rPr>
          <w:rFonts w:hint="eastAsia" w:hAnsi="仿宋" w:cs="仿宋"/>
          <w:sz w:val="32"/>
          <w:szCs w:val="32"/>
          <w:shd w:val="clear" w:color="auto" w:fill="FFFFFF"/>
          <w:lang w:val="en-US" w:eastAsia="zh-CN"/>
        </w:rPr>
        <w:t>7</w:t>
      </w:r>
      <w:r>
        <w:rPr>
          <w:rFonts w:hint="eastAsia" w:hAnsi="仿宋" w:cs="仿宋"/>
          <w:sz w:val="32"/>
          <w:szCs w:val="32"/>
          <w:shd w:val="clear" w:color="auto" w:fill="FFFFFF"/>
        </w:rPr>
        <w:t>年是桃花中学提升教学质量和素质教育工作发展前进的关键年，在县教科局关心和指导下，我校认真贯彻落实科学发展观，以和谐、稳定、发展为主旋律，积极接受党的群众路线教育，总体上完成了年初的预期工作目标和任务。</w:t>
      </w:r>
    </w:p>
    <w:p>
      <w:pPr>
        <w:pStyle w:val="2"/>
        <w:adjustRightInd w:val="0"/>
        <w:snapToGrid w:val="0"/>
        <w:spacing w:before="93" w:line="600" w:lineRule="exact"/>
        <w:ind w:firstLine="672" w:firstLineChars="210"/>
        <w:rPr>
          <w:bCs/>
          <w:sz w:val="32"/>
          <w:szCs w:val="32"/>
        </w:rPr>
      </w:pPr>
      <w:r>
        <w:rPr>
          <w:rFonts w:hint="eastAsia"/>
          <w:bCs/>
          <w:sz w:val="32"/>
          <w:szCs w:val="32"/>
        </w:rPr>
        <w:t>（二）</w:t>
      </w:r>
      <w:r>
        <w:rPr>
          <w:bCs/>
          <w:sz w:val="32"/>
          <w:szCs w:val="32"/>
        </w:rPr>
        <w:t>201</w:t>
      </w:r>
      <w:r>
        <w:rPr>
          <w:rFonts w:hint="eastAsia"/>
          <w:bCs/>
          <w:sz w:val="32"/>
          <w:szCs w:val="32"/>
          <w:lang w:val="en-US" w:eastAsia="zh-CN"/>
        </w:rPr>
        <w:t>7</w:t>
      </w:r>
      <w:r>
        <w:rPr>
          <w:rFonts w:hint="eastAsia"/>
          <w:bCs/>
          <w:sz w:val="32"/>
          <w:szCs w:val="32"/>
        </w:rPr>
        <w:t>年重点工作完成情况。</w:t>
      </w:r>
    </w:p>
    <w:p>
      <w:pPr>
        <w:pStyle w:val="5"/>
        <w:widowControl/>
        <w:shd w:val="clear" w:color="auto" w:fill="FFFFFF"/>
        <w:spacing w:beforeAutospacing="0" w:afterAutospacing="0" w:line="450" w:lineRule="atLeas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完成上重点高中</w:t>
      </w:r>
      <w:r>
        <w:rPr>
          <w:rFonts w:hint="eastAsia" w:ascii="仿宋_GB2312" w:hAnsi="仿宋" w:eastAsia="仿宋_GB2312" w:cs="仿宋"/>
          <w:sz w:val="32"/>
          <w:szCs w:val="32"/>
          <w:shd w:val="clear" w:color="auto" w:fill="FFFFFF"/>
          <w:lang w:val="en-US" w:eastAsia="zh-CN"/>
        </w:rPr>
        <w:t>17</w:t>
      </w:r>
      <w:r>
        <w:rPr>
          <w:rFonts w:hint="eastAsia" w:ascii="仿宋_GB2312" w:hAnsi="仿宋" w:eastAsia="仿宋_GB2312" w:cs="仿宋"/>
          <w:sz w:val="32"/>
          <w:szCs w:val="32"/>
          <w:shd w:val="clear" w:color="auto" w:fill="FFFFFF"/>
        </w:rPr>
        <w:t>人，普通高中</w:t>
      </w:r>
      <w:r>
        <w:rPr>
          <w:rFonts w:hint="eastAsia" w:ascii="仿宋_GB2312" w:hAnsi="仿宋" w:eastAsia="仿宋_GB2312" w:cs="仿宋"/>
          <w:sz w:val="32"/>
          <w:szCs w:val="32"/>
          <w:shd w:val="clear" w:color="auto" w:fill="FFFFFF"/>
          <w:lang w:val="en-US" w:eastAsia="zh-CN"/>
        </w:rPr>
        <w:t>34</w:t>
      </w:r>
      <w:r>
        <w:rPr>
          <w:rFonts w:hint="eastAsia" w:ascii="仿宋_GB2312" w:hAnsi="仿宋" w:eastAsia="仿宋_GB2312" w:cs="仿宋"/>
          <w:sz w:val="32"/>
          <w:szCs w:val="32"/>
          <w:shd w:val="clear" w:color="auto" w:fill="FFFFFF"/>
        </w:rPr>
        <w:t>人，职高</w:t>
      </w:r>
      <w:r>
        <w:rPr>
          <w:rFonts w:hint="eastAsia" w:ascii="仿宋_GB2312" w:hAnsi="仿宋" w:eastAsia="仿宋_GB2312" w:cs="仿宋"/>
          <w:sz w:val="32"/>
          <w:szCs w:val="32"/>
          <w:shd w:val="clear" w:color="auto" w:fill="FFFFFF"/>
          <w:lang w:val="en-US" w:eastAsia="zh-CN"/>
        </w:rPr>
        <w:t>78</w:t>
      </w:r>
      <w:r>
        <w:rPr>
          <w:rFonts w:hint="eastAsia" w:ascii="仿宋_GB2312" w:hAnsi="仿宋" w:eastAsia="仿宋_GB2312" w:cs="仿宋"/>
          <w:sz w:val="32"/>
          <w:szCs w:val="32"/>
          <w:shd w:val="clear" w:color="auto" w:fill="FFFFFF"/>
        </w:rPr>
        <w:t>人，承担青少年业余训练，发现、培养音、体、美苗子。201</w:t>
      </w:r>
      <w:r>
        <w:rPr>
          <w:rFonts w:hint="eastAsia" w:ascii="仿宋_GB2312" w:hAnsi="仿宋" w:eastAsia="仿宋_GB2312" w:cs="仿宋"/>
          <w:sz w:val="32"/>
          <w:szCs w:val="32"/>
          <w:shd w:val="clear" w:color="auto" w:fill="FFFFFF"/>
          <w:lang w:val="en-US" w:eastAsia="zh-CN"/>
        </w:rPr>
        <w:t>7</w:t>
      </w:r>
      <w:r>
        <w:rPr>
          <w:rFonts w:hint="eastAsia" w:ascii="仿宋_GB2312" w:hAnsi="仿宋" w:eastAsia="仿宋_GB2312" w:cs="仿宋"/>
          <w:sz w:val="32"/>
          <w:szCs w:val="32"/>
          <w:shd w:val="clear" w:color="auto" w:fill="FFFFFF"/>
        </w:rPr>
        <w:t>年，我校积极主动，明确职责，采取“内强外联”、“内培外引”等多种措施，整合校内外资源，组建强大的教师队伍。</w:t>
      </w:r>
    </w:p>
    <w:p>
      <w:pPr>
        <w:spacing w:line="600" w:lineRule="exact"/>
        <w:ind w:firstLine="640" w:firstLineChars="200"/>
        <w:rPr>
          <w:rFonts w:hint="eastAsia" w:ascii="仿宋_GB2312" w:eastAsia="仿宋_GB2312"/>
          <w:color w:val="000000"/>
          <w:sz w:val="32"/>
          <w:szCs w:val="32"/>
        </w:rPr>
      </w:pPr>
      <w:r>
        <w:rPr>
          <w:rFonts w:hint="eastAsia" w:ascii="仿宋_GB2312" w:hAnsi="宋体" w:eastAsia="仿宋_GB2312" w:cs="宋体"/>
          <w:color w:val="444444"/>
          <w:sz w:val="32"/>
          <w:szCs w:val="32"/>
          <w:shd w:val="clear" w:color="auto" w:fill="FFFFFF"/>
        </w:rPr>
        <w:t xml:space="preserve">　 </w:t>
      </w:r>
      <w:r>
        <w:rPr>
          <w:rFonts w:hint="eastAsia" w:ascii="仿宋_GB2312" w:eastAsia="仿宋_GB2312"/>
          <w:color w:val="000000"/>
          <w:sz w:val="32"/>
          <w:szCs w:val="32"/>
        </w:rPr>
        <w:t>二、部门概况</w:t>
      </w:r>
    </w:p>
    <w:p>
      <w:pPr>
        <w:spacing w:line="600" w:lineRule="exact"/>
        <w:ind w:firstLine="640" w:firstLineChars="200"/>
        <w:rPr>
          <w:rFonts w:hint="eastAsia" w:ascii="仿宋_GB2312" w:hAnsi="宋体" w:eastAsia="仿宋_GB2312" w:cs="宋体"/>
          <w:color w:val="444444"/>
          <w:sz w:val="32"/>
          <w:szCs w:val="32"/>
          <w:shd w:val="clear" w:color="auto" w:fill="FFFFFF"/>
        </w:rPr>
      </w:pPr>
      <w:r>
        <w:rPr>
          <w:rFonts w:hint="eastAsia" w:ascii="仿宋_GB2312" w:hAnsi="仿宋" w:eastAsia="仿宋_GB2312" w:cs="仿宋"/>
          <w:sz w:val="32"/>
          <w:szCs w:val="32"/>
          <w:shd w:val="clear" w:color="auto" w:fill="FFFFFF"/>
        </w:rPr>
        <w:t>纳入201</w:t>
      </w:r>
      <w:r>
        <w:rPr>
          <w:rFonts w:hint="eastAsia" w:ascii="仿宋_GB2312" w:hAnsi="仿宋" w:eastAsia="仿宋_GB2312" w:cs="仿宋"/>
          <w:sz w:val="32"/>
          <w:szCs w:val="32"/>
          <w:shd w:val="clear" w:color="auto" w:fill="FFFFFF"/>
          <w:lang w:val="en-US" w:eastAsia="zh-CN"/>
        </w:rPr>
        <w:t>7</w:t>
      </w:r>
      <w:r>
        <w:rPr>
          <w:rFonts w:hint="eastAsia" w:ascii="仿宋_GB2312" w:hAnsi="仿宋" w:eastAsia="仿宋_GB2312" w:cs="仿宋"/>
          <w:sz w:val="32"/>
          <w:szCs w:val="32"/>
          <w:shd w:val="clear" w:color="auto" w:fill="FFFFFF"/>
        </w:rPr>
        <w:t>年度部门决算汇编范围的独立核算单位共1 个，单位机构无变化。</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三、收支决算总体情况</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年宣汉县桃花初级中学本年收入合计</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万元，其中：财政拨款收入</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万元，占100</w:t>
      </w:r>
      <w:r>
        <w:rPr>
          <w:rFonts w:ascii="仿宋_GB2312" w:eastAsia="仿宋_GB2312"/>
          <w:color w:val="000000"/>
          <w:sz w:val="32"/>
          <w:szCs w:val="32"/>
        </w:rPr>
        <w:t>%</w:t>
      </w:r>
      <w:r>
        <w:rPr>
          <w:rFonts w:hint="eastAsia" w:ascii="仿宋_GB2312" w:eastAsia="仿宋_GB2312"/>
          <w:color w:val="000000"/>
          <w:sz w:val="32"/>
          <w:szCs w:val="32"/>
        </w:rPr>
        <w:t>；事业收入0万元，占0</w:t>
      </w:r>
      <w:r>
        <w:rPr>
          <w:rFonts w:ascii="仿宋_GB2312" w:eastAsia="仿宋_GB2312"/>
          <w:color w:val="000000"/>
          <w:sz w:val="32"/>
          <w:szCs w:val="32"/>
        </w:rPr>
        <w:t>%</w:t>
      </w:r>
      <w:r>
        <w:rPr>
          <w:rFonts w:hint="eastAsia" w:ascii="仿宋_GB2312" w:eastAsia="仿宋_GB2312"/>
          <w:color w:val="000000"/>
          <w:sz w:val="32"/>
          <w:szCs w:val="32"/>
        </w:rPr>
        <w:t>；经营收入0万元，占0</w:t>
      </w:r>
      <w:r>
        <w:rPr>
          <w:rFonts w:ascii="仿宋_GB2312" w:eastAsia="仿宋_GB2312"/>
          <w:color w:val="000000"/>
          <w:sz w:val="32"/>
          <w:szCs w:val="32"/>
        </w:rPr>
        <w:t>%</w:t>
      </w:r>
      <w:r>
        <w:rPr>
          <w:rFonts w:hint="eastAsia" w:ascii="仿宋_GB2312" w:eastAsia="仿宋_GB2312"/>
          <w:color w:val="000000"/>
          <w:sz w:val="32"/>
          <w:szCs w:val="32"/>
        </w:rPr>
        <w:t>；附属单位上缴收入0万元，占0</w:t>
      </w:r>
      <w:r>
        <w:rPr>
          <w:rFonts w:ascii="仿宋_GB2312" w:eastAsia="仿宋_GB2312"/>
          <w:color w:val="000000"/>
          <w:sz w:val="32"/>
          <w:szCs w:val="32"/>
        </w:rPr>
        <w:t>%</w:t>
      </w:r>
      <w:r>
        <w:rPr>
          <w:rFonts w:hint="eastAsia" w:ascii="仿宋_GB2312" w:eastAsia="仿宋_GB2312"/>
          <w:color w:val="000000"/>
          <w:sz w:val="32"/>
          <w:szCs w:val="32"/>
        </w:rPr>
        <w:t>；其他收入</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万元，占0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年宣汉县桃花初级中学本年支出合计</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万元，其中：基本支出</w:t>
      </w:r>
      <w:r>
        <w:rPr>
          <w:rFonts w:hint="eastAsia" w:ascii="仿宋_GB2312" w:eastAsia="仿宋_GB2312"/>
          <w:color w:val="000000"/>
          <w:sz w:val="32"/>
          <w:szCs w:val="32"/>
          <w:lang w:val="en-US" w:eastAsia="zh-CN"/>
        </w:rPr>
        <w:t>615.2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82.56</w:t>
      </w:r>
      <w:r>
        <w:rPr>
          <w:rFonts w:ascii="仿宋_GB2312" w:eastAsia="仿宋_GB2312"/>
          <w:color w:val="000000"/>
          <w:sz w:val="32"/>
          <w:szCs w:val="32"/>
        </w:rPr>
        <w:t>%</w:t>
      </w:r>
      <w:r>
        <w:rPr>
          <w:rFonts w:hint="eastAsia" w:ascii="仿宋_GB2312" w:eastAsia="仿宋_GB2312"/>
          <w:color w:val="000000"/>
          <w:sz w:val="32"/>
          <w:szCs w:val="32"/>
        </w:rPr>
        <w:t>；项目支出</w:t>
      </w:r>
      <w:r>
        <w:rPr>
          <w:rFonts w:hint="eastAsia" w:ascii="仿宋_GB2312" w:eastAsia="仿宋_GB2312"/>
          <w:color w:val="000000"/>
          <w:sz w:val="32"/>
          <w:szCs w:val="32"/>
          <w:lang w:val="en-US" w:eastAsia="zh-CN"/>
        </w:rPr>
        <w:t>129.87</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17.44</w:t>
      </w:r>
      <w:r>
        <w:rPr>
          <w:rFonts w:ascii="仿宋_GB2312" w:eastAsia="仿宋_GB2312"/>
          <w:color w:val="000000"/>
          <w:sz w:val="32"/>
          <w:szCs w:val="32"/>
        </w:rPr>
        <w:t>%</w:t>
      </w:r>
      <w:r>
        <w:rPr>
          <w:rFonts w:hint="eastAsia" w:ascii="仿宋_GB2312" w:eastAsia="仿宋_GB2312"/>
          <w:color w:val="000000"/>
          <w:sz w:val="32"/>
          <w:szCs w:val="32"/>
        </w:rPr>
        <w:t>；上缴上级支出0万元，占0</w:t>
      </w:r>
      <w:r>
        <w:rPr>
          <w:rFonts w:ascii="仿宋_GB2312" w:eastAsia="仿宋_GB2312"/>
          <w:color w:val="000000"/>
          <w:sz w:val="32"/>
          <w:szCs w:val="32"/>
        </w:rPr>
        <w:t>%</w:t>
      </w:r>
      <w:r>
        <w:rPr>
          <w:rFonts w:hint="eastAsia" w:ascii="仿宋_GB2312" w:eastAsia="仿宋_GB2312"/>
          <w:color w:val="000000"/>
          <w:sz w:val="32"/>
          <w:szCs w:val="32"/>
        </w:rPr>
        <w:t>；经营支出0万元，占0</w:t>
      </w:r>
      <w:r>
        <w:rPr>
          <w:rFonts w:ascii="仿宋_GB2312" w:eastAsia="仿宋_GB2312"/>
          <w:color w:val="000000"/>
          <w:sz w:val="32"/>
          <w:szCs w:val="32"/>
        </w:rPr>
        <w:t>%</w:t>
      </w:r>
      <w:r>
        <w:rPr>
          <w:rFonts w:hint="eastAsia" w:ascii="仿宋_GB2312" w:eastAsia="仿宋_GB2312"/>
          <w:color w:val="000000"/>
          <w:sz w:val="32"/>
          <w:szCs w:val="32"/>
        </w:rPr>
        <w:t>；对附属单位补助支出0万元，占0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黑体" w:eastAsia="黑体"/>
          <w:color w:val="000000"/>
          <w:sz w:val="32"/>
          <w:szCs w:val="32"/>
        </w:rPr>
        <w:t>四、财政拨款收支决算情况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宣汉县桃花初级中学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年度财政拨款收支总决算</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年相比，财政拨款收、支总计各</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36.74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0.49</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黑体" w:eastAsia="黑体"/>
          <w:color w:val="000000"/>
          <w:sz w:val="32"/>
          <w:szCs w:val="32"/>
        </w:rPr>
      </w:pPr>
      <w:r>
        <w:rPr>
          <w:rFonts w:hint="eastAsia" w:ascii="黑体" w:eastAsia="黑体"/>
          <w:color w:val="000000"/>
          <w:sz w:val="32"/>
          <w:szCs w:val="32"/>
        </w:rPr>
        <w:t>五、一般公共预算财政拨款支出决算情况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（一）一般公共预算财政拨款支出决算总体情况</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宣汉县桃花初级中学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年度一般公共预算财政拨款支出</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万元，占本年支出合计的100</w:t>
      </w:r>
      <w:r>
        <w:rPr>
          <w:rFonts w:ascii="仿宋_GB2312" w:eastAsia="仿宋_GB2312"/>
          <w:color w:val="000000"/>
          <w:sz w:val="32"/>
          <w:szCs w:val="32"/>
        </w:rPr>
        <w:t>%</w:t>
      </w:r>
      <w:r>
        <w:rPr>
          <w:rFonts w:hint="eastAsia" w:ascii="仿宋_GB2312" w:eastAsia="仿宋_GB2312"/>
          <w:color w:val="000000"/>
          <w:sz w:val="32"/>
          <w:szCs w:val="32"/>
        </w:rPr>
        <w:t>。与</w:t>
      </w:r>
      <w:r>
        <w:rPr>
          <w:rFonts w:ascii="仿宋_GB2312" w:eastAsia="仿宋_GB2312"/>
          <w:color w:val="000000"/>
          <w:sz w:val="32"/>
          <w:szCs w:val="32"/>
        </w:rPr>
        <w:t>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年相比，一般公共预算财政拨款</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36.74</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减少</w:t>
      </w:r>
      <w:r>
        <w:rPr>
          <w:rFonts w:hint="eastAsia" w:ascii="仿宋_GB2312" w:eastAsia="仿宋_GB2312"/>
          <w:color w:val="000000"/>
          <w:sz w:val="32"/>
          <w:szCs w:val="32"/>
          <w:lang w:val="en-US" w:eastAsia="zh-CN"/>
        </w:rPr>
        <w:t>0.49</w:t>
      </w:r>
      <w:r>
        <w:rPr>
          <w:rFonts w:ascii="仿宋_GB2312" w:eastAsia="仿宋_GB2312"/>
          <w:color w:val="000000"/>
          <w:sz w:val="32"/>
          <w:szCs w:val="32"/>
        </w:rPr>
        <w:t>%</w:t>
      </w:r>
      <w:r>
        <w:rPr>
          <w:rFonts w:hint="eastAsia" w:ascii="仿宋_GB2312" w:eastAsia="仿宋_GB2312"/>
          <w:color w:val="000000"/>
          <w:sz w:val="32"/>
          <w:szCs w:val="32"/>
        </w:rPr>
        <w:t>。（柱状图）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（二）一般公共预算财政拨款支出决算结构情况</w:t>
      </w:r>
    </w:p>
    <w:p>
      <w:pPr>
        <w:spacing w:line="600" w:lineRule="exact"/>
        <w:ind w:firstLine="640" w:firstLineChars="200"/>
        <w:rPr>
          <w:rFonts w:ascii="仿宋_GB2312" w:eastAsia="仿宋_GB2312"/>
          <w:i/>
          <w:color w:val="404040"/>
          <w:sz w:val="32"/>
          <w:szCs w:val="32"/>
        </w:rPr>
      </w:pPr>
      <w:r>
        <w:rPr>
          <w:rFonts w:hint="eastAsia" w:ascii="仿宋_GB2312" w:eastAsia="仿宋_GB2312"/>
          <w:color w:val="000000"/>
          <w:sz w:val="32"/>
          <w:szCs w:val="32"/>
        </w:rPr>
        <w:t>宣汉县桃花初级中学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万元，主要用于以下方面</w:t>
      </w:r>
      <w:r>
        <w:rPr>
          <w:rFonts w:ascii="仿宋_GB2312" w:eastAsia="仿宋_GB2312"/>
          <w:color w:val="000000"/>
          <w:sz w:val="32"/>
          <w:szCs w:val="32"/>
        </w:rPr>
        <w:t>:</w:t>
      </w:r>
      <w:r>
        <w:rPr>
          <w:rFonts w:hint="eastAsia" w:ascii="仿宋_GB2312" w:eastAsia="仿宋_GB2312"/>
          <w:color w:val="000000"/>
          <w:sz w:val="32"/>
          <w:szCs w:val="32"/>
        </w:rPr>
        <w:t>一般公共服务支出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万元，占0.</w:t>
      </w: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；教育支出</w:t>
      </w:r>
      <w:r>
        <w:rPr>
          <w:rFonts w:hint="eastAsia" w:ascii="仿宋_GB2312" w:eastAsia="仿宋_GB2312"/>
          <w:color w:val="000000"/>
          <w:sz w:val="32"/>
          <w:szCs w:val="32"/>
          <w:lang w:val="en-US" w:eastAsia="zh-CN"/>
        </w:rPr>
        <w:t>635.82</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84.99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lang w:val="en-US" w:eastAsia="zh-CN"/>
        </w:rPr>
        <w:t>58.64</w:t>
      </w:r>
      <w:r>
        <w:rPr>
          <w:rFonts w:hint="eastAsia" w:ascii="仿宋_GB2312" w:eastAsia="仿宋_GB2312"/>
          <w:color w:val="000000"/>
          <w:sz w:val="32"/>
          <w:szCs w:val="32"/>
        </w:rPr>
        <w:t>万元，占</w:t>
      </w:r>
      <w:r>
        <w:rPr>
          <w:rFonts w:hint="eastAsia" w:ascii="仿宋_GB2312" w:eastAsia="仿宋_GB2312"/>
          <w:color w:val="000000"/>
          <w:sz w:val="32"/>
          <w:szCs w:val="32"/>
          <w:lang w:val="en-US" w:eastAsia="zh-CN"/>
        </w:rPr>
        <w:t>7.87</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医疗卫生支出</w:t>
      </w:r>
      <w:r>
        <w:rPr>
          <w:rFonts w:hint="eastAsia" w:ascii="仿宋_GB2312" w:eastAsia="仿宋_GB2312"/>
          <w:color w:val="000000"/>
          <w:sz w:val="32"/>
          <w:szCs w:val="32"/>
          <w:lang w:val="en-US" w:eastAsia="zh-CN"/>
        </w:rPr>
        <w:t>19.03万元，</w:t>
      </w:r>
      <w:r>
        <w:rPr>
          <w:rFonts w:hint="eastAsia" w:ascii="仿宋_GB2312" w:eastAsia="仿宋_GB2312"/>
          <w:color w:val="000000"/>
          <w:sz w:val="32"/>
          <w:szCs w:val="32"/>
        </w:rPr>
        <w:t>占</w:t>
      </w:r>
      <w:r>
        <w:rPr>
          <w:rFonts w:hint="eastAsia" w:ascii="仿宋_GB2312" w:eastAsia="仿宋_GB2312"/>
          <w:color w:val="000000"/>
          <w:sz w:val="32"/>
          <w:szCs w:val="32"/>
          <w:lang w:val="en-US" w:eastAsia="zh-CN"/>
        </w:rPr>
        <w:t>2.5</w:t>
      </w:r>
      <w:r>
        <w:rPr>
          <w:rFonts w:ascii="仿宋_GB2312" w:eastAsia="仿宋_GB2312"/>
          <w:color w:val="000000"/>
          <w:sz w:val="32"/>
          <w:szCs w:val="32"/>
        </w:rPr>
        <w:t>%</w:t>
      </w:r>
      <w:r>
        <w:rPr>
          <w:rFonts w:hint="eastAsia" w:ascii="仿宋_GB2312" w:eastAsia="仿宋_GB2312"/>
          <w:color w:val="000000"/>
          <w:sz w:val="32"/>
          <w:szCs w:val="32"/>
        </w:rPr>
        <w:t>；住房保障支出31.</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8万元，占</w:t>
      </w:r>
      <w:r>
        <w:rPr>
          <w:rFonts w:hint="eastAsia" w:ascii="仿宋_GB2312" w:eastAsia="仿宋_GB2312"/>
          <w:color w:val="000000"/>
          <w:sz w:val="32"/>
          <w:szCs w:val="32"/>
          <w:lang w:val="en-US" w:eastAsia="zh-CN"/>
        </w:rPr>
        <w:t>4.24</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（三）一般公共预算财政拨款支出决算具体情况</w:t>
      </w:r>
    </w:p>
    <w:tbl>
      <w:tblPr>
        <w:tblStyle w:val="9"/>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shd w:val="clear" w:color="auto" w:fill="FFFFFF"/>
          </w:tcPr>
          <w:tbl>
            <w:tblPr>
              <w:tblStyle w:val="9"/>
              <w:tblW w:w="12000" w:type="dxa"/>
              <w:jc w:val="center"/>
              <w:tblCellSpacing w:w="0" w:type="dxa"/>
              <w:tblInd w:w="0" w:type="dxa"/>
              <w:tblLayout w:type="fixed"/>
              <w:tblCellMar>
                <w:top w:w="0" w:type="dxa"/>
                <w:left w:w="0" w:type="dxa"/>
                <w:bottom w:w="0" w:type="dxa"/>
                <w:right w:w="0" w:type="dxa"/>
              </w:tblCellMar>
            </w:tblPr>
            <w:tblGrid>
              <w:gridCol w:w="12000"/>
            </w:tblGrid>
            <w:tr>
              <w:tblPrEx>
                <w:tblLayout w:type="fixed"/>
                <w:tblCellMar>
                  <w:top w:w="0" w:type="dxa"/>
                  <w:left w:w="0" w:type="dxa"/>
                  <w:bottom w:w="0" w:type="dxa"/>
                  <w:right w:w="0" w:type="dxa"/>
                </w:tblCellMar>
              </w:tblPrEx>
              <w:trPr>
                <w:tblCellSpacing w:w="0" w:type="dxa"/>
                <w:jc w:val="center"/>
              </w:trPr>
              <w:tc>
                <w:tcPr>
                  <w:tcW w:w="12000" w:type="dxa"/>
                  <w:tcBorders>
                    <w:top w:val="nil"/>
                    <w:left w:val="nil"/>
                    <w:bottom w:val="nil"/>
                    <w:right w:val="nil"/>
                  </w:tcBorders>
                  <w:shd w:val="clear" w:color="auto" w:fill="FFFFFF"/>
                </w:tcPr>
                <w:tbl>
                  <w:tblPr>
                    <w:tblStyle w:val="9"/>
                    <w:tblW w:w="12000" w:type="dxa"/>
                    <w:tblCellSpacing w:w="0" w:type="dxa"/>
                    <w:tblInd w:w="0" w:type="dxa"/>
                    <w:tblLayout w:type="fixed"/>
                    <w:tblCellMar>
                      <w:top w:w="0" w:type="dxa"/>
                      <w:left w:w="0" w:type="dxa"/>
                      <w:bottom w:w="0" w:type="dxa"/>
                      <w:right w:w="0" w:type="dxa"/>
                    </w:tblCellMar>
                  </w:tblPr>
                  <w:tblGrid>
                    <w:gridCol w:w="12000"/>
                  </w:tblGrid>
                  <w:tr>
                    <w:tblPrEx>
                      <w:tblLayout w:type="fixed"/>
                      <w:tblCellMar>
                        <w:top w:w="0" w:type="dxa"/>
                        <w:left w:w="0" w:type="dxa"/>
                        <w:bottom w:w="0" w:type="dxa"/>
                        <w:right w:w="0" w:type="dxa"/>
                      </w:tblCellMar>
                    </w:tblPrEx>
                    <w:trPr>
                      <w:tblCellSpacing w:w="0" w:type="dxa"/>
                    </w:trPr>
                    <w:tc>
                      <w:tcPr>
                        <w:tcW w:w="12000" w:type="dxa"/>
                        <w:tcBorders>
                          <w:top w:val="nil"/>
                          <w:left w:val="nil"/>
                          <w:bottom w:val="nil"/>
                          <w:right w:val="nil"/>
                        </w:tcBorders>
                      </w:tcPr>
                      <w:p>
                        <w:pPr>
                          <w:widowControl/>
                          <w:jc w:val="left"/>
                          <w:rPr>
                            <w:rFonts w:ascii="宋体" w:cs="宋体"/>
                            <w:color w:val="000000"/>
                            <w:kern w:val="0"/>
                            <w:szCs w:val="21"/>
                          </w:rPr>
                        </w:pPr>
                      </w:p>
                    </w:tc>
                  </w:tr>
                </w:tbl>
                <w:p>
                  <w:pPr>
                    <w:widowControl/>
                    <w:jc w:val="left"/>
                    <w:rPr>
                      <w:rFonts w:ascii="宋体" w:cs="宋体"/>
                      <w:color w:val="000000"/>
                      <w:kern w:val="0"/>
                      <w:szCs w:val="21"/>
                    </w:rPr>
                  </w:pPr>
                </w:p>
              </w:tc>
            </w:tr>
            <w:tr>
              <w:tblPrEx>
                <w:tblLayout w:type="fixed"/>
                <w:tblCellMar>
                  <w:top w:w="0" w:type="dxa"/>
                  <w:left w:w="0" w:type="dxa"/>
                  <w:bottom w:w="0" w:type="dxa"/>
                  <w:right w:w="0" w:type="dxa"/>
                </w:tblCellMar>
              </w:tblPrEx>
              <w:trPr>
                <w:trHeight w:val="75" w:hRule="atLeast"/>
                <w:tblCellSpacing w:w="0" w:type="dxa"/>
                <w:jc w:val="center"/>
              </w:trPr>
              <w:tc>
                <w:tcPr>
                  <w:tcW w:w="12000" w:type="dxa"/>
                  <w:tcBorders>
                    <w:top w:val="nil"/>
                    <w:left w:val="nil"/>
                    <w:bottom w:val="nil"/>
                    <w:right w:val="nil"/>
                  </w:tcBorders>
                  <w:vAlign w:val="center"/>
                </w:tcPr>
                <w:p>
                  <w:pPr>
                    <w:widowControl/>
                    <w:jc w:val="left"/>
                    <w:rPr>
                      <w:rFonts w:ascii="宋体" w:cs="宋体"/>
                      <w:color w:val="000000"/>
                      <w:kern w:val="0"/>
                      <w:sz w:val="8"/>
                      <w:szCs w:val="21"/>
                    </w:rPr>
                  </w:pPr>
                </w:p>
              </w:tc>
            </w:tr>
          </w:tbl>
          <w:p>
            <w:pPr>
              <w:widowControl/>
              <w:jc w:val="center"/>
              <w:rPr>
                <w:rFonts w:ascii="宋体" w:cs="宋体"/>
                <w:color w:val="000000"/>
                <w:kern w:val="0"/>
                <w:szCs w:val="21"/>
              </w:rPr>
            </w:pPr>
          </w:p>
        </w:tc>
      </w:tr>
      <w:tr>
        <w:tblPrEx>
          <w:tblLayout w:type="fixed"/>
          <w:tblCellMar>
            <w:top w:w="0" w:type="dxa"/>
            <w:left w:w="0" w:type="dxa"/>
            <w:bottom w:w="0" w:type="dxa"/>
            <w:right w:w="0" w:type="dxa"/>
          </w:tblCellMar>
        </w:tblPrEx>
        <w:trPr>
          <w:tblCellSpacing w:w="0" w:type="dxa"/>
        </w:trPr>
        <w:tc>
          <w:tcPr>
            <w:tcW w:w="8306" w:type="dxa"/>
            <w:shd w:val="clear" w:color="auto" w:fill="FFFFFF"/>
          </w:tcPr>
          <w:p>
            <w:pPr>
              <w:widowControl/>
              <w:jc w:val="left"/>
              <w:rPr>
                <w:rFonts w:ascii="宋体" w:cs="宋体"/>
                <w:color w:val="000000"/>
                <w:kern w:val="0"/>
                <w:szCs w:val="21"/>
              </w:rPr>
            </w:pPr>
          </w:p>
        </w:tc>
      </w:tr>
    </w:tbl>
    <w:p>
      <w:pPr>
        <w:spacing w:line="600" w:lineRule="exact"/>
        <w:ind w:firstLine="643" w:firstLineChars="200"/>
        <w:rPr>
          <w:rFonts w:ascii="仿宋_GB2312" w:eastAsia="仿宋_GB2312"/>
          <w:color w:val="000000"/>
          <w:sz w:val="32"/>
          <w:szCs w:val="32"/>
        </w:rPr>
      </w:pPr>
      <w:r>
        <w:rPr>
          <w:rStyle w:val="7"/>
          <w:rFonts w:ascii="仿宋_GB2312" w:eastAsia="仿宋_GB2312"/>
          <w:bCs/>
          <w:color w:val="000000"/>
          <w:sz w:val="32"/>
          <w:szCs w:val="32"/>
        </w:rPr>
        <w:t>1.</w:t>
      </w:r>
      <w:r>
        <w:rPr>
          <w:rStyle w:val="7"/>
          <w:rFonts w:hint="eastAsia" w:ascii="仿宋_GB2312" w:eastAsia="仿宋_GB2312"/>
          <w:bCs/>
          <w:color w:val="000000"/>
          <w:sz w:val="32"/>
          <w:szCs w:val="32"/>
          <w:lang w:eastAsia="zh-CN"/>
        </w:rPr>
        <w:t>教育附加安排支出</w:t>
      </w:r>
      <w:r>
        <w:rPr>
          <w:rStyle w:val="7"/>
          <w:rFonts w:hint="eastAsia" w:ascii="仿宋_GB2312" w:eastAsia="仿宋_GB2312"/>
          <w:bCs/>
          <w:color w:val="000000"/>
          <w:sz w:val="32"/>
          <w:szCs w:val="32"/>
        </w:rPr>
        <w:t>2</w:t>
      </w:r>
      <w:r>
        <w:rPr>
          <w:rStyle w:val="7"/>
          <w:rFonts w:hint="eastAsia" w:ascii="仿宋_GB2312" w:eastAsia="仿宋_GB2312"/>
          <w:bCs/>
          <w:color w:val="000000"/>
          <w:sz w:val="32"/>
          <w:szCs w:val="32"/>
          <w:lang w:val="en-US" w:eastAsia="zh-CN"/>
        </w:rPr>
        <w:t>050999</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Style w:val="7"/>
          <w:rFonts w:ascii="仿宋_GB2312" w:eastAsia="仿宋_GB2312"/>
          <w:bCs/>
          <w:color w:val="000000"/>
          <w:sz w:val="32"/>
          <w:szCs w:val="32"/>
        </w:rPr>
        <w:t>2.</w:t>
      </w:r>
      <w:r>
        <w:rPr>
          <w:rStyle w:val="7"/>
          <w:rFonts w:hint="eastAsia" w:ascii="仿宋_GB2312" w:eastAsia="仿宋_GB2312"/>
          <w:bCs/>
          <w:color w:val="000000"/>
          <w:sz w:val="32"/>
          <w:szCs w:val="32"/>
        </w:rPr>
        <w:t>教育2050203</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635.82</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sz w:val="32"/>
          <w:szCs w:val="32"/>
        </w:rPr>
      </w:pPr>
      <w:r>
        <w:rPr>
          <w:rStyle w:val="7"/>
          <w:rFonts w:ascii="仿宋_GB2312" w:eastAsia="仿宋_GB2312"/>
          <w:bCs/>
          <w:color w:val="000000"/>
          <w:sz w:val="32"/>
          <w:szCs w:val="32"/>
        </w:rPr>
        <w:t>3</w:t>
      </w:r>
      <w:r>
        <w:rPr>
          <w:rStyle w:val="7"/>
          <w:rFonts w:hint="eastAsia" w:ascii="仿宋_GB2312" w:eastAsia="仿宋_GB2312"/>
          <w:bCs/>
          <w:color w:val="000000"/>
          <w:sz w:val="32"/>
          <w:szCs w:val="32"/>
        </w:rPr>
        <w:t>社会保障和就业2210201</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58.64</w:t>
      </w:r>
      <w:r>
        <w:rPr>
          <w:rFonts w:hint="eastAsia" w:ascii="仿宋_GB2312" w:eastAsia="仿宋_GB2312"/>
          <w:color w:val="000000"/>
          <w:sz w:val="32"/>
          <w:szCs w:val="32"/>
        </w:rPr>
        <w:t>元，完成预算100</w:t>
      </w:r>
      <w:r>
        <w:rPr>
          <w:rFonts w:ascii="仿宋_GB2312" w:eastAsia="仿宋_GB2312"/>
          <w:color w:val="000000"/>
          <w:sz w:val="32"/>
          <w:szCs w:val="32"/>
        </w:rPr>
        <w:t>%</w:t>
      </w:r>
      <w:r>
        <w:rPr>
          <w:rFonts w:hint="eastAsia" w:ascii="仿宋_GB2312" w:eastAsia="仿宋_GB2312"/>
          <w:color w:val="000000"/>
          <w:sz w:val="32"/>
          <w:szCs w:val="32"/>
        </w:rPr>
        <w:t>。</w:t>
      </w:r>
      <w:r>
        <w:rPr>
          <w:rFonts w:ascii="仿宋_GB2312" w:eastAsia="仿宋_GB2312"/>
          <w:color w:val="000000"/>
          <w:sz w:val="32"/>
          <w:szCs w:val="32"/>
        </w:rPr>
        <w:br w:type="textWrapping"/>
      </w:r>
      <w:r>
        <w:rPr>
          <w:rFonts w:hint="eastAsia" w:ascii="仿宋_GB2312" w:eastAsia="仿宋_GB2312"/>
          <w:color w:val="000000"/>
          <w:sz w:val="32"/>
          <w:szCs w:val="32"/>
        </w:rPr>
        <w:t>　　</w:t>
      </w:r>
      <w:r>
        <w:rPr>
          <w:rStyle w:val="7"/>
          <w:rFonts w:hint="eastAsia" w:ascii="仿宋_GB2312" w:eastAsia="仿宋_GB2312"/>
          <w:bCs/>
          <w:color w:val="000000"/>
          <w:sz w:val="32"/>
          <w:szCs w:val="32"/>
          <w:lang w:val="en-US" w:eastAsia="zh-CN"/>
        </w:rPr>
        <w:t>4</w:t>
      </w:r>
      <w:r>
        <w:rPr>
          <w:rStyle w:val="7"/>
          <w:rFonts w:ascii="仿宋_GB2312" w:eastAsia="仿宋_GB2312"/>
          <w:bCs/>
          <w:color w:val="000000"/>
          <w:sz w:val="32"/>
          <w:szCs w:val="32"/>
        </w:rPr>
        <w:t>.</w:t>
      </w:r>
      <w:r>
        <w:rPr>
          <w:rStyle w:val="7"/>
          <w:rFonts w:hint="eastAsia" w:ascii="仿宋_GB2312" w:eastAsia="仿宋_GB2312"/>
          <w:bCs/>
          <w:color w:val="000000"/>
          <w:sz w:val="32"/>
          <w:szCs w:val="32"/>
        </w:rPr>
        <w:t>医疗卫生与计划生育210</w:t>
      </w:r>
      <w:r>
        <w:rPr>
          <w:rStyle w:val="7"/>
          <w:rFonts w:hint="eastAsia" w:ascii="仿宋_GB2312" w:eastAsia="仿宋_GB2312"/>
          <w:bCs/>
          <w:color w:val="000000"/>
          <w:sz w:val="32"/>
          <w:szCs w:val="32"/>
          <w:lang w:val="en-US" w:eastAsia="zh-CN"/>
        </w:rPr>
        <w:t>1102</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19.03</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sz w:val="32"/>
          <w:szCs w:val="32"/>
        </w:rPr>
      </w:pPr>
      <w:r>
        <w:rPr>
          <w:rStyle w:val="7"/>
          <w:rFonts w:hint="eastAsia" w:ascii="仿宋_GB2312" w:eastAsia="仿宋_GB2312"/>
          <w:bCs/>
          <w:color w:val="000000"/>
          <w:sz w:val="32"/>
          <w:szCs w:val="32"/>
          <w:lang w:val="en-US" w:eastAsia="zh-CN"/>
        </w:rPr>
        <w:t>5</w:t>
      </w:r>
      <w:r>
        <w:rPr>
          <w:rStyle w:val="7"/>
          <w:rFonts w:ascii="仿宋_GB2312" w:eastAsia="仿宋_GB2312"/>
          <w:bCs/>
          <w:color w:val="000000"/>
          <w:sz w:val="32"/>
          <w:szCs w:val="32"/>
        </w:rPr>
        <w:t>.</w:t>
      </w:r>
      <w:r>
        <w:rPr>
          <w:rStyle w:val="7"/>
          <w:rFonts w:hint="eastAsia" w:ascii="仿宋_GB2312" w:eastAsia="仿宋_GB2312"/>
          <w:bCs/>
          <w:color w:val="000000"/>
          <w:sz w:val="32"/>
          <w:szCs w:val="32"/>
          <w:lang w:eastAsia="zh-CN"/>
        </w:rPr>
        <w:t>住房保障支出</w:t>
      </w:r>
      <w:r>
        <w:rPr>
          <w:rStyle w:val="7"/>
          <w:rFonts w:hint="eastAsia" w:ascii="仿宋_GB2312" w:eastAsia="仿宋_GB2312"/>
          <w:bCs/>
          <w:color w:val="000000"/>
          <w:sz w:val="32"/>
          <w:szCs w:val="32"/>
        </w:rPr>
        <w:t>2</w:t>
      </w:r>
      <w:r>
        <w:rPr>
          <w:rStyle w:val="7"/>
          <w:rFonts w:hint="eastAsia" w:ascii="仿宋_GB2312" w:eastAsia="仿宋_GB2312"/>
          <w:bCs/>
          <w:color w:val="000000"/>
          <w:sz w:val="32"/>
          <w:szCs w:val="32"/>
          <w:lang w:val="en-US" w:eastAsia="zh-CN"/>
        </w:rPr>
        <w:t>210201</w:t>
      </w:r>
      <w:r>
        <w:rPr>
          <w:rStyle w:val="7"/>
          <w:rFonts w:ascii="仿宋_GB2312" w:eastAsia="仿宋_GB2312"/>
          <w:bCs/>
          <w:color w:val="000000"/>
          <w:sz w:val="32"/>
          <w:szCs w:val="32"/>
        </w:rPr>
        <w:t>:</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年决算数为</w:t>
      </w:r>
      <w:r>
        <w:rPr>
          <w:rFonts w:hint="eastAsia" w:ascii="仿宋_GB2312" w:eastAsia="仿宋_GB2312"/>
          <w:color w:val="000000"/>
          <w:sz w:val="32"/>
          <w:szCs w:val="32"/>
          <w:lang w:val="en-US" w:eastAsia="zh-CN"/>
        </w:rPr>
        <w:t>31.58</w:t>
      </w:r>
      <w:r>
        <w:rPr>
          <w:rFonts w:hint="eastAsia" w:ascii="仿宋_GB2312" w:eastAsia="仿宋_GB2312"/>
          <w:color w:val="000000"/>
          <w:sz w:val="32"/>
          <w:szCs w:val="32"/>
        </w:rPr>
        <w:t>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320" w:firstLineChars="100"/>
        <w:rPr>
          <w:rFonts w:ascii="黑体" w:eastAsia="黑体"/>
          <w:color w:val="000000"/>
          <w:sz w:val="32"/>
          <w:szCs w:val="32"/>
        </w:rPr>
      </w:pPr>
      <w:r>
        <w:rPr>
          <w:rFonts w:hint="eastAsia" w:ascii="黑体" w:eastAsia="黑体"/>
          <w:color w:val="000000"/>
          <w:sz w:val="32"/>
          <w:szCs w:val="32"/>
        </w:rPr>
        <w:t>六、一般公共预算财政拨款基本支出决算情况</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宣汉县桃花初级中学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年一般公共预算财政拨款基本支出</w:t>
      </w:r>
      <w:r>
        <w:rPr>
          <w:rFonts w:hint="eastAsia" w:ascii="仿宋_GB2312" w:eastAsia="仿宋_GB2312"/>
          <w:color w:val="000000"/>
          <w:sz w:val="32"/>
          <w:szCs w:val="32"/>
          <w:lang w:val="en-US" w:eastAsia="zh-CN"/>
        </w:rPr>
        <w:t>745.07</w:t>
      </w:r>
      <w:r>
        <w:rPr>
          <w:rFonts w:hint="eastAsia" w:ascii="仿宋_GB2312" w:eastAsia="仿宋_GB2312"/>
          <w:color w:val="000000"/>
          <w:sz w:val="32"/>
          <w:szCs w:val="32"/>
        </w:rPr>
        <w:t>万元，其中：</w:t>
      </w:r>
    </w:p>
    <w:p>
      <w:pPr>
        <w:spacing w:line="600" w:lineRule="exact"/>
        <w:ind w:firstLine="645"/>
        <w:rPr>
          <w:rFonts w:ascii="仿宋_GB2312" w:eastAsia="仿宋_GB2312"/>
          <w:color w:val="000000"/>
          <w:sz w:val="32"/>
          <w:szCs w:val="32"/>
        </w:rPr>
      </w:pPr>
      <w:r>
        <w:rPr>
          <w:rFonts w:hint="eastAsia" w:ascii="仿宋_GB2312" w:eastAsia="仿宋_GB2312"/>
          <w:color w:val="000000"/>
          <w:sz w:val="32"/>
          <w:szCs w:val="32"/>
        </w:rPr>
        <w:t>人员经费</w:t>
      </w:r>
      <w:r>
        <w:rPr>
          <w:rFonts w:hint="eastAsia" w:ascii="仿宋_GB2312" w:eastAsia="仿宋_GB2312"/>
          <w:color w:val="000000"/>
          <w:sz w:val="32"/>
          <w:szCs w:val="32"/>
          <w:lang w:val="en-US" w:eastAsia="zh-CN"/>
        </w:rPr>
        <w:t>513.88</w:t>
      </w:r>
      <w:r>
        <w:rPr>
          <w:rFonts w:hint="eastAsia" w:ascii="仿宋_GB2312" w:eastAsia="仿宋_GB2312"/>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w:t>
      </w:r>
      <w:r>
        <w:rPr>
          <w:rFonts w:ascii="仿宋_GB2312" w:eastAsia="仿宋_GB2312"/>
          <w:color w:val="000000"/>
          <w:sz w:val="32"/>
          <w:szCs w:val="32"/>
        </w:rPr>
        <w:br w:type="textWrapping"/>
      </w:r>
      <w:r>
        <w:rPr>
          <w:rFonts w:hint="eastAsia" w:ascii="仿宋_GB2312" w:eastAsia="仿宋_GB2312"/>
          <w:color w:val="000000"/>
          <w:sz w:val="32"/>
          <w:szCs w:val="32"/>
        </w:rPr>
        <w:t>　　公用经费</w:t>
      </w:r>
      <w:r>
        <w:rPr>
          <w:rFonts w:hint="eastAsia" w:ascii="仿宋_GB2312" w:eastAsia="仿宋_GB2312"/>
          <w:color w:val="000000"/>
          <w:sz w:val="32"/>
          <w:szCs w:val="32"/>
          <w:lang w:val="en-US" w:eastAsia="zh-CN"/>
        </w:rPr>
        <w:t>101.31</w:t>
      </w:r>
      <w:r>
        <w:rPr>
          <w:rFonts w:hint="eastAsia" w:ascii="仿宋_GB2312" w:eastAsia="仿宋_GB2312"/>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其他交通费、税金及附加费用、其他商品和服务支出。</w:t>
      </w:r>
    </w:p>
    <w:p>
      <w:pPr>
        <w:spacing w:line="600" w:lineRule="exact"/>
        <w:ind w:firstLine="640"/>
        <w:rPr>
          <w:rFonts w:ascii="黑体" w:eastAsia="黑体"/>
          <w:color w:val="000000"/>
          <w:sz w:val="32"/>
          <w:szCs w:val="32"/>
        </w:rPr>
      </w:pPr>
      <w:r>
        <w:rPr>
          <w:rFonts w:hint="eastAsia" w:ascii="黑体" w:eastAsia="黑体"/>
          <w:color w:val="000000"/>
          <w:sz w:val="32"/>
          <w:szCs w:val="32"/>
        </w:rPr>
        <w:t>七、“三公”经费财政拨款支出决算情况</w:t>
      </w:r>
    </w:p>
    <w:p>
      <w:pPr>
        <w:spacing w:line="600" w:lineRule="exact"/>
        <w:ind w:firstLine="640"/>
        <w:rPr>
          <w:rFonts w:ascii="仿宋_GB2312" w:eastAsia="仿宋_GB2312"/>
          <w:b/>
          <w:color w:val="000000"/>
          <w:sz w:val="32"/>
          <w:szCs w:val="32"/>
        </w:rPr>
      </w:pPr>
      <w:r>
        <w:rPr>
          <w:rFonts w:hint="eastAsia" w:ascii="仿宋_GB2312" w:eastAsia="仿宋_GB2312"/>
          <w:b/>
          <w:color w:val="000000"/>
          <w:sz w:val="32"/>
          <w:szCs w:val="32"/>
        </w:rPr>
        <w:t>（一）“三公”经费财政拨款支出决算总体情况说明</w:t>
      </w:r>
    </w:p>
    <w:p>
      <w:pPr>
        <w:spacing w:line="600" w:lineRule="exact"/>
        <w:ind w:firstLine="640"/>
        <w:rPr>
          <w:rFonts w:ascii="仿宋_GB2312" w:eastAsia="仿宋_GB2312"/>
          <w:color w:val="333333"/>
          <w:sz w:val="32"/>
          <w:szCs w:val="32"/>
        </w:rPr>
      </w:pPr>
      <w:r>
        <w:rPr>
          <w:rFonts w:hint="eastAsia" w:ascii="仿宋_GB2312" w:eastAsia="仿宋_GB2312"/>
          <w:color w:val="333333"/>
          <w:sz w:val="32"/>
          <w:szCs w:val="32"/>
        </w:rPr>
        <w:t>宣汉县桃花初级中学</w:t>
      </w: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年度“三公”经费财政拨款支出决算为3.</w:t>
      </w:r>
      <w:r>
        <w:rPr>
          <w:rFonts w:hint="eastAsia" w:ascii="仿宋_GB2312" w:eastAsia="仿宋_GB2312"/>
          <w:color w:val="333333"/>
          <w:sz w:val="32"/>
          <w:szCs w:val="32"/>
          <w:lang w:val="en-US" w:eastAsia="zh-CN"/>
        </w:rPr>
        <w:t>32</w:t>
      </w:r>
      <w:r>
        <w:rPr>
          <w:rFonts w:hint="eastAsia" w:ascii="仿宋_GB2312" w:eastAsia="仿宋_GB2312"/>
          <w:color w:val="333333"/>
          <w:sz w:val="32"/>
          <w:szCs w:val="32"/>
        </w:rPr>
        <w:t>万元，完成预算100</w:t>
      </w:r>
      <w:r>
        <w:rPr>
          <w:rFonts w:ascii="仿宋_GB2312" w:eastAsia="仿宋_GB2312"/>
          <w:color w:val="333333"/>
          <w:sz w:val="32"/>
          <w:szCs w:val="32"/>
        </w:rPr>
        <w:t>%</w:t>
      </w:r>
      <w:r>
        <w:rPr>
          <w:rFonts w:hint="eastAsia" w:ascii="仿宋_GB2312" w:eastAsia="仿宋_GB2312"/>
          <w:color w:val="333333"/>
          <w:sz w:val="32"/>
          <w:szCs w:val="32"/>
        </w:rPr>
        <w:t>，其中：因公出国（境）费支出决算为0万元，完成预算0</w:t>
      </w:r>
      <w:r>
        <w:rPr>
          <w:rFonts w:ascii="仿宋_GB2312" w:eastAsia="仿宋_GB2312"/>
          <w:color w:val="333333"/>
          <w:sz w:val="32"/>
          <w:szCs w:val="32"/>
        </w:rPr>
        <w:t>%</w:t>
      </w:r>
      <w:r>
        <w:rPr>
          <w:rFonts w:hint="eastAsia" w:ascii="仿宋_GB2312" w:eastAsia="仿宋_GB2312"/>
          <w:color w:val="333333"/>
          <w:sz w:val="32"/>
          <w:szCs w:val="32"/>
        </w:rPr>
        <w:t>；公务用车购置及运行维护费支出决算为0万元，完成预算0</w:t>
      </w:r>
      <w:r>
        <w:rPr>
          <w:rFonts w:ascii="仿宋_GB2312" w:eastAsia="仿宋_GB2312"/>
          <w:color w:val="333333"/>
          <w:sz w:val="32"/>
          <w:szCs w:val="32"/>
        </w:rPr>
        <w:t>%</w:t>
      </w:r>
      <w:r>
        <w:rPr>
          <w:rFonts w:hint="eastAsia" w:ascii="仿宋_GB2312" w:eastAsia="仿宋_GB2312"/>
          <w:color w:val="333333"/>
          <w:sz w:val="32"/>
          <w:szCs w:val="32"/>
        </w:rPr>
        <w:t>；公务接待费支出决算为3.3</w:t>
      </w:r>
      <w:r>
        <w:rPr>
          <w:rFonts w:hint="eastAsia" w:ascii="仿宋_GB2312" w:eastAsia="仿宋_GB2312"/>
          <w:color w:val="333333"/>
          <w:sz w:val="32"/>
          <w:szCs w:val="32"/>
          <w:lang w:val="en-US" w:eastAsia="zh-CN"/>
        </w:rPr>
        <w:t>2</w:t>
      </w:r>
      <w:r>
        <w:rPr>
          <w:rFonts w:hint="eastAsia" w:ascii="仿宋_GB2312" w:eastAsia="仿宋_GB2312"/>
          <w:color w:val="333333"/>
          <w:sz w:val="32"/>
          <w:szCs w:val="32"/>
        </w:rPr>
        <w:t>万元，完成预算100</w:t>
      </w:r>
      <w:r>
        <w:rPr>
          <w:rFonts w:ascii="仿宋_GB2312" w:eastAsia="仿宋_GB2312"/>
          <w:color w:val="333333"/>
          <w:sz w:val="32"/>
          <w:szCs w:val="32"/>
        </w:rPr>
        <w:t>%</w:t>
      </w:r>
      <w:r>
        <w:rPr>
          <w:rFonts w:hint="eastAsia" w:ascii="仿宋_GB2312" w:eastAsia="仿宋_GB2312"/>
          <w:color w:val="333333"/>
          <w:sz w:val="32"/>
          <w:szCs w:val="32"/>
        </w:rPr>
        <w:t>。</w:t>
      </w:r>
      <w:r>
        <w:rPr>
          <w:rFonts w:ascii="仿宋_GB2312" w:eastAsia="仿宋_GB2312"/>
          <w:color w:val="333333"/>
          <w:sz w:val="32"/>
          <w:szCs w:val="32"/>
        </w:rPr>
        <w:t>2016</w:t>
      </w:r>
      <w:r>
        <w:rPr>
          <w:rFonts w:hint="eastAsia" w:ascii="仿宋_GB2312" w:eastAsia="仿宋_GB2312"/>
          <w:color w:val="333333"/>
          <w:sz w:val="32"/>
          <w:szCs w:val="32"/>
        </w:rPr>
        <w:t>年度“三公”经费支出决算数与预算数持平。</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年度“三公”经费财政拨款支出决算数比</w:t>
      </w:r>
      <w:r>
        <w:rPr>
          <w:rFonts w:ascii="仿宋_GB2312" w:eastAsia="仿宋_GB2312"/>
          <w:color w:val="333333"/>
          <w:sz w:val="32"/>
          <w:szCs w:val="32"/>
        </w:rPr>
        <w:t>201</w:t>
      </w:r>
      <w:r>
        <w:rPr>
          <w:rFonts w:hint="eastAsia" w:ascii="仿宋_GB2312" w:eastAsia="仿宋_GB2312"/>
          <w:color w:val="333333"/>
          <w:sz w:val="32"/>
          <w:szCs w:val="32"/>
          <w:lang w:val="en-US" w:eastAsia="zh-CN"/>
        </w:rPr>
        <w:t>6</w:t>
      </w:r>
      <w:r>
        <w:rPr>
          <w:rFonts w:hint="eastAsia" w:ascii="仿宋_GB2312" w:eastAsia="仿宋_GB2312"/>
          <w:color w:val="333333"/>
          <w:sz w:val="32"/>
          <w:szCs w:val="32"/>
        </w:rPr>
        <w:t>年</w:t>
      </w:r>
      <w:r>
        <w:rPr>
          <w:rFonts w:hint="eastAsia" w:ascii="仿宋_GB2312" w:eastAsia="仿宋_GB2312"/>
          <w:color w:val="000000"/>
          <w:sz w:val="32"/>
          <w:szCs w:val="32"/>
        </w:rPr>
        <w:t>减少</w:t>
      </w:r>
      <w:r>
        <w:rPr>
          <w:rFonts w:hint="eastAsia" w:ascii="仿宋_GB2312" w:eastAsia="仿宋_GB2312"/>
          <w:color w:val="333333"/>
          <w:sz w:val="32"/>
          <w:szCs w:val="32"/>
        </w:rPr>
        <w:t>0.0</w:t>
      </w:r>
      <w:r>
        <w:rPr>
          <w:rFonts w:hint="eastAsia" w:ascii="仿宋_GB2312" w:eastAsia="仿宋_GB2312"/>
          <w:color w:val="333333"/>
          <w:sz w:val="32"/>
          <w:szCs w:val="32"/>
          <w:lang w:val="en-US" w:eastAsia="zh-CN"/>
        </w:rPr>
        <w:t>6</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，其中：</w:t>
      </w:r>
      <w:r>
        <w:rPr>
          <w:rFonts w:hint="eastAsia" w:ascii="仿宋_GB2312" w:eastAsia="仿宋_GB2312"/>
          <w:color w:val="333333"/>
          <w:sz w:val="32"/>
          <w:szCs w:val="32"/>
        </w:rPr>
        <w:t>公务接待费支出决算</w:t>
      </w:r>
      <w:r>
        <w:rPr>
          <w:rFonts w:hint="eastAsia" w:ascii="仿宋_GB2312" w:eastAsia="仿宋_GB2312"/>
          <w:color w:val="000000"/>
          <w:sz w:val="32"/>
          <w:szCs w:val="32"/>
        </w:rPr>
        <w:t>减少0.0</w:t>
      </w:r>
      <w:r>
        <w:rPr>
          <w:rFonts w:hint="eastAsia" w:ascii="仿宋_GB2312" w:eastAsia="仿宋_GB2312"/>
          <w:color w:val="000000"/>
          <w:sz w:val="32"/>
          <w:szCs w:val="32"/>
          <w:lang w:val="en-US" w:eastAsia="zh-CN"/>
        </w:rPr>
        <w:t>6</w:t>
      </w:r>
      <w:r>
        <w:rPr>
          <w:rFonts w:hint="eastAsia" w:ascii="仿宋_GB2312" w:eastAsia="仿宋_GB2312"/>
          <w:color w:val="333333"/>
          <w:sz w:val="32"/>
          <w:szCs w:val="32"/>
        </w:rPr>
        <w:t>万元，</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333333"/>
          <w:sz w:val="32"/>
          <w:szCs w:val="32"/>
        </w:rPr>
        <w:t>。</w:t>
      </w:r>
    </w:p>
    <w:p>
      <w:pPr>
        <w:spacing w:line="600" w:lineRule="exact"/>
        <w:ind w:firstLine="640"/>
        <w:rPr>
          <w:rFonts w:ascii="仿宋_GB2312" w:eastAsia="仿宋_GB2312"/>
          <w:b/>
          <w:color w:val="333333"/>
          <w:sz w:val="32"/>
          <w:szCs w:val="32"/>
        </w:rPr>
      </w:pPr>
      <w:r>
        <w:rPr>
          <w:rFonts w:hint="eastAsia" w:ascii="仿宋_GB2312" w:eastAsia="仿宋_GB2312"/>
          <w:b/>
          <w:color w:val="333333"/>
          <w:sz w:val="32"/>
          <w:szCs w:val="32"/>
        </w:rPr>
        <w:t>（二）“三公”经费财政拨款支出决算具体情况说明</w:t>
      </w:r>
    </w:p>
    <w:p>
      <w:pPr>
        <w:spacing w:line="600" w:lineRule="exact"/>
        <w:ind w:firstLine="640"/>
        <w:rPr>
          <w:rFonts w:ascii="仿宋_GB2312" w:eastAsia="仿宋_GB2312"/>
          <w:color w:val="333333"/>
          <w:sz w:val="32"/>
          <w:szCs w:val="32"/>
        </w:rPr>
      </w:pPr>
      <w:r>
        <w:rPr>
          <w:rFonts w:ascii="仿宋_GB2312" w:eastAsia="仿宋_GB2312"/>
          <w:color w:val="333333"/>
          <w:sz w:val="32"/>
          <w:szCs w:val="32"/>
        </w:rPr>
        <w:t>201</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rPr>
        <w:t>年度“三公”经费财政拨款支出决算中，公务接待费支出决算3.3</w:t>
      </w:r>
      <w:r>
        <w:rPr>
          <w:rFonts w:hint="eastAsia" w:ascii="仿宋_GB2312" w:eastAsia="仿宋_GB2312"/>
          <w:color w:val="333333"/>
          <w:sz w:val="32"/>
          <w:szCs w:val="32"/>
          <w:lang w:val="en-US" w:eastAsia="zh-CN"/>
        </w:rPr>
        <w:t>2</w:t>
      </w:r>
      <w:r>
        <w:rPr>
          <w:rFonts w:hint="eastAsia" w:ascii="仿宋_GB2312" w:eastAsia="仿宋_GB2312"/>
          <w:color w:val="333333"/>
          <w:sz w:val="32"/>
          <w:szCs w:val="32"/>
        </w:rPr>
        <w:t>万元，</w:t>
      </w:r>
      <w:r>
        <w:rPr>
          <w:rFonts w:hint="eastAsia" w:ascii="仿宋_GB2312" w:eastAsia="仿宋_GB2312"/>
          <w:color w:val="000000"/>
          <w:sz w:val="32"/>
          <w:szCs w:val="32"/>
        </w:rPr>
        <w:t>占100</w:t>
      </w:r>
      <w:r>
        <w:rPr>
          <w:rFonts w:ascii="仿宋_GB2312" w:eastAsia="仿宋_GB2312"/>
          <w:color w:val="000000"/>
          <w:sz w:val="32"/>
          <w:szCs w:val="32"/>
        </w:rPr>
        <w:t>%</w:t>
      </w:r>
      <w:r>
        <w:rPr>
          <w:rFonts w:hint="eastAsia" w:ascii="仿宋_GB2312" w:eastAsia="仿宋_GB2312"/>
          <w:color w:val="000000"/>
          <w:sz w:val="32"/>
          <w:szCs w:val="32"/>
        </w:rPr>
        <w:t>。具体情况如下：</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年因公出国（境）费0万元。全年安排因公出国（境）团组0次，出国（境）0人。</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年公务用车购置及运行维护费0万元。</w:t>
      </w:r>
    </w:p>
    <w:p>
      <w:pPr>
        <w:spacing w:line="600" w:lineRule="exact"/>
        <w:ind w:firstLine="643" w:firstLineChars="200"/>
        <w:rPr>
          <w:rFonts w:ascii="楷体_GB2312" w:eastAsia="楷体_GB2312"/>
          <w:b/>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w:t>
      </w:r>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年公务接待费3.3</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w:t>
      </w:r>
      <w:bookmarkStart w:id="0" w:name="_GoBack"/>
      <w:bookmarkEnd w:id="0"/>
      <w:r>
        <w:rPr>
          <w:rFonts w:hint="eastAsia" w:ascii="仿宋_GB2312" w:eastAsia="仿宋_GB2312"/>
          <w:color w:val="000000"/>
          <w:sz w:val="32"/>
          <w:szCs w:val="32"/>
        </w:rPr>
        <w:t>主要用于执行公务、开展业务活动开支的交通费、住宿费、用餐费等。国内公务接待5</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批次，6</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8人，共计支出3.3</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万元，具体内容包括：上级检查工作，校际工作交流，学生活动接待开支。</w:t>
      </w:r>
    </w:p>
    <w:p>
      <w:pPr>
        <w:spacing w:line="600" w:lineRule="exact"/>
        <w:ind w:firstLine="640"/>
        <w:rPr>
          <w:rFonts w:ascii="黑体" w:eastAsia="黑体"/>
          <w:color w:val="000000"/>
          <w:sz w:val="32"/>
          <w:szCs w:val="32"/>
        </w:rPr>
      </w:pPr>
      <w:r>
        <w:rPr>
          <w:rFonts w:hint="eastAsia" w:ascii="黑体" w:eastAsia="黑体"/>
          <w:color w:val="000000"/>
          <w:sz w:val="32"/>
          <w:szCs w:val="32"/>
        </w:rPr>
        <w:t>八、政府性基金预算财政拨款支出决算情况</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宣汉县桃花初级中学</w:t>
      </w:r>
      <w:r>
        <w:rPr>
          <w:rFonts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年使用政府性基金预算财政拨款支出0万元。</w:t>
      </w:r>
    </w:p>
    <w:p>
      <w:pPr>
        <w:autoSpaceDE w:val="0"/>
        <w:autoSpaceDN w:val="0"/>
        <w:adjustRightInd w:val="0"/>
        <w:spacing w:line="600" w:lineRule="exact"/>
        <w:ind w:firstLine="640" w:firstLineChars="200"/>
        <w:jc w:val="left"/>
        <w:rPr>
          <w:rFonts w:ascii="黑体" w:eastAsia="黑体"/>
          <w:color w:val="000000"/>
          <w:sz w:val="32"/>
          <w:szCs w:val="32"/>
        </w:rPr>
      </w:pPr>
      <w:r>
        <w:rPr>
          <w:rFonts w:hint="eastAsia" w:ascii="黑体" w:eastAsia="黑体"/>
          <w:color w:val="000000"/>
          <w:sz w:val="32"/>
          <w:szCs w:val="32"/>
        </w:rPr>
        <w:t>九、名词解释</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财政拨款收入：指省级财政当年拨付的资金。</w:t>
      </w:r>
      <w:r>
        <w:rPr>
          <w:rFonts w:ascii="仿宋_GB2312" w:eastAsia="仿宋_GB2312"/>
          <w:sz w:val="32"/>
          <w:szCs w:val="32"/>
        </w:rPr>
        <w:t xml:space="preserve"> </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事业收入：指事业单位开展专业业务活动及辅助活动所取得的收入。如…（二级预算单位事业收入情况）等。</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其他收入：指除上述“财政拨款收入”、“事业收入”、“经营收入”等以外的收入。主要是…（收入类型）等。</w:t>
      </w:r>
      <w:r>
        <w:rPr>
          <w:rFonts w:ascii="仿宋_GB2312" w:eastAsia="仿宋_GB2312"/>
          <w:sz w:val="32"/>
          <w:szCs w:val="32"/>
        </w:rPr>
        <w:t xml:space="preserve"> </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教育（类）…（款）…（项）：指2050203。</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社会保障和就业（类）…（款）…（项）：指2210201。</w:t>
      </w:r>
    </w:p>
    <w:p>
      <w:pPr>
        <w:rPr>
          <w:rFonts w:ascii="仿宋_GB2312" w:eastAsia="仿宋_GB2312"/>
          <w:b/>
          <w:i/>
          <w:color w:val="404040"/>
          <w:sz w:val="32"/>
          <w:szCs w:val="32"/>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结余分配：指事业单位按规定提取的职工福利基金、事业基金和缴纳的所得税，以及建设单位按规定应交回的基本建设竣工项目结余资金。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rFonts w:ascii="仿宋_GB2312" w:eastAsia="仿宋_GB2312"/>
          <w:color w:val="00000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B047F"/>
    <w:rsid w:val="000B5A48"/>
    <w:rsid w:val="000C3CA6"/>
    <w:rsid w:val="000D5782"/>
    <w:rsid w:val="000E63D4"/>
    <w:rsid w:val="0014729F"/>
    <w:rsid w:val="00191536"/>
    <w:rsid w:val="00236BFA"/>
    <w:rsid w:val="00260C38"/>
    <w:rsid w:val="0037013F"/>
    <w:rsid w:val="003A484F"/>
    <w:rsid w:val="003B0C1B"/>
    <w:rsid w:val="00400E5D"/>
    <w:rsid w:val="004D119C"/>
    <w:rsid w:val="00510CFC"/>
    <w:rsid w:val="0058486E"/>
    <w:rsid w:val="005D5CED"/>
    <w:rsid w:val="00607E6C"/>
    <w:rsid w:val="0066343B"/>
    <w:rsid w:val="0068457C"/>
    <w:rsid w:val="0070084B"/>
    <w:rsid w:val="0076182A"/>
    <w:rsid w:val="00767B7E"/>
    <w:rsid w:val="007770C3"/>
    <w:rsid w:val="007865B4"/>
    <w:rsid w:val="00794588"/>
    <w:rsid w:val="007D7FA5"/>
    <w:rsid w:val="00800112"/>
    <w:rsid w:val="008434F8"/>
    <w:rsid w:val="00871F71"/>
    <w:rsid w:val="00951248"/>
    <w:rsid w:val="0095152F"/>
    <w:rsid w:val="00971FFC"/>
    <w:rsid w:val="009B4EAE"/>
    <w:rsid w:val="009B7573"/>
    <w:rsid w:val="009D3447"/>
    <w:rsid w:val="00A307CD"/>
    <w:rsid w:val="00A35A11"/>
    <w:rsid w:val="00A62661"/>
    <w:rsid w:val="00A67F54"/>
    <w:rsid w:val="00B03C9D"/>
    <w:rsid w:val="00B10517"/>
    <w:rsid w:val="00B310B9"/>
    <w:rsid w:val="00C03E31"/>
    <w:rsid w:val="00C35554"/>
    <w:rsid w:val="00C533CC"/>
    <w:rsid w:val="00C62B85"/>
    <w:rsid w:val="00CC09B6"/>
    <w:rsid w:val="00CE7B61"/>
    <w:rsid w:val="00DC3E14"/>
    <w:rsid w:val="00DC410D"/>
    <w:rsid w:val="00E34066"/>
    <w:rsid w:val="00E82267"/>
    <w:rsid w:val="00ED1B63"/>
    <w:rsid w:val="00EE0738"/>
    <w:rsid w:val="00EF4C34"/>
    <w:rsid w:val="00F1361C"/>
    <w:rsid w:val="00F160C7"/>
    <w:rsid w:val="00FA14D5"/>
    <w:rsid w:val="00FC067D"/>
    <w:rsid w:val="00FF1E02"/>
    <w:rsid w:val="071059CF"/>
    <w:rsid w:val="080F3AB8"/>
    <w:rsid w:val="0DD9490A"/>
    <w:rsid w:val="0FFD1647"/>
    <w:rsid w:val="10B7606C"/>
    <w:rsid w:val="12F30201"/>
    <w:rsid w:val="13217201"/>
    <w:rsid w:val="16CC056C"/>
    <w:rsid w:val="17137DB0"/>
    <w:rsid w:val="1E6212DA"/>
    <w:rsid w:val="1F772B10"/>
    <w:rsid w:val="23B27FD1"/>
    <w:rsid w:val="24693747"/>
    <w:rsid w:val="2CAC3637"/>
    <w:rsid w:val="373C607B"/>
    <w:rsid w:val="38A63847"/>
    <w:rsid w:val="39067321"/>
    <w:rsid w:val="4491449B"/>
    <w:rsid w:val="4AEE4788"/>
    <w:rsid w:val="4BB329EA"/>
    <w:rsid w:val="55C1122E"/>
    <w:rsid w:val="574A111B"/>
    <w:rsid w:val="58054AD1"/>
    <w:rsid w:val="59084DDA"/>
    <w:rsid w:val="5C93436D"/>
    <w:rsid w:val="5FD93527"/>
    <w:rsid w:val="693B56F1"/>
    <w:rsid w:val="6E3E4617"/>
    <w:rsid w:val="6F69350F"/>
    <w:rsid w:val="73BF2CF0"/>
    <w:rsid w:val="7C2C4A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unhideWhenUsed/>
    <w:uiPriority w:val="99"/>
    <w:rPr>
      <w:color w:val="0000FF"/>
      <w:u w:val="single"/>
    </w:rPr>
  </w:style>
  <w:style w:type="character" w:customStyle="1" w:styleId="10">
    <w:name w:val="页眉 Char"/>
    <w:basedOn w:val="6"/>
    <w:link w:val="4"/>
    <w:semiHidden/>
    <w:qFormat/>
    <w:locked/>
    <w:uiPriority w:val="99"/>
    <w:rPr>
      <w:sz w:val="18"/>
    </w:rPr>
  </w:style>
  <w:style w:type="character" w:customStyle="1" w:styleId="11">
    <w:name w:val="页脚 Char"/>
    <w:basedOn w:val="6"/>
    <w:link w:val="3"/>
    <w:qFormat/>
    <w:locked/>
    <w:uiPriority w:val="99"/>
    <w:rPr>
      <w:sz w:val="18"/>
    </w:rPr>
  </w:style>
  <w:style w:type="character" w:customStyle="1" w:styleId="12">
    <w:name w:val="正文文本 Char"/>
    <w:basedOn w:val="6"/>
    <w:link w:val="2"/>
    <w:qFormat/>
    <w:locked/>
    <w:uiPriority w:val="99"/>
    <w:rPr>
      <w:rFonts w:ascii="仿宋_GB2312" w:hAnsi="Times New Roman" w:eastAsia="仿宋_GB2312"/>
      <w:sz w:val="24"/>
    </w:rPr>
  </w:style>
  <w:style w:type="paragraph" w:customStyle="1" w:styleId="1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6</Pages>
  <Words>443</Words>
  <Characters>2531</Characters>
  <Lines>21</Lines>
  <Paragraphs>5</Paragraphs>
  <TotalTime>27</TotalTime>
  <ScaleCrop>false</ScaleCrop>
  <LinksUpToDate>false</LinksUpToDate>
  <CharactersWithSpaces>2969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2017-08-07T01:48:00Z</dcterms:created>
  <dc:creator>张彬茜</dc:creator>
  <cp:lastModifiedBy>莲花</cp:lastModifiedBy>
  <cp:lastPrinted>2017-08-03T09:26:00Z</cp:lastPrinted>
  <dcterms:modified xsi:type="dcterms:W3CDTF">2018-09-04T11:56:12Z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