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77193"/>
      <w:bookmarkStart w:id="3" w:name="_Toc18672"/>
      <w:bookmarkStart w:id="4" w:name="_Toc15377425"/>
      <w:bookmarkStart w:id="5" w:name="_Toc15378441"/>
      <w:bookmarkStart w:id="6" w:name="_Toc32041"/>
      <w:bookmarkStart w:id="7" w:name="_Toc15396475"/>
      <w:bookmarkStart w:id="8" w:name="_Toc1962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bookmarkEnd w:id="7"/>
      <w:bookmarkEnd w:id="8"/>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9" w:name="_Toc15396598"/>
      <w:bookmarkStart w:id="10" w:name="_Toc15377426"/>
      <w:bookmarkStart w:id="11" w:name="_Toc15378442"/>
      <w:bookmarkStart w:id="12" w:name="_Toc15377194"/>
      <w:bookmarkStart w:id="13" w:name="_Toc15396476"/>
      <w:bookmarkStart w:id="14" w:name="_Toc16890"/>
      <w:bookmarkStart w:id="15" w:name="_Toc30895"/>
      <w:bookmarkStart w:id="16" w:name="_Toc22683"/>
      <w:r>
        <w:rPr>
          <w:rFonts w:hint="eastAsia" w:ascii="方正小标宋简体" w:hAnsi="方正小标宋简体" w:eastAsia="方正小标宋简体" w:cs="方正小标宋简体"/>
          <w:color w:val="auto"/>
          <w:sz w:val="72"/>
          <w:szCs w:val="72"/>
          <w:highlight w:val="none"/>
        </w:rPr>
        <w:t>四川省</w:t>
      </w:r>
      <w:bookmarkEnd w:id="0"/>
      <w:bookmarkStart w:id="17" w:name="_Toc15306268"/>
      <w:r>
        <w:rPr>
          <w:rFonts w:hint="eastAsia" w:ascii="方正小标宋简体" w:hAnsi="方正小标宋简体" w:eastAsia="方正小标宋简体" w:cs="方正小标宋简体"/>
          <w:color w:val="auto"/>
          <w:sz w:val="72"/>
          <w:szCs w:val="72"/>
          <w:highlight w:val="none"/>
          <w:lang w:eastAsia="zh-CN"/>
        </w:rPr>
        <w:t>宣汉县上峡镇人民政府</w:t>
      </w:r>
      <w:r>
        <w:rPr>
          <w:rFonts w:hint="eastAsia" w:ascii="方正小标宋简体" w:hAnsi="方正小标宋简体" w:eastAsia="方正小标宋简体" w:cs="方正小标宋简体"/>
          <w:color w:val="auto"/>
          <w:sz w:val="72"/>
          <w:szCs w:val="72"/>
          <w:highlight w:val="none"/>
        </w:rPr>
        <w:t>决算</w:t>
      </w:r>
      <w:bookmarkEnd w:id="9"/>
      <w:bookmarkEnd w:id="10"/>
      <w:bookmarkEnd w:id="11"/>
      <w:bookmarkEnd w:id="12"/>
      <w:bookmarkEnd w:id="13"/>
      <w:bookmarkEnd w:id="17"/>
      <w:r>
        <w:rPr>
          <w:rFonts w:hint="eastAsia" w:ascii="方正小标宋简体" w:hAnsi="方正小标宋简体" w:eastAsia="方正小标宋简体" w:cs="方正小标宋简体"/>
          <w:color w:val="auto"/>
          <w:sz w:val="72"/>
          <w:szCs w:val="72"/>
          <w:highlight w:val="none"/>
          <w:lang w:eastAsia="zh-CN"/>
        </w:rPr>
        <w:t>编制说明</w:t>
      </w:r>
      <w:bookmarkEnd w:id="14"/>
      <w:bookmarkEnd w:id="15"/>
      <w:bookmarkEnd w:id="16"/>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16</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59449"/>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pStyle w:val="11"/>
            <w:bidi w:val="0"/>
            <w:rPr>
              <w:b/>
            </w:rPr>
          </w:pPr>
          <w:r>
            <w:fldChar w:fldCharType="begin"/>
          </w:r>
          <w:r>
            <w:instrText xml:space="preserve">TOC \o "1-2" \h \u </w:instrText>
          </w:r>
          <w:r>
            <w:fldChar w:fldCharType="separate"/>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b/>
            </w:rPr>
          </w:pPr>
          <w:r>
            <w:fldChar w:fldCharType="begin"/>
          </w:r>
          <w:r>
            <w:instrText xml:space="preserve"> HYPERLINK \l _Toc6439 </w:instrText>
          </w:r>
          <w:r>
            <w:fldChar w:fldCharType="separate"/>
          </w:r>
          <w:r>
            <w:rPr>
              <w:rFonts w:hint="eastAsia"/>
            </w:rPr>
            <w:t xml:space="preserve">第一部分 </w:t>
          </w:r>
          <w:r>
            <w:rPr>
              <w:rFonts w:hint="eastAsia"/>
              <w:lang w:eastAsia="zh-CN"/>
            </w:rPr>
            <w:t>单位</w:t>
          </w:r>
          <w:r>
            <w:rPr>
              <w:rFonts w:hint="eastAsia"/>
            </w:rPr>
            <w:t>概况</w:t>
          </w:r>
          <w:r>
            <w:tab/>
          </w:r>
          <w:r>
            <w:fldChar w:fldCharType="begin"/>
          </w:r>
          <w:r>
            <w:instrText xml:space="preserve"> PAGEREF _Toc6439 \h </w:instrText>
          </w:r>
          <w:r>
            <w:fldChar w:fldCharType="separate"/>
          </w:r>
          <w:r>
            <w:t>4</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_Toc5629 </w:instrText>
          </w:r>
          <w:r>
            <w:fldChar w:fldCharType="separate"/>
          </w:r>
          <w:r>
            <w:rPr>
              <w:rFonts w:hint="eastAsia"/>
              <w:lang w:eastAsia="zh-CN"/>
            </w:rPr>
            <w:t xml:space="preserve">一、 </w:t>
          </w:r>
          <w:r>
            <w:rPr>
              <w:rFonts w:hint="eastAsia"/>
            </w:rPr>
            <w:t>职能</w:t>
          </w:r>
          <w:r>
            <w:rPr>
              <w:rFonts w:hint="eastAsia"/>
              <w:lang w:eastAsia="zh-CN"/>
            </w:rPr>
            <w:t>简介</w:t>
          </w:r>
          <w:r>
            <w:tab/>
          </w:r>
          <w:r>
            <w:fldChar w:fldCharType="begin"/>
          </w:r>
          <w:r>
            <w:instrText xml:space="preserve"> PAGEREF _Toc5629 \h </w:instrText>
          </w:r>
          <w:r>
            <w:fldChar w:fldCharType="separate"/>
          </w:r>
          <w:r>
            <w:t>4</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_Toc24826 </w:instrText>
          </w:r>
          <w:r>
            <w:fldChar w:fldCharType="separate"/>
          </w:r>
          <w:r>
            <w:rPr>
              <w:rFonts w:hint="eastAsia"/>
              <w:lang w:val="en-US" w:eastAsia="zh-CN"/>
            </w:rPr>
            <w:t>二、2021年重点</w:t>
          </w:r>
          <w:r>
            <w:rPr>
              <w:rFonts w:hint="eastAsia"/>
            </w:rPr>
            <w:t>工作</w:t>
          </w:r>
          <w:r>
            <w:rPr>
              <w:rFonts w:hint="eastAsia"/>
              <w:lang w:eastAsia="zh-CN"/>
            </w:rPr>
            <w:t>完成情况</w:t>
          </w:r>
          <w:r>
            <w:tab/>
          </w:r>
          <w:r>
            <w:fldChar w:fldCharType="begin"/>
          </w:r>
          <w:r>
            <w:instrText xml:space="preserve"> PAGEREF _Toc24826 \h </w:instrText>
          </w:r>
          <w:r>
            <w:fldChar w:fldCharType="separate"/>
          </w:r>
          <w:r>
            <w:t>4</w:t>
          </w:r>
          <w:r>
            <w:fldChar w:fldCharType="end"/>
          </w:r>
          <w:r>
            <w:fldChar w:fldCharType="end"/>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b/>
            </w:rPr>
          </w:pPr>
          <w:r>
            <w:fldChar w:fldCharType="begin"/>
          </w:r>
          <w:r>
            <w:instrText xml:space="preserve"> HYPERLINK \l _Toc1201 </w:instrText>
          </w:r>
          <w:r>
            <w:fldChar w:fldCharType="separate"/>
          </w:r>
          <w:r>
            <w:rPr>
              <w:rFonts w:hint="eastAsia"/>
            </w:rPr>
            <w:t xml:space="preserve">第二部分 </w:t>
          </w:r>
          <w:r>
            <w:rPr>
              <w:rFonts w:hint="eastAsia"/>
              <w:lang w:val="en-US" w:eastAsia="zh-CN"/>
            </w:rPr>
            <w:t>2021年度</w:t>
          </w:r>
          <w:r>
            <w:rPr>
              <w:rFonts w:hint="eastAsia"/>
              <w:lang w:eastAsia="zh-CN"/>
            </w:rPr>
            <w:t>单位</w:t>
          </w:r>
          <w:r>
            <w:rPr>
              <w:rFonts w:hint="eastAsia"/>
            </w:rPr>
            <w:t>决算情况说明</w:t>
          </w:r>
          <w:r>
            <w:tab/>
          </w:r>
          <w:r>
            <w:fldChar w:fldCharType="begin"/>
          </w:r>
          <w:r>
            <w:instrText xml:space="preserve"> PAGEREF _Toc1201 \h </w:instrText>
          </w:r>
          <w:r>
            <w:fldChar w:fldCharType="separate"/>
          </w:r>
          <w:r>
            <w:t>9</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_Toc28658 </w:instrText>
          </w:r>
          <w:r>
            <w:fldChar w:fldCharType="separate"/>
          </w:r>
          <w:r>
            <w:rPr>
              <w:rFonts w:hint="default"/>
            </w:rPr>
            <w:t xml:space="preserve">一、 </w:t>
          </w:r>
          <w:r>
            <w:rPr>
              <w:rFonts w:hint="eastAsia"/>
            </w:rPr>
            <w:t>收入支出决算总体情况说明</w:t>
          </w:r>
          <w:r>
            <w:tab/>
          </w:r>
          <w:r>
            <w:fldChar w:fldCharType="begin"/>
          </w:r>
          <w:r>
            <w:instrText xml:space="preserve"> PAGEREF _Toc28658 \h </w:instrText>
          </w:r>
          <w:r>
            <w:fldChar w:fldCharType="separate"/>
          </w:r>
          <w:r>
            <w:t>9</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_Toc15792 </w:instrText>
          </w:r>
          <w:r>
            <w:fldChar w:fldCharType="separate"/>
          </w:r>
          <w:r>
            <w:rPr>
              <w:rFonts w:hint="default"/>
            </w:rPr>
            <w:t xml:space="preserve">二、 </w:t>
          </w:r>
          <w:r>
            <w:rPr>
              <w:rFonts w:hint="eastAsia"/>
            </w:rPr>
            <w:t>收入决算情况说明</w:t>
          </w:r>
          <w:r>
            <w:tab/>
          </w:r>
          <w:r>
            <w:fldChar w:fldCharType="begin"/>
          </w:r>
          <w:r>
            <w:instrText xml:space="preserve"> PAGEREF _Toc15792 \h </w:instrText>
          </w:r>
          <w:r>
            <w:fldChar w:fldCharType="separate"/>
          </w:r>
          <w:r>
            <w:t>9</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_Toc31030 </w:instrText>
          </w:r>
          <w:r>
            <w:fldChar w:fldCharType="separate"/>
          </w:r>
          <w:r>
            <w:rPr>
              <w:rFonts w:hint="default"/>
            </w:rPr>
            <w:t xml:space="preserve">三、 </w:t>
          </w:r>
          <w:r>
            <w:rPr>
              <w:rFonts w:hint="eastAsia"/>
            </w:rPr>
            <w:t>支出决算情况说明</w:t>
          </w:r>
          <w:r>
            <w:tab/>
          </w:r>
          <w:r>
            <w:fldChar w:fldCharType="begin"/>
          </w:r>
          <w:r>
            <w:instrText xml:space="preserve"> PAGEREF _Toc31030 \h </w:instrText>
          </w:r>
          <w:r>
            <w:fldChar w:fldCharType="separate"/>
          </w:r>
          <w:r>
            <w:t>10</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_Toc25716 </w:instrText>
          </w:r>
          <w:r>
            <w:fldChar w:fldCharType="separate"/>
          </w:r>
          <w:r>
            <w:rPr>
              <w:rFonts w:hint="eastAsia"/>
            </w:rPr>
            <w:t>四、财政拨款收入支出决算总体情况说明</w:t>
          </w:r>
          <w:r>
            <w:tab/>
          </w:r>
          <w:r>
            <w:fldChar w:fldCharType="begin"/>
          </w:r>
          <w:r>
            <w:instrText xml:space="preserve"> PAGEREF _Toc25716 \h </w:instrText>
          </w:r>
          <w:r>
            <w:fldChar w:fldCharType="separate"/>
          </w:r>
          <w:r>
            <w:t>10</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_Toc11992 </w:instrText>
          </w:r>
          <w:r>
            <w:fldChar w:fldCharType="separate"/>
          </w:r>
          <w:r>
            <w:rPr>
              <w:rFonts w:hint="eastAsia"/>
            </w:rPr>
            <w:t>五、一般公共预算财政拨款支出决算情况说明</w:t>
          </w:r>
          <w:r>
            <w:tab/>
          </w:r>
          <w:r>
            <w:fldChar w:fldCharType="begin"/>
          </w:r>
          <w:r>
            <w:instrText xml:space="preserve"> PAGEREF _Toc11992 \h </w:instrText>
          </w:r>
          <w:r>
            <w:fldChar w:fldCharType="separate"/>
          </w:r>
          <w:r>
            <w:t>11</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_Toc466 </w:instrText>
          </w:r>
          <w:r>
            <w:fldChar w:fldCharType="separate"/>
          </w:r>
          <w:r>
            <w:rPr>
              <w:rFonts w:hint="eastAsia"/>
            </w:rPr>
            <w:t>六、一般公共预算财政拨款基本支出决算情况说明</w:t>
          </w:r>
          <w:r>
            <w:tab/>
          </w:r>
          <w:r>
            <w:fldChar w:fldCharType="begin"/>
          </w:r>
          <w:r>
            <w:instrText xml:space="preserve"> PAGEREF _Toc466 \h </w:instrText>
          </w:r>
          <w:r>
            <w:fldChar w:fldCharType="separate"/>
          </w:r>
          <w:r>
            <w:t>15</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_Toc3303 </w:instrText>
          </w:r>
          <w:r>
            <w:fldChar w:fldCharType="separate"/>
          </w:r>
          <w:r>
            <w:rPr>
              <w:rFonts w:hint="eastAsia"/>
            </w:rPr>
            <w:t>七、“三公”经费财政拨款支出决算情况说明</w:t>
          </w:r>
          <w:r>
            <w:tab/>
          </w:r>
          <w:r>
            <w:fldChar w:fldCharType="begin"/>
          </w:r>
          <w:r>
            <w:instrText xml:space="preserve"> PAGEREF _Toc3303 \h </w:instrText>
          </w:r>
          <w:r>
            <w:fldChar w:fldCharType="separate"/>
          </w:r>
          <w:r>
            <w:t>16</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_Toc20555 </w:instrText>
          </w:r>
          <w:r>
            <w:fldChar w:fldCharType="separate"/>
          </w:r>
          <w:r>
            <w:rPr>
              <w:rFonts w:hint="eastAsia"/>
            </w:rPr>
            <w:t>八、政府性基金预算支出决算情况说明</w:t>
          </w:r>
          <w:r>
            <w:tab/>
          </w:r>
          <w:r>
            <w:fldChar w:fldCharType="begin"/>
          </w:r>
          <w:r>
            <w:instrText xml:space="preserve"> PAGEREF _Toc20555 \h </w:instrText>
          </w:r>
          <w:r>
            <w:fldChar w:fldCharType="separate"/>
          </w:r>
          <w:r>
            <w:t>18</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_Toc17959 </w:instrText>
          </w:r>
          <w:r>
            <w:fldChar w:fldCharType="separate"/>
          </w:r>
          <w:r>
            <w:rPr>
              <w:rFonts w:hint="eastAsia"/>
            </w:rPr>
            <w:t>九、 国有资本经营预算支出决算情况说明</w:t>
          </w:r>
          <w:r>
            <w:tab/>
          </w:r>
          <w:r>
            <w:fldChar w:fldCharType="begin"/>
          </w:r>
          <w:r>
            <w:instrText xml:space="preserve"> PAGEREF _Toc17959 \h </w:instrText>
          </w:r>
          <w:r>
            <w:fldChar w:fldCharType="separate"/>
          </w:r>
          <w:r>
            <w:t>18</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_Toc6827 </w:instrText>
          </w:r>
          <w:r>
            <w:fldChar w:fldCharType="separate"/>
          </w:r>
          <w:r>
            <w:rPr>
              <w:rFonts w:hint="eastAsia"/>
            </w:rPr>
            <w:t>十、 其他重要事项的情况说明</w:t>
          </w:r>
          <w:r>
            <w:tab/>
          </w:r>
          <w:r>
            <w:fldChar w:fldCharType="begin"/>
          </w:r>
          <w:r>
            <w:instrText xml:space="preserve"> PAGEREF _Toc6827 \h </w:instrText>
          </w:r>
          <w:r>
            <w:fldChar w:fldCharType="separate"/>
          </w:r>
          <w:r>
            <w:t>18</w:t>
          </w:r>
          <w:r>
            <w:fldChar w:fldCharType="end"/>
          </w:r>
          <w:r>
            <w:fldChar w:fldCharType="end"/>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_Toc22596 </w:instrText>
          </w:r>
          <w:r>
            <w:fldChar w:fldCharType="separate"/>
          </w:r>
          <w:r>
            <w:rPr>
              <w:rFonts w:hint="eastAsia"/>
            </w:rPr>
            <w:t>第三部分 名词解释</w:t>
          </w:r>
          <w:r>
            <w:tab/>
          </w:r>
          <w:r>
            <w:fldChar w:fldCharType="begin"/>
          </w:r>
          <w:r>
            <w:instrText xml:space="preserve"> PAGEREF _Toc22596 \h </w:instrText>
          </w:r>
          <w:r>
            <w:fldChar w:fldCharType="separate"/>
          </w:r>
          <w:r>
            <w:t>20</w:t>
          </w:r>
          <w:r>
            <w:fldChar w:fldCharType="end"/>
          </w:r>
          <w:r>
            <w:fldChar w:fldCharType="end"/>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_Toc5559 </w:instrText>
          </w:r>
          <w:r>
            <w:fldChar w:fldCharType="separate"/>
          </w:r>
          <w:r>
            <w:rPr>
              <w:rFonts w:hint="eastAsia"/>
            </w:rPr>
            <w:t>第四部分 附件</w:t>
          </w:r>
          <w:r>
            <w:tab/>
          </w:r>
          <w:r>
            <w:fldChar w:fldCharType="begin"/>
          </w:r>
          <w:r>
            <w:instrText xml:space="preserve"> PAGEREF _Toc5559 \h </w:instrText>
          </w:r>
          <w:r>
            <w:fldChar w:fldCharType="separate"/>
          </w:r>
          <w:r>
            <w:t>25</w:t>
          </w:r>
          <w:r>
            <w:fldChar w:fldCharType="end"/>
          </w:r>
          <w:r>
            <w:fldChar w:fldCharType="end"/>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_Toc17304 </w:instrText>
          </w:r>
          <w:r>
            <w:fldChar w:fldCharType="separate"/>
          </w:r>
          <w:r>
            <w:rPr>
              <w:rFonts w:hint="eastAsia"/>
            </w:rPr>
            <w:t>附件</w:t>
          </w:r>
          <w:r>
            <w:tab/>
          </w:r>
          <w:r>
            <w:fldChar w:fldCharType="begin"/>
          </w:r>
          <w:r>
            <w:instrText xml:space="preserve"> PAGEREF _Toc17304 \h </w:instrText>
          </w:r>
          <w:r>
            <w:fldChar w:fldCharType="separate"/>
          </w:r>
          <w:r>
            <w:t>25</w:t>
          </w:r>
          <w:r>
            <w:fldChar w:fldCharType="end"/>
          </w:r>
          <w:r>
            <w:fldChar w:fldCharType="end"/>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b/>
            </w:rPr>
          </w:pPr>
          <w:r>
            <w:fldChar w:fldCharType="begin"/>
          </w:r>
          <w:r>
            <w:instrText xml:space="preserve"> HYPERLINK \l _Toc27774 </w:instrText>
          </w:r>
          <w:r>
            <w:fldChar w:fldCharType="separate"/>
          </w:r>
          <w:r>
            <w:rPr>
              <w:rFonts w:hint="eastAsia"/>
            </w:rPr>
            <w:t>第五部分 附表</w:t>
          </w:r>
          <w:r>
            <w:tab/>
          </w:r>
          <w:r>
            <w:fldChar w:fldCharType="begin"/>
          </w:r>
          <w:r>
            <w:instrText xml:space="preserve"> PAGEREF _Toc27774 \h </w:instrText>
          </w:r>
          <w:r>
            <w:fldChar w:fldCharType="separate"/>
          </w:r>
          <w:r>
            <w:t>33</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_Toc27295 </w:instrText>
          </w:r>
          <w:r>
            <w:fldChar w:fldCharType="separate"/>
          </w:r>
          <w:r>
            <w:rPr>
              <w:rFonts w:hint="eastAsia"/>
            </w:rPr>
            <w:t>一、收入支出决算总表</w:t>
          </w:r>
          <w:r>
            <w:tab/>
          </w:r>
          <w:r>
            <w:fldChar w:fldCharType="begin"/>
          </w:r>
          <w:r>
            <w:instrText xml:space="preserve"> PAGEREF _Toc27295 \h </w:instrText>
          </w:r>
          <w:r>
            <w:fldChar w:fldCharType="separate"/>
          </w:r>
          <w:r>
            <w:t>33</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_Toc5233 </w:instrText>
          </w:r>
          <w:r>
            <w:fldChar w:fldCharType="separate"/>
          </w:r>
          <w:r>
            <w:rPr>
              <w:rFonts w:hint="eastAsia"/>
            </w:rPr>
            <w:t>二、收入决算表</w:t>
          </w:r>
          <w:r>
            <w:tab/>
          </w:r>
          <w:r>
            <w:fldChar w:fldCharType="begin"/>
          </w:r>
          <w:r>
            <w:instrText xml:space="preserve"> PAGEREF _Toc5233 \h </w:instrText>
          </w:r>
          <w:r>
            <w:fldChar w:fldCharType="separate"/>
          </w:r>
          <w:r>
            <w:t>33</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_Toc15949 </w:instrText>
          </w:r>
          <w:r>
            <w:fldChar w:fldCharType="separate"/>
          </w:r>
          <w:r>
            <w:rPr>
              <w:rFonts w:hint="eastAsia"/>
            </w:rPr>
            <w:t>三、支出决算表</w:t>
          </w:r>
          <w:r>
            <w:tab/>
          </w:r>
          <w:r>
            <w:fldChar w:fldCharType="begin"/>
          </w:r>
          <w:r>
            <w:instrText xml:space="preserve"> PAGEREF _Toc15949 \h </w:instrText>
          </w:r>
          <w:r>
            <w:fldChar w:fldCharType="separate"/>
          </w:r>
          <w:r>
            <w:t>33</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_Toc20206 </w:instrText>
          </w:r>
          <w:r>
            <w:fldChar w:fldCharType="separate"/>
          </w:r>
          <w:r>
            <w:rPr>
              <w:rFonts w:hint="eastAsia"/>
            </w:rPr>
            <w:t>四、财政拨款收入支出决算总表</w:t>
          </w:r>
          <w:r>
            <w:tab/>
          </w:r>
          <w:r>
            <w:fldChar w:fldCharType="begin"/>
          </w:r>
          <w:r>
            <w:instrText xml:space="preserve"> PAGEREF _Toc20206 \h </w:instrText>
          </w:r>
          <w:r>
            <w:fldChar w:fldCharType="separate"/>
          </w:r>
          <w:r>
            <w:t>33</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_Toc9690 </w:instrText>
          </w:r>
          <w:r>
            <w:fldChar w:fldCharType="separate"/>
          </w:r>
          <w:r>
            <w:rPr>
              <w:rFonts w:hint="eastAsia"/>
            </w:rPr>
            <w:t>五、财政拨款支出决算明细表</w:t>
          </w:r>
          <w:r>
            <w:tab/>
          </w:r>
          <w:r>
            <w:fldChar w:fldCharType="begin"/>
          </w:r>
          <w:r>
            <w:instrText xml:space="preserve"> PAGEREF _Toc9690 \h </w:instrText>
          </w:r>
          <w:r>
            <w:fldChar w:fldCharType="separate"/>
          </w:r>
          <w:r>
            <w:t>33</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_Toc11357 </w:instrText>
          </w:r>
          <w:r>
            <w:fldChar w:fldCharType="separate"/>
          </w:r>
          <w:r>
            <w:rPr>
              <w:rFonts w:hint="eastAsia"/>
            </w:rPr>
            <w:t>六、一般公共预算财政拨款支出决算表</w:t>
          </w:r>
          <w:r>
            <w:tab/>
          </w:r>
          <w:r>
            <w:fldChar w:fldCharType="begin"/>
          </w:r>
          <w:r>
            <w:instrText xml:space="preserve"> PAGEREF _Toc11357 \h </w:instrText>
          </w:r>
          <w:r>
            <w:fldChar w:fldCharType="separate"/>
          </w:r>
          <w:r>
            <w:t>33</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_Toc17902 </w:instrText>
          </w:r>
          <w:r>
            <w:fldChar w:fldCharType="separate"/>
          </w:r>
          <w:r>
            <w:rPr>
              <w:rFonts w:hint="eastAsia"/>
            </w:rPr>
            <w:t>七、一般公共预算财政拨款支出决算明细表</w:t>
          </w:r>
          <w:r>
            <w:tab/>
          </w:r>
          <w:r>
            <w:fldChar w:fldCharType="begin"/>
          </w:r>
          <w:r>
            <w:instrText xml:space="preserve"> PAGEREF _Toc17902 \h </w:instrText>
          </w:r>
          <w:r>
            <w:fldChar w:fldCharType="separate"/>
          </w:r>
          <w:r>
            <w:t>33</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_Toc17692 </w:instrText>
          </w:r>
          <w:r>
            <w:fldChar w:fldCharType="separate"/>
          </w:r>
          <w:r>
            <w:rPr>
              <w:rFonts w:hint="eastAsia"/>
            </w:rPr>
            <w:t>八、一般公共预算财政拨款基本支出决算表</w:t>
          </w:r>
          <w:r>
            <w:tab/>
          </w:r>
          <w:r>
            <w:fldChar w:fldCharType="begin"/>
          </w:r>
          <w:r>
            <w:instrText xml:space="preserve"> PAGEREF _Toc17692 \h </w:instrText>
          </w:r>
          <w:r>
            <w:fldChar w:fldCharType="separate"/>
          </w:r>
          <w:r>
            <w:t>33</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_Toc10853 </w:instrText>
          </w:r>
          <w:r>
            <w:fldChar w:fldCharType="separate"/>
          </w:r>
          <w:r>
            <w:rPr>
              <w:rFonts w:hint="eastAsia"/>
            </w:rPr>
            <w:t>九、一般公共预算财政拨款项目支出决算表</w:t>
          </w:r>
          <w:r>
            <w:tab/>
          </w:r>
          <w:r>
            <w:fldChar w:fldCharType="begin"/>
          </w:r>
          <w:r>
            <w:instrText xml:space="preserve"> PAGEREF _Toc10853 \h </w:instrText>
          </w:r>
          <w:r>
            <w:fldChar w:fldCharType="separate"/>
          </w:r>
          <w:r>
            <w:t>33</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_Toc16062 </w:instrText>
          </w:r>
          <w:r>
            <w:fldChar w:fldCharType="separate"/>
          </w:r>
          <w:r>
            <w:rPr>
              <w:rFonts w:hint="eastAsia"/>
            </w:rPr>
            <w:t>十、一般公共预算财政拨款“三公”经费支出决算表</w:t>
          </w:r>
          <w:r>
            <w:tab/>
          </w:r>
          <w:r>
            <w:fldChar w:fldCharType="begin"/>
          </w:r>
          <w:r>
            <w:instrText xml:space="preserve"> PAGEREF _Toc16062 \h </w:instrText>
          </w:r>
          <w:r>
            <w:fldChar w:fldCharType="separate"/>
          </w:r>
          <w:r>
            <w:t>33</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_Toc12035 </w:instrText>
          </w:r>
          <w:r>
            <w:fldChar w:fldCharType="separate"/>
          </w:r>
          <w:r>
            <w:rPr>
              <w:rFonts w:hint="eastAsia"/>
            </w:rPr>
            <w:t>十一、政府性基金预算财政拨款收入支出决算表</w:t>
          </w:r>
          <w:r>
            <w:tab/>
          </w:r>
          <w:r>
            <w:fldChar w:fldCharType="begin"/>
          </w:r>
          <w:r>
            <w:instrText xml:space="preserve"> PAGEREF _Toc12035 \h </w:instrText>
          </w:r>
          <w:r>
            <w:fldChar w:fldCharType="separate"/>
          </w:r>
          <w:r>
            <w:t>33</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_Toc10359 </w:instrText>
          </w:r>
          <w:r>
            <w:fldChar w:fldCharType="separate"/>
          </w:r>
          <w:r>
            <w:rPr>
              <w:rFonts w:hint="eastAsia"/>
            </w:rPr>
            <w:t>十二、政府性基金预算财政拨款“三公”经费支出决算表</w:t>
          </w:r>
          <w:r>
            <w:tab/>
          </w:r>
          <w:r>
            <w:fldChar w:fldCharType="begin"/>
          </w:r>
          <w:r>
            <w:instrText xml:space="preserve"> PAGEREF _Toc10359 \h </w:instrText>
          </w:r>
          <w:r>
            <w:fldChar w:fldCharType="separate"/>
          </w:r>
          <w:r>
            <w:t>33</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_Toc9920 </w:instrText>
          </w:r>
          <w:r>
            <w:fldChar w:fldCharType="separate"/>
          </w:r>
          <w:r>
            <w:rPr>
              <w:rFonts w:hint="eastAsia"/>
            </w:rPr>
            <w:t>十三、国有资本经营预算</w:t>
          </w:r>
          <w:r>
            <w:rPr>
              <w:rFonts w:hint="eastAsia"/>
              <w:lang w:eastAsia="zh-CN"/>
            </w:rPr>
            <w:t>财政拨款收入</w:t>
          </w:r>
          <w:r>
            <w:rPr>
              <w:rFonts w:hint="eastAsia"/>
            </w:rPr>
            <w:t>支出决算表</w:t>
          </w:r>
          <w:r>
            <w:tab/>
          </w:r>
          <w:r>
            <w:fldChar w:fldCharType="begin"/>
          </w:r>
          <w:r>
            <w:instrText xml:space="preserve"> PAGEREF _Toc9920 \h </w:instrText>
          </w:r>
          <w:r>
            <w:fldChar w:fldCharType="separate"/>
          </w:r>
          <w:r>
            <w:t>33</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pPr>
          <w:r>
            <w:fldChar w:fldCharType="begin"/>
          </w:r>
          <w:r>
            <w:instrText xml:space="preserve"> HYPERLINK \l _Toc20391 </w:instrText>
          </w:r>
          <w:r>
            <w:fldChar w:fldCharType="separate"/>
          </w:r>
          <w:r>
            <w:rPr>
              <w:rFonts w:hint="eastAsia"/>
              <w:lang w:eastAsia="zh-CN"/>
            </w:rPr>
            <w:t>十四、国有资本经营预算财政拨款支出决算表</w:t>
          </w:r>
          <w:r>
            <w:tab/>
          </w:r>
          <w:r>
            <w:fldChar w:fldCharType="begin"/>
          </w:r>
          <w:r>
            <w:instrText xml:space="preserve"> PAGEREF _Toc20391 \h </w:instrText>
          </w:r>
          <w:r>
            <w:fldChar w:fldCharType="separate"/>
          </w:r>
          <w:r>
            <w:t>33</w:t>
          </w:r>
          <w:r>
            <w:fldChar w:fldCharType="end"/>
          </w:r>
          <w:r>
            <w:fldChar w:fldCharType="end"/>
          </w:r>
        </w:p>
        <w:p>
          <w:r>
            <w:rPr>
              <w:b/>
            </w:rPr>
            <w:fldChar w:fldCharType="end"/>
          </w:r>
        </w:p>
      </w:sdtContent>
    </w:sdt>
    <w:p>
      <w:pPr>
        <w:rPr>
          <w:rFonts w:hint="eastAsia" w:ascii="黑体" w:hAnsi="黑体" w:eastAsia="黑体"/>
          <w:b w:val="0"/>
          <w:color w:val="auto"/>
          <w:highlight w:val="none"/>
        </w:rPr>
      </w:pPr>
      <w:r>
        <w:rPr>
          <w:rFonts w:hint="eastAsia" w:ascii="黑体" w:hAnsi="黑体" w:eastAsia="黑体"/>
          <w:b w:val="0"/>
          <w:color w:val="auto"/>
          <w:highlight w:val="none"/>
        </w:rPr>
        <w:br w:type="page"/>
      </w:r>
    </w:p>
    <w:p>
      <w:pPr>
        <w:pStyle w:val="3"/>
        <w:jc w:val="center"/>
        <w:rPr>
          <w:rStyle w:val="25"/>
          <w:rFonts w:ascii="黑体" w:hAnsi="黑体" w:eastAsia="黑体"/>
          <w:b/>
          <w:bCs w:val="0"/>
          <w:color w:val="auto"/>
          <w:highlight w:val="none"/>
        </w:rPr>
      </w:pPr>
      <w:bookmarkStart w:id="18" w:name="_Toc6439"/>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8"/>
    </w:p>
    <w:p>
      <w:pPr>
        <w:widowControl/>
        <w:jc w:val="left"/>
        <w:rPr>
          <w:rFonts w:ascii="黑体" w:eastAsia="黑体"/>
          <w:color w:val="auto"/>
          <w:sz w:val="32"/>
          <w:szCs w:val="32"/>
          <w:highlight w:val="none"/>
        </w:rPr>
      </w:pPr>
    </w:p>
    <w:p>
      <w:pPr>
        <w:pStyle w:val="4"/>
        <w:numPr>
          <w:ilvl w:val="0"/>
          <w:numId w:val="1"/>
        </w:numPr>
        <w:rPr>
          <w:rStyle w:val="26"/>
          <w:rFonts w:hint="eastAsia" w:ascii="黑体" w:hAnsi="黑体" w:eastAsia="黑体"/>
          <w:b w:val="0"/>
          <w:bCs w:val="0"/>
          <w:color w:val="auto"/>
          <w:highlight w:val="none"/>
          <w:lang w:eastAsia="zh-CN"/>
        </w:rPr>
      </w:pPr>
      <w:bookmarkStart w:id="19" w:name="_Toc5629"/>
      <w:bookmarkStart w:id="20" w:name="_Toc15377197"/>
      <w:bookmarkStart w:id="21" w:name="_Toc15396600"/>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bookmarkEnd w:id="19"/>
    </w:p>
    <w:p>
      <w:pPr>
        <w:widowControl/>
        <w:spacing w:line="600" w:lineRule="exact"/>
        <w:ind w:firstLine="640" w:firstLineChars="200"/>
        <w:jc w:val="left"/>
        <w:rPr>
          <w:rFonts w:ascii="Times New Roman" w:hAnsi="Times New Roman" w:eastAsia="仿宋"/>
          <w:color w:val="333333"/>
          <w:kern w:val="0"/>
          <w:sz w:val="32"/>
          <w:szCs w:val="32"/>
        </w:rPr>
      </w:pPr>
      <w:r>
        <w:rPr>
          <w:rFonts w:ascii="Times New Roman" w:hAnsi="Times New Roman" w:eastAsia="仿宋"/>
          <w:color w:val="333333"/>
          <w:kern w:val="0"/>
          <w:sz w:val="32"/>
          <w:szCs w:val="32"/>
        </w:rPr>
        <w:t>1.</w:t>
      </w:r>
      <w:r>
        <w:rPr>
          <w:rFonts w:hint="eastAsia" w:ascii="Times New Roman" w:hAnsi="Times New Roman" w:eastAsia="仿宋"/>
          <w:color w:val="333333"/>
          <w:kern w:val="0"/>
          <w:sz w:val="32"/>
          <w:szCs w:val="32"/>
        </w:rPr>
        <w:t>制定和组织我</w:t>
      </w:r>
      <w:r>
        <w:rPr>
          <w:rFonts w:hint="eastAsia" w:ascii="Times New Roman" w:hAnsi="Times New Roman" w:eastAsia="仿宋"/>
          <w:color w:val="333333"/>
          <w:kern w:val="0"/>
          <w:sz w:val="32"/>
          <w:szCs w:val="32"/>
          <w:lang w:eastAsia="zh-CN"/>
        </w:rPr>
        <w:t>镇</w:t>
      </w:r>
      <w:r>
        <w:rPr>
          <w:rFonts w:hint="eastAsia" w:ascii="Times New Roman" w:hAnsi="Times New Roman" w:eastAsia="仿宋"/>
          <w:color w:val="333333"/>
          <w:kern w:val="0"/>
          <w:sz w:val="32"/>
          <w:szCs w:val="32"/>
        </w:rPr>
        <w:t>实施经济、科技和社会发展计划，制定资源开发技术改造和产业结构调整方案，组织指导</w:t>
      </w:r>
      <w:r>
        <w:rPr>
          <w:rFonts w:hint="eastAsia" w:ascii="Times New Roman" w:hAnsi="Times New Roman" w:eastAsia="仿宋"/>
          <w:color w:val="333333"/>
          <w:kern w:val="0"/>
          <w:sz w:val="32"/>
          <w:szCs w:val="32"/>
          <w:lang w:eastAsia="zh-CN"/>
        </w:rPr>
        <w:t>好</w:t>
      </w:r>
      <w:r>
        <w:rPr>
          <w:rFonts w:hint="eastAsia" w:ascii="Times New Roman" w:hAnsi="Times New Roman" w:eastAsia="仿宋"/>
          <w:color w:val="333333"/>
          <w:kern w:val="0"/>
          <w:sz w:val="32"/>
          <w:szCs w:val="32"/>
        </w:rPr>
        <w:t>各</w:t>
      </w:r>
      <w:r>
        <w:rPr>
          <w:rFonts w:hint="eastAsia" w:ascii="Times New Roman" w:hAnsi="Times New Roman" w:eastAsia="仿宋"/>
          <w:color w:val="333333"/>
          <w:kern w:val="0"/>
          <w:sz w:val="32"/>
          <w:szCs w:val="32"/>
          <w:lang w:eastAsia="zh-CN"/>
        </w:rPr>
        <w:t>行</w:t>
      </w:r>
      <w:r>
        <w:rPr>
          <w:rFonts w:hint="eastAsia" w:ascii="Times New Roman" w:hAnsi="Times New Roman" w:eastAsia="仿宋"/>
          <w:color w:val="333333"/>
          <w:kern w:val="0"/>
          <w:sz w:val="32"/>
          <w:szCs w:val="32"/>
        </w:rPr>
        <w:t>业生产，搞好商品流通，协调好本</w:t>
      </w:r>
      <w:r>
        <w:rPr>
          <w:rFonts w:hint="eastAsia" w:ascii="Times New Roman" w:hAnsi="Times New Roman" w:eastAsia="仿宋"/>
          <w:color w:val="333333"/>
          <w:kern w:val="0"/>
          <w:sz w:val="32"/>
          <w:szCs w:val="32"/>
          <w:lang w:eastAsia="zh-CN"/>
        </w:rPr>
        <w:t>镇</w:t>
      </w:r>
      <w:r>
        <w:rPr>
          <w:rFonts w:hint="eastAsia" w:ascii="Times New Roman" w:hAnsi="Times New Roman" w:eastAsia="仿宋"/>
          <w:color w:val="333333"/>
          <w:kern w:val="0"/>
          <w:sz w:val="32"/>
          <w:szCs w:val="32"/>
        </w:rPr>
        <w:t>与外地区的经济交流与合作，抓好招商引资，人才引进项目开发，不断培育市场体系，组织经济运行，促进经济发展。</w:t>
      </w:r>
    </w:p>
    <w:p>
      <w:pPr>
        <w:widowControl/>
        <w:spacing w:line="600" w:lineRule="exact"/>
        <w:ind w:firstLine="640" w:firstLineChars="200"/>
        <w:jc w:val="left"/>
        <w:rPr>
          <w:rFonts w:hint="eastAsia" w:ascii="Times New Roman" w:hAnsi="Times New Roman" w:eastAsia="仿宋"/>
          <w:color w:val="333333"/>
          <w:kern w:val="0"/>
          <w:sz w:val="32"/>
          <w:szCs w:val="32"/>
        </w:rPr>
      </w:pPr>
      <w:r>
        <w:rPr>
          <w:rFonts w:ascii="Times New Roman" w:hAnsi="Times New Roman" w:eastAsia="仿宋"/>
          <w:color w:val="333333"/>
          <w:kern w:val="0"/>
          <w:sz w:val="32"/>
          <w:szCs w:val="32"/>
        </w:rPr>
        <w:t>2.</w:t>
      </w:r>
      <w:r>
        <w:rPr>
          <w:rFonts w:hint="eastAsia" w:ascii="Times New Roman" w:hAnsi="Times New Roman" w:eastAsia="仿宋"/>
          <w:color w:val="333333"/>
          <w:kern w:val="0"/>
          <w:sz w:val="32"/>
          <w:szCs w:val="32"/>
        </w:rPr>
        <w:t>负责我</w:t>
      </w:r>
      <w:r>
        <w:rPr>
          <w:rFonts w:hint="eastAsia" w:ascii="Times New Roman" w:hAnsi="Times New Roman" w:eastAsia="仿宋"/>
          <w:color w:val="333333"/>
          <w:kern w:val="0"/>
          <w:sz w:val="32"/>
          <w:szCs w:val="32"/>
          <w:lang w:eastAsia="zh-CN"/>
        </w:rPr>
        <w:t>镇</w:t>
      </w:r>
      <w:r>
        <w:rPr>
          <w:rFonts w:hint="eastAsia" w:ascii="Times New Roman" w:hAnsi="Times New Roman" w:eastAsia="仿宋"/>
          <w:color w:val="333333"/>
          <w:kern w:val="0"/>
          <w:sz w:val="32"/>
          <w:szCs w:val="32"/>
        </w:rPr>
        <w:t>行政区域内的民政、计划生育、文化教育、卫生、体育等社会公益事业的综合性工作，维护一切经济单位和个人的正当经济权益，取缔非法经济活动，调解和处理民事纠纷，打击刑事犯罪维护社会稳定。</w:t>
      </w:r>
    </w:p>
    <w:p>
      <w:pPr>
        <w:widowControl/>
        <w:spacing w:line="600" w:lineRule="exact"/>
        <w:ind w:firstLine="640" w:firstLineChars="200"/>
        <w:jc w:val="left"/>
        <w:rPr>
          <w:rFonts w:hint="eastAsia" w:ascii="Times New Roman" w:hAnsi="Times New Roman" w:eastAsia="仿宋"/>
          <w:color w:val="333333"/>
          <w:kern w:val="0"/>
          <w:sz w:val="32"/>
          <w:szCs w:val="32"/>
          <w:lang w:val="en-US" w:eastAsia="zh-CN"/>
        </w:rPr>
      </w:pPr>
      <w:r>
        <w:rPr>
          <w:rFonts w:hint="eastAsia" w:ascii="Times New Roman" w:hAnsi="Times New Roman" w:eastAsia="仿宋"/>
          <w:color w:val="333333"/>
          <w:kern w:val="0"/>
          <w:sz w:val="32"/>
          <w:szCs w:val="32"/>
          <w:lang w:val="en-US" w:eastAsia="zh-CN"/>
        </w:rPr>
        <w:t>3.按计划组织我镇本级财政收入，完成国家财政计划，不断培植税源，管好财政资金，增强财政实力。</w:t>
      </w:r>
    </w:p>
    <w:p>
      <w:pPr>
        <w:widowControl/>
        <w:spacing w:line="600" w:lineRule="exact"/>
        <w:ind w:firstLine="640" w:firstLineChars="200"/>
        <w:jc w:val="left"/>
        <w:rPr>
          <w:rFonts w:hint="eastAsia" w:ascii="Times New Roman" w:hAnsi="Times New Roman" w:eastAsia="仿宋"/>
          <w:color w:val="333333"/>
          <w:kern w:val="0"/>
          <w:sz w:val="32"/>
          <w:szCs w:val="32"/>
          <w:lang w:val="en-US" w:eastAsia="zh-CN"/>
        </w:rPr>
      </w:pPr>
      <w:r>
        <w:rPr>
          <w:rFonts w:hint="eastAsia" w:ascii="Times New Roman" w:hAnsi="Times New Roman" w:eastAsia="仿宋"/>
          <w:color w:val="333333"/>
          <w:kern w:val="0"/>
          <w:sz w:val="32"/>
          <w:szCs w:val="32"/>
          <w:lang w:val="en-US" w:eastAsia="zh-CN"/>
        </w:rPr>
        <w:t>4.抓好我镇精神文明建设，丰富群众文化生活，提倡移风易俗，反对封建迷信，破除陈规陋习，树立社会主义新风尚。</w:t>
      </w:r>
    </w:p>
    <w:p>
      <w:pPr>
        <w:widowControl/>
        <w:spacing w:line="600" w:lineRule="exact"/>
        <w:ind w:firstLine="640" w:firstLineChars="200"/>
        <w:jc w:val="left"/>
        <w:rPr>
          <w:rFonts w:hint="eastAsia"/>
        </w:rPr>
      </w:pPr>
      <w:r>
        <w:rPr>
          <w:rFonts w:hint="eastAsia" w:ascii="Times New Roman" w:hAnsi="Times New Roman" w:eastAsia="仿宋"/>
          <w:color w:val="333333"/>
          <w:kern w:val="0"/>
          <w:sz w:val="32"/>
          <w:szCs w:val="32"/>
          <w:lang w:val="en-US" w:eastAsia="zh-CN"/>
        </w:rPr>
        <w:t>5.完成上级政府交办的其它事项</w:t>
      </w:r>
      <w:r>
        <w:rPr>
          <w:rStyle w:val="31"/>
          <w:rFonts w:hint="eastAsia" w:ascii="仿宋_GB2312" w:hAnsi="楷体_GB2312" w:eastAsia="仿宋_GB2312"/>
          <w:b w:val="0"/>
          <w:sz w:val="32"/>
          <w:szCs w:val="32"/>
        </w:rPr>
        <w:t>。</w:t>
      </w:r>
    </w:p>
    <w:p>
      <w:pPr>
        <w:pStyle w:val="4"/>
        <w:numPr>
          <w:ilvl w:val="0"/>
          <w:numId w:val="0"/>
        </w:numPr>
        <w:rPr>
          <w:rFonts w:hint="eastAsia" w:ascii="黑体" w:hAnsi="黑体" w:eastAsia="黑体"/>
          <w:b w:val="0"/>
          <w:color w:val="auto"/>
          <w:highlight w:val="none"/>
          <w:lang w:eastAsia="zh-CN"/>
        </w:rPr>
      </w:pPr>
      <w:bookmarkStart w:id="22" w:name="_Toc24826"/>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20"/>
      <w:bookmarkEnd w:id="21"/>
      <w:r>
        <w:rPr>
          <w:rFonts w:hint="eastAsia" w:ascii="黑体" w:hAnsi="黑体" w:eastAsia="黑体"/>
          <w:b w:val="0"/>
          <w:color w:val="auto"/>
          <w:highlight w:val="none"/>
          <w:lang w:eastAsia="zh-CN"/>
        </w:rPr>
        <w:t>完成情况</w:t>
      </w:r>
      <w:bookmarkEnd w:id="22"/>
    </w:p>
    <w:p>
      <w:pPr>
        <w:pStyle w:val="32"/>
        <w:spacing w:line="640" w:lineRule="exact"/>
        <w:ind w:firstLine="843"/>
        <w:jc w:val="lef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fldChar w:fldCharType="begin"/>
      </w:r>
      <w:r>
        <w:rPr>
          <w:rFonts w:hint="eastAsia" w:ascii="仿宋" w:hAnsi="仿宋" w:eastAsia="仿宋" w:cs="Times New Roman"/>
          <w:color w:val="auto"/>
          <w:kern w:val="2"/>
          <w:sz w:val="32"/>
          <w:szCs w:val="32"/>
          <w:highlight w:val="none"/>
          <w:lang w:val="en-US" w:eastAsia="zh-CN" w:bidi="ar-SA"/>
        </w:rPr>
        <w:instrText xml:space="preserve"> MERGEFIELD C0006 </w:instrText>
      </w:r>
      <w:r>
        <w:rPr>
          <w:rFonts w:hint="eastAsia" w:ascii="仿宋" w:hAnsi="仿宋" w:eastAsia="仿宋" w:cs="Times New Roman"/>
          <w:color w:val="auto"/>
          <w:kern w:val="2"/>
          <w:sz w:val="32"/>
          <w:szCs w:val="32"/>
          <w:highlight w:val="none"/>
          <w:lang w:val="en-US" w:eastAsia="zh-CN" w:bidi="ar-SA"/>
        </w:rPr>
        <w:fldChar w:fldCharType="separate"/>
      </w:r>
      <w:r>
        <w:rPr>
          <w:rFonts w:hint="eastAsia" w:ascii="仿宋" w:hAnsi="仿宋" w:eastAsia="仿宋" w:cs="Times New Roman"/>
          <w:color w:val="auto"/>
          <w:kern w:val="2"/>
          <w:sz w:val="32"/>
          <w:szCs w:val="32"/>
          <w:highlight w:val="none"/>
          <w:lang w:val="en-US" w:eastAsia="zh-CN" w:bidi="ar-SA"/>
        </w:rPr>
        <w:t>1、全力巩固脱贫成果</w:t>
      </w:r>
    </w:p>
    <w:p>
      <w:pPr>
        <w:pStyle w:val="32"/>
        <w:spacing w:line="640" w:lineRule="exact"/>
        <w:ind w:firstLine="843"/>
        <w:jc w:val="lef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全面巩固脱贫攻坚，继续落实“一超六有、两不愁三保障”，拓展“转移脱贫、产业脱贫、技能脱贫、保障脱贫”四大途径，巩固脱贫成果，抓好已脱贫户的后期帮扶工作，严防返贫现象发生。</w:t>
      </w:r>
    </w:p>
    <w:p>
      <w:pPr>
        <w:pStyle w:val="32"/>
        <w:spacing w:line="640" w:lineRule="exact"/>
        <w:ind w:firstLine="843"/>
        <w:jc w:val="lef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2、强抓党建促脱贫</w:t>
      </w:r>
    </w:p>
    <w:p>
      <w:pPr>
        <w:pStyle w:val="32"/>
        <w:spacing w:line="640" w:lineRule="exact"/>
        <w:ind w:firstLine="843"/>
        <w:jc w:val="lef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持续深化“党建引领致富路、脱贫攻坚当先锋”活动，充分发挥党建创新项目“干群夜校”和“驻村党建指导员”的平台作用。一是“干群夜校”夯实脱贫组织基础，依托“党员活动日”、文化广场、道德讲堂等规范化场所，开展扶贫夜校活动，重点对党员、贫困群众开展技能培训，提高党员、贫困户种植养殖技能、脱贫意识，带领群众增收致富；二是“驻村党建指导员”攻克扶贫难题，坚持分类施策，针对软弱涣散党组织，选派党建指导员到村指导工作，着力解决脱贫致富不力、扶贫效果不明显的薄弱村问题，提升村脱贫攻坚的内生动力。</w:t>
      </w:r>
    </w:p>
    <w:p>
      <w:pPr>
        <w:pStyle w:val="32"/>
        <w:spacing w:line="640" w:lineRule="exact"/>
        <w:ind w:firstLine="843"/>
        <w:jc w:val="lef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3、大力加快农业产业化步伐</w:t>
      </w:r>
    </w:p>
    <w:p>
      <w:pPr>
        <w:pStyle w:val="32"/>
        <w:spacing w:line="640" w:lineRule="exact"/>
        <w:ind w:firstLine="843"/>
        <w:jc w:val="lef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一是着手特色产业发展，加大以养牛、羊、猪为主的规模养殖，全力发展转型产业，引进更多实力强发展前景好的企业入驻我镇，同时自身开发建设脱贫攻坚产业示范点，为现有企业提供优质服务，引领人民群众致富奔康，助推我镇脱贫攻坚迈上新台阶。二是着眼美丽乡村建设，积极发展现代农业，全面转型发展方向，突出抓好以水（干）果和畜牧为重点的短、平、快增收项目，重点抓好大户和家庭农场的发展。提速发展镇村旅游，充分发挥我镇红色文化、佛教文化、农业观光园“三大”优势，加大招商引资力度，融资打造产业休闲观光园；突出抓好“三线四园”建设，即“麒麟至凉风线、三叉河至杨柳关线、宝塔至黑天池线”的“脆李园、蜜柚园、草莓园、钙果园”。三是着力精神文明建设，开展“家庭能人培养”、“争做道德模范”等文明创建主题活动，依托村社宣传阵地及道路沿线广告牌宣传优势，深入推进农村移风易俗、“四德工程”建设，形成良好社会道德氛围。积极创建市级“四好村”和县级“四好村”。</w:t>
      </w:r>
    </w:p>
    <w:p>
      <w:pPr>
        <w:pStyle w:val="32"/>
        <w:spacing w:line="640" w:lineRule="exact"/>
        <w:ind w:firstLine="843"/>
        <w:jc w:val="lef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4、进一步加强基础设施建设</w:t>
      </w:r>
    </w:p>
    <w:p>
      <w:pPr>
        <w:pStyle w:val="32"/>
        <w:spacing w:line="640" w:lineRule="exact"/>
        <w:ind w:firstLine="843"/>
        <w:jc w:val="lef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不断加强基础设施建设，彻底解决群众出行难问题，硬化2020年新修尚未硬化的村组道路；加大饮水工程实施进度，为人畜饮水提供保障；全面巩固“安居工程”和“广厦行动”成果，切实保障群众住房安全；同步推进水、电、气、路、园等配套基础设施建设，提升群众生活质量。</w:t>
      </w:r>
    </w:p>
    <w:p>
      <w:pPr>
        <w:pStyle w:val="32"/>
        <w:spacing w:line="640" w:lineRule="exact"/>
        <w:ind w:firstLine="843"/>
        <w:jc w:val="lef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5、继续加大社会综治力度</w:t>
      </w:r>
    </w:p>
    <w:p>
      <w:pPr>
        <w:pStyle w:val="32"/>
        <w:spacing w:line="640" w:lineRule="exact"/>
        <w:ind w:firstLine="843"/>
        <w:jc w:val="lef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一是全面纵深推进扫黑除恶工作，加大源头治理力度，广泛发动群众参与，巩固已有的成果，从根本上遏制黑恶势力滋生蔓延，不断提升群众安全感和满意度；二是提高矛盾纠纷调处效能，坚持矛盾纠纷排查调处工作常态化，建立排查调处台帐，落实包案责任，全面做好化解、疏导工作；三是强化特殊人群管理，依法保障农民的合法权益，做好留守儿童、留守妇女、空巢老人、精神病人的关爱和帮扶工作，做好对刑满释放人员、社区矫正人员的规范化管理和服务工作；三是认真做好反邪教工作，认真开展好家庭、校园拒邪活动，让广大群众认清邪教本质，树立科学人生态度；四是加强社会管理，进一步完善村级民主法制建设机制，加大法制教育，提高法律意识，建立一支由村、社、户联防的打、防、控一体的社会治安防控体系，加强食品药品管理，完善防灾、减灾体系。</w:t>
      </w:r>
    </w:p>
    <w:p>
      <w:pPr>
        <w:pStyle w:val="32"/>
        <w:spacing w:line="640" w:lineRule="exact"/>
        <w:ind w:firstLine="843"/>
        <w:jc w:val="lef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6、不断推进社会事业全面发展</w:t>
      </w:r>
    </w:p>
    <w:p>
      <w:pPr>
        <w:pStyle w:val="32"/>
        <w:spacing w:line="640" w:lineRule="exact"/>
        <w:ind w:firstLine="843"/>
        <w:jc w:val="lef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协调推进公益事业发展，全面落实惠民政策，推进义务教育均衡发展，繁荣文化广播事业，强化电视网络管理，组优乡村文化宣传队，贯彻落实医疗卫生改革，搞好卫生服务，全面落实两孩政策，统筹推进国防、外事、民族宗教、机关事务、妇女儿童、残疾人、老龄、双拥、人防、对台、保密、档案和关心下一代工作；不断完善保障体系，加大民生投入，全力抓好农村养老保险、居民医疗保险、银龄保险、小额人生保险工作，积极开展低保、五保评定工作，加大农村危房改造，积极引导和支持农民工、大学生回乡创业。</w:t>
      </w:r>
    </w:p>
    <w:p>
      <w:pPr>
        <w:pStyle w:val="32"/>
        <w:spacing w:line="640" w:lineRule="exact"/>
        <w:ind w:firstLine="843"/>
        <w:jc w:val="lef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7、努力加强自身建设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Times New Roman"/>
          <w:color w:val="auto"/>
          <w:kern w:val="2"/>
          <w:sz w:val="32"/>
          <w:szCs w:val="32"/>
          <w:highlight w:val="none"/>
          <w:lang w:val="en-US" w:eastAsia="zh-CN" w:bidi="ar-SA"/>
        </w:rPr>
      </w:pPr>
      <w:bookmarkStart w:id="23" w:name="_Toc10755"/>
      <w:r>
        <w:rPr>
          <w:rFonts w:hint="eastAsia" w:ascii="仿宋" w:hAnsi="仿宋" w:eastAsia="仿宋" w:cs="Times New Roman"/>
          <w:color w:val="auto"/>
          <w:kern w:val="2"/>
          <w:sz w:val="32"/>
          <w:szCs w:val="32"/>
          <w:highlight w:val="none"/>
          <w:lang w:val="en-US" w:eastAsia="zh-CN" w:bidi="ar-SA"/>
        </w:rPr>
        <w:t>站在新起点，谋求新发展，扎实开展“两学一做”和“整治群众最不满意的10件事”活动，强化干部学习，不断提升发展能力和水平；坚持高标准，快节奏要求、发扬讲真话、办实事的工作作风，提高干部执行能力；强化政府效能建设，优化内部结构和人员配置，明确人员职责，提高办事效率；严格落实党风廉政建设责任制，贯彻执行中央“八项”规定，认真抓好机关各种会务接待、食堂后勤保障工作，严格公务用车管理，确保“三公”经费不超标，强力执行党务、政务、村务、财务公开，常态开展党员干部警示教育，严肃查处违纪案件，切实解决发生在群众身边的不正之风和腐败问题，不断提升群众满意度，不断建设良好的政治生态，以优良的党风促政风带民风，不断推进全镇政治、经济、社会各项事业全面进步，为实现伟大中国梦和建设繁荣美丽新宣汉贡献上峡力量。</w:t>
      </w:r>
      <w:r>
        <w:rPr>
          <w:rFonts w:hint="eastAsia" w:ascii="仿宋" w:hAnsi="仿宋" w:eastAsia="仿宋" w:cs="Times New Roman"/>
          <w:color w:val="auto"/>
          <w:kern w:val="2"/>
          <w:sz w:val="32"/>
          <w:szCs w:val="32"/>
          <w:highlight w:val="none"/>
          <w:lang w:val="en-US" w:eastAsia="zh-CN" w:bidi="ar-SA"/>
        </w:rPr>
        <w:fldChar w:fldCharType="end"/>
      </w:r>
      <w:bookmarkEnd w:id="23"/>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bookmarkStart w:id="118" w:name="_GoBack"/>
      <w:bookmarkEnd w:id="118"/>
    </w:p>
    <w:p>
      <w:pPr>
        <w:pStyle w:val="3"/>
        <w:ind w:right="440"/>
        <w:jc w:val="center"/>
        <w:rPr>
          <w:rStyle w:val="25"/>
          <w:rFonts w:ascii="黑体" w:hAnsi="黑体" w:eastAsia="黑体"/>
          <w:b w:val="0"/>
          <w:bCs/>
          <w:color w:val="auto"/>
          <w:highlight w:val="none"/>
        </w:rPr>
      </w:pPr>
      <w:bookmarkStart w:id="24" w:name="_Toc15377204"/>
      <w:bookmarkStart w:id="25" w:name="_Toc15396602"/>
      <w:bookmarkStart w:id="26" w:name="_Toc120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24"/>
      <w:bookmarkEnd w:id="25"/>
      <w:bookmarkEnd w:id="26"/>
    </w:p>
    <w:p>
      <w:pPr>
        <w:rPr>
          <w:color w:val="auto"/>
          <w:highlight w:val="none"/>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7" w:name="_Toc15377205"/>
      <w:bookmarkStart w:id="28" w:name="_Toc15396603"/>
      <w:bookmarkStart w:id="29" w:name="_Toc28658"/>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27"/>
      <w:bookmarkEnd w:id="28"/>
      <w:bookmarkEnd w:id="2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1699.33</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74.69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随着厉行节约指导思想的深入落实，办公费、印刷费等公共经费开支有所降低。</w:t>
      </w:r>
    </w:p>
    <w:p>
      <w:pPr>
        <w:pStyle w:val="2"/>
        <w:rPr>
          <w:rFonts w:hint="eastAsia"/>
          <w:lang w:eastAsia="zh-CN"/>
        </w:rPr>
      </w:pPr>
    </w:p>
    <w:p>
      <w:pPr>
        <w:spacing w:line="600" w:lineRule="exact"/>
        <w:ind w:firstLine="420" w:firstLineChars="200"/>
        <w:rPr>
          <w:rFonts w:ascii="仿宋" w:hAnsi="仿宋" w:eastAsia="仿宋"/>
          <w:color w:val="auto"/>
          <w:sz w:val="32"/>
          <w:szCs w:val="32"/>
          <w:highlight w:val="none"/>
        </w:rPr>
      </w:pPr>
      <w:r>
        <w:rPr>
          <w:rFonts w:hint="eastAsia"/>
          <w:lang w:eastAsia="zh-CN"/>
        </w:rPr>
        <w:drawing>
          <wp:anchor distT="0" distB="0" distL="114300" distR="114300" simplePos="0" relativeHeight="251659264" behindDoc="0" locked="0" layoutInCell="1" allowOverlap="1">
            <wp:simplePos x="0" y="0"/>
            <wp:positionH relativeFrom="column">
              <wp:posOffset>993140</wp:posOffset>
            </wp:positionH>
            <wp:positionV relativeFrom="paragraph">
              <wp:posOffset>81915</wp:posOffset>
            </wp:positionV>
            <wp:extent cx="3514725" cy="2724150"/>
            <wp:effectExtent l="0" t="0" r="9525" b="0"/>
            <wp:wrapTopAndBottom/>
            <wp:docPr id="1" name="图片 1" descr="166925458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9254580140"/>
                    <pic:cNvPicPr>
                      <a:picLocks noChangeAspect="1"/>
                    </pic:cNvPicPr>
                  </pic:nvPicPr>
                  <pic:blipFill>
                    <a:blip r:embed="rId6"/>
                    <a:stretch>
                      <a:fillRect/>
                    </a:stretch>
                  </pic:blipFill>
                  <pic:spPr>
                    <a:xfrm>
                      <a:off x="0" y="0"/>
                      <a:ext cx="3514725" cy="2724150"/>
                    </a:xfrm>
                    <a:prstGeom prst="rect">
                      <a:avLst/>
                    </a:prstGeom>
                  </pic:spPr>
                </pic:pic>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30" w:name="_Toc15396604"/>
      <w:bookmarkStart w:id="31" w:name="_Toc15377206"/>
      <w:bookmarkStart w:id="32" w:name="_Toc15792"/>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30"/>
      <w:bookmarkEnd w:id="31"/>
      <w:bookmarkEnd w:id="32"/>
    </w:p>
    <w:p>
      <w:pPr>
        <w:spacing w:line="600" w:lineRule="exact"/>
        <w:ind w:firstLine="640" w:firstLineChars="200"/>
        <w:outlineLvl w:val="1"/>
        <w:rPr>
          <w:rFonts w:hint="eastAsia" w:ascii="仿宋" w:hAnsi="仿宋" w:eastAsia="仿宋"/>
          <w:color w:val="auto"/>
          <w:sz w:val="32"/>
          <w:szCs w:val="32"/>
          <w:highlight w:val="none"/>
        </w:rPr>
      </w:pPr>
      <w:bookmarkStart w:id="33" w:name="_Toc3801"/>
      <w:bookmarkStart w:id="34" w:name="_Toc1174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1699.33</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1641.33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96.6</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58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3"/>
      <w:bookmarkEnd w:id="34"/>
    </w:p>
    <w:p>
      <w:pPr>
        <w:pStyle w:val="2"/>
        <w:ind w:left="0" w:leftChars="0" w:firstLine="1260" w:firstLineChars="600"/>
        <w:rPr>
          <w:rFonts w:hint="eastAsia" w:eastAsia="仿宋"/>
          <w:lang w:eastAsia="zh-CN"/>
        </w:rPr>
      </w:pPr>
      <w:r>
        <w:rPr>
          <w:rFonts w:hint="eastAsia" w:eastAsia="仿宋"/>
          <w:lang w:eastAsia="zh-CN"/>
        </w:rPr>
        <w:drawing>
          <wp:inline distT="0" distB="0" distL="114300" distR="114300">
            <wp:extent cx="3943350" cy="2476500"/>
            <wp:effectExtent l="0" t="0" r="0" b="0"/>
            <wp:docPr id="4" name="图片 4" descr="1669259486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69259486839"/>
                    <pic:cNvPicPr>
                      <a:picLocks noChangeAspect="1"/>
                    </pic:cNvPicPr>
                  </pic:nvPicPr>
                  <pic:blipFill>
                    <a:blip r:embed="rId7"/>
                    <a:stretch>
                      <a:fillRect/>
                    </a:stretch>
                  </pic:blipFill>
                  <pic:spPr>
                    <a:xfrm>
                      <a:off x="0" y="0"/>
                      <a:ext cx="3943350" cy="2476500"/>
                    </a:xfrm>
                    <a:prstGeom prst="rect">
                      <a:avLst/>
                    </a:prstGeom>
                  </pic:spPr>
                </pic:pic>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35" w:name="_Toc31030"/>
      <w:bookmarkStart w:id="36" w:name="_Toc15377207"/>
      <w:bookmarkStart w:id="37" w:name="_Toc15396605"/>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35"/>
      <w:bookmarkEnd w:id="36"/>
      <w:bookmarkEnd w:id="37"/>
    </w:p>
    <w:p>
      <w:pPr>
        <w:spacing w:line="600" w:lineRule="exact"/>
        <w:ind w:firstLine="640" w:firstLineChars="200"/>
        <w:outlineLvl w:val="1"/>
        <w:rPr>
          <w:rFonts w:hint="eastAsia" w:ascii="仿宋" w:hAnsi="仿宋" w:eastAsia="仿宋"/>
          <w:color w:val="auto"/>
          <w:sz w:val="32"/>
          <w:szCs w:val="32"/>
          <w:highlight w:val="none"/>
        </w:rPr>
      </w:pPr>
      <w:bookmarkStart w:id="38" w:name="_Toc2793"/>
      <w:bookmarkStart w:id="39" w:name="_Toc1895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1699.33</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1184.17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69.69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515.16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30.31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8"/>
      <w:bookmarkEnd w:id="39"/>
    </w:p>
    <w:p>
      <w:pPr>
        <w:pStyle w:val="2"/>
        <w:ind w:left="0" w:leftChars="0" w:firstLine="1260" w:firstLineChars="600"/>
        <w:rPr>
          <w:rFonts w:hint="eastAsia" w:eastAsia="仿宋"/>
          <w:lang w:eastAsia="zh-CN"/>
        </w:rPr>
      </w:pPr>
      <w:r>
        <w:rPr>
          <w:rFonts w:hint="eastAsia" w:eastAsia="仿宋"/>
          <w:lang w:eastAsia="zh-CN"/>
        </w:rPr>
        <w:drawing>
          <wp:inline distT="0" distB="0" distL="114300" distR="114300">
            <wp:extent cx="3867150" cy="2619375"/>
            <wp:effectExtent l="0" t="0" r="0" b="9525"/>
            <wp:docPr id="6" name="图片 6" descr="166926076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9260761028"/>
                    <pic:cNvPicPr>
                      <a:picLocks noChangeAspect="1"/>
                    </pic:cNvPicPr>
                  </pic:nvPicPr>
                  <pic:blipFill>
                    <a:blip r:embed="rId8"/>
                    <a:stretch>
                      <a:fillRect/>
                    </a:stretch>
                  </pic:blipFill>
                  <pic:spPr>
                    <a:xfrm>
                      <a:off x="0" y="0"/>
                      <a:ext cx="3867150" cy="2619375"/>
                    </a:xfrm>
                    <a:prstGeom prst="rect">
                      <a:avLst/>
                    </a:prstGeom>
                  </pic:spPr>
                </pic:pic>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6"/>
          <w:rFonts w:ascii="黑体" w:hAnsi="黑体" w:eastAsia="黑体"/>
          <w:b w:val="0"/>
          <w:color w:val="auto"/>
          <w:highlight w:val="none"/>
        </w:rPr>
      </w:pPr>
      <w:bookmarkStart w:id="40" w:name="_Toc25716"/>
      <w:bookmarkStart w:id="41" w:name="_Toc15396606"/>
      <w:bookmarkStart w:id="42" w:name="_Toc15377208"/>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40"/>
      <w:bookmarkEnd w:id="41"/>
      <w:bookmarkEnd w:id="42"/>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1699.33</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74.69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随着厉行节约指导思想的深入落实，办公费、印刷费等公共经费开支有所降低。</w:t>
      </w:r>
    </w:p>
    <w:p>
      <w:pPr>
        <w:pStyle w:val="2"/>
        <w:ind w:left="0" w:leftChars="0" w:firstLine="1257" w:firstLineChars="393"/>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3905250" cy="2752725"/>
            <wp:effectExtent l="0" t="0" r="0" b="9525"/>
            <wp:docPr id="10" name="图片 10" descr="1669261769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69261769761"/>
                    <pic:cNvPicPr>
                      <a:picLocks noChangeAspect="1"/>
                    </pic:cNvPicPr>
                  </pic:nvPicPr>
                  <pic:blipFill>
                    <a:blip r:embed="rId9"/>
                    <a:stretch>
                      <a:fillRect/>
                    </a:stretch>
                  </pic:blipFill>
                  <pic:spPr>
                    <a:xfrm>
                      <a:off x="0" y="0"/>
                      <a:ext cx="3905250" cy="2752725"/>
                    </a:xfrm>
                    <a:prstGeom prst="rect">
                      <a:avLst/>
                    </a:prstGeom>
                  </pic:spPr>
                </pic:pic>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6"/>
          <w:rFonts w:ascii="黑体" w:hAnsi="黑体" w:eastAsia="黑体"/>
          <w:b w:val="0"/>
          <w:color w:val="auto"/>
          <w:highlight w:val="none"/>
        </w:rPr>
      </w:pPr>
      <w:bookmarkStart w:id="43" w:name="_Toc11992"/>
      <w:bookmarkStart w:id="44" w:name="_Toc15377209"/>
      <w:bookmarkStart w:id="45"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43"/>
      <w:bookmarkEnd w:id="44"/>
      <w:bookmarkEnd w:id="45"/>
    </w:p>
    <w:p>
      <w:pPr>
        <w:spacing w:line="600" w:lineRule="exact"/>
        <w:ind w:firstLine="643" w:firstLineChars="200"/>
        <w:outlineLvl w:val="2"/>
        <w:rPr>
          <w:rFonts w:ascii="仿宋" w:hAnsi="仿宋" w:eastAsia="仿宋"/>
          <w:b/>
          <w:color w:val="auto"/>
          <w:sz w:val="32"/>
          <w:szCs w:val="32"/>
          <w:highlight w:val="none"/>
        </w:rPr>
      </w:pPr>
      <w:bookmarkStart w:id="46" w:name="_Toc29358"/>
      <w:bookmarkStart w:id="47" w:name="_Toc15377210"/>
      <w:r>
        <w:rPr>
          <w:rFonts w:hint="eastAsia" w:ascii="仿宋" w:hAnsi="仿宋" w:eastAsia="仿宋"/>
          <w:b/>
          <w:color w:val="auto"/>
          <w:sz w:val="32"/>
          <w:szCs w:val="32"/>
          <w:highlight w:val="none"/>
        </w:rPr>
        <w:t>（一）一般公共预算财政拨款支出决算总体情况</w:t>
      </w:r>
      <w:bookmarkEnd w:id="46"/>
      <w:bookmarkEnd w:id="47"/>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1641.33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96.59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11.45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0.7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随着厉行节约指导思想的深入落实，办公费、印刷费等公共经费开支有所降低。</w:t>
      </w:r>
    </w:p>
    <w:p>
      <w:pPr>
        <w:pStyle w:val="2"/>
        <w:ind w:left="0" w:leftChars="0" w:firstLine="1058" w:firstLineChars="504"/>
      </w:pPr>
      <w:r>
        <w:drawing>
          <wp:inline distT="0" distB="0" distL="114300" distR="114300">
            <wp:extent cx="4352925" cy="2705100"/>
            <wp:effectExtent l="0" t="0" r="9525" b="0"/>
            <wp:docPr id="11" name="图片 11" descr="1669270584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69270584166"/>
                    <pic:cNvPicPr>
                      <a:picLocks noChangeAspect="1"/>
                    </pic:cNvPicPr>
                  </pic:nvPicPr>
                  <pic:blipFill>
                    <a:blip r:embed="rId10"/>
                    <a:stretch>
                      <a:fillRect/>
                    </a:stretch>
                  </pic:blipFill>
                  <pic:spPr>
                    <a:xfrm>
                      <a:off x="0" y="0"/>
                      <a:ext cx="4352925" cy="2705100"/>
                    </a:xfrm>
                    <a:prstGeom prst="rect">
                      <a:avLst/>
                    </a:prstGeom>
                  </pic:spPr>
                </pic:pic>
              </a:graphicData>
            </a:graphic>
          </wp:inline>
        </w:drawing>
      </w:r>
    </w:p>
    <w:p>
      <w:pPr>
        <w:spacing w:line="60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8" w:name="_Toc15377211"/>
      <w:bookmarkStart w:id="49" w:name="_Toc27028"/>
      <w:r>
        <w:rPr>
          <w:rFonts w:hint="eastAsia" w:ascii="仿宋" w:hAnsi="仿宋" w:eastAsia="仿宋"/>
          <w:b/>
          <w:color w:val="auto"/>
          <w:sz w:val="32"/>
          <w:szCs w:val="32"/>
          <w:highlight w:val="none"/>
        </w:rPr>
        <w:t>（二）一般公共预算财政拨款支出决算结构情况</w:t>
      </w:r>
      <w:bookmarkEnd w:id="48"/>
      <w:bookmarkEnd w:id="4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1641.33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808.58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49.26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教育支出（类）</w:t>
      </w:r>
      <w:r>
        <w:rPr>
          <w:rFonts w:hint="eastAsia" w:ascii="仿宋" w:hAnsi="仿宋" w:eastAsia="仿宋"/>
          <w:b/>
          <w:color w:val="auto"/>
          <w:sz w:val="32"/>
          <w:szCs w:val="32"/>
          <w:highlight w:val="none"/>
          <w:lang w:val="en-US" w:eastAsia="zh-CN"/>
        </w:rPr>
        <w:t>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文化旅游体育与传媒（类）支出</w:t>
      </w: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0.3</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109.08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6.65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43.82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2.67</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65.71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；公共安全支出</w:t>
      </w:r>
      <w:r>
        <w:rPr>
          <w:rFonts w:hint="eastAsia" w:ascii="仿宋" w:hAnsi="仿宋" w:eastAsia="仿宋"/>
          <w:color w:val="auto"/>
          <w:sz w:val="32"/>
          <w:szCs w:val="32"/>
          <w:highlight w:val="none"/>
          <w:lang w:val="en-US" w:eastAsia="zh-CN"/>
        </w:rPr>
        <w:t>7.2万元，占0.44%；城乡社区支出8万元，占0.49%；农林水支出543.42万元，占33.11%；灾害防治及应急管理支出50万元，占3.05%</w:t>
      </w:r>
      <w:r>
        <w:rPr>
          <w:rFonts w:hint="eastAsia" w:ascii="仿宋" w:hAnsi="仿宋" w:eastAsia="仿宋"/>
          <w:color w:val="auto"/>
          <w:sz w:val="32"/>
          <w:szCs w:val="32"/>
          <w:highlight w:val="none"/>
        </w:rPr>
        <w:t>。</w:t>
      </w:r>
    </w:p>
    <w:p>
      <w:pPr>
        <w:pStyle w:val="2"/>
        <w:ind w:left="0" w:leftChars="0" w:firstLine="840" w:firstLineChars="400"/>
        <w:rPr>
          <w:rFonts w:hint="eastAsia" w:eastAsia="仿宋"/>
          <w:lang w:eastAsia="zh-CN"/>
        </w:rPr>
      </w:pPr>
      <w:r>
        <w:rPr>
          <w:rFonts w:hint="eastAsia" w:eastAsia="仿宋"/>
          <w:lang w:eastAsia="zh-CN"/>
        </w:rPr>
        <w:drawing>
          <wp:inline distT="0" distB="0" distL="114300" distR="114300">
            <wp:extent cx="4362450" cy="2743200"/>
            <wp:effectExtent l="0" t="0" r="0" b="0"/>
            <wp:docPr id="12" name="图片 12" descr="166927177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69271772913"/>
                    <pic:cNvPicPr>
                      <a:picLocks noChangeAspect="1"/>
                    </pic:cNvPicPr>
                  </pic:nvPicPr>
                  <pic:blipFill>
                    <a:blip r:embed="rId11"/>
                    <a:stretch>
                      <a:fillRect/>
                    </a:stretch>
                  </pic:blipFill>
                  <pic:spPr>
                    <a:xfrm>
                      <a:off x="0" y="0"/>
                      <a:ext cx="4362450" cy="2743200"/>
                    </a:xfrm>
                    <a:prstGeom prst="rect">
                      <a:avLst/>
                    </a:prstGeom>
                  </pic:spPr>
                </pic:pic>
              </a:graphicData>
            </a:graphic>
          </wp:inline>
        </w:drawing>
      </w:r>
    </w:p>
    <w:p>
      <w:pPr>
        <w:spacing w:line="600" w:lineRule="exact"/>
        <w:ind w:firstLine="640"/>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50" w:name="_Toc15377212"/>
      <w:bookmarkStart w:id="51" w:name="_Toc34"/>
      <w:r>
        <w:rPr>
          <w:rFonts w:hint="eastAsia" w:ascii="仿宋" w:hAnsi="仿宋" w:eastAsia="仿宋"/>
          <w:b/>
          <w:color w:val="auto"/>
          <w:sz w:val="32"/>
          <w:szCs w:val="32"/>
          <w:highlight w:val="none"/>
        </w:rPr>
        <w:t>（三）一般公共预算财政拨款支出决算具体情况</w:t>
      </w:r>
      <w:bookmarkEnd w:id="50"/>
      <w:bookmarkEnd w:id="51"/>
    </w:p>
    <w:p>
      <w:pPr>
        <w:spacing w:line="600" w:lineRule="exact"/>
        <w:ind w:firstLine="643" w:firstLineChars="200"/>
        <w:outlineLvl w:val="2"/>
        <w:rPr>
          <w:rFonts w:ascii="仿宋" w:hAnsi="仿宋" w:eastAsia="仿宋"/>
          <w:color w:val="auto"/>
          <w:sz w:val="32"/>
          <w:szCs w:val="32"/>
          <w:highlight w:val="none"/>
        </w:rPr>
      </w:pPr>
      <w:bookmarkStart w:id="52" w:name="_Toc15377444"/>
      <w:bookmarkStart w:id="53" w:name="_Toc15377213"/>
      <w:bookmarkStart w:id="54" w:name="_Toc15378460"/>
      <w:bookmarkStart w:id="55" w:name="_Toc27172"/>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1641.33</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52"/>
      <w:bookmarkEnd w:id="53"/>
      <w:bookmarkEnd w:id="54"/>
      <w:bookmarkEnd w:id="55"/>
    </w:p>
    <w:p>
      <w:pPr>
        <w:numPr>
          <w:ilvl w:val="0"/>
          <w:numId w:val="3"/>
        </w:numPr>
        <w:spacing w:line="600" w:lineRule="exact"/>
        <w:ind w:firstLine="643" w:firstLineChars="200"/>
        <w:rPr>
          <w:rStyle w:val="15"/>
          <w:rFonts w:hint="eastAsia" w:ascii="仿宋" w:hAnsi="仿宋" w:eastAsia="仿宋"/>
          <w:b w:val="0"/>
          <w:bCs/>
          <w:color w:val="auto"/>
          <w:sz w:val="32"/>
          <w:szCs w:val="32"/>
          <w:highlight w:val="none"/>
          <w:lang w:eastAsia="zh-CN"/>
        </w:rPr>
      </w:pPr>
      <w:r>
        <w:rPr>
          <w:rStyle w:val="15"/>
          <w:rFonts w:hint="eastAsia" w:ascii="仿宋" w:hAnsi="仿宋" w:eastAsia="仿宋"/>
          <w:bCs/>
          <w:color w:val="auto"/>
          <w:sz w:val="32"/>
          <w:szCs w:val="32"/>
          <w:highlight w:val="none"/>
        </w:rPr>
        <w:t>一般公共服务</w:t>
      </w:r>
      <w:r>
        <w:rPr>
          <w:rStyle w:val="15"/>
          <w:rFonts w:hint="eastAsia" w:ascii="仿宋" w:hAnsi="仿宋" w:eastAsia="仿宋"/>
          <w:bCs/>
          <w:color w:val="auto"/>
          <w:sz w:val="32"/>
          <w:szCs w:val="32"/>
          <w:highlight w:val="none"/>
          <w:lang w:eastAsia="zh-CN"/>
        </w:rPr>
        <w:t>支出政府办公厅（室）及相关机构事务行政运行</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362.64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rPr>
        <w:t>一般公共服务</w:t>
      </w:r>
      <w:r>
        <w:rPr>
          <w:rStyle w:val="15"/>
          <w:rFonts w:hint="eastAsia" w:ascii="仿宋" w:hAnsi="仿宋" w:eastAsia="仿宋"/>
          <w:bCs/>
          <w:color w:val="auto"/>
          <w:sz w:val="32"/>
          <w:szCs w:val="32"/>
          <w:highlight w:val="none"/>
          <w:lang w:eastAsia="zh-CN"/>
        </w:rPr>
        <w:t>支出政府办公厅（室）及相关机构事务一般行政管理事务</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83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rPr>
        <w:t>一般公共服务</w:t>
      </w:r>
      <w:r>
        <w:rPr>
          <w:rStyle w:val="15"/>
          <w:rFonts w:hint="eastAsia" w:ascii="仿宋" w:hAnsi="仿宋" w:eastAsia="仿宋"/>
          <w:bCs/>
          <w:color w:val="auto"/>
          <w:sz w:val="32"/>
          <w:szCs w:val="32"/>
          <w:highlight w:val="none"/>
          <w:lang w:eastAsia="zh-CN"/>
        </w:rPr>
        <w:t>支出政府办公厅（室）及相关机构事务信访事务</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rPr>
        <w:t>一般公共服务</w:t>
      </w:r>
      <w:r>
        <w:rPr>
          <w:rStyle w:val="15"/>
          <w:rFonts w:hint="eastAsia" w:ascii="仿宋" w:hAnsi="仿宋" w:eastAsia="仿宋"/>
          <w:bCs/>
          <w:color w:val="auto"/>
          <w:sz w:val="32"/>
          <w:szCs w:val="32"/>
          <w:highlight w:val="none"/>
          <w:lang w:eastAsia="zh-CN"/>
        </w:rPr>
        <w:t>支出政府办公厅（室）及相关机构事务其他政府办公厅（室）及相关机构事务支出</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343.68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rPr>
        <w:t>一般公共服务</w:t>
      </w:r>
      <w:r>
        <w:rPr>
          <w:rStyle w:val="15"/>
          <w:rFonts w:hint="eastAsia" w:ascii="仿宋" w:hAnsi="仿宋" w:eastAsia="仿宋"/>
          <w:bCs/>
          <w:color w:val="auto"/>
          <w:sz w:val="32"/>
          <w:szCs w:val="32"/>
          <w:highlight w:val="none"/>
          <w:lang w:eastAsia="zh-CN"/>
        </w:rPr>
        <w:t>支出纪检监察事务其他纪检监察事务支出</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4.26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rPr>
        <w:t>一般公共服务</w:t>
      </w:r>
      <w:r>
        <w:rPr>
          <w:rStyle w:val="15"/>
          <w:rFonts w:hint="eastAsia" w:ascii="仿宋" w:hAnsi="仿宋" w:eastAsia="仿宋"/>
          <w:bCs/>
          <w:color w:val="auto"/>
          <w:sz w:val="32"/>
          <w:szCs w:val="32"/>
          <w:highlight w:val="none"/>
          <w:lang w:eastAsia="zh-CN"/>
        </w:rPr>
        <w:t>支出其他一般公共服务支出其他一般公共服务支出</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公共安全支出公安执法办案</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7.2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教育支出其他教育支出其他教育支出</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0.5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文化旅游体育与传媒支出其他文化旅游体育与传媒支出宣传文化发展专项支出</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社会保障和就业支出行政单位养老支出行政单位离退休支出</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1.83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社会保障和就业支出行政单位养老支出机关事业单位基本养老保险缴费支出</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82.85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社会保障和就业支出行政单位养老支出其他行政事业单位养老支出</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9.56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社会保障和就业支出抚恤死亡抚恤</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14.84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卫生健康支出行政事业单位医疗行政单位医疗</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18.33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卫生健康支出行政事业单位医疗事业单位医疗</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20.39</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卫生健康支出行政事业单位医疗公务员医疗补助</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5.10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城乡社区支出城乡社区管理事务其他城乡社区管理事务支出</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农林水支出农业农村农村社会事业</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农林水支出扶贫农村基础设施建设</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250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农林水支出扶贫其他扶贫支出</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4.36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农林水支出农村综合改革对村民委员会和村党支部的补助</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274.06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住房保障支出住房改革支出住房公积金</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65.71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hint="eastAsia"/>
          <w:lang w:eastAsia="zh-CN"/>
        </w:rPr>
      </w:pPr>
      <w:r>
        <w:rPr>
          <w:rStyle w:val="15"/>
          <w:rFonts w:hint="eastAsia" w:ascii="仿宋" w:hAnsi="仿宋" w:eastAsia="仿宋"/>
          <w:bCs/>
          <w:color w:val="auto"/>
          <w:sz w:val="32"/>
          <w:szCs w:val="32"/>
          <w:highlight w:val="none"/>
          <w:lang w:eastAsia="zh-CN"/>
        </w:rPr>
        <w:t>灾害防治及应急管理支出美康安全煤矿安全监察事务</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Style w:val="15"/>
          <w:rFonts w:hint="eastAsia" w:ascii="仿宋" w:hAnsi="仿宋" w:eastAsia="仿宋"/>
          <w:b w:val="0"/>
          <w:bCs/>
          <w:color w:val="auto"/>
          <w:sz w:val="32"/>
          <w:szCs w:val="32"/>
          <w:highlight w:val="none"/>
          <w:lang w:eastAsia="zh-CN"/>
        </w:rPr>
      </w:pPr>
      <w:r>
        <w:rPr>
          <w:rStyle w:val="15"/>
          <w:rFonts w:hint="eastAsia" w:ascii="仿宋" w:hAnsi="仿宋" w:eastAsia="仿宋"/>
          <w:bCs/>
          <w:color w:val="auto"/>
          <w:sz w:val="32"/>
          <w:szCs w:val="32"/>
          <w:highlight w:val="none"/>
          <w:lang w:eastAsia="zh-CN"/>
        </w:rPr>
        <w:t>灾害防治及应急管理支出自然灾害救灾及恢复重建支出自然灾害灾后重建补助</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pPr>
        <w:pStyle w:val="2"/>
        <w:rPr>
          <w:rFonts w:hint="default" w:eastAsia="宋体"/>
          <w:lang w:val="en-US" w:eastAsia="zh-CN"/>
        </w:rPr>
      </w:pPr>
    </w:p>
    <w:p>
      <w:pPr>
        <w:tabs>
          <w:tab w:val="right" w:pos="8306"/>
        </w:tabs>
        <w:spacing w:line="600" w:lineRule="exact"/>
        <w:ind w:firstLine="640"/>
        <w:outlineLvl w:val="1"/>
        <w:rPr>
          <w:rStyle w:val="26"/>
          <w:color w:val="auto"/>
          <w:highlight w:val="none"/>
        </w:rPr>
      </w:pPr>
      <w:bookmarkStart w:id="56" w:name="_Toc15377214"/>
      <w:bookmarkStart w:id="57" w:name="_Toc15396608"/>
      <w:bookmarkStart w:id="58" w:name="_Toc466"/>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56"/>
      <w:bookmarkEnd w:id="57"/>
      <w:bookmarkEnd w:id="58"/>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1184.16</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1004.88</w:t>
      </w:r>
      <w:r>
        <w:rPr>
          <w:rFonts w:hint="eastAsia" w:ascii="仿宋" w:hAnsi="仿宋" w:eastAsia="仿宋"/>
          <w:color w:val="auto"/>
          <w:sz w:val="32"/>
          <w:szCs w:val="32"/>
          <w:highlight w:val="none"/>
        </w:rPr>
        <w:t>万元，主要包括：基本工资、津贴补贴、奖金、绩效工资、机关事业单位基本养老保险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179.28</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6"/>
          <w:rFonts w:ascii="黑体" w:hAnsi="黑体" w:eastAsia="黑体"/>
          <w:b w:val="0"/>
          <w:color w:val="auto"/>
          <w:highlight w:val="none"/>
        </w:rPr>
      </w:pPr>
      <w:bookmarkStart w:id="59" w:name="_Toc15377215"/>
      <w:bookmarkStart w:id="60" w:name="_Toc15396609"/>
      <w:bookmarkStart w:id="61" w:name="_Toc3303"/>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59"/>
      <w:bookmarkEnd w:id="60"/>
      <w:bookmarkEnd w:id="61"/>
    </w:p>
    <w:p>
      <w:pPr>
        <w:spacing w:line="600" w:lineRule="exact"/>
        <w:ind w:firstLine="640"/>
        <w:outlineLvl w:val="2"/>
        <w:rPr>
          <w:rFonts w:ascii="仿宋" w:hAnsi="仿宋" w:eastAsia="仿宋"/>
          <w:b/>
          <w:color w:val="auto"/>
          <w:sz w:val="32"/>
          <w:szCs w:val="32"/>
          <w:highlight w:val="none"/>
        </w:rPr>
      </w:pPr>
      <w:bookmarkStart w:id="62" w:name="_Toc15377216"/>
      <w:bookmarkStart w:id="63" w:name="_Toc16154"/>
      <w:r>
        <w:rPr>
          <w:rFonts w:hint="eastAsia" w:ascii="仿宋" w:hAnsi="仿宋" w:eastAsia="仿宋"/>
          <w:b/>
          <w:color w:val="auto"/>
          <w:sz w:val="32"/>
          <w:szCs w:val="32"/>
          <w:highlight w:val="none"/>
        </w:rPr>
        <w:t>（一）“三公”经费财政拨款支出决算总体情况说明</w:t>
      </w:r>
      <w:bookmarkEnd w:id="62"/>
      <w:bookmarkEnd w:id="63"/>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13.5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spacing w:line="600" w:lineRule="exact"/>
        <w:ind w:firstLine="640"/>
        <w:outlineLvl w:val="2"/>
        <w:rPr>
          <w:rFonts w:ascii="仿宋" w:hAnsi="仿宋" w:eastAsia="仿宋"/>
          <w:b/>
          <w:color w:val="auto"/>
          <w:sz w:val="32"/>
          <w:szCs w:val="32"/>
          <w:highlight w:val="none"/>
        </w:rPr>
      </w:pPr>
      <w:bookmarkStart w:id="64" w:name="_Toc15377217"/>
      <w:bookmarkStart w:id="65" w:name="_Toc4245"/>
      <w:r>
        <w:rPr>
          <w:rFonts w:hint="eastAsia" w:ascii="仿宋" w:hAnsi="仿宋" w:eastAsia="仿宋"/>
          <w:b/>
          <w:color w:val="auto"/>
          <w:sz w:val="32"/>
          <w:szCs w:val="32"/>
          <w:highlight w:val="none"/>
        </w:rPr>
        <w:t>（二）“三公”经费财政拨款支出决算具体情况说明</w:t>
      </w:r>
      <w:bookmarkEnd w:id="64"/>
      <w:bookmarkEnd w:id="65"/>
    </w:p>
    <w:p>
      <w:pPr>
        <w:spacing w:line="600" w:lineRule="exact"/>
        <w:ind w:firstLine="640"/>
        <w:rPr>
          <w:rFonts w:hint="eastAsia" w:ascii="仿宋_GB2312" w:eastAsia="仿宋_GB2312"/>
          <w:color w:val="000000"/>
          <w:sz w:val="32"/>
          <w:szCs w:val="32"/>
          <w:lang w:val="en-US" w:eastAsia="zh-CN"/>
        </w:rPr>
      </w:pPr>
      <w:r>
        <w:rPr>
          <w:rFonts w:hint="eastAsia" w:ascii="仿宋" w:hAnsi="仿宋" w:eastAsia="仿宋"/>
          <w:color w:val="auto"/>
          <w:sz w:val="32"/>
          <w:szCs w:val="32"/>
          <w:highlight w:val="none"/>
          <w:lang w:val="en-US" w:eastAsia="zh-CN"/>
        </w:rPr>
        <w:t>2021年“三公”经费财政拨款支出决算中，因公出国（境）费支出决算0万元，占0%；公务用车购置及运行维护费支出决算5万元，占37%；公务接待费支出决算8.5万元，占63%。具体情况如下</w:t>
      </w:r>
      <w:r>
        <w:rPr>
          <w:rFonts w:hint="eastAsia" w:ascii="仿宋_GB2312" w:eastAsia="仿宋_GB2312"/>
          <w:color w:val="000000"/>
          <w:sz w:val="32"/>
          <w:szCs w:val="32"/>
          <w:lang w:val="en-US" w:eastAsia="zh-CN"/>
        </w:rPr>
        <w:t>：</w:t>
      </w:r>
    </w:p>
    <w:p>
      <w:pPr>
        <w:pStyle w:val="2"/>
        <w:ind w:left="0" w:leftChars="0" w:firstLine="840" w:firstLineChars="400"/>
        <w:rPr>
          <w:rFonts w:hint="eastAsia" w:eastAsia="仿宋"/>
          <w:lang w:eastAsia="zh-CN"/>
        </w:rPr>
      </w:pPr>
      <w:r>
        <w:rPr>
          <w:rFonts w:hint="eastAsia" w:eastAsia="仿宋"/>
          <w:lang w:eastAsia="zh-CN"/>
        </w:rPr>
        <w:drawing>
          <wp:inline distT="0" distB="0" distL="114300" distR="114300">
            <wp:extent cx="4400550" cy="2705100"/>
            <wp:effectExtent l="0" t="0" r="0" b="0"/>
            <wp:docPr id="14" name="图片 14" descr="166927634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69276345699"/>
                    <pic:cNvPicPr>
                      <a:picLocks noChangeAspect="1"/>
                    </pic:cNvPicPr>
                  </pic:nvPicPr>
                  <pic:blipFill>
                    <a:blip r:embed="rId12"/>
                    <a:stretch>
                      <a:fillRect/>
                    </a:stretch>
                  </pic:blipFill>
                  <pic:spPr>
                    <a:xfrm>
                      <a:off x="0" y="0"/>
                      <a:ext cx="4400550" cy="2705100"/>
                    </a:xfrm>
                    <a:prstGeom prst="rect">
                      <a:avLst/>
                    </a:prstGeom>
                  </pic:spPr>
                </pic:pic>
              </a:graphicData>
            </a:graphic>
          </wp:inline>
        </w:drawing>
      </w:r>
    </w:p>
    <w:p>
      <w:pPr>
        <w:spacing w:line="600"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60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工作量增加，用车频繁，且车辆使用年限较久，维修保养成本增加</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000000"/>
          <w:sz w:val="32"/>
          <w:szCs w:val="32"/>
        </w:rPr>
      </w:pPr>
      <w:r>
        <w:rPr>
          <w:rFonts w:hint="eastAsia" w:ascii="仿宋_GB2312" w:eastAsia="仿宋_GB2312"/>
          <w:b/>
          <w:color w:val="auto"/>
          <w:sz w:val="32"/>
          <w:szCs w:val="32"/>
          <w:highlight w:val="none"/>
        </w:rPr>
        <w:t>公务用车运行维护费支出</w:t>
      </w:r>
      <w:r>
        <w:rPr>
          <w:rFonts w:hint="eastAsia" w:ascii="仿宋_GB2312" w:eastAsia="仿宋_GB2312"/>
          <w:color w:val="000000"/>
          <w:sz w:val="32"/>
          <w:szCs w:val="32"/>
          <w:lang w:val="en-US" w:eastAsia="zh-CN"/>
        </w:rPr>
        <w:t>5万元。主要用于打击非法煤矿等所需的公务用车燃料费、维修费、过路过桥费、保险费等支出。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000000"/>
          <w:sz w:val="32"/>
          <w:szCs w:val="32"/>
          <w:lang w:val="en-US" w:eastAsia="zh-CN"/>
        </w:rPr>
        <w:t>8.5万元，完成预算100%。公务接待费支出决算比2020年减少2.9万元，下降2.9%。主要原因是主要变动原因是随着厉行节约指导思想的深入落实，合理规划公务接待标准。其中：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_GB2312" w:eastAsia="仿宋_GB2312"/>
          <w:color w:val="000000"/>
          <w:sz w:val="32"/>
          <w:szCs w:val="32"/>
          <w:lang w:val="en-US" w:eastAsia="zh-CN"/>
        </w:rPr>
        <w:t>8.5万元，主要用于执行公务、开展业务活动开支的交通费、住宿费、用餐费等。国内公务接待178批次，1352人次（不包括陪同人员），共计支出8.5万元，具体内容包括：用餐费8.5万元。</w:t>
      </w:r>
    </w:p>
    <w:p>
      <w:pPr>
        <w:spacing w:line="600" w:lineRule="exact"/>
        <w:ind w:firstLine="640"/>
        <w:outlineLvl w:val="9"/>
        <w:rPr>
          <w:rFonts w:ascii="黑体" w:eastAsia="黑体"/>
          <w:color w:val="auto"/>
          <w:sz w:val="32"/>
          <w:szCs w:val="32"/>
          <w:highlight w:val="none"/>
        </w:rPr>
      </w:pPr>
      <w:bookmarkStart w:id="66" w:name="_Toc15396610"/>
      <w:bookmarkStart w:id="67" w:name="_Toc15377218"/>
    </w:p>
    <w:p>
      <w:pPr>
        <w:spacing w:line="600" w:lineRule="exact"/>
        <w:ind w:firstLine="640"/>
        <w:outlineLvl w:val="1"/>
        <w:rPr>
          <w:rStyle w:val="26"/>
          <w:rFonts w:ascii="黑体" w:hAnsi="黑体" w:eastAsia="黑体"/>
          <w:color w:val="auto"/>
          <w:highlight w:val="none"/>
        </w:rPr>
      </w:pPr>
      <w:bookmarkStart w:id="68" w:name="_Toc20555"/>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66"/>
      <w:bookmarkEnd w:id="67"/>
      <w:bookmarkEnd w:id="6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58</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4"/>
        </w:numPr>
        <w:spacing w:line="600" w:lineRule="exact"/>
        <w:ind w:firstLine="640"/>
        <w:outlineLvl w:val="1"/>
        <w:rPr>
          <w:rStyle w:val="26"/>
          <w:rFonts w:ascii="黑体" w:hAnsi="黑体" w:eastAsia="黑体"/>
          <w:b w:val="0"/>
          <w:color w:val="auto"/>
          <w:highlight w:val="none"/>
        </w:rPr>
      </w:pPr>
      <w:bookmarkStart w:id="69" w:name="_Toc15377219"/>
      <w:bookmarkStart w:id="70" w:name="_Toc15396611"/>
      <w:bookmarkStart w:id="71" w:name="_Toc17959"/>
      <w:r>
        <w:rPr>
          <w:rStyle w:val="26"/>
          <w:rFonts w:hint="eastAsia" w:ascii="黑体" w:hAnsi="黑体" w:eastAsia="黑体"/>
          <w:b w:val="0"/>
          <w:color w:val="auto"/>
          <w:highlight w:val="none"/>
        </w:rPr>
        <w:t>国有资本经营预算支出决算情况说明</w:t>
      </w:r>
      <w:bookmarkEnd w:id="69"/>
      <w:bookmarkEnd w:id="70"/>
      <w:bookmarkEnd w:id="7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4"/>
        </w:numPr>
        <w:spacing w:line="600" w:lineRule="exact"/>
        <w:ind w:firstLine="640"/>
        <w:outlineLvl w:val="1"/>
        <w:rPr>
          <w:rStyle w:val="26"/>
          <w:rFonts w:hint="eastAsia" w:ascii="黑体" w:hAnsi="黑体" w:eastAsia="黑体"/>
          <w:b w:val="0"/>
          <w:color w:val="auto"/>
          <w:highlight w:val="none"/>
        </w:rPr>
      </w:pPr>
      <w:bookmarkStart w:id="72" w:name="_Toc15396612"/>
      <w:bookmarkStart w:id="73" w:name="_Toc15377221"/>
      <w:bookmarkStart w:id="74" w:name="_Toc6827"/>
      <w:r>
        <w:rPr>
          <w:rStyle w:val="26"/>
          <w:rFonts w:hint="eastAsia" w:ascii="黑体" w:hAnsi="黑体" w:eastAsia="黑体"/>
          <w:b w:val="0"/>
          <w:color w:val="auto"/>
          <w:highlight w:val="none"/>
        </w:rPr>
        <w:t>其他重要事项的情况说明</w:t>
      </w:r>
      <w:bookmarkEnd w:id="72"/>
      <w:bookmarkEnd w:id="73"/>
      <w:bookmarkEnd w:id="74"/>
    </w:p>
    <w:p>
      <w:pPr>
        <w:spacing w:line="600" w:lineRule="exact"/>
        <w:ind w:firstLine="643" w:firstLineChars="200"/>
        <w:outlineLvl w:val="2"/>
        <w:rPr>
          <w:rFonts w:ascii="仿宋" w:hAnsi="仿宋" w:eastAsia="仿宋"/>
          <w:color w:val="auto"/>
          <w:sz w:val="32"/>
          <w:szCs w:val="32"/>
          <w:highlight w:val="none"/>
        </w:rPr>
      </w:pPr>
      <w:bookmarkStart w:id="75" w:name="_Toc15377222"/>
      <w:bookmarkStart w:id="76" w:name="_Toc11400"/>
      <w:r>
        <w:rPr>
          <w:rFonts w:hint="eastAsia" w:ascii="仿宋" w:hAnsi="仿宋" w:eastAsia="仿宋"/>
          <w:b/>
          <w:color w:val="auto"/>
          <w:sz w:val="32"/>
          <w:szCs w:val="32"/>
          <w:highlight w:val="none"/>
        </w:rPr>
        <w:t>（一）机关运行经费支出情况</w:t>
      </w:r>
      <w:bookmarkEnd w:id="75"/>
      <w:bookmarkEnd w:id="7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上峡镇人民政府</w:t>
      </w:r>
      <w:r>
        <w:rPr>
          <w:rFonts w:hint="eastAsia" w:ascii="仿宋_GB2312" w:eastAsia="仿宋_GB2312"/>
          <w:color w:val="auto"/>
          <w:sz w:val="32"/>
          <w:szCs w:val="32"/>
          <w:highlight w:val="none"/>
        </w:rPr>
        <w:t>机关运行经费</w:t>
      </w:r>
      <w:r>
        <w:rPr>
          <w:rFonts w:hint="eastAsia" w:ascii="仿宋_GB2312" w:eastAsia="仿宋_GB2312"/>
          <w:color w:val="auto"/>
          <w:sz w:val="32"/>
          <w:szCs w:val="32"/>
          <w:highlight w:val="none"/>
          <w:lang w:eastAsia="zh-CN"/>
        </w:rPr>
        <w:t>预算完成率</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7" w:name="_Toc15377223"/>
      <w:bookmarkStart w:id="78" w:name="_Toc23105"/>
      <w:r>
        <w:rPr>
          <w:rFonts w:hint="eastAsia" w:ascii="仿宋" w:hAnsi="仿宋" w:eastAsia="仿宋"/>
          <w:b/>
          <w:color w:val="auto"/>
          <w:sz w:val="32"/>
          <w:szCs w:val="32"/>
          <w:highlight w:val="none"/>
        </w:rPr>
        <w:t>（二）政府采购支出情况</w:t>
      </w:r>
      <w:bookmarkEnd w:id="77"/>
      <w:bookmarkEnd w:id="78"/>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上峡镇人民</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9" w:name="_Toc15377224"/>
      <w:bookmarkStart w:id="80" w:name="_Toc9210"/>
      <w:r>
        <w:rPr>
          <w:rFonts w:hint="eastAsia" w:ascii="仿宋" w:hAnsi="仿宋" w:eastAsia="仿宋"/>
          <w:b/>
          <w:color w:val="auto"/>
          <w:sz w:val="32"/>
          <w:szCs w:val="32"/>
          <w:highlight w:val="none"/>
        </w:rPr>
        <w:t>（三）国有资产占有使用情况</w:t>
      </w:r>
      <w:bookmarkEnd w:id="79"/>
      <w:bookmarkEnd w:id="80"/>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上峡镇人民政府</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eastAsia="zh-CN"/>
        </w:rPr>
        <w:t>打击非法煤矿工作。</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bookmarkStart w:id="81" w:name="_Toc27471"/>
      <w:r>
        <w:rPr>
          <w:rFonts w:hint="eastAsia" w:ascii="仿宋" w:hAnsi="仿宋" w:eastAsia="仿宋"/>
          <w:b/>
          <w:color w:val="auto"/>
          <w:sz w:val="32"/>
          <w:szCs w:val="32"/>
          <w:highlight w:val="none"/>
        </w:rPr>
        <w:t>（四）预算绩效管理情况</w:t>
      </w:r>
      <w:bookmarkEnd w:id="81"/>
    </w:p>
    <w:p>
      <w:pPr>
        <w:spacing w:line="580" w:lineRule="exact"/>
        <w:ind w:firstLine="640" w:firstLineChars="200"/>
        <w:rPr>
          <w:highlight w:val="yellow"/>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村级道路硬化、防洪堤水毁修复工程、城乡环境治理、下水管道维修等</w:t>
      </w:r>
      <w:r>
        <w:rPr>
          <w:rFonts w:hint="eastAsia" w:ascii="仿宋_GB2312" w:hAnsi="仿宋_GB2312" w:eastAsia="仿宋_GB2312" w:cs="仿宋_GB2312"/>
          <w:color w:val="auto"/>
          <w:sz w:val="32"/>
          <w:szCs w:val="32"/>
          <w:highlight w:val="none"/>
          <w:lang w:val="en-US" w:eastAsia="zh-CN"/>
        </w:rPr>
        <w:t>5个项目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2021年特定目标类部门预算项目绩效目标自评表见附件（第四部分）</w:t>
      </w:r>
      <w:r>
        <w:rPr>
          <w:rFonts w:hint="eastAsia" w:ascii="仿宋_GB2312" w:hAnsi="仿宋_GB2312" w:eastAsia="仿宋_GB2312" w:cs="仿宋_GB2312"/>
          <w:color w:val="auto"/>
          <w:sz w:val="32"/>
          <w:szCs w:val="32"/>
          <w:highlight w:val="none"/>
        </w:rPr>
        <w:t>。</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5"/>
        </w:numPr>
        <w:spacing w:line="600" w:lineRule="exact"/>
        <w:ind w:firstLine="660" w:firstLineChars="150"/>
        <w:jc w:val="center"/>
        <w:outlineLvl w:val="0"/>
        <w:rPr>
          <w:rStyle w:val="25"/>
          <w:rFonts w:ascii="黑体" w:hAnsi="黑体" w:eastAsia="黑体"/>
          <w:b w:val="0"/>
          <w:color w:val="auto"/>
          <w:highlight w:val="none"/>
        </w:rPr>
      </w:pPr>
      <w:bookmarkStart w:id="82" w:name="_Toc15396613"/>
      <w:bookmarkStart w:id="83" w:name="_Toc15377225"/>
      <w:bookmarkStart w:id="84" w:name="_Toc22596"/>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82"/>
      <w:bookmarkEnd w:id="83"/>
      <w:bookmarkEnd w:id="84"/>
    </w:p>
    <w:p>
      <w:pPr>
        <w:spacing w:line="600" w:lineRule="exact"/>
        <w:jc w:val="left"/>
        <w:rPr>
          <w:rFonts w:ascii="宋体"/>
          <w:b/>
          <w:color w:val="auto"/>
          <w:sz w:val="44"/>
          <w:szCs w:val="44"/>
          <w:highlight w:val="none"/>
        </w:rPr>
      </w:pP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r>
        <w:rPr>
          <w:rFonts w:hint="eastAsia" w:ascii="仿宋_GB2312" w:eastAsia="仿宋_GB2312"/>
          <w:color w:val="auto"/>
          <w:sz w:val="32"/>
          <w:szCs w:val="32"/>
          <w:highlight w:val="none"/>
        </w:rPr>
        <w:t>。</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lang w:val="en-US" w:eastAsia="zh-CN"/>
        </w:rPr>
        <w:t>.</w:t>
      </w:r>
      <w:r>
        <w:rPr>
          <w:rFonts w:hint="eastAsia" w:ascii="仿宋_GB2312" w:hAnsi="仿宋_GB2312" w:eastAsia="仿宋_GB2312"/>
          <w:color w:val="000000"/>
          <w:sz w:val="32"/>
        </w:rPr>
        <w:t>一般公共服务支出政府办公厅（室）及相关机构事务行政运行</w:t>
      </w:r>
      <w:r>
        <w:rPr>
          <w:rFonts w:hint="eastAsia" w:ascii="仿宋_GB2312" w:eastAsia="仿宋_GB2312"/>
          <w:color w:val="000000"/>
          <w:sz w:val="32"/>
          <w:szCs w:val="32"/>
        </w:rPr>
        <w:t>： 反映行政单位（包括实行公务员管理的事业单位）的基本支出。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w:t>
      </w:r>
      <w:r>
        <w:rPr>
          <w:rFonts w:hint="eastAsia" w:ascii="仿宋_GB2312" w:hAnsi="仿宋_GB2312" w:eastAsia="仿宋_GB2312"/>
          <w:color w:val="000000"/>
          <w:sz w:val="32"/>
        </w:rPr>
        <w:t xml:space="preserve"> 一般公共服务支出政府办公厅（室）及相关机构事务一般行政管理事务：</w:t>
      </w:r>
      <w:r>
        <w:rPr>
          <w:rFonts w:hint="eastAsia" w:ascii="仿宋_GB2312" w:eastAsia="仿宋_GB2312"/>
          <w:color w:val="000000"/>
          <w:sz w:val="32"/>
          <w:szCs w:val="32"/>
        </w:rPr>
        <w:t>反映行政单位（包括实行公务员管理的事业单位）未单独设置项级科目的其他项目支出。</w:t>
      </w:r>
    </w:p>
    <w:p>
      <w:pPr>
        <w:ind w:firstLine="640" w:firstLineChars="200"/>
        <w:rPr>
          <w:rFonts w:hint="eastAsia" w:ascii="仿宋_GB2312" w:hAnsi="仿宋_GB2312" w:eastAsia="仿宋_GB2312"/>
          <w:color w:val="000000"/>
          <w:sz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w:t>
      </w:r>
      <w:r>
        <w:rPr>
          <w:rFonts w:hint="eastAsia" w:ascii="仿宋_GB2312" w:hAnsi="仿宋_GB2312" w:eastAsia="仿宋_GB2312"/>
          <w:color w:val="000000"/>
          <w:sz w:val="32"/>
        </w:rPr>
        <w:t xml:space="preserve"> 一般公共服务支出政府办公厅（室）及相关机构事务其他政府办公厅（室）及相关机构事务支出：反映除上述项目以外的其他政府办公厅（室）及相关机构事务支出。</w:t>
      </w:r>
    </w:p>
    <w:p>
      <w:pPr>
        <w:ind w:firstLine="640" w:firstLineChars="200"/>
        <w:rPr>
          <w:rFonts w:hint="eastAsia" w:ascii="仿宋_GB2312" w:hAnsi="仿宋_GB2312" w:eastAsia="仿宋_GB2312"/>
          <w:color w:val="000000"/>
          <w:sz w:val="32"/>
        </w:rPr>
      </w:pPr>
      <w:r>
        <w:rPr>
          <w:rFonts w:hint="eastAsia" w:ascii="仿宋_GB2312" w:eastAsia="仿宋_GB2312"/>
          <w:color w:val="000000"/>
          <w:sz w:val="32"/>
          <w:szCs w:val="32"/>
          <w:lang w:val="en-US" w:eastAsia="zh-CN"/>
        </w:rPr>
        <w:t>12.</w:t>
      </w:r>
      <w:r>
        <w:rPr>
          <w:rFonts w:hint="eastAsia" w:ascii="仿宋_GB2312" w:hAnsi="仿宋_GB2312" w:eastAsia="仿宋_GB2312"/>
          <w:color w:val="000000"/>
          <w:sz w:val="32"/>
        </w:rPr>
        <w:t>一般公共服务支出</w:t>
      </w:r>
      <w:r>
        <w:rPr>
          <w:rFonts w:hint="eastAsia" w:ascii="仿宋_GB2312" w:hAnsi="仿宋_GB2312" w:eastAsia="仿宋_GB2312"/>
          <w:color w:val="000000"/>
          <w:sz w:val="32"/>
          <w:lang w:val="en-US" w:eastAsia="zh-CN"/>
        </w:rPr>
        <w:t>财政事务其他财政事务支出</w:t>
      </w:r>
      <w:r>
        <w:rPr>
          <w:rFonts w:hint="eastAsia" w:ascii="仿宋_GB2312" w:hAnsi="仿宋_GB2312" w:eastAsia="仿宋_GB2312"/>
          <w:color w:val="000000"/>
          <w:sz w:val="32"/>
        </w:rPr>
        <w:t>：反映除上述项目以外的其他</w:t>
      </w:r>
      <w:r>
        <w:rPr>
          <w:rFonts w:hint="eastAsia" w:ascii="仿宋_GB2312" w:hAnsi="仿宋_GB2312" w:eastAsia="仿宋_GB2312"/>
          <w:color w:val="000000"/>
          <w:sz w:val="32"/>
          <w:lang w:val="en-US" w:eastAsia="zh-CN"/>
        </w:rPr>
        <w:t>财政</w:t>
      </w:r>
      <w:r>
        <w:rPr>
          <w:rFonts w:hint="eastAsia" w:ascii="仿宋_GB2312" w:hAnsi="仿宋_GB2312" w:eastAsia="仿宋_GB2312"/>
          <w:color w:val="000000"/>
          <w:sz w:val="32"/>
        </w:rPr>
        <w:t>事务支出</w:t>
      </w:r>
      <w:r>
        <w:rPr>
          <w:rFonts w:hint="eastAsia" w:ascii="仿宋_GB2312" w:hAnsi="仿宋_GB2312" w:eastAsia="仿宋_GB2312"/>
          <w:color w:val="000000"/>
          <w:sz w:val="32"/>
          <w:lang w:eastAsia="zh-CN"/>
        </w:rPr>
        <w:t>。</w:t>
      </w:r>
    </w:p>
    <w:p>
      <w:pPr>
        <w:ind w:firstLine="640" w:firstLineChars="200"/>
        <w:rPr>
          <w:rFonts w:hint="eastAsia" w:ascii="仿宋_GB2312" w:hAnsi="仿宋_GB2312" w:eastAsia="仿宋_GB2312"/>
          <w:color w:val="000000"/>
          <w:sz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hAnsi="仿宋_GB2312" w:eastAsia="仿宋_GB2312"/>
          <w:color w:val="000000"/>
          <w:sz w:val="32"/>
        </w:rPr>
        <w:t>一般公共服务支出纪检监察事务其他纪检监察事务支出：反映除上述项目以外的其他纪检监察事务方面的支出。</w:t>
      </w:r>
    </w:p>
    <w:p>
      <w:pPr>
        <w:ind w:firstLine="640" w:firstLineChars="200"/>
        <w:rPr>
          <w:rFonts w:hint="eastAsia" w:ascii="仿宋_GB2312" w:hAnsi="仿宋_GB2312" w:eastAsia="仿宋_GB2312"/>
          <w:color w:val="000000"/>
          <w:sz w:val="32"/>
        </w:rPr>
      </w:pPr>
      <w:r>
        <w:rPr>
          <w:rFonts w:hint="eastAsia" w:ascii="仿宋_GB2312" w:eastAsia="仿宋_GB2312"/>
          <w:color w:val="000000"/>
          <w:sz w:val="32"/>
          <w:szCs w:val="32"/>
          <w:lang w:val="en-US" w:eastAsia="zh-CN"/>
        </w:rPr>
        <w:t>14.</w:t>
      </w:r>
      <w:r>
        <w:rPr>
          <w:rFonts w:hint="eastAsia" w:ascii="仿宋_GB2312" w:hAnsi="仿宋_GB2312" w:eastAsia="仿宋_GB2312"/>
          <w:color w:val="000000"/>
          <w:sz w:val="32"/>
        </w:rPr>
        <w:t>一般公共服务支出组织事务其他组织事务支出：反映除上述项目以外的其他用于中国共产党组织部门的事务支出。</w:t>
      </w:r>
    </w:p>
    <w:p>
      <w:pPr>
        <w:ind w:firstLine="640" w:firstLineChars="200"/>
        <w:rPr>
          <w:rFonts w:hint="eastAsia" w:ascii="仿宋_GB2312" w:hAnsi="仿宋_GB2312" w:eastAsia="仿宋_GB2312"/>
          <w:color w:val="000000"/>
          <w:sz w:val="32"/>
        </w:rPr>
      </w:pPr>
      <w:r>
        <w:rPr>
          <w:rFonts w:hint="eastAsia" w:ascii="仿宋_GB2312" w:eastAsia="仿宋_GB2312"/>
          <w:color w:val="000000"/>
          <w:sz w:val="32"/>
          <w:szCs w:val="32"/>
          <w:lang w:val="en-US" w:eastAsia="zh-CN"/>
        </w:rPr>
        <w:t>15.</w:t>
      </w:r>
      <w:r>
        <w:rPr>
          <w:rFonts w:hint="eastAsia" w:ascii="仿宋_GB2312" w:hAnsi="仿宋_GB2312" w:eastAsia="仿宋_GB2312"/>
          <w:color w:val="000000"/>
          <w:sz w:val="32"/>
        </w:rPr>
        <w:t>社会保障和就业支出</w:t>
      </w:r>
      <w:r>
        <w:rPr>
          <w:rFonts w:hint="eastAsia" w:ascii="仿宋_GB2312" w:hAnsi="仿宋_GB2312" w:eastAsia="仿宋_GB2312"/>
          <w:color w:val="000000"/>
          <w:sz w:val="32"/>
          <w:lang w:val="en-US" w:eastAsia="zh-CN"/>
        </w:rPr>
        <w:t>行政事业单位离退休机关事业单位基本养老保险缴费支出</w:t>
      </w:r>
      <w:r>
        <w:rPr>
          <w:rFonts w:hint="eastAsia" w:ascii="仿宋_GB2312" w:hAnsi="仿宋_GB2312" w:eastAsia="仿宋_GB2312"/>
          <w:color w:val="000000"/>
          <w:sz w:val="32"/>
        </w:rPr>
        <w:t>：反映</w:t>
      </w:r>
      <w:r>
        <w:rPr>
          <w:rFonts w:hint="eastAsia" w:ascii="仿宋_GB2312" w:hAnsi="仿宋_GB2312" w:eastAsia="仿宋_GB2312"/>
          <w:color w:val="000000"/>
          <w:sz w:val="32"/>
          <w:lang w:val="en-US" w:eastAsia="zh-CN"/>
        </w:rPr>
        <w:t>行政事业单位基本养老保险费用</w:t>
      </w:r>
      <w:r>
        <w:rPr>
          <w:rFonts w:hint="eastAsia" w:ascii="仿宋_GB2312" w:hAnsi="仿宋_GB2312" w:eastAsia="仿宋_GB2312"/>
          <w:color w:val="000000"/>
          <w:sz w:val="32"/>
        </w:rPr>
        <w:t>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hAnsi="仿宋_GB2312" w:eastAsia="仿宋_GB2312"/>
          <w:color w:val="000000"/>
          <w:sz w:val="32"/>
        </w:rPr>
        <w:t>医疗卫生与计划生育支出医疗保障其他医疗保障支出: 反映除上述项目以外其他用于医疗卫生与计划生育方面的支出。</w:t>
      </w:r>
    </w:p>
    <w:p>
      <w:pPr>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lang w:val="en-US" w:eastAsia="zh-CN"/>
        </w:rPr>
        <w:t>17.</w:t>
      </w:r>
      <w:r>
        <w:rPr>
          <w:rFonts w:hint="eastAsia" w:ascii="仿宋_GB2312" w:hAnsi="仿宋_GB2312" w:eastAsia="仿宋_GB2312"/>
          <w:color w:val="000000"/>
          <w:sz w:val="32"/>
        </w:rPr>
        <w:t>医疗卫生与计划生育支出医疗保障行政单位医疗：反映财政部门集中安排的行政单位基本医疗保险缴费经费，未参加医疗保险的行政单位的公费医疗经费，按国家规定享受离休人员、红军老战士待遇人员的医疗经费。</w:t>
      </w:r>
    </w:p>
    <w:p>
      <w:pPr>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1</w:t>
      </w:r>
      <w:r>
        <w:rPr>
          <w:rFonts w:hint="eastAsia" w:ascii="仿宋_GB2312" w:hAnsi="仿宋_GB2312" w:eastAsia="仿宋_GB2312"/>
          <w:color w:val="000000"/>
          <w:sz w:val="32"/>
          <w:lang w:val="en-US" w:eastAsia="zh-CN"/>
        </w:rPr>
        <w:t>8</w:t>
      </w:r>
      <w:r>
        <w:rPr>
          <w:rFonts w:hint="eastAsia" w:ascii="仿宋_GB2312" w:hAnsi="仿宋_GB2312" w:eastAsia="仿宋_GB2312"/>
          <w:color w:val="000000"/>
          <w:sz w:val="32"/>
        </w:rPr>
        <w:t>. 医疗卫生与计划生育支出医疗保障事业单位医疗：反映财政部门集中安排的事业单位基本医疗保险缴费经费，未参加医疗保险的事业单位的公费医疗经费，按国家规定享受离休人员待遇的医疗经费。</w:t>
      </w:r>
    </w:p>
    <w:p>
      <w:pPr>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lang w:val="en-US" w:eastAsia="zh-CN"/>
        </w:rPr>
        <w:t>19</w:t>
      </w:r>
      <w:r>
        <w:rPr>
          <w:rFonts w:hint="eastAsia" w:ascii="仿宋_GB2312" w:hAnsi="仿宋_GB2312" w:eastAsia="仿宋_GB2312"/>
          <w:color w:val="000000"/>
          <w:sz w:val="32"/>
        </w:rPr>
        <w:t>. 医疗卫生与计划生育支出医疗保障公务员医疗补助: 反映财政部门集中安排的公务员医疗补助经费。</w:t>
      </w:r>
    </w:p>
    <w:p>
      <w:pPr>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lang w:val="en-US" w:eastAsia="zh-CN"/>
        </w:rPr>
        <w:t>20</w:t>
      </w:r>
      <w:r>
        <w:rPr>
          <w:rFonts w:hint="eastAsia" w:ascii="仿宋_GB2312" w:hAnsi="仿宋_GB2312" w:eastAsia="仿宋_GB2312"/>
          <w:color w:val="000000"/>
          <w:sz w:val="32"/>
        </w:rPr>
        <w:t>. 医疗卫生与计划生育支出医疗保障其他医疗保障支出: 反映除上述项目以外其他用于医疗卫生与计划生育方面的支出。</w:t>
      </w:r>
    </w:p>
    <w:p>
      <w:pPr>
        <w:ind w:firstLine="640" w:firstLineChars="200"/>
        <w:rPr>
          <w:rFonts w:hint="default" w:ascii="仿宋_GB2312" w:hAnsi="仿宋_GB2312" w:eastAsia="仿宋_GB2312"/>
          <w:color w:val="000000"/>
          <w:sz w:val="32"/>
          <w:lang w:val="en-US" w:eastAsia="zh-CN"/>
        </w:rPr>
      </w:pPr>
      <w:r>
        <w:rPr>
          <w:rFonts w:hint="eastAsia" w:ascii="仿宋_GB2312" w:eastAsia="仿宋_GB2312"/>
          <w:color w:val="000000"/>
          <w:sz w:val="32"/>
          <w:szCs w:val="32"/>
          <w:lang w:val="en-US" w:eastAsia="zh-CN"/>
        </w:rPr>
        <w:t>21</w:t>
      </w:r>
      <w:r>
        <w:rPr>
          <w:rFonts w:ascii="仿宋_GB2312" w:eastAsia="仿宋_GB2312"/>
          <w:color w:val="000000"/>
          <w:sz w:val="32"/>
          <w:szCs w:val="32"/>
        </w:rPr>
        <w:t>.</w:t>
      </w:r>
      <w:r>
        <w:rPr>
          <w:rFonts w:hint="eastAsia" w:ascii="仿宋_GB2312" w:hAnsi="仿宋_GB2312" w:eastAsia="仿宋_GB2312"/>
          <w:color w:val="000000"/>
          <w:sz w:val="32"/>
        </w:rPr>
        <w:t>城乡社区支出城乡社区管理事务其他城乡社区管理事务支出：反映除上述项目以外其他用于城乡社区管理事务方面的支出。</w:t>
      </w:r>
    </w:p>
    <w:p>
      <w:pPr>
        <w:ind w:firstLine="640" w:firstLineChars="200"/>
        <w:rPr>
          <w:rFonts w:hint="eastAsia" w:ascii="仿宋_GB2312" w:hAnsi="仿宋_GB2312" w:eastAsia="仿宋_GB2312"/>
          <w:color w:val="000000"/>
          <w:sz w:val="32"/>
        </w:rPr>
      </w:pPr>
      <w:r>
        <w:rPr>
          <w:rFonts w:hint="eastAsia" w:ascii="仿宋_GB2312" w:eastAsia="仿宋_GB2312"/>
          <w:color w:val="000000"/>
          <w:sz w:val="32"/>
          <w:szCs w:val="32"/>
          <w:lang w:val="en-US" w:eastAsia="zh-CN"/>
        </w:rPr>
        <w:t>22</w:t>
      </w:r>
      <w:r>
        <w:rPr>
          <w:rFonts w:ascii="仿宋_GB2312" w:eastAsia="仿宋_GB2312"/>
          <w:color w:val="000000"/>
          <w:sz w:val="32"/>
          <w:szCs w:val="32"/>
        </w:rPr>
        <w:t>.</w:t>
      </w:r>
      <w:r>
        <w:rPr>
          <w:rFonts w:hint="eastAsia" w:ascii="仿宋_GB2312" w:hAnsi="仿宋_GB2312" w:eastAsia="仿宋_GB2312"/>
          <w:color w:val="000000"/>
          <w:sz w:val="32"/>
        </w:rPr>
        <w:t>农林水支出农村综合改革对村民委员会和村党支部的补助：反映各级财政对村民委员会和村党支部的补助支出，以及支持建立县级基本财力保障机制安排的村级组织运转奖补资金。</w:t>
      </w:r>
    </w:p>
    <w:p>
      <w:pPr>
        <w:ind w:firstLine="640" w:firstLineChars="200"/>
        <w:rPr>
          <w:rFonts w:hint="eastAsia" w:ascii="仿宋_GB2312" w:hAnsi="仿宋_GB2312" w:eastAsia="仿宋_GB2312"/>
          <w:color w:val="000000"/>
          <w:sz w:val="32"/>
        </w:rPr>
      </w:pPr>
      <w:r>
        <w:rPr>
          <w:rFonts w:hint="eastAsia" w:ascii="仿宋_GB2312" w:eastAsia="仿宋_GB2312"/>
          <w:color w:val="000000"/>
          <w:sz w:val="32"/>
          <w:szCs w:val="32"/>
          <w:lang w:val="en-US" w:eastAsia="zh-CN"/>
        </w:rPr>
        <w:t>23</w:t>
      </w:r>
      <w:r>
        <w:rPr>
          <w:rFonts w:ascii="仿宋_GB2312" w:eastAsia="仿宋_GB2312"/>
          <w:color w:val="000000"/>
          <w:sz w:val="32"/>
          <w:szCs w:val="32"/>
        </w:rPr>
        <w:t>.</w:t>
      </w:r>
      <w:r>
        <w:rPr>
          <w:rFonts w:hint="eastAsia" w:ascii="仿宋_GB2312" w:hAnsi="仿宋_GB2312" w:eastAsia="仿宋_GB2312"/>
          <w:color w:val="000000"/>
          <w:sz w:val="32"/>
        </w:rPr>
        <w:t>住房保障支出住房改革支出住房公积金：反映行政事业单位按人力资源和社会保障部、财政部规定的基本工资和津贴补贴以及规定比例为职工缴纳的住房公积金。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s="黑体"/>
          <w:sz w:val="32"/>
          <w:szCs w:val="32"/>
        </w:rPr>
      </w:pPr>
      <w:r>
        <w:rPr>
          <w:rFonts w:hint="eastAsia" w:ascii="仿宋_GB2312" w:eastAsia="仿宋_GB2312"/>
          <w:sz w:val="32"/>
          <w:szCs w:val="32"/>
          <w:lang w:val="en-US" w:eastAsia="zh-CN"/>
        </w:rPr>
        <w:t>28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s="黑体"/>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color w:val="auto"/>
          <w:highlight w:val="none"/>
        </w:rPr>
      </w:pPr>
      <w:bookmarkStart w:id="85" w:name="_Toc15377226"/>
      <w:r>
        <w:rPr>
          <w:rFonts w:ascii="宋体"/>
          <w:b/>
          <w:color w:val="auto"/>
          <w:sz w:val="44"/>
          <w:szCs w:val="44"/>
          <w:highlight w:val="none"/>
        </w:rPr>
        <w:br w:type="page"/>
      </w:r>
      <w:bookmarkStart w:id="86" w:name="_Toc15396614"/>
      <w:bookmarkStart w:id="87" w:name="_Toc5559"/>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86"/>
      <w:bookmarkEnd w:id="87"/>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bookmarkStart w:id="88" w:name="_Toc17304"/>
      <w:r>
        <w:rPr>
          <w:rFonts w:hint="eastAsia" w:ascii="黑体" w:hAnsi="黑体" w:eastAsia="黑体" w:cs="黑体"/>
          <w:color w:val="auto"/>
          <w:sz w:val="32"/>
          <w:szCs w:val="32"/>
          <w:highlight w:val="none"/>
        </w:rPr>
        <w:t>附件</w:t>
      </w:r>
      <w:bookmarkEnd w:id="88"/>
    </w:p>
    <w:tbl>
      <w:tblPr>
        <w:tblStyle w:val="13"/>
        <w:tblpPr w:leftFromText="180" w:rightFromText="180" w:vertAnchor="text" w:horzAnchor="page" w:tblpX="1256" w:tblpY="221"/>
        <w:tblOverlap w:val="never"/>
        <w:tblW w:w="5755" w:type="pct"/>
        <w:tblInd w:w="0" w:type="dxa"/>
        <w:tblLayout w:type="fixed"/>
        <w:tblCellMar>
          <w:top w:w="0" w:type="dxa"/>
          <w:left w:w="108" w:type="dxa"/>
          <w:bottom w:w="0" w:type="dxa"/>
          <w:right w:w="108" w:type="dxa"/>
        </w:tblCellMar>
      </w:tblPr>
      <w:tblGrid>
        <w:gridCol w:w="9809"/>
      </w:tblGrid>
      <w:tr>
        <w:tblPrEx>
          <w:tblCellMar>
            <w:top w:w="0" w:type="dxa"/>
            <w:left w:w="108" w:type="dxa"/>
            <w:bottom w:w="0" w:type="dxa"/>
            <w:right w:w="108" w:type="dxa"/>
          </w:tblCellMar>
        </w:tblPrEx>
        <w:trPr>
          <w:trHeight w:val="675" w:hRule="atLeast"/>
        </w:trPr>
        <w:tc>
          <w:tcPr>
            <w:tcW w:w="5000" w:type="pct"/>
            <w:tcBorders>
              <w:top w:val="nil"/>
              <w:left w:val="nil"/>
              <w:bottom w:val="nil"/>
              <w:right w:val="nil"/>
            </w:tcBorders>
            <w:shd w:val="clear" w:color="auto" w:fill="auto"/>
            <w:vAlign w:val="center"/>
          </w:tcPr>
          <w:p>
            <w:pPr>
              <w:widowControl/>
              <w:jc w:val="both"/>
              <w:textAlignment w:val="center"/>
              <w:rPr>
                <w:rFonts w:eastAsia="方正仿宋简体"/>
                <w:b/>
                <w:color w:val="000000"/>
                <w:szCs w:val="32"/>
              </w:rPr>
            </w:pPr>
            <w:bookmarkStart w:id="89" w:name="_Toc15396618"/>
          </w:p>
          <w:p>
            <w:pPr>
              <w:pStyle w:val="2"/>
              <w:rPr>
                <w:rFonts w:eastAsia="方正仿宋简体"/>
                <w:b/>
                <w:color w:val="000000"/>
                <w:szCs w:val="32"/>
              </w:rPr>
            </w:pPr>
            <w:r>
              <w:rPr>
                <w:rFonts w:hint="eastAsia" w:ascii="宋体" w:hAnsi="宋体" w:eastAsia="宋体" w:cs="宋体"/>
                <w:b/>
                <w:i w:val="0"/>
                <w:color w:val="auto"/>
                <w:sz w:val="32"/>
                <w:szCs w:val="32"/>
                <w:u w:val="none"/>
                <w:lang w:val="en-US" w:eastAsia="zh-CN"/>
              </w:rPr>
              <w:t>2021年100万元以上（含）特定目标类部门预算项目绩效目标自评</w:t>
            </w:r>
          </w:p>
          <w:tbl>
            <w:tblPr>
              <w:tblStyle w:val="13"/>
              <w:tblpPr w:leftFromText="180" w:rightFromText="180" w:vertAnchor="text" w:horzAnchor="page" w:tblpX="467" w:tblpY="221"/>
              <w:tblOverlap w:val="never"/>
              <w:tblW w:w="4684" w:type="pct"/>
              <w:tblInd w:w="0" w:type="dxa"/>
              <w:tblLayout w:type="fixed"/>
              <w:tblCellMar>
                <w:top w:w="0" w:type="dxa"/>
                <w:left w:w="108" w:type="dxa"/>
                <w:bottom w:w="0" w:type="dxa"/>
                <w:right w:w="108" w:type="dxa"/>
              </w:tblCellMar>
            </w:tblPr>
            <w:tblGrid>
              <w:gridCol w:w="8987"/>
            </w:tblGrid>
            <w:tr>
              <w:tblPrEx>
                <w:tblCellMar>
                  <w:top w:w="0" w:type="dxa"/>
                  <w:left w:w="108" w:type="dxa"/>
                  <w:bottom w:w="0" w:type="dxa"/>
                  <w:right w:w="108" w:type="dxa"/>
                </w:tblCellMar>
              </w:tblPrEx>
              <w:trPr>
                <w:trHeight w:val="675" w:hRule="atLeast"/>
              </w:trPr>
              <w:tc>
                <w:tcPr>
                  <w:tcW w:w="5000" w:type="pct"/>
                  <w:tcBorders>
                    <w:top w:val="nil"/>
                    <w:left w:val="nil"/>
                    <w:bottom w:val="nil"/>
                    <w:right w:val="nil"/>
                  </w:tcBorders>
                  <w:shd w:val="clear" w:color="auto" w:fill="auto"/>
                  <w:vAlign w:val="center"/>
                </w:tcPr>
                <w:tbl>
                  <w:tblPr>
                    <w:tblStyle w:val="13"/>
                    <w:tblpPr w:leftFromText="180" w:rightFromText="180" w:vertAnchor="text" w:horzAnchor="page" w:tblpX="1256" w:tblpY="221"/>
                    <w:tblOverlap w:val="never"/>
                    <w:tblW w:w="8773" w:type="dxa"/>
                    <w:tblInd w:w="-5" w:type="dxa"/>
                    <w:tblLayout w:type="fixed"/>
                    <w:tblCellMar>
                      <w:top w:w="0" w:type="dxa"/>
                      <w:left w:w="108" w:type="dxa"/>
                      <w:bottom w:w="0" w:type="dxa"/>
                      <w:right w:w="108" w:type="dxa"/>
                    </w:tblCellMar>
                  </w:tblPr>
                  <w:tblGrid>
                    <w:gridCol w:w="1922"/>
                    <w:gridCol w:w="999"/>
                    <w:gridCol w:w="1358"/>
                    <w:gridCol w:w="1386"/>
                    <w:gridCol w:w="1369"/>
                    <w:gridCol w:w="1361"/>
                    <w:gridCol w:w="378"/>
                  </w:tblGrid>
                  <w:tr>
                    <w:tblPrEx>
                      <w:tblCellMar>
                        <w:top w:w="0" w:type="dxa"/>
                        <w:left w:w="108" w:type="dxa"/>
                        <w:bottom w:w="0" w:type="dxa"/>
                        <w:right w:w="108" w:type="dxa"/>
                      </w:tblCellMar>
                    </w:tblPrEx>
                    <w:trPr>
                      <w:trHeight w:val="675" w:hRule="atLeast"/>
                    </w:trPr>
                    <w:tc>
                      <w:tcPr>
                        <w:tcW w:w="47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pPr>
                        <w:r>
                          <w:t>主管部门及代码</w:t>
                        </w:r>
                      </w:p>
                    </w:tc>
                    <w:tc>
                      <w:tcPr>
                        <w:tcW w:w="215" w:type="pct"/>
                        <w:tcBorders>
                          <w:top w:val="nil"/>
                          <w:left w:val="nil"/>
                          <w:bottom w:val="nil"/>
                          <w:right w:val="nil"/>
                        </w:tcBorders>
                        <w:shd w:val="clear" w:color="auto" w:fill="auto"/>
                        <w:vAlign w:val="center"/>
                      </w:tcPr>
                      <w:p>
                        <w:pPr>
                          <w:widowControl/>
                          <w:jc w:val="center"/>
                          <w:textAlignment w:val="center"/>
                        </w:pPr>
                      </w:p>
                    </w:tc>
                  </w:tr>
                  <w:tr>
                    <w:tblPrEx>
                      <w:tblCellMar>
                        <w:top w:w="0" w:type="dxa"/>
                        <w:left w:w="108" w:type="dxa"/>
                        <w:bottom w:w="0" w:type="dxa"/>
                        <w:right w:w="108" w:type="dxa"/>
                      </w:tblCellMar>
                    </w:tblPrEx>
                    <w:trPr>
                      <w:gridAfter w:val="1"/>
                      <w:wAfter w:w="215" w:type="pct"/>
                      <w:trHeight w:val="385" w:hRule="atLeast"/>
                    </w:trPr>
                    <w:tc>
                      <w:tcPr>
                        <w:tcW w:w="1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pPr>
                        <w:r>
                          <w:t>项目预算</w:t>
                        </w:r>
                        <w:r>
                          <w:br w:type="textWrapping"/>
                        </w:r>
                        <w:r>
                          <w:t>执行情况</w:t>
                        </w:r>
                        <w:r>
                          <w:br w:type="textWrapping"/>
                        </w:r>
                        <w:r>
                          <w:t>（万元）</w:t>
                        </w:r>
                      </w:p>
                    </w:tc>
                    <w:tc>
                      <w:tcPr>
                        <w:tcW w:w="15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eastAsia"/>
                            <w:lang w:eastAsia="zh-CN"/>
                          </w:rPr>
                        </w:pPr>
                        <w:r>
                          <w:rPr>
                            <w:rFonts w:hint="eastAsia"/>
                            <w:lang w:eastAsia="zh-CN"/>
                          </w:rPr>
                          <w:t>上峡镇人民政府</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center"/>
                        </w:pPr>
                        <w:r>
                          <w:t>实施单位</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lang w:eastAsia="zh-CN"/>
                          </w:rPr>
                        </w:pPr>
                      </w:p>
                    </w:tc>
                  </w:tr>
                  <w:tr>
                    <w:tblPrEx>
                      <w:tblCellMar>
                        <w:top w:w="0" w:type="dxa"/>
                        <w:left w:w="108" w:type="dxa"/>
                        <w:bottom w:w="0" w:type="dxa"/>
                        <w:right w:w="108" w:type="dxa"/>
                      </w:tblCellMar>
                    </w:tblPrEx>
                    <w:trPr>
                      <w:gridAfter w:val="1"/>
                      <w:wAfter w:w="215" w:type="pct"/>
                      <w:trHeight w:val="406" w:hRule="atLeast"/>
                    </w:trPr>
                    <w:tc>
                      <w:tcPr>
                        <w:tcW w:w="1664" w:type="pct"/>
                        <w:gridSpan w:val="2"/>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pPr>
                        <w:r>
                          <w:t>年度总体目标</w:t>
                        </w:r>
                      </w:p>
                      <w:p>
                        <w:pPr>
                          <w:spacing w:line="320" w:lineRule="exact"/>
                          <w:jc w:val="center"/>
                        </w:pPr>
                        <w:r>
                          <w:t>完成情况</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pPr>
                        <w:r>
                          <w:t>预算数：</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lang w:val="en-US" w:eastAsia="zh-CN"/>
                          </w:rPr>
                        </w:pPr>
                        <w:r>
                          <w:rPr>
                            <w:rFonts w:hint="eastAsia"/>
                            <w:lang w:val="en-US" w:eastAsia="zh-CN"/>
                          </w:rPr>
                          <w:t>250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pPr>
                        <w:r>
                          <w:t>执行数：</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lang w:val="en-US" w:eastAsia="zh-CN"/>
                          </w:rPr>
                        </w:pPr>
                        <w:r>
                          <w:rPr>
                            <w:rFonts w:hint="eastAsia"/>
                            <w:lang w:val="en-US" w:eastAsia="zh-CN"/>
                          </w:rPr>
                          <w:t>250</w:t>
                        </w:r>
                      </w:p>
                    </w:tc>
                  </w:tr>
                  <w:tr>
                    <w:tblPrEx>
                      <w:tblCellMar>
                        <w:top w:w="0" w:type="dxa"/>
                        <w:left w:w="108" w:type="dxa"/>
                        <w:bottom w:w="0" w:type="dxa"/>
                        <w:right w:w="108" w:type="dxa"/>
                      </w:tblCellMar>
                    </w:tblPrEx>
                    <w:trPr>
                      <w:gridAfter w:val="1"/>
                      <w:wAfter w:w="215" w:type="pct"/>
                      <w:trHeight w:val="577" w:hRule="atLeast"/>
                    </w:trPr>
                    <w:tc>
                      <w:tcPr>
                        <w:tcW w:w="1664" w:type="pct"/>
                        <w:gridSpan w:val="2"/>
                        <w:vMerge w:val="continue"/>
                        <w:tcBorders>
                          <w:left w:val="single" w:color="000000" w:sz="4" w:space="0"/>
                          <w:right w:val="single" w:color="000000" w:sz="4" w:space="0"/>
                        </w:tcBorders>
                        <w:shd w:val="clear" w:color="auto" w:fill="auto"/>
                        <w:vAlign w:val="center"/>
                      </w:tcPr>
                      <w:p>
                        <w:pPr>
                          <w:spacing w:line="320" w:lineRule="exact"/>
                          <w:jc w:val="cente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pPr>
                        <w:r>
                          <w:t>其中：</w:t>
                        </w:r>
                      </w:p>
                      <w:p>
                        <w:pPr>
                          <w:widowControl/>
                          <w:spacing w:line="320" w:lineRule="exact"/>
                          <w:jc w:val="left"/>
                          <w:textAlignment w:val="center"/>
                        </w:pPr>
                        <w:r>
                          <w:t>财政拨款</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lang w:val="en-US" w:eastAsia="zh-CN"/>
                          </w:rPr>
                        </w:pPr>
                        <w:r>
                          <w:rPr>
                            <w:rFonts w:hint="eastAsia"/>
                            <w:lang w:val="en-US" w:eastAsia="zh-CN"/>
                          </w:rPr>
                          <w:t>250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pPr>
                        <w:r>
                          <w:t>其中：</w:t>
                        </w:r>
                      </w:p>
                      <w:p>
                        <w:pPr>
                          <w:widowControl/>
                          <w:spacing w:line="320" w:lineRule="exact"/>
                          <w:jc w:val="left"/>
                          <w:textAlignment w:val="center"/>
                        </w:pPr>
                        <w:r>
                          <w:t>财政拨款</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default"/>
                            <w:lang w:val="en-US" w:eastAsia="zh-CN"/>
                          </w:rPr>
                        </w:pPr>
                        <w:r>
                          <w:rPr>
                            <w:rFonts w:hint="eastAsia"/>
                            <w:lang w:val="en-US" w:eastAsia="zh-CN"/>
                          </w:rPr>
                          <w:t>250</w:t>
                        </w:r>
                      </w:p>
                    </w:tc>
                  </w:tr>
                  <w:tr>
                    <w:tblPrEx>
                      <w:tblCellMar>
                        <w:top w:w="0" w:type="dxa"/>
                        <w:left w:w="108" w:type="dxa"/>
                        <w:bottom w:w="0" w:type="dxa"/>
                        <w:right w:w="108" w:type="dxa"/>
                      </w:tblCellMar>
                    </w:tblPrEx>
                    <w:trPr>
                      <w:gridAfter w:val="1"/>
                      <w:wAfter w:w="215" w:type="pct"/>
                      <w:trHeight w:val="391" w:hRule="atLeast"/>
                    </w:trPr>
                    <w:tc>
                      <w:tcPr>
                        <w:tcW w:w="1664" w:type="pct"/>
                        <w:gridSpan w:val="2"/>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pPr>
                        <w:r>
                          <w:t>其他资金</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lang w:val="en-US" w:eastAsia="zh-CN"/>
                          </w:rPr>
                        </w:pPr>
                        <w:r>
                          <w:rPr>
                            <w:rFonts w:hint="eastAsia"/>
                            <w:lang w:val="en-US" w:eastAsia="zh-CN"/>
                          </w:rPr>
                          <w:t>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pPr>
                        <w:r>
                          <w:t>其他资金</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lang w:val="en-US" w:eastAsia="zh-CN"/>
                          </w:rPr>
                        </w:pPr>
                        <w:r>
                          <w:rPr>
                            <w:rFonts w:hint="eastAsia"/>
                            <w:lang w:val="en-US" w:eastAsia="zh-CN"/>
                          </w:rPr>
                          <w:t>0</w:t>
                        </w:r>
                      </w:p>
                    </w:tc>
                  </w:tr>
                  <w:tr>
                    <w:tblPrEx>
                      <w:tblCellMar>
                        <w:top w:w="0" w:type="dxa"/>
                        <w:left w:w="108" w:type="dxa"/>
                        <w:bottom w:w="0" w:type="dxa"/>
                        <w:right w:w="108" w:type="dxa"/>
                      </w:tblCellMar>
                    </w:tblPrEx>
                    <w:trPr>
                      <w:gridAfter w:val="1"/>
                      <w:wAfter w:w="215" w:type="pct"/>
                      <w:trHeight w:val="435" w:hRule="atLeast"/>
                    </w:trPr>
                    <w:tc>
                      <w:tcPr>
                        <w:tcW w:w="1095" w:type="pct"/>
                        <w:vMerge w:val="restart"/>
                        <w:tcBorders>
                          <w:top w:val="single" w:color="000000" w:sz="4" w:space="0"/>
                          <w:left w:val="single" w:color="000000" w:sz="4" w:space="0"/>
                          <w:right w:val="single" w:color="000000" w:sz="4" w:space="0"/>
                        </w:tcBorders>
                        <w:shd w:val="clear" w:color="auto" w:fill="auto"/>
                        <w:vAlign w:val="center"/>
                      </w:tcPr>
                      <w:p>
                        <w:pPr>
                          <w:spacing w:line="320" w:lineRule="exact"/>
                          <w:jc w:val="center"/>
                        </w:pPr>
                        <w:r>
                          <w:t>年度绩效指标完成情况</w:t>
                        </w:r>
                      </w:p>
                    </w:tc>
                    <w:tc>
                      <w:tcPr>
                        <w:tcW w:w="21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pPr>
                        <w:r>
                          <w:t>预期目标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pPr>
                        <w:r>
                          <w:t>目标实际完成情况</w:t>
                        </w:r>
                      </w:p>
                    </w:tc>
                  </w:tr>
                  <w:tr>
                    <w:tblPrEx>
                      <w:tblCellMar>
                        <w:top w:w="0" w:type="dxa"/>
                        <w:left w:w="108" w:type="dxa"/>
                        <w:bottom w:w="0" w:type="dxa"/>
                        <w:right w:w="108" w:type="dxa"/>
                      </w:tblCellMar>
                    </w:tblPrEx>
                    <w:trPr>
                      <w:gridAfter w:val="1"/>
                      <w:wAfter w:w="215" w:type="pct"/>
                      <w:trHeight w:val="1297" w:hRule="atLeast"/>
                    </w:trPr>
                    <w:tc>
                      <w:tcPr>
                        <w:tcW w:w="1095" w:type="pct"/>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pPr>
                      </w:p>
                    </w:tc>
                    <w:tc>
                      <w:tcPr>
                        <w:tcW w:w="2133"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lang w:eastAsia="zh-CN"/>
                          </w:rPr>
                        </w:pPr>
                        <w:r>
                          <w:rPr>
                            <w:rFonts w:hint="eastAsia"/>
                            <w:lang w:eastAsia="zh-CN"/>
                          </w:rPr>
                          <w:t>对麒麟村、杨柳关村道路建设硬化，实施生产便道硬化工程，对赫天池村、徐坪村实施道路维修工程，巩固脱贫攻坚成果，为当地群众提供便利的生产生活条件。</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pPr>
                        <w:r>
                          <w:rPr>
                            <w:rFonts w:hint="eastAsia"/>
                            <w:lang w:eastAsia="zh-CN"/>
                          </w:rPr>
                          <w:t>对麒麟村、杨柳关村道路建设硬化，实施生产便道硬化工程，对赫天池村、徐坪村实施道路维修工程，巩固脱贫攻坚成果，为当地群众提供便利的生产生活条件。</w:t>
                        </w:r>
                      </w:p>
                    </w:tc>
                  </w:tr>
                  <w:tr>
                    <w:tblPrEx>
                      <w:tblCellMar>
                        <w:top w:w="0" w:type="dxa"/>
                        <w:left w:w="108" w:type="dxa"/>
                        <w:bottom w:w="0" w:type="dxa"/>
                        <w:right w:w="108" w:type="dxa"/>
                      </w:tblCellMar>
                    </w:tblPrEx>
                    <w:trPr>
                      <w:gridAfter w:val="1"/>
                      <w:wAfter w:w="215" w:type="pct"/>
                      <w:trHeight w:val="682" w:hRule="atLeast"/>
                    </w:trPr>
                    <w:tc>
                      <w:tcPr>
                        <w:tcW w:w="1095" w:type="pct"/>
                        <w:vMerge w:val="restart"/>
                        <w:tcBorders>
                          <w:left w:val="single" w:color="000000" w:sz="4" w:space="0"/>
                          <w:right w:val="single" w:color="000000" w:sz="4" w:space="0"/>
                        </w:tcBorders>
                        <w:shd w:val="clear" w:color="auto" w:fill="auto"/>
                        <w:vAlign w:val="center"/>
                      </w:tcPr>
                      <w:p>
                        <w:pPr>
                          <w:spacing w:line="320" w:lineRule="exact"/>
                          <w:jc w:val="center"/>
                        </w:pPr>
                      </w:p>
                    </w:tc>
                    <w:tc>
                      <w:tcPr>
                        <w:tcW w:w="569" w:type="pct"/>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pPr>
                        <w:r>
                          <w:t>一级</w:t>
                        </w:r>
                      </w:p>
                      <w:p>
                        <w:pPr>
                          <w:widowControl/>
                          <w:spacing w:line="320" w:lineRule="exact"/>
                          <w:jc w:val="center"/>
                          <w:textAlignment w:val="center"/>
                        </w:pPr>
                        <w:r>
                          <w:t>指标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pPr>
                        <w:r>
                          <w:t>二级</w:t>
                        </w:r>
                      </w:p>
                      <w:p>
                        <w:pPr>
                          <w:widowControl/>
                          <w:spacing w:line="320" w:lineRule="exact"/>
                          <w:jc w:val="center"/>
                          <w:textAlignment w:val="center"/>
                        </w:pPr>
                        <w:r>
                          <w:t>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pPr>
                        <w:r>
                          <w:t>三级</w:t>
                        </w:r>
                      </w:p>
                      <w:p>
                        <w:pPr>
                          <w:widowControl/>
                          <w:spacing w:line="320" w:lineRule="exact"/>
                          <w:jc w:val="center"/>
                          <w:textAlignment w:val="center"/>
                        </w:pPr>
                        <w:r>
                          <w:t>指标</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pPr>
                        <w:r>
                          <w:t>预期指标值</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pPr>
                        <w:r>
                          <w:t>实际完成指标值</w:t>
                        </w:r>
                      </w:p>
                    </w:tc>
                  </w:tr>
                  <w:tr>
                    <w:tblPrEx>
                      <w:tblCellMar>
                        <w:top w:w="0" w:type="dxa"/>
                        <w:left w:w="108" w:type="dxa"/>
                        <w:bottom w:w="0" w:type="dxa"/>
                        <w:right w:w="108" w:type="dxa"/>
                      </w:tblCellMar>
                    </w:tblPrEx>
                    <w:trPr>
                      <w:gridAfter w:val="1"/>
                      <w:wAfter w:w="215" w:type="pct"/>
                      <w:trHeight w:val="744" w:hRule="atLeast"/>
                    </w:trPr>
                    <w:tc>
                      <w:tcPr>
                        <w:tcW w:w="1095" w:type="pct"/>
                        <w:vMerge w:val="continue"/>
                        <w:tcBorders>
                          <w:left w:val="single" w:color="000000" w:sz="4" w:space="0"/>
                          <w:right w:val="single" w:color="000000" w:sz="4" w:space="0"/>
                        </w:tcBorders>
                        <w:shd w:val="clear" w:color="auto" w:fill="auto"/>
                        <w:vAlign w:val="center"/>
                      </w:tcPr>
                      <w:p>
                        <w:pPr>
                          <w:spacing w:line="320" w:lineRule="exact"/>
                          <w:jc w:val="center"/>
                        </w:pP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pPr>
                        <w:r>
                          <w:t>完成</w:t>
                        </w:r>
                      </w:p>
                      <w:p>
                        <w:pPr>
                          <w:keepNext w:val="0"/>
                          <w:keepLines w:val="0"/>
                          <w:pageBreakBefore w:val="0"/>
                          <w:widowControl/>
                          <w:kinsoku/>
                          <w:wordWrap/>
                          <w:overflowPunct/>
                          <w:topLinePunct w:val="0"/>
                          <w:autoSpaceDE/>
                          <w:autoSpaceDN/>
                          <w:bidi w:val="0"/>
                          <w:adjustRightInd/>
                          <w:snapToGrid/>
                          <w:spacing w:line="400" w:lineRule="exact"/>
                          <w:jc w:val="center"/>
                          <w:textAlignment w:val="bottom"/>
                        </w:pPr>
                        <w:r>
                          <w:t>指标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pPr>
                        <w:r>
                          <w:t>数量指标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资金拨付数</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lang w:val="en-US" w:eastAsia="zh-CN"/>
                          </w:rPr>
                        </w:pPr>
                        <w:r>
                          <w:rPr>
                            <w:rFonts w:hint="eastAsia"/>
                            <w:lang w:val="en-US" w:eastAsia="zh-CN"/>
                          </w:rPr>
                          <w:t>250万元</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lang w:val="en-US" w:eastAsia="zh-CN"/>
                          </w:rPr>
                        </w:pPr>
                        <w:r>
                          <w:rPr>
                            <w:rFonts w:hint="eastAsia"/>
                            <w:lang w:val="en-US" w:eastAsia="zh-CN"/>
                          </w:rPr>
                          <w:t>250万元</w:t>
                        </w:r>
                      </w:p>
                    </w:tc>
                  </w:tr>
                  <w:tr>
                    <w:tblPrEx>
                      <w:tblCellMar>
                        <w:top w:w="0" w:type="dxa"/>
                        <w:left w:w="108" w:type="dxa"/>
                        <w:bottom w:w="0" w:type="dxa"/>
                        <w:right w:w="108" w:type="dxa"/>
                      </w:tblCellMar>
                    </w:tblPrEx>
                    <w:trPr>
                      <w:gridAfter w:val="1"/>
                      <w:wAfter w:w="215" w:type="pct"/>
                      <w:trHeight w:val="800" w:hRule="atLeast"/>
                    </w:trPr>
                    <w:tc>
                      <w:tcPr>
                        <w:tcW w:w="1095" w:type="pct"/>
                        <w:vMerge w:val="continue"/>
                        <w:tcBorders>
                          <w:left w:val="single" w:color="000000" w:sz="4" w:space="0"/>
                          <w:right w:val="single" w:color="000000" w:sz="4" w:space="0"/>
                        </w:tcBorders>
                        <w:shd w:val="clear" w:color="auto" w:fill="auto"/>
                        <w:vAlign w:val="center"/>
                      </w:tcPr>
                      <w:p>
                        <w:pPr>
                          <w:spacing w:line="320" w:lineRule="exact"/>
                          <w:jc w:val="cente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pPr>
                        <w:r>
                          <w:t>质量指标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施工质量是否合格</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是</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是</w:t>
                        </w:r>
                      </w:p>
                    </w:tc>
                  </w:tr>
                  <w:tr>
                    <w:tblPrEx>
                      <w:tblCellMar>
                        <w:top w:w="0" w:type="dxa"/>
                        <w:left w:w="108" w:type="dxa"/>
                        <w:bottom w:w="0" w:type="dxa"/>
                        <w:right w:w="108" w:type="dxa"/>
                      </w:tblCellMar>
                    </w:tblPrEx>
                    <w:trPr>
                      <w:gridAfter w:val="1"/>
                      <w:wAfter w:w="215" w:type="pct"/>
                      <w:trHeight w:val="838" w:hRule="atLeast"/>
                    </w:trPr>
                    <w:tc>
                      <w:tcPr>
                        <w:tcW w:w="1095" w:type="pct"/>
                        <w:vMerge w:val="continue"/>
                        <w:tcBorders>
                          <w:left w:val="single" w:color="000000" w:sz="4" w:space="0"/>
                          <w:right w:val="single" w:color="000000" w:sz="4" w:space="0"/>
                        </w:tcBorders>
                        <w:shd w:val="clear" w:color="auto" w:fill="auto"/>
                        <w:vAlign w:val="center"/>
                      </w:tcPr>
                      <w:p>
                        <w:pPr>
                          <w:spacing w:line="320" w:lineRule="exact"/>
                          <w:jc w:val="cente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pPr>
                        <w:r>
                          <w:t>时效指标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资金下达及时率</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lang w:val="en-US" w:eastAsia="zh-CN"/>
                          </w:rPr>
                        </w:pPr>
                        <w:r>
                          <w:rPr>
                            <w:rFonts w:hint="eastAsia"/>
                            <w:lang w:val="en-US" w:eastAsia="zh-CN"/>
                          </w:rPr>
                          <w:t>100%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lang w:val="en-US" w:eastAsia="zh-CN"/>
                          </w:rPr>
                        </w:pPr>
                        <w:r>
                          <w:rPr>
                            <w:rFonts w:hint="eastAsia"/>
                            <w:lang w:val="en-US" w:eastAsia="zh-CN"/>
                          </w:rPr>
                          <w:t>100%</w:t>
                        </w:r>
                      </w:p>
                    </w:tc>
                  </w:tr>
                  <w:tr>
                    <w:tblPrEx>
                      <w:tblCellMar>
                        <w:top w:w="0" w:type="dxa"/>
                        <w:left w:w="108" w:type="dxa"/>
                        <w:bottom w:w="0" w:type="dxa"/>
                        <w:right w:w="108" w:type="dxa"/>
                      </w:tblCellMar>
                    </w:tblPrEx>
                    <w:trPr>
                      <w:gridAfter w:val="1"/>
                      <w:wAfter w:w="215" w:type="pct"/>
                      <w:trHeight w:val="697" w:hRule="atLeast"/>
                    </w:trPr>
                    <w:tc>
                      <w:tcPr>
                        <w:tcW w:w="1095" w:type="pct"/>
                        <w:vMerge w:val="continue"/>
                        <w:tcBorders>
                          <w:left w:val="single" w:color="000000" w:sz="4" w:space="0"/>
                          <w:right w:val="single" w:color="000000" w:sz="4" w:space="0"/>
                        </w:tcBorders>
                        <w:shd w:val="clear" w:color="auto" w:fill="auto"/>
                        <w:vAlign w:val="center"/>
                      </w:tcPr>
                      <w:p>
                        <w:pPr>
                          <w:spacing w:line="320" w:lineRule="exact"/>
                          <w:jc w:val="cente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pPr>
                        <w:r>
                          <w:t>成本指标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支出标准是否合理</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是</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是</w:t>
                        </w:r>
                      </w:p>
                    </w:tc>
                  </w:tr>
                  <w:tr>
                    <w:tblPrEx>
                      <w:tblCellMar>
                        <w:top w:w="0" w:type="dxa"/>
                        <w:left w:w="108" w:type="dxa"/>
                        <w:bottom w:w="0" w:type="dxa"/>
                        <w:right w:w="108" w:type="dxa"/>
                      </w:tblCellMar>
                    </w:tblPrEx>
                    <w:trPr>
                      <w:gridAfter w:val="1"/>
                      <w:wAfter w:w="215" w:type="pct"/>
                      <w:trHeight w:val="1339" w:hRule="atLeast"/>
                    </w:trPr>
                    <w:tc>
                      <w:tcPr>
                        <w:tcW w:w="1095" w:type="pct"/>
                        <w:vMerge w:val="continue"/>
                        <w:tcBorders>
                          <w:left w:val="single" w:color="000000" w:sz="4" w:space="0"/>
                          <w:right w:val="single" w:color="000000" w:sz="4" w:space="0"/>
                        </w:tcBorders>
                        <w:shd w:val="clear" w:color="auto" w:fill="auto"/>
                        <w:vAlign w:val="center"/>
                      </w:tcPr>
                      <w:p>
                        <w:pPr>
                          <w:spacing w:line="320" w:lineRule="exact"/>
                          <w:jc w:val="center"/>
                        </w:pP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pPr>
                        <w:r>
                          <w:t>效益</w:t>
                        </w:r>
                        <w:r>
                          <w:br w:type="textWrapping"/>
                        </w:r>
                        <w:r>
                          <w:t>指标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pPr>
                        <w:r>
                          <w:t>经济效益  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both"/>
                          <w:textAlignment w:val="bottom"/>
                          <w:rPr>
                            <w:rFonts w:hint="eastAsia"/>
                            <w:lang w:eastAsia="zh-CN"/>
                          </w:rPr>
                        </w:pPr>
                        <w:r>
                          <w:rPr>
                            <w:rFonts w:hint="eastAsia"/>
                            <w:lang w:eastAsia="zh-CN"/>
                          </w:rPr>
                          <w:t>村级道路是否为经济发展带来便利</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是</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是</w:t>
                        </w:r>
                      </w:p>
                    </w:tc>
                  </w:tr>
                  <w:tr>
                    <w:tblPrEx>
                      <w:tblCellMar>
                        <w:top w:w="0" w:type="dxa"/>
                        <w:left w:w="108" w:type="dxa"/>
                        <w:bottom w:w="0" w:type="dxa"/>
                        <w:right w:w="108" w:type="dxa"/>
                      </w:tblCellMar>
                    </w:tblPrEx>
                    <w:trPr>
                      <w:gridAfter w:val="1"/>
                      <w:wAfter w:w="215" w:type="pct"/>
                      <w:trHeight w:val="1018" w:hRule="atLeast"/>
                    </w:trPr>
                    <w:tc>
                      <w:tcPr>
                        <w:tcW w:w="1095" w:type="pct"/>
                        <w:vMerge w:val="continue"/>
                        <w:tcBorders>
                          <w:left w:val="single" w:color="000000" w:sz="4" w:space="0"/>
                          <w:right w:val="single" w:color="000000" w:sz="4" w:space="0"/>
                        </w:tcBorders>
                        <w:shd w:val="clear" w:color="auto" w:fill="auto"/>
                        <w:vAlign w:val="center"/>
                      </w:tcPr>
                      <w:p>
                        <w:pPr>
                          <w:spacing w:line="320" w:lineRule="exact"/>
                          <w:jc w:val="cente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pPr>
                        <w:r>
                          <w:t>社会效益  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村级道路是否得到维修整治</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是</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是</w:t>
                        </w:r>
                      </w:p>
                    </w:tc>
                  </w:tr>
                  <w:tr>
                    <w:tblPrEx>
                      <w:tblCellMar>
                        <w:top w:w="0" w:type="dxa"/>
                        <w:left w:w="108" w:type="dxa"/>
                        <w:bottom w:w="0" w:type="dxa"/>
                        <w:right w:w="108" w:type="dxa"/>
                      </w:tblCellMar>
                    </w:tblPrEx>
                    <w:trPr>
                      <w:gridAfter w:val="1"/>
                      <w:wAfter w:w="215" w:type="pct"/>
                      <w:trHeight w:val="740" w:hRule="atLeast"/>
                    </w:trPr>
                    <w:tc>
                      <w:tcPr>
                        <w:tcW w:w="1095" w:type="pct"/>
                        <w:vMerge w:val="continue"/>
                        <w:tcBorders>
                          <w:left w:val="single" w:color="000000" w:sz="4" w:space="0"/>
                          <w:right w:val="single" w:color="000000" w:sz="4" w:space="0"/>
                        </w:tcBorders>
                        <w:shd w:val="clear" w:color="auto" w:fill="auto"/>
                        <w:vAlign w:val="center"/>
                      </w:tcPr>
                      <w:p>
                        <w:pPr>
                          <w:spacing w:line="320" w:lineRule="exact"/>
                          <w:jc w:val="cente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lang w:eastAsia="zh-CN"/>
                          </w:rPr>
                        </w:pPr>
                        <w:r>
                          <w:rPr>
                            <w:rFonts w:hint="eastAsia"/>
                            <w:lang w:eastAsia="zh-CN"/>
                          </w:rPr>
                          <w:t>生态效益指标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pPr>
                        <w:r>
                          <w:rPr>
                            <w:rFonts w:hint="eastAsia"/>
                            <w:lang w:eastAsia="zh-CN"/>
                          </w:rPr>
                          <w:t>村环境卫是否得到治理</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是</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是</w:t>
                        </w:r>
                      </w:p>
                    </w:tc>
                  </w:tr>
                  <w:tr>
                    <w:tblPrEx>
                      <w:tblCellMar>
                        <w:top w:w="0" w:type="dxa"/>
                        <w:left w:w="108" w:type="dxa"/>
                        <w:bottom w:w="0" w:type="dxa"/>
                        <w:right w:w="108" w:type="dxa"/>
                      </w:tblCellMar>
                    </w:tblPrEx>
                    <w:trPr>
                      <w:gridAfter w:val="1"/>
                      <w:wAfter w:w="215" w:type="pct"/>
                      <w:trHeight w:val="755" w:hRule="atLeast"/>
                    </w:trPr>
                    <w:tc>
                      <w:tcPr>
                        <w:tcW w:w="1095" w:type="pct"/>
                        <w:vMerge w:val="continue"/>
                        <w:tcBorders>
                          <w:left w:val="single" w:color="000000" w:sz="4" w:space="0"/>
                          <w:right w:val="single" w:color="000000" w:sz="4" w:space="0"/>
                        </w:tcBorders>
                        <w:shd w:val="clear" w:color="auto" w:fill="auto"/>
                        <w:vAlign w:val="center"/>
                      </w:tcPr>
                      <w:p>
                        <w:pPr>
                          <w:spacing w:line="320" w:lineRule="exact"/>
                          <w:jc w:val="cente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pPr>
                        <w:r>
                          <w:t>可持续影响指标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村级道路是否长期使用</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是</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是</w:t>
                        </w:r>
                      </w:p>
                    </w:tc>
                  </w:tr>
                  <w:tr>
                    <w:tblPrEx>
                      <w:tblCellMar>
                        <w:top w:w="0" w:type="dxa"/>
                        <w:left w:w="108" w:type="dxa"/>
                        <w:bottom w:w="0" w:type="dxa"/>
                        <w:right w:w="108" w:type="dxa"/>
                      </w:tblCellMar>
                    </w:tblPrEx>
                    <w:trPr>
                      <w:gridAfter w:val="1"/>
                      <w:wAfter w:w="215" w:type="pct"/>
                      <w:trHeight w:val="755" w:hRule="atLeast"/>
                    </w:trPr>
                    <w:tc>
                      <w:tcPr>
                        <w:tcW w:w="1095" w:type="pct"/>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pPr>
                        <w:r>
                          <w:t>满意</w:t>
                        </w:r>
                        <w:r>
                          <w:br w:type="textWrapping"/>
                        </w:r>
                        <w:r>
                          <w:t>度指标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pPr>
                        <w:r>
                          <w:t>满意度</w:t>
                        </w:r>
                      </w:p>
                      <w:p>
                        <w:pPr>
                          <w:keepNext w:val="0"/>
                          <w:keepLines w:val="0"/>
                          <w:pageBreakBefore w:val="0"/>
                          <w:widowControl/>
                          <w:kinsoku/>
                          <w:wordWrap/>
                          <w:overflowPunct/>
                          <w:topLinePunct w:val="0"/>
                          <w:autoSpaceDE/>
                          <w:autoSpaceDN/>
                          <w:bidi w:val="0"/>
                          <w:adjustRightInd/>
                          <w:snapToGrid/>
                          <w:spacing w:line="400" w:lineRule="exact"/>
                          <w:jc w:val="center"/>
                          <w:textAlignment w:val="bottom"/>
                        </w:pPr>
                        <w:r>
                          <w:t>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群众是否满意</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满意</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lang w:eastAsia="zh-CN"/>
                          </w:rPr>
                        </w:pPr>
                        <w:r>
                          <w:rPr>
                            <w:rFonts w:hint="eastAsia"/>
                            <w:lang w:eastAsia="zh-CN"/>
                          </w:rPr>
                          <w:t>满意</w:t>
                        </w:r>
                      </w:p>
                    </w:tc>
                  </w:tr>
                </w:tbl>
                <w:p>
                  <w:pPr>
                    <w:widowControl/>
                    <w:jc w:val="both"/>
                    <w:textAlignment w:val="center"/>
                  </w:pPr>
                </w:p>
                <w:p>
                  <w:pPr>
                    <w:pStyle w:val="2"/>
                  </w:pPr>
                </w:p>
              </w:tc>
            </w:tr>
          </w:tbl>
          <w:p>
            <w:pPr>
              <w:widowControl/>
              <w:jc w:val="both"/>
              <w:textAlignment w:val="center"/>
              <w:rPr>
                <w:rFonts w:eastAsia="方正仿宋简体"/>
                <w:b/>
                <w:color w:val="000000"/>
                <w:szCs w:val="32"/>
              </w:rPr>
            </w:pPr>
          </w:p>
        </w:tc>
      </w:tr>
    </w:tbl>
    <w:p>
      <w:pPr>
        <w:spacing w:line="600" w:lineRule="exact"/>
        <w:jc w:val="center"/>
        <w:outlineLvl w:val="9"/>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p>
    <w:p>
      <w:pPr>
        <w:rPr>
          <w:rFonts w:hint="eastAsia"/>
        </w:rPr>
      </w:pPr>
    </w:p>
    <w:p>
      <w:pPr>
        <w:spacing w:line="600" w:lineRule="exact"/>
        <w:jc w:val="center"/>
        <w:outlineLvl w:val="0"/>
        <w:rPr>
          <w:rFonts w:hint="eastAsia" w:ascii="仿宋" w:hAnsi="仿宋" w:eastAsia="仿宋"/>
          <w:b w:val="0"/>
          <w:color w:val="auto"/>
          <w:highlight w:val="none"/>
        </w:rPr>
      </w:pPr>
      <w:bookmarkStart w:id="90" w:name="_Toc2777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85"/>
      <w:bookmarkEnd w:id="89"/>
      <w:bookmarkEnd w:id="90"/>
      <w:bookmarkStart w:id="91" w:name="_Toc15396619"/>
    </w:p>
    <w:p>
      <w:pPr>
        <w:pStyle w:val="4"/>
        <w:rPr>
          <w:rFonts w:ascii="仿宋" w:hAnsi="仿宋" w:eastAsia="仿宋"/>
          <w:color w:val="auto"/>
          <w:highlight w:val="none"/>
        </w:rPr>
      </w:pPr>
      <w:bookmarkStart w:id="92" w:name="_Toc27295"/>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91"/>
      <w:bookmarkEnd w:id="92"/>
    </w:p>
    <w:p>
      <w:pPr>
        <w:pStyle w:val="4"/>
        <w:rPr>
          <w:rFonts w:ascii="仿宋" w:hAnsi="仿宋" w:eastAsia="仿宋"/>
          <w:color w:val="auto"/>
          <w:highlight w:val="none"/>
        </w:rPr>
      </w:pPr>
      <w:bookmarkStart w:id="93" w:name="_Toc15396620"/>
      <w:bookmarkStart w:id="94" w:name="_Toc5233"/>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93"/>
      <w:bookmarkEnd w:id="94"/>
    </w:p>
    <w:p>
      <w:pPr>
        <w:pStyle w:val="4"/>
        <w:rPr>
          <w:rFonts w:ascii="仿宋" w:hAnsi="仿宋" w:eastAsia="仿宋"/>
          <w:color w:val="auto"/>
          <w:highlight w:val="none"/>
        </w:rPr>
      </w:pPr>
      <w:bookmarkStart w:id="95" w:name="_Toc15396621"/>
      <w:bookmarkStart w:id="96" w:name="_Toc15949"/>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95"/>
      <w:bookmarkEnd w:id="96"/>
    </w:p>
    <w:p>
      <w:pPr>
        <w:pStyle w:val="4"/>
        <w:rPr>
          <w:rFonts w:ascii="仿宋" w:hAnsi="仿宋" w:eastAsia="仿宋"/>
          <w:b w:val="0"/>
          <w:color w:val="auto"/>
          <w:highlight w:val="none"/>
        </w:rPr>
      </w:pPr>
      <w:bookmarkStart w:id="97" w:name="_Toc15396622"/>
      <w:bookmarkStart w:id="98" w:name="_Toc20206"/>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97"/>
      <w:bookmarkEnd w:id="98"/>
    </w:p>
    <w:p>
      <w:pPr>
        <w:pStyle w:val="4"/>
        <w:rPr>
          <w:rStyle w:val="26"/>
          <w:rFonts w:ascii="仿宋" w:hAnsi="仿宋" w:eastAsia="仿宋"/>
          <w:b w:val="0"/>
          <w:bCs w:val="0"/>
          <w:color w:val="auto"/>
          <w:highlight w:val="none"/>
        </w:rPr>
      </w:pPr>
      <w:bookmarkStart w:id="99" w:name="_Toc15396623"/>
      <w:bookmarkStart w:id="100" w:name="_Toc9690"/>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99"/>
      <w:bookmarkEnd w:id="100"/>
      <w:bookmarkStart w:id="101" w:name="_Toc15396624"/>
    </w:p>
    <w:p>
      <w:pPr>
        <w:pStyle w:val="4"/>
        <w:rPr>
          <w:rFonts w:ascii="仿宋" w:hAnsi="仿宋" w:eastAsia="仿宋"/>
          <w:color w:val="auto"/>
          <w:highlight w:val="none"/>
        </w:rPr>
      </w:pPr>
      <w:bookmarkStart w:id="102" w:name="_Toc11357"/>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101"/>
      <w:bookmarkEnd w:id="102"/>
    </w:p>
    <w:p>
      <w:pPr>
        <w:pStyle w:val="4"/>
        <w:rPr>
          <w:rFonts w:ascii="仿宋" w:hAnsi="仿宋" w:eastAsia="仿宋"/>
          <w:color w:val="auto"/>
          <w:highlight w:val="none"/>
        </w:rPr>
      </w:pPr>
      <w:bookmarkStart w:id="103" w:name="_Toc15396625"/>
      <w:bookmarkStart w:id="104" w:name="_Toc17902"/>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103"/>
      <w:bookmarkEnd w:id="104"/>
    </w:p>
    <w:p>
      <w:pPr>
        <w:pStyle w:val="4"/>
        <w:rPr>
          <w:rFonts w:ascii="仿宋" w:hAnsi="仿宋" w:eastAsia="仿宋"/>
          <w:color w:val="auto"/>
          <w:highlight w:val="none"/>
        </w:rPr>
      </w:pPr>
      <w:bookmarkStart w:id="105" w:name="_Toc15396626"/>
      <w:bookmarkStart w:id="106" w:name="_Toc17692"/>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105"/>
      <w:bookmarkEnd w:id="106"/>
    </w:p>
    <w:p>
      <w:pPr>
        <w:pStyle w:val="4"/>
        <w:rPr>
          <w:rFonts w:ascii="仿宋" w:hAnsi="仿宋" w:eastAsia="仿宋"/>
          <w:color w:val="auto"/>
          <w:highlight w:val="none"/>
        </w:rPr>
      </w:pPr>
      <w:bookmarkStart w:id="107" w:name="_Toc15396627"/>
      <w:bookmarkStart w:id="108" w:name="_Toc10853"/>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107"/>
      <w:bookmarkEnd w:id="108"/>
    </w:p>
    <w:p>
      <w:pPr>
        <w:pStyle w:val="4"/>
        <w:rPr>
          <w:rFonts w:ascii="仿宋" w:hAnsi="仿宋" w:eastAsia="仿宋"/>
          <w:color w:val="auto"/>
          <w:highlight w:val="none"/>
        </w:rPr>
      </w:pPr>
      <w:bookmarkStart w:id="109" w:name="_Toc15396628"/>
      <w:bookmarkStart w:id="110" w:name="_Toc16062"/>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109"/>
      <w:bookmarkEnd w:id="110"/>
    </w:p>
    <w:p>
      <w:pPr>
        <w:pStyle w:val="4"/>
        <w:rPr>
          <w:rFonts w:ascii="仿宋" w:hAnsi="仿宋" w:eastAsia="仿宋"/>
          <w:color w:val="auto"/>
          <w:highlight w:val="none"/>
        </w:rPr>
      </w:pPr>
      <w:bookmarkStart w:id="111" w:name="_Toc15396629"/>
      <w:bookmarkStart w:id="112" w:name="_Toc12035"/>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111"/>
      <w:bookmarkEnd w:id="112"/>
    </w:p>
    <w:p>
      <w:pPr>
        <w:pStyle w:val="4"/>
        <w:rPr>
          <w:rFonts w:ascii="仿宋" w:hAnsi="仿宋" w:eastAsia="仿宋"/>
          <w:color w:val="auto"/>
          <w:highlight w:val="none"/>
        </w:rPr>
      </w:pPr>
      <w:bookmarkStart w:id="113" w:name="_Toc15396630"/>
      <w:bookmarkStart w:id="114" w:name="_Toc10359"/>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113"/>
      <w:bookmarkEnd w:id="114"/>
    </w:p>
    <w:p>
      <w:pPr>
        <w:pStyle w:val="4"/>
        <w:rPr>
          <w:rStyle w:val="26"/>
          <w:rFonts w:hint="eastAsia" w:ascii="仿宋" w:hAnsi="仿宋" w:eastAsia="仿宋"/>
          <w:b w:val="0"/>
          <w:bCs w:val="0"/>
          <w:color w:val="auto"/>
          <w:highlight w:val="none"/>
        </w:rPr>
      </w:pPr>
      <w:bookmarkStart w:id="115" w:name="_Toc15396631"/>
      <w:bookmarkStart w:id="116" w:name="_Toc9920"/>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115"/>
      <w:bookmarkEnd w:id="116"/>
    </w:p>
    <w:p>
      <w:pPr>
        <w:rPr>
          <w:rFonts w:hint="eastAsia" w:eastAsia="仿宋"/>
          <w:color w:val="auto"/>
          <w:highlight w:val="none"/>
          <w:lang w:eastAsia="zh-CN"/>
        </w:rPr>
      </w:pPr>
      <w:bookmarkStart w:id="117" w:name="_Toc20391"/>
      <w:r>
        <w:rPr>
          <w:rStyle w:val="26"/>
          <w:rFonts w:hint="eastAsia" w:ascii="仿宋" w:hAnsi="仿宋" w:eastAsia="仿宋"/>
          <w:b w:val="0"/>
          <w:bCs w:val="0"/>
          <w:color w:val="auto"/>
          <w:highlight w:val="none"/>
          <w:lang w:eastAsia="zh-CN"/>
        </w:rPr>
        <w:t>十四、国有资本经营预算财政拨款支出决算表</w:t>
      </w:r>
      <w:bookmarkEnd w:id="11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6250491"/>
    <w:multiLevelType w:val="singleLevel"/>
    <w:tmpl w:val="16250491"/>
    <w:lvl w:ilvl="0" w:tentative="0">
      <w:start w:val="1"/>
      <w:numFmt w:val="chineseCounting"/>
      <w:suff w:val="nothing"/>
      <w:lvlText w:val="%1、"/>
      <w:lvlJc w:val="left"/>
      <w:rPr>
        <w:rFonts w:hint="eastAsia"/>
      </w:rPr>
    </w:lvl>
  </w:abstractNum>
  <w:abstractNum w:abstractNumId="4">
    <w:nsid w:val="40CBDAB6"/>
    <w:multiLevelType w:val="singleLevel"/>
    <w:tmpl w:val="40CBDAB6"/>
    <w:lvl w:ilvl="0" w:tentative="0">
      <w:start w:val="1"/>
      <w:numFmt w:val="decimal"/>
      <w:lvlText w:val="%1."/>
      <w:lvlJc w:val="left"/>
      <w:pPr>
        <w:tabs>
          <w:tab w:val="left" w:pos="312"/>
        </w:tabs>
      </w:pPr>
      <w:rPr>
        <w:rFonts w:hint="default" w:ascii="仿宋" w:hAnsi="仿宋" w:eastAsia="仿宋" w:cs="仿宋"/>
        <w:b/>
        <w:bCs/>
        <w:sz w:val="32"/>
        <w:szCs w:val="32"/>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7599A"/>
    <w:rsid w:val="01910EDE"/>
    <w:rsid w:val="0513326A"/>
    <w:rsid w:val="055174C5"/>
    <w:rsid w:val="09002A55"/>
    <w:rsid w:val="0A2032A3"/>
    <w:rsid w:val="0AEA34C3"/>
    <w:rsid w:val="0B8A37D8"/>
    <w:rsid w:val="10C055FF"/>
    <w:rsid w:val="10E47F44"/>
    <w:rsid w:val="118107EC"/>
    <w:rsid w:val="11DD6519"/>
    <w:rsid w:val="16BB723D"/>
    <w:rsid w:val="18015F3F"/>
    <w:rsid w:val="183D5FD3"/>
    <w:rsid w:val="1BE8440E"/>
    <w:rsid w:val="1D155CEE"/>
    <w:rsid w:val="1EA822BE"/>
    <w:rsid w:val="20F57F95"/>
    <w:rsid w:val="21E41FD7"/>
    <w:rsid w:val="2241659F"/>
    <w:rsid w:val="240371BF"/>
    <w:rsid w:val="25712A90"/>
    <w:rsid w:val="259C312F"/>
    <w:rsid w:val="25C741E6"/>
    <w:rsid w:val="27842671"/>
    <w:rsid w:val="29FD04D3"/>
    <w:rsid w:val="2ABE7A3E"/>
    <w:rsid w:val="2D142949"/>
    <w:rsid w:val="2EC64019"/>
    <w:rsid w:val="2EFA178C"/>
    <w:rsid w:val="2F244754"/>
    <w:rsid w:val="30B46D73"/>
    <w:rsid w:val="319F7F4E"/>
    <w:rsid w:val="31B85CC0"/>
    <w:rsid w:val="367A53A5"/>
    <w:rsid w:val="372D4ECD"/>
    <w:rsid w:val="3884732B"/>
    <w:rsid w:val="38AE5451"/>
    <w:rsid w:val="39AE70AB"/>
    <w:rsid w:val="3ABF57FE"/>
    <w:rsid w:val="3B136B77"/>
    <w:rsid w:val="3C0C0783"/>
    <w:rsid w:val="3D585C03"/>
    <w:rsid w:val="3E181FF2"/>
    <w:rsid w:val="3F9F3A96"/>
    <w:rsid w:val="48E0700D"/>
    <w:rsid w:val="493C27E9"/>
    <w:rsid w:val="496F39ED"/>
    <w:rsid w:val="49FF41D3"/>
    <w:rsid w:val="49FF7208"/>
    <w:rsid w:val="4A3C52C4"/>
    <w:rsid w:val="4A8E2589"/>
    <w:rsid w:val="4B7A75E9"/>
    <w:rsid w:val="4BE068DB"/>
    <w:rsid w:val="4BF6002B"/>
    <w:rsid w:val="4C2B140C"/>
    <w:rsid w:val="4ECE2238"/>
    <w:rsid w:val="4EDB3178"/>
    <w:rsid w:val="51DB4B86"/>
    <w:rsid w:val="548E06C9"/>
    <w:rsid w:val="55333C3E"/>
    <w:rsid w:val="56D6109E"/>
    <w:rsid w:val="59C42843"/>
    <w:rsid w:val="5B9E4BFA"/>
    <w:rsid w:val="5EA510FD"/>
    <w:rsid w:val="64CA39A1"/>
    <w:rsid w:val="658823AC"/>
    <w:rsid w:val="6C4A05C8"/>
    <w:rsid w:val="6D8C3AA1"/>
    <w:rsid w:val="6E401B74"/>
    <w:rsid w:val="72734D90"/>
    <w:rsid w:val="72DF0BD5"/>
    <w:rsid w:val="74C347D5"/>
    <w:rsid w:val="79E7B28D"/>
    <w:rsid w:val="7CEB7204"/>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4"/>
      <w:szCs w:val="28"/>
    </w:rPr>
  </w:style>
  <w:style w:type="paragraph" w:styleId="12">
    <w:name w:val="toc 2"/>
    <w:basedOn w:val="1"/>
    <w:next w:val="1"/>
    <w:unhideWhenUsed/>
    <w:qFormat/>
    <w:uiPriority w:val="39"/>
    <w:pPr>
      <w:tabs>
        <w:tab w:val="right" w:leader="dot" w:pos="8296"/>
      </w:tabs>
      <w:ind w:left="420" w:leftChars="200"/>
    </w:pPr>
    <w:rPr>
      <w:rFonts w:ascii="Times New Roman" w:hAnsi="Times New Roman" w:eastAsia="宋体"/>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要点1"/>
    <w:qFormat/>
    <w:uiPriority w:val="0"/>
    <w:rPr>
      <w:b/>
    </w:rPr>
  </w:style>
  <w:style w:type="paragraph" w:customStyle="1" w:styleId="32">
    <w:name w:val="正文1"/>
    <w:qFormat/>
    <w:uiPriority w:val="0"/>
    <w:pPr>
      <w:widowControl w:val="0"/>
      <w:jc w:val="both"/>
    </w:pPr>
    <w:rPr>
      <w:rFonts w:ascii="Times New Roman" w:hAnsi="Times New Roman" w:eastAsia="宋体" w:cs="Times New Roman"/>
      <w:sz w:val="21"/>
      <w:lang w:val="en-US" w:eastAsia="zh-CN" w:bidi="ar-SA"/>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14</TotalTime>
  <ScaleCrop>false</ScaleCrop>
  <LinksUpToDate>false</LinksUpToDate>
  <CharactersWithSpaces>8692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407</cp:lastModifiedBy>
  <cp:lastPrinted>2022-08-06T02:23:00Z</cp:lastPrinted>
  <dcterms:modified xsi:type="dcterms:W3CDTF">2022-11-25T01:35:26Z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C1C656DBA18A48FCB57B697BB8642CBD</vt:lpwstr>
  </property>
</Properties>
</file>