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BC4436">
      <w:pPr>
        <w:rPr>
          <w:rFonts w:eastAsia="仿宋_GB2312"/>
          <w:sz w:val="36"/>
          <w:szCs w:val="36"/>
        </w:rPr>
      </w:pPr>
      <w:bookmarkStart w:id="0" w:name="_Hlk57883707"/>
    </w:p>
    <w:p w14:paraId="226BFFA0">
      <w:pPr>
        <w:rPr>
          <w:rFonts w:eastAsia="仿宋_GB2312"/>
          <w:sz w:val="36"/>
          <w:szCs w:val="36"/>
        </w:rPr>
      </w:pPr>
    </w:p>
    <w:p w14:paraId="32C0456E">
      <w:pPr>
        <w:rPr>
          <w:rFonts w:eastAsia="仿宋_GB2312"/>
          <w:sz w:val="36"/>
          <w:szCs w:val="36"/>
        </w:rPr>
      </w:pPr>
    </w:p>
    <w:bookmarkEnd w:id="0"/>
    <w:p w14:paraId="42B97170">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0C2C7D6B">
      <w:pPr>
        <w:adjustRightInd w:val="0"/>
        <w:snapToGrid w:val="0"/>
        <w:spacing w:before="192" w:beforeLines="80"/>
        <w:jc w:val="center"/>
        <w:rPr>
          <w:rFonts w:eastAsia="楷体_GB2312"/>
          <w:bCs/>
          <w:sz w:val="48"/>
          <w:szCs w:val="48"/>
        </w:rPr>
      </w:pPr>
      <w:r>
        <w:rPr>
          <w:rFonts w:eastAsia="楷体_GB2312"/>
          <w:bCs/>
          <w:sz w:val="48"/>
          <w:szCs w:val="48"/>
        </w:rPr>
        <w:t>（生态影响类）</w:t>
      </w:r>
    </w:p>
    <w:p w14:paraId="3921D8AC">
      <w:pPr>
        <w:adjustRightInd w:val="0"/>
        <w:snapToGrid w:val="0"/>
        <w:spacing w:line="288" w:lineRule="auto"/>
        <w:jc w:val="center"/>
        <w:rPr>
          <w:rFonts w:eastAsia="华文仿宋"/>
          <w:kern w:val="44"/>
          <w:sz w:val="52"/>
          <w:szCs w:val="52"/>
        </w:rPr>
      </w:pPr>
      <w:bookmarkStart w:id="1" w:name="_Hlk57883728"/>
    </w:p>
    <w:p w14:paraId="01C67B7E">
      <w:pPr>
        <w:jc w:val="center"/>
        <w:rPr>
          <w:rFonts w:eastAsia="仿宋"/>
          <w:sz w:val="52"/>
          <w:szCs w:val="52"/>
        </w:rPr>
      </w:pPr>
      <w:r>
        <w:rPr>
          <w:rFonts w:eastAsia="仿宋"/>
          <w:sz w:val="52"/>
          <w:szCs w:val="52"/>
        </w:rPr>
        <w:t>（</w:t>
      </w:r>
      <w:r>
        <w:rPr>
          <w:rFonts w:hint="eastAsia" w:eastAsia="仿宋"/>
          <w:sz w:val="52"/>
          <w:szCs w:val="52"/>
          <w:lang w:val="en-US" w:eastAsia="zh-CN"/>
        </w:rPr>
        <w:t>公示</w:t>
      </w:r>
      <w:r>
        <w:rPr>
          <w:rFonts w:eastAsia="仿宋"/>
          <w:sz w:val="52"/>
          <w:szCs w:val="52"/>
        </w:rPr>
        <w:t>版）</w:t>
      </w:r>
    </w:p>
    <w:p w14:paraId="33C99976">
      <w:pPr>
        <w:ind w:firstLine="1040"/>
        <w:rPr>
          <w:rFonts w:eastAsia="仿宋"/>
          <w:sz w:val="52"/>
          <w:szCs w:val="52"/>
        </w:rPr>
      </w:pPr>
    </w:p>
    <w:p w14:paraId="628704BD">
      <w:pPr>
        <w:ind w:firstLine="1040"/>
        <w:rPr>
          <w:rFonts w:eastAsia="仿宋"/>
          <w:sz w:val="52"/>
          <w:szCs w:val="52"/>
        </w:rPr>
      </w:pPr>
    </w:p>
    <w:p w14:paraId="72311CDE">
      <w:pPr>
        <w:ind w:firstLine="1040"/>
        <w:rPr>
          <w:rFonts w:eastAsia="仿宋"/>
          <w:sz w:val="52"/>
          <w:szCs w:val="52"/>
        </w:rPr>
      </w:pPr>
    </w:p>
    <w:p w14:paraId="0578A345">
      <w:pPr>
        <w:ind w:firstLine="1040"/>
        <w:rPr>
          <w:rFonts w:eastAsia="仿宋"/>
          <w:sz w:val="52"/>
          <w:szCs w:val="52"/>
        </w:rPr>
      </w:pPr>
    </w:p>
    <w:bookmarkEnd w:id="1"/>
    <w:p w14:paraId="26AF163F">
      <w:pPr>
        <w:adjustRightInd w:val="0"/>
        <w:snapToGrid w:val="0"/>
        <w:spacing w:line="288" w:lineRule="auto"/>
        <w:ind w:left="1800" w:hanging="1800" w:hangingChars="500"/>
        <w:rPr>
          <w:rFonts w:eastAsia="仿宋_GB2312"/>
          <w:sz w:val="36"/>
          <w:szCs w:val="36"/>
          <w:u w:val="single"/>
        </w:rPr>
      </w:pPr>
      <w:r>
        <w:rPr>
          <w:rFonts w:eastAsia="仿宋_GB2312"/>
          <w:sz w:val="36"/>
          <w:szCs w:val="36"/>
        </w:rPr>
        <w:t>项目名称：</w:t>
      </w:r>
      <w:r>
        <w:rPr>
          <w:rFonts w:eastAsia="仿宋_GB2312"/>
          <w:sz w:val="36"/>
          <w:szCs w:val="36"/>
          <w:u w:val="single"/>
        </w:rPr>
        <w:t xml:space="preserve">       </w:t>
      </w:r>
      <w:r>
        <w:rPr>
          <w:rFonts w:hint="eastAsia" w:eastAsia="仿宋_GB2312"/>
          <w:sz w:val="36"/>
          <w:szCs w:val="36"/>
          <w:u w:val="single"/>
        </w:rPr>
        <w:t>双庙页1HF预探井工程</w:t>
      </w:r>
      <w:r>
        <w:rPr>
          <w:rFonts w:eastAsia="仿宋_GB2312"/>
          <w:sz w:val="36"/>
          <w:szCs w:val="36"/>
          <w:u w:val="single"/>
        </w:rPr>
        <w:t xml:space="preserve">          </w:t>
      </w:r>
    </w:p>
    <w:p w14:paraId="7F8B0452">
      <w:pPr>
        <w:adjustRightInd w:val="0"/>
        <w:snapToGrid w:val="0"/>
        <w:spacing w:line="288" w:lineRule="auto"/>
        <w:ind w:left="1800" w:hanging="1800" w:hangingChars="500"/>
        <w:rPr>
          <w:rFonts w:eastAsia="仿宋_GB2312"/>
          <w:sz w:val="36"/>
          <w:szCs w:val="36"/>
          <w:u w:val="single"/>
        </w:rPr>
      </w:pPr>
      <w:r>
        <w:rPr>
          <w:rFonts w:eastAsia="仿宋_GB2312"/>
          <w:sz w:val="36"/>
          <w:szCs w:val="36"/>
        </w:rPr>
        <w:t>建设单位：</w:t>
      </w:r>
      <w:bookmarkStart w:id="2" w:name="_Hlk66954754"/>
      <w:r>
        <w:rPr>
          <w:rFonts w:eastAsia="仿宋_GB2312"/>
          <w:sz w:val="32"/>
          <w:szCs w:val="32"/>
          <w:u w:val="single"/>
        </w:rPr>
        <w:t>中国石油化工股份有限公司中原油田普光分公司</w:t>
      </w:r>
    </w:p>
    <w:bookmarkEnd w:id="2"/>
    <w:p w14:paraId="09CAEE08">
      <w:pPr>
        <w:adjustRightInd w:val="0"/>
        <w:snapToGrid w:val="0"/>
        <w:spacing w:line="288" w:lineRule="auto"/>
        <w:ind w:left="1800" w:hanging="1800" w:hangingChars="500"/>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5</w:t>
      </w:r>
      <w:r>
        <w:rPr>
          <w:rFonts w:eastAsia="仿宋_GB2312"/>
          <w:sz w:val="36"/>
          <w:szCs w:val="36"/>
          <w:u w:val="single"/>
        </w:rPr>
        <w:t>年</w:t>
      </w:r>
      <w:r>
        <w:rPr>
          <w:rFonts w:hint="eastAsia" w:eastAsia="仿宋_GB2312"/>
          <w:sz w:val="36"/>
          <w:szCs w:val="36"/>
          <w:u w:val="single"/>
          <w:lang w:val="en-US" w:eastAsia="zh-CN"/>
        </w:rPr>
        <w:t>6</w:t>
      </w:r>
      <w:r>
        <w:rPr>
          <w:rFonts w:eastAsia="仿宋_GB2312"/>
          <w:sz w:val="36"/>
          <w:szCs w:val="36"/>
          <w:u w:val="single"/>
        </w:rPr>
        <w:t xml:space="preserve">月           </w:t>
      </w:r>
    </w:p>
    <w:p w14:paraId="1A461D10">
      <w:pPr>
        <w:adjustRightInd w:val="0"/>
        <w:snapToGrid w:val="0"/>
        <w:spacing w:line="288" w:lineRule="auto"/>
        <w:ind w:firstLine="1040"/>
        <w:rPr>
          <w:rFonts w:eastAsia="仿宋_GB2312"/>
          <w:sz w:val="36"/>
          <w:szCs w:val="36"/>
          <w:u w:val="single"/>
        </w:rPr>
      </w:pPr>
    </w:p>
    <w:p w14:paraId="18D70A8A">
      <w:pPr>
        <w:adjustRightInd w:val="0"/>
        <w:snapToGrid w:val="0"/>
        <w:spacing w:line="288" w:lineRule="auto"/>
        <w:ind w:firstLine="1040"/>
        <w:rPr>
          <w:rFonts w:eastAsia="仿宋_GB2312"/>
          <w:sz w:val="36"/>
          <w:szCs w:val="36"/>
        </w:rPr>
      </w:pPr>
    </w:p>
    <w:p w14:paraId="4823E114">
      <w:pPr>
        <w:adjustRightInd w:val="0"/>
        <w:snapToGrid w:val="0"/>
        <w:spacing w:line="288" w:lineRule="auto"/>
        <w:ind w:firstLine="1040"/>
        <w:rPr>
          <w:rFonts w:eastAsia="仿宋_GB2312"/>
          <w:sz w:val="36"/>
          <w:szCs w:val="36"/>
        </w:rPr>
      </w:pPr>
    </w:p>
    <w:p w14:paraId="1EC386D5">
      <w:pPr>
        <w:adjustRightInd w:val="0"/>
        <w:snapToGrid w:val="0"/>
        <w:spacing w:line="288" w:lineRule="auto"/>
        <w:ind w:firstLine="1040"/>
        <w:rPr>
          <w:rFonts w:eastAsia="仿宋_GB2312"/>
          <w:sz w:val="36"/>
          <w:szCs w:val="36"/>
        </w:rPr>
      </w:pPr>
    </w:p>
    <w:p w14:paraId="2F5E2018">
      <w:pPr>
        <w:adjustRightInd w:val="0"/>
        <w:snapToGrid w:val="0"/>
        <w:spacing w:line="288" w:lineRule="auto"/>
        <w:ind w:firstLine="1040"/>
        <w:rPr>
          <w:rFonts w:eastAsia="仿宋_GB2312"/>
          <w:sz w:val="36"/>
          <w:szCs w:val="36"/>
        </w:rPr>
      </w:pPr>
    </w:p>
    <w:p w14:paraId="361F0B02">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11AA8FBD">
      <w:pPr>
        <w:adjustRightInd w:val="0"/>
        <w:snapToGrid w:val="0"/>
        <w:spacing w:line="288" w:lineRule="auto"/>
        <w:ind w:firstLine="1040"/>
        <w:rPr>
          <w:rFonts w:eastAsia="仿宋_GB2312"/>
          <w:szCs w:val="21"/>
        </w:rPr>
        <w:sectPr>
          <w:footerReference r:id="rId3" w:type="default"/>
          <w:footerReference r:id="rId4" w:type="even"/>
          <w:pgSz w:w="11906" w:h="16838"/>
          <w:pgMar w:top="1417" w:right="1417" w:bottom="1417" w:left="1701" w:header="851" w:footer="1077" w:gutter="0"/>
          <w:pgNumType w:start="1"/>
          <w:cols w:space="720" w:num="1"/>
          <w:docGrid w:linePitch="312" w:charSpace="0"/>
        </w:sectPr>
      </w:pPr>
    </w:p>
    <w:p w14:paraId="40CE0C80">
      <w:pPr>
        <w:pStyle w:val="3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44"/>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3"/>
        <w:gridCol w:w="3386"/>
        <w:gridCol w:w="1968"/>
        <w:gridCol w:w="2552"/>
      </w:tblGrid>
      <w:tr w14:paraId="41276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14:paraId="737C633B">
            <w:pPr>
              <w:adjustRightInd w:val="0"/>
              <w:snapToGrid w:val="0"/>
              <w:jc w:val="center"/>
              <w:rPr>
                <w:szCs w:val="21"/>
              </w:rPr>
            </w:pPr>
            <w:r>
              <w:rPr>
                <w:szCs w:val="21"/>
              </w:rPr>
              <w:t>建设项目名称</w:t>
            </w:r>
          </w:p>
        </w:tc>
        <w:tc>
          <w:tcPr>
            <w:tcW w:w="7906" w:type="dxa"/>
            <w:gridSpan w:val="3"/>
            <w:vAlign w:val="center"/>
          </w:tcPr>
          <w:p w14:paraId="73324928">
            <w:pPr>
              <w:adjustRightInd w:val="0"/>
              <w:snapToGrid w:val="0"/>
              <w:jc w:val="center"/>
              <w:rPr>
                <w:szCs w:val="21"/>
              </w:rPr>
            </w:pPr>
            <w:r>
              <w:rPr>
                <w:rFonts w:hint="eastAsia"/>
                <w:szCs w:val="21"/>
              </w:rPr>
              <w:t>双庙页1HF预探井工程</w:t>
            </w:r>
          </w:p>
        </w:tc>
      </w:tr>
      <w:tr w14:paraId="2F1FD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14:paraId="45633B74">
            <w:pPr>
              <w:adjustRightInd w:val="0"/>
              <w:snapToGrid w:val="0"/>
              <w:jc w:val="center"/>
              <w:rPr>
                <w:szCs w:val="21"/>
              </w:rPr>
            </w:pPr>
            <w:r>
              <w:rPr>
                <w:szCs w:val="21"/>
              </w:rPr>
              <w:t>项目代码</w:t>
            </w:r>
          </w:p>
        </w:tc>
        <w:tc>
          <w:tcPr>
            <w:tcW w:w="7906" w:type="dxa"/>
            <w:gridSpan w:val="3"/>
            <w:vAlign w:val="center"/>
          </w:tcPr>
          <w:p w14:paraId="4BE2892E">
            <w:pPr>
              <w:adjustRightInd w:val="0"/>
              <w:snapToGrid w:val="0"/>
              <w:jc w:val="center"/>
              <w:rPr>
                <w:szCs w:val="21"/>
              </w:rPr>
            </w:pPr>
            <w:r>
              <w:rPr>
                <w:szCs w:val="21"/>
              </w:rPr>
              <w:t>无</w:t>
            </w:r>
          </w:p>
        </w:tc>
      </w:tr>
      <w:tr w14:paraId="228CF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14:paraId="0B619577">
            <w:pPr>
              <w:adjustRightInd w:val="0"/>
              <w:snapToGrid w:val="0"/>
              <w:jc w:val="center"/>
              <w:rPr>
                <w:szCs w:val="21"/>
              </w:rPr>
            </w:pPr>
            <w:r>
              <w:rPr>
                <w:szCs w:val="21"/>
              </w:rPr>
              <w:t>建设单位联系人</w:t>
            </w:r>
          </w:p>
        </w:tc>
        <w:tc>
          <w:tcPr>
            <w:tcW w:w="3386" w:type="dxa"/>
            <w:vAlign w:val="center"/>
          </w:tcPr>
          <w:p w14:paraId="2B20355F">
            <w:pPr>
              <w:adjustRightInd w:val="0"/>
              <w:snapToGrid w:val="0"/>
              <w:jc w:val="center"/>
              <w:rPr>
                <w:szCs w:val="21"/>
              </w:rPr>
            </w:pPr>
            <w:r>
              <w:rPr>
                <w:szCs w:val="21"/>
              </w:rPr>
              <w:t>贺贤伟</w:t>
            </w:r>
          </w:p>
        </w:tc>
        <w:tc>
          <w:tcPr>
            <w:tcW w:w="1968" w:type="dxa"/>
            <w:vAlign w:val="center"/>
          </w:tcPr>
          <w:p w14:paraId="13195872">
            <w:pPr>
              <w:adjustRightInd w:val="0"/>
              <w:snapToGrid w:val="0"/>
              <w:jc w:val="center"/>
              <w:rPr>
                <w:szCs w:val="21"/>
              </w:rPr>
            </w:pPr>
            <w:r>
              <w:rPr>
                <w:szCs w:val="21"/>
              </w:rPr>
              <w:t>联系方式</w:t>
            </w:r>
          </w:p>
        </w:tc>
        <w:tc>
          <w:tcPr>
            <w:tcW w:w="2552" w:type="dxa"/>
            <w:vAlign w:val="center"/>
          </w:tcPr>
          <w:p w14:paraId="469B05D4">
            <w:pPr>
              <w:adjustRightInd w:val="0"/>
              <w:snapToGrid w:val="0"/>
              <w:jc w:val="center"/>
              <w:rPr>
                <w:szCs w:val="21"/>
              </w:rPr>
            </w:pPr>
            <w:r>
              <w:rPr>
                <w:szCs w:val="21"/>
              </w:rPr>
              <w:t>0818-4776659</w:t>
            </w:r>
          </w:p>
        </w:tc>
      </w:tr>
      <w:tr w14:paraId="1230E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14:paraId="2A711535">
            <w:pPr>
              <w:adjustRightInd w:val="0"/>
              <w:snapToGrid w:val="0"/>
              <w:jc w:val="center"/>
              <w:rPr>
                <w:szCs w:val="21"/>
              </w:rPr>
            </w:pPr>
            <w:r>
              <w:rPr>
                <w:szCs w:val="21"/>
              </w:rPr>
              <w:t>建设地点</w:t>
            </w:r>
          </w:p>
        </w:tc>
        <w:tc>
          <w:tcPr>
            <w:tcW w:w="7906" w:type="dxa"/>
            <w:gridSpan w:val="3"/>
            <w:vAlign w:val="center"/>
          </w:tcPr>
          <w:p w14:paraId="66FB7452">
            <w:pPr>
              <w:adjustRightInd w:val="0"/>
              <w:snapToGrid w:val="0"/>
              <w:jc w:val="center"/>
              <w:rPr>
                <w:szCs w:val="21"/>
              </w:rPr>
            </w:pPr>
            <w:r>
              <w:rPr>
                <w:szCs w:val="21"/>
                <w:u w:val="single"/>
              </w:rPr>
              <w:t xml:space="preserve">四川 </w:t>
            </w:r>
            <w:r>
              <w:rPr>
                <w:szCs w:val="21"/>
              </w:rPr>
              <w:t>省</w:t>
            </w:r>
            <w:r>
              <w:rPr>
                <w:szCs w:val="21"/>
                <w:u w:val="single"/>
              </w:rPr>
              <w:t xml:space="preserve"> 达州 </w:t>
            </w:r>
            <w:r>
              <w:rPr>
                <w:szCs w:val="21"/>
              </w:rPr>
              <w:t>市</w:t>
            </w:r>
            <w:r>
              <w:rPr>
                <w:szCs w:val="21"/>
                <w:u w:val="single"/>
              </w:rPr>
              <w:t xml:space="preserve"> 宣汉 </w:t>
            </w:r>
            <w:r>
              <w:rPr>
                <w:szCs w:val="21"/>
              </w:rPr>
              <w:t>县</w:t>
            </w:r>
            <w:r>
              <w:rPr>
                <w:szCs w:val="21"/>
                <w:u w:val="single"/>
              </w:rPr>
              <w:t xml:space="preserve"> </w:t>
            </w:r>
            <w:r>
              <w:rPr>
                <w:rFonts w:hint="eastAsia"/>
                <w:szCs w:val="21"/>
                <w:u w:val="single"/>
              </w:rPr>
              <w:t>君塘镇</w:t>
            </w:r>
            <w:r>
              <w:rPr>
                <w:szCs w:val="21"/>
                <w:u w:val="single"/>
              </w:rPr>
              <w:t xml:space="preserve">  </w:t>
            </w:r>
            <w:r>
              <w:rPr>
                <w:rFonts w:hint="eastAsia"/>
                <w:szCs w:val="21"/>
                <w:u w:val="single"/>
              </w:rPr>
              <w:t>界湾村</w:t>
            </w:r>
            <w:r>
              <w:rPr>
                <w:szCs w:val="21"/>
                <w:u w:val="single"/>
              </w:rPr>
              <w:t xml:space="preserve">1组 </w:t>
            </w:r>
            <w:r>
              <w:rPr>
                <w:szCs w:val="21"/>
              </w:rPr>
              <w:t xml:space="preserve"> </w:t>
            </w:r>
          </w:p>
        </w:tc>
      </w:tr>
      <w:tr w14:paraId="45AA0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14:paraId="652E2E42">
            <w:pPr>
              <w:adjustRightInd w:val="0"/>
              <w:snapToGrid w:val="0"/>
              <w:jc w:val="center"/>
              <w:rPr>
                <w:szCs w:val="21"/>
              </w:rPr>
            </w:pPr>
            <w:r>
              <w:rPr>
                <w:szCs w:val="21"/>
              </w:rPr>
              <w:t>地理坐标</w:t>
            </w:r>
          </w:p>
        </w:tc>
        <w:tc>
          <w:tcPr>
            <w:tcW w:w="7906" w:type="dxa"/>
            <w:gridSpan w:val="3"/>
            <w:vAlign w:val="center"/>
          </w:tcPr>
          <w:p w14:paraId="36AB6FB4">
            <w:pPr>
              <w:adjustRightInd w:val="0"/>
              <w:snapToGrid w:val="0"/>
              <w:jc w:val="center"/>
              <w:rPr>
                <w:szCs w:val="21"/>
              </w:rPr>
            </w:pPr>
            <w:r>
              <w:rPr>
                <w:szCs w:val="21"/>
              </w:rPr>
              <w:t>（</w:t>
            </w:r>
            <w:r>
              <w:rPr>
                <w:szCs w:val="21"/>
                <w:u w:val="single"/>
              </w:rPr>
              <w:t>107</w:t>
            </w:r>
            <w:r>
              <w:rPr>
                <w:szCs w:val="21"/>
              </w:rPr>
              <w:t>度</w:t>
            </w:r>
            <w:r>
              <w:rPr>
                <w:szCs w:val="21"/>
                <w:u w:val="single"/>
              </w:rPr>
              <w:t xml:space="preserve"> 3</w:t>
            </w:r>
            <w:r>
              <w:rPr>
                <w:rFonts w:hint="eastAsia"/>
                <w:szCs w:val="21"/>
                <w:u w:val="single"/>
              </w:rPr>
              <w:t>3</w:t>
            </w:r>
            <w:r>
              <w:rPr>
                <w:szCs w:val="21"/>
                <w:u w:val="single"/>
              </w:rPr>
              <w:t xml:space="preserve"> </w:t>
            </w:r>
            <w:r>
              <w:rPr>
                <w:szCs w:val="21"/>
              </w:rPr>
              <w:t>分</w:t>
            </w:r>
            <w:r>
              <w:rPr>
                <w:szCs w:val="21"/>
                <w:u w:val="single"/>
              </w:rPr>
              <w:t xml:space="preserve"> </w:t>
            </w:r>
            <w:r>
              <w:rPr>
                <w:rFonts w:hint="eastAsia"/>
                <w:szCs w:val="21"/>
                <w:u w:val="single"/>
              </w:rPr>
              <w:t>43.574</w:t>
            </w:r>
            <w:r>
              <w:rPr>
                <w:szCs w:val="21"/>
                <w:u w:val="single"/>
              </w:rPr>
              <w:t xml:space="preserve"> </w:t>
            </w:r>
            <w:r>
              <w:rPr>
                <w:szCs w:val="21"/>
              </w:rPr>
              <w:t>秒，</w:t>
            </w:r>
            <w:r>
              <w:rPr>
                <w:szCs w:val="21"/>
                <w:u w:val="single"/>
              </w:rPr>
              <w:t xml:space="preserve"> 31 </w:t>
            </w:r>
            <w:r>
              <w:rPr>
                <w:szCs w:val="21"/>
              </w:rPr>
              <w:t>度</w:t>
            </w:r>
            <w:r>
              <w:rPr>
                <w:szCs w:val="21"/>
                <w:u w:val="single"/>
              </w:rPr>
              <w:t xml:space="preserve"> </w:t>
            </w:r>
            <w:r>
              <w:rPr>
                <w:rFonts w:hint="eastAsia"/>
                <w:szCs w:val="21"/>
                <w:u w:val="single"/>
              </w:rPr>
              <w:t>20</w:t>
            </w:r>
            <w:r>
              <w:rPr>
                <w:szCs w:val="21"/>
                <w:u w:val="single"/>
              </w:rPr>
              <w:t xml:space="preserve"> </w:t>
            </w:r>
            <w:r>
              <w:rPr>
                <w:szCs w:val="21"/>
              </w:rPr>
              <w:t>分</w:t>
            </w:r>
            <w:r>
              <w:rPr>
                <w:rFonts w:hint="eastAsia"/>
                <w:szCs w:val="21"/>
                <w:u w:val="single"/>
              </w:rPr>
              <w:t xml:space="preserve"> 22.274</w:t>
            </w:r>
            <w:r>
              <w:rPr>
                <w:szCs w:val="21"/>
              </w:rPr>
              <w:t>秒）</w:t>
            </w:r>
          </w:p>
        </w:tc>
      </w:tr>
      <w:tr w14:paraId="33810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883" w:type="dxa"/>
            <w:tcMar>
              <w:top w:w="16" w:type="dxa"/>
              <w:left w:w="16" w:type="dxa"/>
              <w:right w:w="16" w:type="dxa"/>
            </w:tcMar>
            <w:vAlign w:val="center"/>
          </w:tcPr>
          <w:p w14:paraId="11E3AB93">
            <w:pPr>
              <w:adjustRightInd w:val="0"/>
              <w:snapToGrid w:val="0"/>
              <w:jc w:val="center"/>
              <w:rPr>
                <w:szCs w:val="21"/>
              </w:rPr>
            </w:pPr>
            <w:r>
              <w:rPr>
                <w:szCs w:val="21"/>
              </w:rPr>
              <w:t>建设项目</w:t>
            </w:r>
          </w:p>
          <w:p w14:paraId="425BC893">
            <w:pPr>
              <w:adjustRightInd w:val="0"/>
              <w:snapToGrid w:val="0"/>
              <w:jc w:val="center"/>
              <w:rPr>
                <w:szCs w:val="21"/>
              </w:rPr>
            </w:pPr>
            <w:r>
              <w:rPr>
                <w:szCs w:val="21"/>
              </w:rPr>
              <w:t>行业类别</w:t>
            </w:r>
          </w:p>
        </w:tc>
        <w:tc>
          <w:tcPr>
            <w:tcW w:w="3386" w:type="dxa"/>
            <w:vAlign w:val="center"/>
          </w:tcPr>
          <w:p w14:paraId="7597B0F9">
            <w:pPr>
              <w:adjustRightInd w:val="0"/>
              <w:snapToGrid w:val="0"/>
              <w:jc w:val="center"/>
              <w:rPr>
                <w:szCs w:val="21"/>
              </w:rPr>
            </w:pPr>
            <w:r>
              <w:rPr>
                <w:szCs w:val="21"/>
              </w:rPr>
              <w:t>四十六、专业技术服务业</w:t>
            </w:r>
          </w:p>
          <w:p w14:paraId="296383F0">
            <w:pPr>
              <w:adjustRightInd w:val="0"/>
              <w:snapToGrid w:val="0"/>
              <w:jc w:val="center"/>
              <w:rPr>
                <w:szCs w:val="21"/>
              </w:rPr>
            </w:pPr>
            <w:r>
              <w:rPr>
                <w:szCs w:val="21"/>
              </w:rPr>
              <w:t>99</w:t>
            </w:r>
            <w:bookmarkStart w:id="3" w:name="_Hlk67602426"/>
            <w:r>
              <w:rPr>
                <w:szCs w:val="21"/>
              </w:rPr>
              <w:t>陆地矿产资源地质勘查</w:t>
            </w:r>
          </w:p>
          <w:p w14:paraId="36351511">
            <w:pPr>
              <w:adjustRightInd w:val="0"/>
              <w:snapToGrid w:val="0"/>
              <w:jc w:val="center"/>
              <w:rPr>
                <w:szCs w:val="21"/>
              </w:rPr>
            </w:pPr>
            <w:r>
              <w:rPr>
                <w:szCs w:val="21"/>
              </w:rPr>
              <w:t>（含油气资源勘探）</w:t>
            </w:r>
            <w:bookmarkEnd w:id="3"/>
          </w:p>
        </w:tc>
        <w:tc>
          <w:tcPr>
            <w:tcW w:w="1968" w:type="dxa"/>
            <w:vAlign w:val="center"/>
          </w:tcPr>
          <w:p w14:paraId="7028BAB2">
            <w:pPr>
              <w:adjustRightInd w:val="0"/>
              <w:snapToGrid w:val="0"/>
              <w:jc w:val="center"/>
              <w:rPr>
                <w:szCs w:val="21"/>
              </w:rPr>
            </w:pPr>
            <w:r>
              <w:rPr>
                <w:szCs w:val="21"/>
              </w:rPr>
              <w:t>用地（用海）面积（m</w:t>
            </w:r>
            <w:r>
              <w:rPr>
                <w:szCs w:val="21"/>
                <w:vertAlign w:val="superscript"/>
              </w:rPr>
              <w:t>2</w:t>
            </w:r>
            <w:r>
              <w:rPr>
                <w:szCs w:val="21"/>
              </w:rPr>
              <w:t>）/长度（km）</w:t>
            </w:r>
          </w:p>
        </w:tc>
        <w:tc>
          <w:tcPr>
            <w:tcW w:w="2552" w:type="dxa"/>
            <w:vAlign w:val="center"/>
          </w:tcPr>
          <w:p w14:paraId="4C560CFC">
            <w:pPr>
              <w:adjustRightInd w:val="0"/>
              <w:snapToGrid w:val="0"/>
              <w:jc w:val="center"/>
              <w:rPr>
                <w:szCs w:val="21"/>
              </w:rPr>
            </w:pPr>
            <w:r>
              <w:rPr>
                <w:rFonts w:hint="eastAsia"/>
                <w:szCs w:val="21"/>
              </w:rPr>
              <w:t>21867</w:t>
            </w:r>
          </w:p>
        </w:tc>
      </w:tr>
      <w:tr w14:paraId="50670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83" w:type="dxa"/>
            <w:tcMar>
              <w:top w:w="16" w:type="dxa"/>
              <w:left w:w="16" w:type="dxa"/>
              <w:right w:w="16" w:type="dxa"/>
            </w:tcMar>
            <w:vAlign w:val="center"/>
          </w:tcPr>
          <w:p w14:paraId="1C656B53">
            <w:pPr>
              <w:adjustRightInd w:val="0"/>
              <w:snapToGrid w:val="0"/>
              <w:jc w:val="center"/>
              <w:rPr>
                <w:szCs w:val="21"/>
              </w:rPr>
            </w:pPr>
            <w:r>
              <w:rPr>
                <w:szCs w:val="21"/>
              </w:rPr>
              <w:t>建设性质</w:t>
            </w:r>
          </w:p>
        </w:tc>
        <w:tc>
          <w:tcPr>
            <w:tcW w:w="3386" w:type="dxa"/>
            <w:vAlign w:val="center"/>
          </w:tcPr>
          <w:p w14:paraId="22013F93">
            <w:pPr>
              <w:adjustRightInd w:val="0"/>
              <w:snapToGrid w:val="0"/>
              <w:ind w:left="210" w:leftChars="100"/>
              <w:jc w:val="left"/>
              <w:rPr>
                <w:szCs w:val="21"/>
              </w:rPr>
            </w:pPr>
            <w:r>
              <w:rPr>
                <w:szCs w:val="21"/>
              </w:rPr>
              <w:sym w:font="Wingdings" w:char="00FE"/>
            </w:r>
            <w:r>
              <w:rPr>
                <w:szCs w:val="21"/>
              </w:rPr>
              <w:t>新建（迁建）</w:t>
            </w:r>
          </w:p>
          <w:p w14:paraId="2B76E993">
            <w:pPr>
              <w:adjustRightInd w:val="0"/>
              <w:snapToGrid w:val="0"/>
              <w:ind w:left="210" w:leftChars="100"/>
              <w:jc w:val="left"/>
              <w:rPr>
                <w:szCs w:val="21"/>
              </w:rPr>
            </w:pPr>
            <w:r>
              <w:rPr>
                <w:szCs w:val="21"/>
              </w:rPr>
              <w:t>□改建</w:t>
            </w:r>
          </w:p>
          <w:p w14:paraId="68187134">
            <w:pPr>
              <w:adjustRightInd w:val="0"/>
              <w:snapToGrid w:val="0"/>
              <w:ind w:left="210" w:leftChars="100"/>
              <w:jc w:val="left"/>
              <w:rPr>
                <w:szCs w:val="21"/>
              </w:rPr>
            </w:pPr>
            <w:r>
              <w:rPr>
                <w:szCs w:val="21"/>
              </w:rPr>
              <w:t>□扩建</w:t>
            </w:r>
          </w:p>
          <w:p w14:paraId="742989FD">
            <w:pPr>
              <w:adjustRightInd w:val="0"/>
              <w:snapToGrid w:val="0"/>
              <w:ind w:left="210" w:leftChars="100"/>
              <w:jc w:val="left"/>
              <w:rPr>
                <w:szCs w:val="21"/>
              </w:rPr>
            </w:pPr>
            <w:r>
              <w:rPr>
                <w:szCs w:val="21"/>
              </w:rPr>
              <w:t>□技术改造</w:t>
            </w:r>
          </w:p>
        </w:tc>
        <w:tc>
          <w:tcPr>
            <w:tcW w:w="1968" w:type="dxa"/>
            <w:vAlign w:val="center"/>
          </w:tcPr>
          <w:p w14:paraId="74285545">
            <w:pPr>
              <w:adjustRightInd w:val="0"/>
              <w:snapToGrid w:val="0"/>
              <w:jc w:val="center"/>
              <w:rPr>
                <w:szCs w:val="21"/>
              </w:rPr>
            </w:pPr>
            <w:r>
              <w:rPr>
                <w:szCs w:val="21"/>
              </w:rPr>
              <w:t>建设项目</w:t>
            </w:r>
          </w:p>
          <w:p w14:paraId="4573E4B2">
            <w:pPr>
              <w:adjustRightInd w:val="0"/>
              <w:snapToGrid w:val="0"/>
              <w:jc w:val="center"/>
              <w:rPr>
                <w:szCs w:val="21"/>
              </w:rPr>
            </w:pPr>
            <w:r>
              <w:rPr>
                <w:szCs w:val="21"/>
              </w:rPr>
              <w:t>申报情形</w:t>
            </w:r>
          </w:p>
        </w:tc>
        <w:tc>
          <w:tcPr>
            <w:tcW w:w="2552" w:type="dxa"/>
            <w:vAlign w:val="center"/>
          </w:tcPr>
          <w:p w14:paraId="4627E547">
            <w:pPr>
              <w:adjustRightInd w:val="0"/>
              <w:snapToGrid w:val="0"/>
              <w:jc w:val="left"/>
              <w:rPr>
                <w:szCs w:val="21"/>
              </w:rPr>
            </w:pPr>
            <w:r>
              <w:rPr>
                <w:szCs w:val="21"/>
              </w:rPr>
              <w:sym w:font="Wingdings" w:char="00FE"/>
            </w:r>
            <w:r>
              <w:rPr>
                <w:szCs w:val="21"/>
              </w:rPr>
              <w:t>首次申报项目</w:t>
            </w:r>
          </w:p>
          <w:p w14:paraId="2D240582">
            <w:pPr>
              <w:adjustRightInd w:val="0"/>
              <w:snapToGrid w:val="0"/>
              <w:jc w:val="left"/>
              <w:rPr>
                <w:szCs w:val="21"/>
              </w:rPr>
            </w:pPr>
            <w:r>
              <w:rPr>
                <w:szCs w:val="21"/>
              </w:rPr>
              <w:t>□不予批准后再次申报项目</w:t>
            </w:r>
          </w:p>
          <w:p w14:paraId="53B1D1E7">
            <w:pPr>
              <w:adjustRightInd w:val="0"/>
              <w:snapToGrid w:val="0"/>
              <w:jc w:val="left"/>
              <w:rPr>
                <w:szCs w:val="21"/>
              </w:rPr>
            </w:pPr>
            <w:r>
              <w:rPr>
                <w:szCs w:val="21"/>
              </w:rPr>
              <w:t>□超五年重新审核项目</w:t>
            </w:r>
          </w:p>
          <w:p w14:paraId="258BABA8">
            <w:pPr>
              <w:adjustRightInd w:val="0"/>
              <w:snapToGrid w:val="0"/>
              <w:rPr>
                <w:szCs w:val="21"/>
              </w:rPr>
            </w:pPr>
            <w:r>
              <w:rPr>
                <w:szCs w:val="21"/>
              </w:rPr>
              <w:t>□重大变动重新报批项目</w:t>
            </w:r>
          </w:p>
        </w:tc>
      </w:tr>
      <w:tr w14:paraId="09B3F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83" w:type="dxa"/>
            <w:tcMar>
              <w:top w:w="16" w:type="dxa"/>
              <w:left w:w="16" w:type="dxa"/>
              <w:right w:w="16" w:type="dxa"/>
            </w:tcMar>
            <w:vAlign w:val="center"/>
          </w:tcPr>
          <w:p w14:paraId="60FB4C8F">
            <w:pPr>
              <w:adjustRightInd w:val="0"/>
              <w:snapToGrid w:val="0"/>
              <w:jc w:val="center"/>
              <w:rPr>
                <w:szCs w:val="21"/>
              </w:rPr>
            </w:pPr>
            <w:r>
              <w:rPr>
                <w:szCs w:val="21"/>
              </w:rPr>
              <w:t>项目审批（核准/</w:t>
            </w:r>
          </w:p>
          <w:p w14:paraId="0A408EAD">
            <w:pPr>
              <w:adjustRightInd w:val="0"/>
              <w:snapToGrid w:val="0"/>
              <w:jc w:val="center"/>
              <w:rPr>
                <w:szCs w:val="21"/>
              </w:rPr>
            </w:pPr>
            <w:r>
              <w:rPr>
                <w:szCs w:val="21"/>
              </w:rPr>
              <w:t>备案）部门（选填）</w:t>
            </w:r>
          </w:p>
        </w:tc>
        <w:tc>
          <w:tcPr>
            <w:tcW w:w="3386" w:type="dxa"/>
            <w:vAlign w:val="center"/>
          </w:tcPr>
          <w:p w14:paraId="42B2902B">
            <w:pPr>
              <w:adjustRightInd w:val="0"/>
              <w:snapToGrid w:val="0"/>
              <w:jc w:val="center"/>
              <w:rPr>
                <w:szCs w:val="21"/>
              </w:rPr>
            </w:pPr>
            <w:r>
              <w:rPr>
                <w:szCs w:val="21"/>
              </w:rPr>
              <w:t>/</w:t>
            </w:r>
          </w:p>
        </w:tc>
        <w:tc>
          <w:tcPr>
            <w:tcW w:w="1968" w:type="dxa"/>
            <w:vAlign w:val="center"/>
          </w:tcPr>
          <w:p w14:paraId="2BF0D6C8">
            <w:pPr>
              <w:adjustRightInd w:val="0"/>
              <w:snapToGrid w:val="0"/>
              <w:jc w:val="center"/>
              <w:rPr>
                <w:szCs w:val="21"/>
              </w:rPr>
            </w:pPr>
            <w:r>
              <w:rPr>
                <w:szCs w:val="21"/>
              </w:rPr>
              <w:t>项目审批（核准/</w:t>
            </w:r>
          </w:p>
          <w:p w14:paraId="32AF5533">
            <w:pPr>
              <w:adjustRightInd w:val="0"/>
              <w:snapToGrid w:val="0"/>
              <w:jc w:val="center"/>
              <w:rPr>
                <w:szCs w:val="21"/>
              </w:rPr>
            </w:pPr>
            <w:r>
              <w:rPr>
                <w:szCs w:val="21"/>
              </w:rPr>
              <w:t>备案）文号（选填）</w:t>
            </w:r>
          </w:p>
        </w:tc>
        <w:tc>
          <w:tcPr>
            <w:tcW w:w="2552" w:type="dxa"/>
            <w:vAlign w:val="center"/>
          </w:tcPr>
          <w:p w14:paraId="4B11C8F5">
            <w:pPr>
              <w:adjustRightInd w:val="0"/>
              <w:snapToGrid w:val="0"/>
              <w:jc w:val="center"/>
              <w:rPr>
                <w:szCs w:val="21"/>
              </w:rPr>
            </w:pPr>
            <w:r>
              <w:rPr>
                <w:szCs w:val="21"/>
              </w:rPr>
              <w:t>/</w:t>
            </w:r>
          </w:p>
        </w:tc>
      </w:tr>
      <w:tr w14:paraId="4FD2B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14:paraId="078524E8">
            <w:pPr>
              <w:adjustRightInd w:val="0"/>
              <w:snapToGrid w:val="0"/>
              <w:jc w:val="center"/>
              <w:rPr>
                <w:szCs w:val="21"/>
              </w:rPr>
            </w:pPr>
            <w:r>
              <w:rPr>
                <w:szCs w:val="21"/>
              </w:rPr>
              <w:t>总投资（万元）</w:t>
            </w:r>
          </w:p>
        </w:tc>
        <w:tc>
          <w:tcPr>
            <w:tcW w:w="3386" w:type="dxa"/>
            <w:vAlign w:val="center"/>
          </w:tcPr>
          <w:p w14:paraId="3C477E94">
            <w:pPr>
              <w:adjustRightInd w:val="0"/>
              <w:snapToGrid w:val="0"/>
              <w:jc w:val="center"/>
              <w:rPr>
                <w:szCs w:val="21"/>
              </w:rPr>
            </w:pPr>
            <w:r>
              <w:rPr>
                <w:rFonts w:hint="eastAsia"/>
                <w:szCs w:val="21"/>
              </w:rPr>
              <w:t>16423</w:t>
            </w:r>
          </w:p>
        </w:tc>
        <w:tc>
          <w:tcPr>
            <w:tcW w:w="1968" w:type="dxa"/>
            <w:tcMar>
              <w:top w:w="16" w:type="dxa"/>
              <w:left w:w="16" w:type="dxa"/>
              <w:right w:w="16" w:type="dxa"/>
            </w:tcMar>
            <w:vAlign w:val="center"/>
          </w:tcPr>
          <w:p w14:paraId="2AAF1495">
            <w:pPr>
              <w:adjustRightInd w:val="0"/>
              <w:snapToGrid w:val="0"/>
              <w:jc w:val="center"/>
              <w:rPr>
                <w:szCs w:val="21"/>
              </w:rPr>
            </w:pPr>
            <w:r>
              <w:rPr>
                <w:szCs w:val="21"/>
              </w:rPr>
              <w:t>环保投资（万元）</w:t>
            </w:r>
          </w:p>
        </w:tc>
        <w:tc>
          <w:tcPr>
            <w:tcW w:w="2552" w:type="dxa"/>
            <w:vAlign w:val="center"/>
          </w:tcPr>
          <w:p w14:paraId="2BF8E907">
            <w:pPr>
              <w:adjustRightInd w:val="0"/>
              <w:snapToGrid w:val="0"/>
              <w:jc w:val="center"/>
              <w:rPr>
                <w:szCs w:val="21"/>
              </w:rPr>
            </w:pPr>
            <w:r>
              <w:rPr>
                <w:rFonts w:hint="eastAsia"/>
                <w:szCs w:val="21"/>
              </w:rPr>
              <w:t>472</w:t>
            </w:r>
          </w:p>
        </w:tc>
      </w:tr>
      <w:tr w14:paraId="5E814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14:paraId="7D44BE63">
            <w:pPr>
              <w:adjustRightInd w:val="0"/>
              <w:snapToGrid w:val="0"/>
              <w:jc w:val="center"/>
              <w:rPr>
                <w:szCs w:val="21"/>
              </w:rPr>
            </w:pPr>
            <w:r>
              <w:rPr>
                <w:szCs w:val="21"/>
              </w:rPr>
              <w:t>环保投资占比（%）</w:t>
            </w:r>
          </w:p>
        </w:tc>
        <w:tc>
          <w:tcPr>
            <w:tcW w:w="3386" w:type="dxa"/>
            <w:vAlign w:val="center"/>
          </w:tcPr>
          <w:p w14:paraId="5D8D724C">
            <w:pPr>
              <w:adjustRightInd w:val="0"/>
              <w:snapToGrid w:val="0"/>
              <w:jc w:val="center"/>
              <w:rPr>
                <w:szCs w:val="21"/>
              </w:rPr>
            </w:pPr>
            <w:r>
              <w:rPr>
                <w:rFonts w:hint="eastAsia"/>
                <w:szCs w:val="21"/>
              </w:rPr>
              <w:t>2.87</w:t>
            </w:r>
          </w:p>
        </w:tc>
        <w:tc>
          <w:tcPr>
            <w:tcW w:w="1968" w:type="dxa"/>
            <w:tcMar>
              <w:top w:w="16" w:type="dxa"/>
              <w:left w:w="16" w:type="dxa"/>
              <w:right w:w="16" w:type="dxa"/>
            </w:tcMar>
            <w:vAlign w:val="center"/>
          </w:tcPr>
          <w:p w14:paraId="063102DF">
            <w:pPr>
              <w:adjustRightInd w:val="0"/>
              <w:snapToGrid w:val="0"/>
              <w:jc w:val="center"/>
              <w:rPr>
                <w:szCs w:val="21"/>
              </w:rPr>
            </w:pPr>
            <w:r>
              <w:rPr>
                <w:szCs w:val="21"/>
              </w:rPr>
              <w:t>施工工期</w:t>
            </w:r>
          </w:p>
        </w:tc>
        <w:tc>
          <w:tcPr>
            <w:tcW w:w="2552" w:type="dxa"/>
            <w:vAlign w:val="center"/>
          </w:tcPr>
          <w:p w14:paraId="00E32C8F">
            <w:pPr>
              <w:adjustRightInd w:val="0"/>
              <w:snapToGrid w:val="0"/>
              <w:jc w:val="center"/>
              <w:rPr>
                <w:szCs w:val="21"/>
              </w:rPr>
            </w:pPr>
            <w:r>
              <w:rPr>
                <w:szCs w:val="21"/>
              </w:rPr>
              <w:t>5个月</w:t>
            </w:r>
          </w:p>
        </w:tc>
      </w:tr>
      <w:tr w14:paraId="77FFA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14:paraId="4CDE0754">
            <w:pPr>
              <w:adjustRightInd w:val="0"/>
              <w:snapToGrid w:val="0"/>
              <w:jc w:val="center"/>
              <w:rPr>
                <w:szCs w:val="21"/>
              </w:rPr>
            </w:pPr>
            <w:r>
              <w:rPr>
                <w:szCs w:val="21"/>
              </w:rPr>
              <w:t>是否开工建设</w:t>
            </w:r>
          </w:p>
        </w:tc>
        <w:tc>
          <w:tcPr>
            <w:tcW w:w="7906" w:type="dxa"/>
            <w:gridSpan w:val="3"/>
            <w:vAlign w:val="center"/>
          </w:tcPr>
          <w:p w14:paraId="6ED0C66C">
            <w:pPr>
              <w:adjustRightInd w:val="0"/>
              <w:snapToGrid w:val="0"/>
              <w:ind w:firstLine="105"/>
              <w:jc w:val="left"/>
              <w:rPr>
                <w:szCs w:val="21"/>
              </w:rPr>
            </w:pPr>
            <w:r>
              <w:rPr>
                <w:szCs w:val="21"/>
              </w:rPr>
              <w:sym w:font="Wingdings 2" w:char="F052"/>
            </w:r>
            <w:r>
              <w:rPr>
                <w:szCs w:val="21"/>
              </w:rPr>
              <w:t>否</w:t>
            </w:r>
          </w:p>
          <w:p w14:paraId="47CC41E5">
            <w:pPr>
              <w:adjustRightInd w:val="0"/>
              <w:snapToGrid w:val="0"/>
              <w:ind w:firstLine="92"/>
              <w:jc w:val="left"/>
              <w:rPr>
                <w:szCs w:val="21"/>
              </w:rPr>
            </w:pPr>
            <w:r>
              <w:rPr>
                <w:szCs w:val="21"/>
              </w:rPr>
              <w:t>□是：</w:t>
            </w:r>
            <w:r>
              <w:rPr>
                <w:szCs w:val="21"/>
                <w:u w:val="single"/>
              </w:rPr>
              <w:t xml:space="preserve">                             </w:t>
            </w:r>
          </w:p>
        </w:tc>
      </w:tr>
      <w:tr w14:paraId="6FDD9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14:paraId="357FC43C">
            <w:pPr>
              <w:autoSpaceDE w:val="0"/>
              <w:autoSpaceDN w:val="0"/>
              <w:adjustRightInd w:val="0"/>
              <w:snapToGrid w:val="0"/>
              <w:jc w:val="center"/>
              <w:rPr>
                <w:kern w:val="0"/>
                <w:szCs w:val="21"/>
              </w:rPr>
            </w:pPr>
            <w:r>
              <w:rPr>
                <w:kern w:val="0"/>
                <w:szCs w:val="21"/>
              </w:rPr>
              <w:t>专项评价设置情况</w:t>
            </w:r>
          </w:p>
        </w:tc>
        <w:tc>
          <w:tcPr>
            <w:tcW w:w="7906" w:type="dxa"/>
            <w:gridSpan w:val="3"/>
            <w:tcMar>
              <w:top w:w="16" w:type="dxa"/>
              <w:left w:w="16" w:type="dxa"/>
              <w:right w:w="16" w:type="dxa"/>
            </w:tcMar>
            <w:vAlign w:val="center"/>
          </w:tcPr>
          <w:p w14:paraId="13218D48">
            <w:pPr>
              <w:spacing w:line="360" w:lineRule="auto"/>
              <w:ind w:firstLine="420" w:firstLineChars="200"/>
              <w:rPr>
                <w:kern w:val="0"/>
                <w:szCs w:val="21"/>
              </w:rPr>
            </w:pPr>
            <w:r>
              <w:rPr>
                <w:kern w:val="0"/>
                <w:szCs w:val="21"/>
              </w:rPr>
              <w:t>根据《建设项目环境影响评价分类管理》（部令第16号），本项目属于“四十六专业技术服务业中</w:t>
            </w:r>
            <w:r>
              <w:rPr>
                <w:rFonts w:hint="eastAsia"/>
                <w:kern w:val="0"/>
                <w:szCs w:val="21"/>
              </w:rPr>
              <w:t xml:space="preserve"> </w:t>
            </w:r>
            <w:r>
              <w:rPr>
                <w:kern w:val="0"/>
                <w:szCs w:val="21"/>
              </w:rPr>
              <w:t>99陆地矿产资源地质勘查（含油气资源勘探）；二氧化碳地质封存”，应编制环境影响报告表，根据《建设项目环境影响报告表编制技术指南（生态影响类）（试行）》中“表1专项评价设置原则表”，本项目土壤不开展专项评价，地表水、地下水、生态、大气、噪声、环境风险是否开展专项评价情况见下表。</w:t>
            </w:r>
          </w:p>
          <w:p w14:paraId="044AE045">
            <w:pPr>
              <w:spacing w:line="360" w:lineRule="auto"/>
              <w:jc w:val="center"/>
              <w:rPr>
                <w:b/>
                <w:bCs/>
                <w:kern w:val="0"/>
                <w:szCs w:val="21"/>
              </w:rPr>
            </w:pPr>
            <w:r>
              <w:rPr>
                <w:b/>
                <w:bCs/>
                <w:kern w:val="0"/>
                <w:szCs w:val="21"/>
              </w:rPr>
              <w:t>表1  本项目专项评价设置判定情况表</w:t>
            </w:r>
          </w:p>
          <w:tbl>
            <w:tblPr>
              <w:tblStyle w:val="44"/>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56"/>
              <w:gridCol w:w="3281"/>
              <w:gridCol w:w="3472"/>
            </w:tblGrid>
            <w:tr w14:paraId="2C4A2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07004289">
                  <w:pPr>
                    <w:autoSpaceDE w:val="0"/>
                    <w:autoSpaceDN w:val="0"/>
                    <w:adjustRightInd w:val="0"/>
                    <w:snapToGrid w:val="0"/>
                    <w:rPr>
                      <w:sz w:val="18"/>
                      <w:szCs w:val="18"/>
                    </w:rPr>
                  </w:pPr>
                  <w:r>
                    <w:rPr>
                      <w:sz w:val="18"/>
                      <w:szCs w:val="18"/>
                    </w:rPr>
                    <w:t>专项评价的类别</w:t>
                  </w:r>
                </w:p>
              </w:tc>
              <w:tc>
                <w:tcPr>
                  <w:tcW w:w="3383" w:type="dxa"/>
                  <w:tcBorders>
                    <w:tl2br w:val="nil"/>
                    <w:tr2bl w:val="nil"/>
                  </w:tcBorders>
                  <w:vAlign w:val="center"/>
                </w:tcPr>
                <w:p w14:paraId="3F851FD1">
                  <w:pPr>
                    <w:autoSpaceDE w:val="0"/>
                    <w:autoSpaceDN w:val="0"/>
                    <w:adjustRightInd w:val="0"/>
                    <w:snapToGrid w:val="0"/>
                    <w:jc w:val="center"/>
                    <w:rPr>
                      <w:sz w:val="18"/>
                      <w:szCs w:val="18"/>
                    </w:rPr>
                  </w:pPr>
                  <w:r>
                    <w:rPr>
                      <w:sz w:val="18"/>
                      <w:szCs w:val="18"/>
                    </w:rPr>
                    <w:t>涉及项目类别</w:t>
                  </w:r>
                </w:p>
              </w:tc>
              <w:tc>
                <w:tcPr>
                  <w:tcW w:w="3580" w:type="dxa"/>
                  <w:tcBorders>
                    <w:tl2br w:val="nil"/>
                    <w:tr2bl w:val="nil"/>
                  </w:tcBorders>
                  <w:vAlign w:val="center"/>
                </w:tcPr>
                <w:p w14:paraId="08CEE1CB">
                  <w:pPr>
                    <w:autoSpaceDE w:val="0"/>
                    <w:autoSpaceDN w:val="0"/>
                    <w:adjustRightInd w:val="0"/>
                    <w:snapToGrid w:val="0"/>
                    <w:jc w:val="center"/>
                    <w:rPr>
                      <w:sz w:val="18"/>
                      <w:szCs w:val="18"/>
                    </w:rPr>
                  </w:pPr>
                  <w:r>
                    <w:rPr>
                      <w:sz w:val="18"/>
                      <w:szCs w:val="18"/>
                    </w:rPr>
                    <w:t>设置理由</w:t>
                  </w:r>
                </w:p>
              </w:tc>
            </w:tr>
            <w:tr w14:paraId="22E25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45994C41">
                  <w:pPr>
                    <w:autoSpaceDE w:val="0"/>
                    <w:autoSpaceDN w:val="0"/>
                    <w:adjustRightInd w:val="0"/>
                    <w:snapToGrid w:val="0"/>
                    <w:jc w:val="center"/>
                    <w:rPr>
                      <w:sz w:val="18"/>
                      <w:szCs w:val="18"/>
                    </w:rPr>
                  </w:pPr>
                  <w:r>
                    <w:rPr>
                      <w:sz w:val="18"/>
                      <w:szCs w:val="18"/>
                    </w:rPr>
                    <w:t>地表水</w:t>
                  </w:r>
                </w:p>
              </w:tc>
              <w:tc>
                <w:tcPr>
                  <w:tcW w:w="3383" w:type="dxa"/>
                  <w:tcBorders>
                    <w:tl2br w:val="nil"/>
                    <w:tr2bl w:val="nil"/>
                  </w:tcBorders>
                  <w:vAlign w:val="center"/>
                </w:tcPr>
                <w:p w14:paraId="0B6888E4">
                  <w:pPr>
                    <w:autoSpaceDE w:val="0"/>
                    <w:autoSpaceDN w:val="0"/>
                    <w:adjustRightInd w:val="0"/>
                    <w:snapToGrid w:val="0"/>
                    <w:rPr>
                      <w:sz w:val="18"/>
                      <w:szCs w:val="18"/>
                    </w:rPr>
                  </w:pPr>
                  <w:r>
                    <w:rPr>
                      <w:sz w:val="18"/>
                      <w:szCs w:val="18"/>
                    </w:rPr>
                    <w:t>水力发电：引水式发电、涉及调峰发电的项目；</w:t>
                  </w:r>
                </w:p>
                <w:p w14:paraId="6FE9CCA1">
                  <w:pPr>
                    <w:autoSpaceDE w:val="0"/>
                    <w:autoSpaceDN w:val="0"/>
                    <w:adjustRightInd w:val="0"/>
                    <w:snapToGrid w:val="0"/>
                    <w:rPr>
                      <w:sz w:val="18"/>
                      <w:szCs w:val="18"/>
                    </w:rPr>
                  </w:pPr>
                  <w:r>
                    <w:rPr>
                      <w:sz w:val="18"/>
                      <w:szCs w:val="18"/>
                    </w:rPr>
                    <w:t>人工湖、人工湿地：全部；</w:t>
                  </w:r>
                </w:p>
                <w:p w14:paraId="4C7D5004">
                  <w:pPr>
                    <w:autoSpaceDE w:val="0"/>
                    <w:autoSpaceDN w:val="0"/>
                    <w:adjustRightInd w:val="0"/>
                    <w:snapToGrid w:val="0"/>
                    <w:rPr>
                      <w:sz w:val="18"/>
                      <w:szCs w:val="18"/>
                    </w:rPr>
                  </w:pPr>
                  <w:r>
                    <w:rPr>
                      <w:sz w:val="18"/>
                      <w:szCs w:val="18"/>
                    </w:rPr>
                    <w:t>水库：全部；</w:t>
                  </w:r>
                </w:p>
                <w:p w14:paraId="29A7B2C4">
                  <w:pPr>
                    <w:autoSpaceDE w:val="0"/>
                    <w:autoSpaceDN w:val="0"/>
                    <w:adjustRightInd w:val="0"/>
                    <w:snapToGrid w:val="0"/>
                    <w:rPr>
                      <w:sz w:val="18"/>
                      <w:szCs w:val="18"/>
                    </w:rPr>
                  </w:pPr>
                  <w:r>
                    <w:rPr>
                      <w:sz w:val="18"/>
                      <w:szCs w:val="18"/>
                    </w:rPr>
                    <w:t xml:space="preserve">引水工程：全部（配套的管线工程等除外）； </w:t>
                  </w:r>
                </w:p>
                <w:p w14:paraId="27F807DB">
                  <w:pPr>
                    <w:autoSpaceDE w:val="0"/>
                    <w:autoSpaceDN w:val="0"/>
                    <w:adjustRightInd w:val="0"/>
                    <w:snapToGrid w:val="0"/>
                    <w:rPr>
                      <w:sz w:val="18"/>
                      <w:szCs w:val="18"/>
                    </w:rPr>
                  </w:pPr>
                  <w:r>
                    <w:rPr>
                      <w:sz w:val="18"/>
                      <w:szCs w:val="18"/>
                    </w:rPr>
                    <w:t>防洪除涝工程：包含水库的项目；</w:t>
                  </w:r>
                </w:p>
                <w:p w14:paraId="7227174D">
                  <w:pPr>
                    <w:autoSpaceDE w:val="0"/>
                    <w:autoSpaceDN w:val="0"/>
                    <w:adjustRightInd w:val="0"/>
                    <w:snapToGrid w:val="0"/>
                    <w:rPr>
                      <w:sz w:val="18"/>
                      <w:szCs w:val="18"/>
                    </w:rPr>
                  </w:pPr>
                  <w:r>
                    <w:rPr>
                      <w:sz w:val="18"/>
                      <w:szCs w:val="18"/>
                    </w:rPr>
                    <w:t>河湖整治：涉及清淤且底泥存在重金属污染的项目</w:t>
                  </w:r>
                </w:p>
              </w:tc>
              <w:tc>
                <w:tcPr>
                  <w:tcW w:w="3580" w:type="dxa"/>
                  <w:tcBorders>
                    <w:tl2br w:val="nil"/>
                    <w:tr2bl w:val="nil"/>
                  </w:tcBorders>
                  <w:vAlign w:val="center"/>
                </w:tcPr>
                <w:p w14:paraId="7BCD380E">
                  <w:pPr>
                    <w:autoSpaceDE w:val="0"/>
                    <w:autoSpaceDN w:val="0"/>
                    <w:adjustRightInd w:val="0"/>
                    <w:snapToGrid w:val="0"/>
                    <w:jc w:val="center"/>
                    <w:rPr>
                      <w:sz w:val="18"/>
                      <w:szCs w:val="18"/>
                    </w:rPr>
                  </w:pPr>
                  <w:r>
                    <w:rPr>
                      <w:sz w:val="18"/>
                      <w:szCs w:val="18"/>
                    </w:rPr>
                    <w:t>本项目不涉及上述项目类别</w:t>
                  </w:r>
                </w:p>
              </w:tc>
            </w:tr>
            <w:tr w14:paraId="0EB97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54EEDF18">
                  <w:pPr>
                    <w:autoSpaceDE w:val="0"/>
                    <w:autoSpaceDN w:val="0"/>
                    <w:adjustRightInd w:val="0"/>
                    <w:snapToGrid w:val="0"/>
                    <w:jc w:val="center"/>
                    <w:rPr>
                      <w:sz w:val="18"/>
                      <w:szCs w:val="18"/>
                    </w:rPr>
                  </w:pPr>
                  <w:r>
                    <w:rPr>
                      <w:sz w:val="18"/>
                      <w:szCs w:val="18"/>
                    </w:rPr>
                    <w:t>地下水</w:t>
                  </w:r>
                </w:p>
              </w:tc>
              <w:tc>
                <w:tcPr>
                  <w:tcW w:w="3383" w:type="dxa"/>
                  <w:tcBorders>
                    <w:tl2br w:val="nil"/>
                    <w:tr2bl w:val="nil"/>
                  </w:tcBorders>
                  <w:vAlign w:val="center"/>
                </w:tcPr>
                <w:p w14:paraId="7C63B70A">
                  <w:pPr>
                    <w:autoSpaceDE w:val="0"/>
                    <w:autoSpaceDN w:val="0"/>
                    <w:adjustRightInd w:val="0"/>
                    <w:snapToGrid w:val="0"/>
                    <w:rPr>
                      <w:sz w:val="18"/>
                      <w:szCs w:val="18"/>
                    </w:rPr>
                  </w:pPr>
                  <w:r>
                    <w:rPr>
                      <w:sz w:val="18"/>
                      <w:szCs w:val="18"/>
                    </w:rPr>
                    <w:t xml:space="preserve">陆地石油和天然气开采：全部； </w:t>
                  </w:r>
                </w:p>
                <w:p w14:paraId="37975227">
                  <w:pPr>
                    <w:autoSpaceDE w:val="0"/>
                    <w:autoSpaceDN w:val="0"/>
                    <w:adjustRightInd w:val="0"/>
                    <w:snapToGrid w:val="0"/>
                    <w:rPr>
                      <w:sz w:val="18"/>
                      <w:szCs w:val="18"/>
                    </w:rPr>
                  </w:pPr>
                  <w:r>
                    <w:rPr>
                      <w:sz w:val="18"/>
                      <w:szCs w:val="18"/>
                    </w:rPr>
                    <w:t xml:space="preserve">地下水（含矿泉水）开采：全部； </w:t>
                  </w:r>
                </w:p>
                <w:p w14:paraId="48855E98">
                  <w:pPr>
                    <w:autoSpaceDE w:val="0"/>
                    <w:autoSpaceDN w:val="0"/>
                    <w:adjustRightInd w:val="0"/>
                    <w:snapToGrid w:val="0"/>
                    <w:rPr>
                      <w:sz w:val="18"/>
                      <w:szCs w:val="18"/>
                    </w:rPr>
                  </w:pPr>
                  <w:r>
                    <w:rPr>
                      <w:sz w:val="18"/>
                      <w:szCs w:val="18"/>
                    </w:rPr>
                    <w:t>水利、水电、交通等：含穿越可溶岩地层隧道的项目</w:t>
                  </w:r>
                </w:p>
              </w:tc>
              <w:tc>
                <w:tcPr>
                  <w:tcW w:w="3580" w:type="dxa"/>
                  <w:tcBorders>
                    <w:tl2br w:val="nil"/>
                    <w:tr2bl w:val="nil"/>
                  </w:tcBorders>
                  <w:vAlign w:val="center"/>
                </w:tcPr>
                <w:p w14:paraId="6C40B859">
                  <w:pPr>
                    <w:autoSpaceDE w:val="0"/>
                    <w:autoSpaceDN w:val="0"/>
                    <w:adjustRightInd w:val="0"/>
                    <w:snapToGrid w:val="0"/>
                    <w:jc w:val="center"/>
                    <w:rPr>
                      <w:sz w:val="18"/>
                      <w:szCs w:val="18"/>
                    </w:rPr>
                  </w:pPr>
                  <w:r>
                    <w:rPr>
                      <w:rFonts w:hint="eastAsia"/>
                      <w:sz w:val="18"/>
                      <w:szCs w:val="18"/>
                    </w:rPr>
                    <w:t>本项目</w:t>
                  </w:r>
                  <w:r>
                    <w:rPr>
                      <w:sz w:val="18"/>
                      <w:szCs w:val="18"/>
                    </w:rPr>
                    <w:t>为专业技术服务业类项目中的陆地矿产资源地质勘查（含油气资源勘探）；二氧化碳地质封存，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14:paraId="4E395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3B752167">
                  <w:pPr>
                    <w:autoSpaceDE w:val="0"/>
                    <w:autoSpaceDN w:val="0"/>
                    <w:adjustRightInd w:val="0"/>
                    <w:snapToGrid w:val="0"/>
                    <w:jc w:val="center"/>
                    <w:rPr>
                      <w:sz w:val="18"/>
                      <w:szCs w:val="18"/>
                    </w:rPr>
                  </w:pPr>
                  <w:r>
                    <w:rPr>
                      <w:sz w:val="18"/>
                      <w:szCs w:val="18"/>
                    </w:rPr>
                    <w:t>生态</w:t>
                  </w:r>
                </w:p>
              </w:tc>
              <w:tc>
                <w:tcPr>
                  <w:tcW w:w="3383" w:type="dxa"/>
                  <w:tcBorders>
                    <w:tl2br w:val="nil"/>
                    <w:tr2bl w:val="nil"/>
                  </w:tcBorders>
                  <w:vAlign w:val="center"/>
                </w:tcPr>
                <w:p w14:paraId="3818EB3A">
                  <w:pPr>
                    <w:autoSpaceDE w:val="0"/>
                    <w:autoSpaceDN w:val="0"/>
                    <w:adjustRightInd w:val="0"/>
                    <w:snapToGrid w:val="0"/>
                    <w:rPr>
                      <w:sz w:val="18"/>
                      <w:szCs w:val="18"/>
                    </w:rPr>
                  </w:pPr>
                  <w:r>
                    <w:rPr>
                      <w:sz w:val="18"/>
                      <w:szCs w:val="18"/>
                    </w:rPr>
                    <w:t>涉及环境敏感区（不包括饮用水水源保护区，以居住、医疗卫生、文化教育、科研、行政办公为主要功能的区域，以及文物保护单位）的项目</w:t>
                  </w:r>
                </w:p>
              </w:tc>
              <w:tc>
                <w:tcPr>
                  <w:tcW w:w="3580" w:type="dxa"/>
                  <w:tcBorders>
                    <w:tl2br w:val="nil"/>
                    <w:tr2bl w:val="nil"/>
                  </w:tcBorders>
                  <w:vAlign w:val="center"/>
                </w:tcPr>
                <w:p w14:paraId="2C790181">
                  <w:pPr>
                    <w:autoSpaceDE w:val="0"/>
                    <w:autoSpaceDN w:val="0"/>
                    <w:adjustRightInd w:val="0"/>
                    <w:snapToGrid w:val="0"/>
                    <w:jc w:val="left"/>
                    <w:rPr>
                      <w:sz w:val="18"/>
                      <w:szCs w:val="18"/>
                    </w:rPr>
                  </w:pPr>
                  <w:r>
                    <w:rPr>
                      <w:sz w:val="18"/>
                      <w:szCs w:val="18"/>
                    </w:rPr>
                    <w:t>本项目不涉及上述项目类别</w:t>
                  </w:r>
                </w:p>
              </w:tc>
            </w:tr>
            <w:tr w14:paraId="2E3DB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6A31FD35">
                  <w:pPr>
                    <w:autoSpaceDE w:val="0"/>
                    <w:autoSpaceDN w:val="0"/>
                    <w:adjustRightInd w:val="0"/>
                    <w:snapToGrid w:val="0"/>
                    <w:jc w:val="center"/>
                    <w:rPr>
                      <w:sz w:val="18"/>
                      <w:szCs w:val="18"/>
                    </w:rPr>
                  </w:pPr>
                  <w:r>
                    <w:rPr>
                      <w:sz w:val="18"/>
                      <w:szCs w:val="18"/>
                    </w:rPr>
                    <w:t>大气</w:t>
                  </w:r>
                </w:p>
              </w:tc>
              <w:tc>
                <w:tcPr>
                  <w:tcW w:w="3383" w:type="dxa"/>
                  <w:tcBorders>
                    <w:tl2br w:val="nil"/>
                    <w:tr2bl w:val="nil"/>
                  </w:tcBorders>
                  <w:vAlign w:val="center"/>
                </w:tcPr>
                <w:p w14:paraId="0AB598FA">
                  <w:pPr>
                    <w:autoSpaceDE w:val="0"/>
                    <w:autoSpaceDN w:val="0"/>
                    <w:adjustRightInd w:val="0"/>
                    <w:snapToGrid w:val="0"/>
                    <w:rPr>
                      <w:sz w:val="18"/>
                      <w:szCs w:val="18"/>
                    </w:rPr>
                  </w:pPr>
                  <w:r>
                    <w:rPr>
                      <w:sz w:val="18"/>
                      <w:szCs w:val="18"/>
                    </w:rPr>
                    <w:t xml:space="preserve">油气、液体化工码头：全部； </w:t>
                  </w:r>
                </w:p>
                <w:p w14:paraId="663EB09E">
                  <w:pPr>
                    <w:autoSpaceDE w:val="0"/>
                    <w:autoSpaceDN w:val="0"/>
                    <w:adjustRightInd w:val="0"/>
                    <w:snapToGrid w:val="0"/>
                    <w:rPr>
                      <w:sz w:val="18"/>
                      <w:szCs w:val="18"/>
                    </w:rPr>
                  </w:pPr>
                  <w:r>
                    <w:rPr>
                      <w:sz w:val="18"/>
                      <w:szCs w:val="18"/>
                    </w:rPr>
                    <w:t xml:space="preserve">干散货（含煤炭、矿石）、件杂、多用途、通用码头：涉及粉尘、挥发性有 </w:t>
                  </w:r>
                </w:p>
                <w:p w14:paraId="7884B40F">
                  <w:pPr>
                    <w:autoSpaceDE w:val="0"/>
                    <w:autoSpaceDN w:val="0"/>
                    <w:adjustRightInd w:val="0"/>
                    <w:snapToGrid w:val="0"/>
                    <w:rPr>
                      <w:sz w:val="18"/>
                      <w:szCs w:val="18"/>
                    </w:rPr>
                  </w:pPr>
                  <w:r>
                    <w:rPr>
                      <w:sz w:val="18"/>
                      <w:szCs w:val="18"/>
                    </w:rPr>
                    <w:t>机物排放的项目</w:t>
                  </w:r>
                </w:p>
              </w:tc>
              <w:tc>
                <w:tcPr>
                  <w:tcW w:w="3580" w:type="dxa"/>
                  <w:tcBorders>
                    <w:tl2br w:val="nil"/>
                    <w:tr2bl w:val="nil"/>
                  </w:tcBorders>
                  <w:vAlign w:val="center"/>
                </w:tcPr>
                <w:p w14:paraId="68C57DB4">
                  <w:pPr>
                    <w:autoSpaceDE w:val="0"/>
                    <w:autoSpaceDN w:val="0"/>
                    <w:adjustRightInd w:val="0"/>
                    <w:snapToGrid w:val="0"/>
                    <w:rPr>
                      <w:sz w:val="18"/>
                      <w:szCs w:val="18"/>
                    </w:rPr>
                  </w:pPr>
                  <w:r>
                    <w:rPr>
                      <w:sz w:val="18"/>
                      <w:szCs w:val="18"/>
                    </w:rPr>
                    <w:t>本项目不涉及上述项目类别</w:t>
                  </w:r>
                </w:p>
              </w:tc>
            </w:tr>
            <w:tr w14:paraId="7B97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7010B237">
                  <w:pPr>
                    <w:autoSpaceDE w:val="0"/>
                    <w:autoSpaceDN w:val="0"/>
                    <w:adjustRightInd w:val="0"/>
                    <w:snapToGrid w:val="0"/>
                    <w:jc w:val="center"/>
                    <w:rPr>
                      <w:sz w:val="18"/>
                      <w:szCs w:val="18"/>
                    </w:rPr>
                  </w:pPr>
                  <w:r>
                    <w:rPr>
                      <w:sz w:val="18"/>
                      <w:szCs w:val="18"/>
                    </w:rPr>
                    <w:t>噪声</w:t>
                  </w:r>
                </w:p>
              </w:tc>
              <w:tc>
                <w:tcPr>
                  <w:tcW w:w="3383" w:type="dxa"/>
                  <w:tcBorders>
                    <w:tl2br w:val="nil"/>
                    <w:tr2bl w:val="nil"/>
                  </w:tcBorders>
                  <w:vAlign w:val="center"/>
                </w:tcPr>
                <w:p w14:paraId="3E251BDC">
                  <w:pPr>
                    <w:autoSpaceDE w:val="0"/>
                    <w:autoSpaceDN w:val="0"/>
                    <w:adjustRightInd w:val="0"/>
                    <w:snapToGrid w:val="0"/>
                    <w:rPr>
                      <w:sz w:val="18"/>
                      <w:szCs w:val="18"/>
                    </w:rPr>
                  </w:pPr>
                  <w:r>
                    <w:rPr>
                      <w:sz w:val="18"/>
                      <w:szCs w:val="18"/>
                    </w:rPr>
                    <w:t xml:space="preserve">公路、铁路、机场等交通运输业涉及环境敏感区（以居住、医疗卫生、文化教育、科研、行政办公为主要功能的区域）的项目； </w:t>
                  </w:r>
                </w:p>
                <w:p w14:paraId="6FDCE4ED">
                  <w:pPr>
                    <w:autoSpaceDE w:val="0"/>
                    <w:autoSpaceDN w:val="0"/>
                    <w:adjustRightInd w:val="0"/>
                    <w:snapToGrid w:val="0"/>
                    <w:rPr>
                      <w:sz w:val="18"/>
                      <w:szCs w:val="18"/>
                    </w:rPr>
                  </w:pPr>
                  <w:r>
                    <w:rPr>
                      <w:sz w:val="18"/>
                      <w:szCs w:val="18"/>
                    </w:rPr>
                    <w:t>城市道路（不含维护，不含支路、人行天桥、人行地道）：全部</w:t>
                  </w:r>
                </w:p>
              </w:tc>
              <w:tc>
                <w:tcPr>
                  <w:tcW w:w="3580" w:type="dxa"/>
                  <w:tcBorders>
                    <w:tl2br w:val="nil"/>
                    <w:tr2bl w:val="nil"/>
                  </w:tcBorders>
                  <w:vAlign w:val="center"/>
                </w:tcPr>
                <w:p w14:paraId="1A938799">
                  <w:pPr>
                    <w:autoSpaceDE w:val="0"/>
                    <w:autoSpaceDN w:val="0"/>
                    <w:adjustRightInd w:val="0"/>
                    <w:snapToGrid w:val="0"/>
                    <w:jc w:val="left"/>
                    <w:rPr>
                      <w:sz w:val="18"/>
                      <w:szCs w:val="18"/>
                    </w:rPr>
                  </w:pPr>
                  <w:r>
                    <w:rPr>
                      <w:sz w:val="18"/>
                      <w:szCs w:val="18"/>
                    </w:rPr>
                    <w:t>本项目不涉及上述项目类别</w:t>
                  </w:r>
                </w:p>
              </w:tc>
            </w:tr>
            <w:tr w14:paraId="2FD57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14:paraId="5D7849DF">
                  <w:pPr>
                    <w:autoSpaceDE w:val="0"/>
                    <w:autoSpaceDN w:val="0"/>
                    <w:adjustRightInd w:val="0"/>
                    <w:snapToGrid w:val="0"/>
                    <w:jc w:val="center"/>
                    <w:rPr>
                      <w:sz w:val="18"/>
                      <w:szCs w:val="18"/>
                    </w:rPr>
                  </w:pPr>
                  <w:r>
                    <w:rPr>
                      <w:sz w:val="18"/>
                      <w:szCs w:val="18"/>
                    </w:rPr>
                    <w:t>环境风险</w:t>
                  </w:r>
                </w:p>
              </w:tc>
              <w:tc>
                <w:tcPr>
                  <w:tcW w:w="3383" w:type="dxa"/>
                  <w:tcBorders>
                    <w:tl2br w:val="nil"/>
                    <w:tr2bl w:val="nil"/>
                  </w:tcBorders>
                  <w:vAlign w:val="center"/>
                </w:tcPr>
                <w:p w14:paraId="6AD3CB8E">
                  <w:pPr>
                    <w:autoSpaceDE w:val="0"/>
                    <w:autoSpaceDN w:val="0"/>
                    <w:adjustRightInd w:val="0"/>
                    <w:snapToGrid w:val="0"/>
                    <w:rPr>
                      <w:sz w:val="18"/>
                      <w:szCs w:val="18"/>
                    </w:rPr>
                  </w:pPr>
                  <w:r>
                    <w:rPr>
                      <w:sz w:val="18"/>
                      <w:szCs w:val="18"/>
                    </w:rPr>
                    <w:t xml:space="preserve">石油和天然气开采：全部； </w:t>
                  </w:r>
                </w:p>
                <w:p w14:paraId="54E114CF">
                  <w:pPr>
                    <w:autoSpaceDE w:val="0"/>
                    <w:autoSpaceDN w:val="0"/>
                    <w:adjustRightInd w:val="0"/>
                    <w:snapToGrid w:val="0"/>
                    <w:rPr>
                      <w:sz w:val="18"/>
                      <w:szCs w:val="18"/>
                    </w:rPr>
                  </w:pPr>
                  <w:r>
                    <w:rPr>
                      <w:sz w:val="18"/>
                      <w:szCs w:val="18"/>
                    </w:rPr>
                    <w:t xml:space="preserve">油气、液体化工码头：全部； </w:t>
                  </w:r>
                </w:p>
                <w:p w14:paraId="4E66C0A0">
                  <w:pPr>
                    <w:autoSpaceDE w:val="0"/>
                    <w:autoSpaceDN w:val="0"/>
                    <w:adjustRightInd w:val="0"/>
                    <w:snapToGrid w:val="0"/>
                    <w:rPr>
                      <w:sz w:val="18"/>
                      <w:szCs w:val="18"/>
                    </w:rPr>
                  </w:pPr>
                  <w:r>
                    <w:rPr>
                      <w:sz w:val="18"/>
                      <w:szCs w:val="18"/>
                    </w:rPr>
                    <w:t>原油、成品油、天然气管线（不含城镇天然气管线、企业厂区内管线），危险化学品输送管线（不含企业厂区内管线）：全部</w:t>
                  </w:r>
                </w:p>
              </w:tc>
              <w:tc>
                <w:tcPr>
                  <w:tcW w:w="3580" w:type="dxa"/>
                  <w:tcBorders>
                    <w:tl2br w:val="nil"/>
                    <w:tr2bl w:val="nil"/>
                  </w:tcBorders>
                  <w:vAlign w:val="center"/>
                </w:tcPr>
                <w:p w14:paraId="40B81638">
                  <w:pPr>
                    <w:autoSpaceDE w:val="0"/>
                    <w:autoSpaceDN w:val="0"/>
                    <w:adjustRightInd w:val="0"/>
                    <w:snapToGrid w:val="0"/>
                    <w:jc w:val="left"/>
                    <w:rPr>
                      <w:sz w:val="18"/>
                      <w:szCs w:val="18"/>
                    </w:rPr>
                  </w:pPr>
                  <w:r>
                    <w:rPr>
                      <w:rFonts w:hint="eastAsia"/>
                      <w:sz w:val="18"/>
                      <w:szCs w:val="18"/>
                    </w:rPr>
                    <w:t>本项目</w:t>
                  </w:r>
                  <w:r>
                    <w:rPr>
                      <w:sz w:val="18"/>
                      <w:szCs w:val="18"/>
                    </w:rPr>
                    <w:t>为专业技术服务业类项目中的陆地矿产资源地质勘查（含油气资源勘探）；二氧化碳地质封存，本项目环境影响与“石油和天然气开采业”中钻井工程的环境影响情况相似，为更好管控其环境风险，因此本次专项评价设置参照“陆地石油和天然气开采”进行设置，即本次环评设置环境风险专项评价。</w:t>
                  </w:r>
                </w:p>
              </w:tc>
            </w:tr>
          </w:tbl>
          <w:p w14:paraId="79E39583"/>
        </w:tc>
      </w:tr>
      <w:tr w14:paraId="7F437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14:paraId="1FDEAC4F">
            <w:pPr>
              <w:autoSpaceDE w:val="0"/>
              <w:autoSpaceDN w:val="0"/>
              <w:adjustRightInd w:val="0"/>
              <w:snapToGrid w:val="0"/>
              <w:jc w:val="center"/>
              <w:rPr>
                <w:kern w:val="0"/>
                <w:szCs w:val="21"/>
              </w:rPr>
            </w:pPr>
            <w:r>
              <w:rPr>
                <w:szCs w:val="21"/>
              </w:rPr>
              <w:t>规划情况</w:t>
            </w:r>
          </w:p>
        </w:tc>
        <w:tc>
          <w:tcPr>
            <w:tcW w:w="7906" w:type="dxa"/>
            <w:gridSpan w:val="3"/>
            <w:tcMar>
              <w:top w:w="16" w:type="dxa"/>
              <w:left w:w="16" w:type="dxa"/>
              <w:right w:w="16" w:type="dxa"/>
            </w:tcMar>
            <w:vAlign w:val="center"/>
          </w:tcPr>
          <w:p w14:paraId="737B799B">
            <w:pPr>
              <w:spacing w:line="360" w:lineRule="auto"/>
              <w:rPr>
                <w:kern w:val="0"/>
                <w:sz w:val="24"/>
              </w:rPr>
            </w:pPr>
            <w:r>
              <w:rPr>
                <w:kern w:val="0"/>
                <w:sz w:val="24"/>
              </w:rPr>
              <w:t>1.规划名称：《四川省矿产资源总体规划（2021-2025年）》</w:t>
            </w:r>
          </w:p>
          <w:p w14:paraId="604E1CE9">
            <w:pPr>
              <w:spacing w:line="360" w:lineRule="auto"/>
              <w:rPr>
                <w:kern w:val="0"/>
                <w:sz w:val="24"/>
              </w:rPr>
            </w:pPr>
            <w:r>
              <w:rPr>
                <w:kern w:val="0"/>
                <w:sz w:val="24"/>
              </w:rPr>
              <w:t>2.审批文件：自然资源部办公厅关于四川省矿产资源总体规划（2021-2025 年）的复函</w:t>
            </w:r>
          </w:p>
          <w:p w14:paraId="18F19D37">
            <w:pPr>
              <w:spacing w:line="360" w:lineRule="auto"/>
              <w:rPr>
                <w:kern w:val="0"/>
                <w:szCs w:val="21"/>
              </w:rPr>
            </w:pPr>
            <w:r>
              <w:rPr>
                <w:kern w:val="0"/>
                <w:sz w:val="24"/>
              </w:rPr>
              <w:t>3.审批文号：自然资办函〔2022〕1506号</w:t>
            </w:r>
          </w:p>
        </w:tc>
      </w:tr>
      <w:tr w14:paraId="4328E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14:paraId="5CD118E6">
            <w:pPr>
              <w:autoSpaceDE w:val="0"/>
              <w:autoSpaceDN w:val="0"/>
              <w:adjustRightInd w:val="0"/>
              <w:snapToGrid w:val="0"/>
              <w:jc w:val="center"/>
              <w:rPr>
                <w:kern w:val="0"/>
                <w:szCs w:val="21"/>
              </w:rPr>
            </w:pPr>
            <w:r>
              <w:rPr>
                <w:szCs w:val="21"/>
              </w:rPr>
              <w:t>规划环境影响评价情况</w:t>
            </w:r>
          </w:p>
        </w:tc>
        <w:tc>
          <w:tcPr>
            <w:tcW w:w="7906" w:type="dxa"/>
            <w:gridSpan w:val="3"/>
            <w:tcMar>
              <w:top w:w="16" w:type="dxa"/>
              <w:left w:w="16" w:type="dxa"/>
              <w:right w:w="16" w:type="dxa"/>
            </w:tcMar>
            <w:vAlign w:val="center"/>
          </w:tcPr>
          <w:p w14:paraId="1EEE224D">
            <w:pPr>
              <w:pStyle w:val="26"/>
            </w:pPr>
            <w:r>
              <w:t>规划名称：《四川省矿产资源总体规划（2021-2025年）环境影响报告书》</w:t>
            </w:r>
          </w:p>
          <w:p w14:paraId="2255025F">
            <w:pPr>
              <w:pStyle w:val="26"/>
            </w:pPr>
            <w:r>
              <w:t>审批机关：中华人民共和国生态环境部</w:t>
            </w:r>
          </w:p>
          <w:p w14:paraId="428795A7">
            <w:pPr>
              <w:pStyle w:val="26"/>
            </w:pPr>
            <w:r>
              <w:t>审批文号：环审﹝2022﹞105号</w:t>
            </w:r>
          </w:p>
        </w:tc>
      </w:tr>
      <w:tr w14:paraId="6BD00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14:paraId="1EB1CE86">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7906" w:type="dxa"/>
            <w:gridSpan w:val="3"/>
            <w:tcMar>
              <w:top w:w="16" w:type="dxa"/>
              <w:left w:w="16" w:type="dxa"/>
              <w:right w:w="16" w:type="dxa"/>
            </w:tcMar>
            <w:vAlign w:val="center"/>
          </w:tcPr>
          <w:p w14:paraId="00AF8EB0">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lang w:bidi="ar"/>
              </w:rPr>
              <w:t>项目与规划符合性分析</w:t>
            </w:r>
          </w:p>
          <w:p w14:paraId="06C37AC2">
            <w:pPr>
              <w:spacing w:line="360" w:lineRule="auto"/>
              <w:ind w:firstLine="480" w:firstLineChars="200"/>
              <w:rPr>
                <w:bCs/>
                <w:sz w:val="24"/>
                <w:lang w:bidi="ar"/>
              </w:rPr>
            </w:pPr>
            <w:r>
              <w:rPr>
                <w:bCs/>
                <w:sz w:val="24"/>
                <w:lang w:bidi="ar"/>
              </w:rPr>
              <w:t>（1）与《四川省矿产资源总体规划（2021—2025年）》符合性分析</w:t>
            </w:r>
          </w:p>
          <w:p w14:paraId="68EA3E85">
            <w:pPr>
              <w:spacing w:line="360" w:lineRule="auto"/>
              <w:ind w:firstLine="480" w:firstLineChars="200"/>
              <w:rPr>
                <w:bCs/>
                <w:sz w:val="24"/>
                <w:lang w:bidi="ar"/>
              </w:rPr>
            </w:pPr>
            <w:r>
              <w:rPr>
                <w:bCs/>
                <w:sz w:val="24"/>
                <w:lang w:bidi="ar"/>
              </w:rPr>
              <w:t>根据《四川省矿产资源总体规划（2021—2025年）》</w:t>
            </w:r>
            <w:r>
              <w:rPr>
                <w:rFonts w:hint="eastAsia"/>
                <w:bCs/>
                <w:sz w:val="24"/>
                <w:lang w:bidi="ar"/>
              </w:rPr>
              <w:t>提出</w:t>
            </w:r>
            <w:r>
              <w:rPr>
                <w:bCs/>
                <w:sz w:val="24"/>
                <w:lang w:bidi="ar"/>
              </w:rPr>
              <w:t>：“大力支持天然气、页岩气开采，2025年底天然气（页岩气）年产量达到630亿立方米/年；2035年建成国家天然气（页岩气）千亿立方米级产能基地”；“川东北能源建材勘查开发区。包括南充、</w:t>
            </w:r>
            <w:r>
              <w:rPr>
                <w:b/>
                <w:sz w:val="24"/>
                <w:lang w:bidi="ar"/>
              </w:rPr>
              <w:t>达州</w:t>
            </w:r>
            <w:r>
              <w:rPr>
                <w:bCs/>
                <w:sz w:val="24"/>
                <w:lang w:bidi="ar"/>
              </w:rPr>
              <w:t>、广安、巴中、广元5市，大力发展清洁能源化工、特色矿产品精深加工，推动川东北经济区振兴发展”；“重点勘查矿种：</w:t>
            </w:r>
            <w:r>
              <w:rPr>
                <w:b/>
                <w:sz w:val="24"/>
                <w:lang w:bidi="ar"/>
              </w:rPr>
              <w:t>川东北重点勘查天然气</w:t>
            </w:r>
            <w:r>
              <w:rPr>
                <w:bCs/>
                <w:sz w:val="24"/>
                <w:lang w:bidi="ar"/>
              </w:rPr>
              <w:t>、页岩油、天然沥青、煤层气、钒、铼、地热、钾盐、石墨”。</w:t>
            </w:r>
          </w:p>
          <w:p w14:paraId="07DFF49D">
            <w:pPr>
              <w:spacing w:line="360" w:lineRule="auto"/>
              <w:ind w:firstLine="480" w:firstLineChars="200"/>
              <w:rPr>
                <w:bCs/>
                <w:sz w:val="24"/>
                <w:lang w:bidi="ar"/>
              </w:rPr>
            </w:pPr>
            <w:r>
              <w:rPr>
                <w:bCs/>
                <w:sz w:val="24"/>
                <w:lang w:bidi="ar"/>
              </w:rPr>
              <w:t>本项目为达州市境内的</w:t>
            </w:r>
            <w:r>
              <w:rPr>
                <w:b/>
                <w:sz w:val="24"/>
                <w:lang w:bidi="ar"/>
              </w:rPr>
              <w:t>陆地矿产资源地质勘查（含油气资源勘探）</w:t>
            </w:r>
            <w:r>
              <w:rPr>
                <w:bCs/>
                <w:sz w:val="24"/>
                <w:lang w:bidi="ar"/>
              </w:rPr>
              <w:t>，</w:t>
            </w:r>
            <w:r>
              <w:rPr>
                <w:rFonts w:hint="eastAsia"/>
                <w:bCs/>
                <w:sz w:val="24"/>
                <w:lang w:bidi="ar"/>
              </w:rPr>
              <w:t>项目</w:t>
            </w:r>
            <w:r>
              <w:rPr>
                <w:bCs/>
                <w:sz w:val="24"/>
                <w:lang w:bidi="ar"/>
              </w:rPr>
              <w:t>位于</w:t>
            </w:r>
            <w:r>
              <w:rPr>
                <w:rFonts w:hint="eastAsia"/>
                <w:bCs/>
                <w:sz w:val="24"/>
                <w:lang w:bidi="ar"/>
              </w:rPr>
              <w:t>达州市宣汉地区的天然气勘查</w:t>
            </w:r>
            <w:r>
              <w:rPr>
                <w:bCs/>
                <w:sz w:val="24"/>
                <w:lang w:bidi="ar"/>
              </w:rPr>
              <w:t>，属于规划中明确的重点勘查矿种。因此，项目</w:t>
            </w:r>
            <w:r>
              <w:rPr>
                <w:rFonts w:hint="eastAsia"/>
                <w:bCs/>
                <w:sz w:val="24"/>
                <w:lang w:bidi="ar"/>
              </w:rPr>
              <w:t>的</w:t>
            </w:r>
            <w:r>
              <w:rPr>
                <w:bCs/>
                <w:sz w:val="24"/>
                <w:lang w:bidi="ar"/>
              </w:rPr>
              <w:t>建设</w:t>
            </w:r>
            <w:r>
              <w:rPr>
                <w:rFonts w:hint="eastAsia"/>
                <w:bCs/>
                <w:sz w:val="24"/>
                <w:lang w:bidi="ar"/>
              </w:rPr>
              <w:t>符合</w:t>
            </w:r>
            <w:r>
              <w:rPr>
                <w:bCs/>
                <w:sz w:val="24"/>
                <w:lang w:bidi="ar"/>
              </w:rPr>
              <w:t>《四川省矿产资源总体规划（2021—2025年）》</w:t>
            </w:r>
            <w:r>
              <w:rPr>
                <w:rFonts w:hint="eastAsia"/>
                <w:bCs/>
                <w:sz w:val="24"/>
                <w:lang w:bidi="ar"/>
              </w:rPr>
              <w:t>的相关要求</w:t>
            </w:r>
            <w:r>
              <w:rPr>
                <w:bCs/>
                <w:sz w:val="24"/>
                <w:lang w:bidi="ar"/>
              </w:rPr>
              <w:t>。</w:t>
            </w:r>
          </w:p>
          <w:p w14:paraId="707EB4A7">
            <w:pPr>
              <w:spacing w:line="360" w:lineRule="auto"/>
              <w:ind w:firstLine="480" w:firstLineChars="200"/>
              <w:rPr>
                <w:bCs/>
                <w:sz w:val="24"/>
                <w:lang w:bidi="ar"/>
              </w:rPr>
            </w:pPr>
            <w:r>
              <w:rPr>
                <w:bCs/>
                <w:sz w:val="24"/>
                <w:lang w:bidi="ar"/>
              </w:rPr>
              <w:t>（2）与《四川省矿产资源总体规划（2021-2025年）》规划环评符合性分析</w:t>
            </w:r>
          </w:p>
          <w:p w14:paraId="33FAA363">
            <w:pPr>
              <w:spacing w:line="360" w:lineRule="auto"/>
              <w:ind w:firstLine="480" w:firstLineChars="200"/>
              <w:rPr>
                <w:kern w:val="0"/>
                <w:sz w:val="24"/>
              </w:rPr>
            </w:pPr>
            <w:r>
              <w:rPr>
                <w:bCs/>
                <w:sz w:val="24"/>
                <w:lang w:bidi="ar"/>
              </w:rPr>
              <w:t>本项目</w:t>
            </w:r>
            <w:r>
              <w:rPr>
                <w:kern w:val="0"/>
                <w:sz w:val="24"/>
                <w:lang w:bidi="ar"/>
              </w:rPr>
              <w:t>与《四川省矿产资源总体规划（2021-2025年）环境影响报告书》及审查意见的符合性分析见表1-1。</w:t>
            </w:r>
          </w:p>
          <w:p w14:paraId="72C31BA1">
            <w:pPr>
              <w:spacing w:line="360" w:lineRule="auto"/>
              <w:jc w:val="center"/>
              <w:rPr>
                <w:b/>
                <w:sz w:val="24"/>
              </w:rPr>
            </w:pPr>
            <w:r>
              <w:rPr>
                <w:b/>
                <w:sz w:val="24"/>
                <w:lang w:bidi="ar"/>
              </w:rPr>
              <w:t>表1-1 与《四川省矿产资源总体规划（2021-2025年）环境影响报告书》及审查意见符合性分析表</w:t>
            </w:r>
          </w:p>
          <w:tbl>
            <w:tblPr>
              <w:tblStyle w:val="4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4"/>
              <w:gridCol w:w="2499"/>
              <w:gridCol w:w="396"/>
            </w:tblGrid>
            <w:tr w14:paraId="19847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12" w:space="0"/>
                    <w:left w:val="single" w:color="auto" w:sz="12" w:space="0"/>
                    <w:bottom w:val="single" w:color="auto" w:sz="4" w:space="0"/>
                    <w:right w:val="single" w:color="auto" w:sz="4" w:space="0"/>
                  </w:tcBorders>
                  <w:shd w:val="clear" w:color="auto" w:fill="FFFFFF"/>
                  <w:vAlign w:val="center"/>
                </w:tcPr>
                <w:p w14:paraId="12BF8957">
                  <w:pPr>
                    <w:autoSpaceDE w:val="0"/>
                    <w:autoSpaceDN w:val="0"/>
                    <w:adjustRightInd w:val="0"/>
                    <w:snapToGrid w:val="0"/>
                    <w:jc w:val="center"/>
                    <w:rPr>
                      <w:kern w:val="0"/>
                      <w:szCs w:val="21"/>
                    </w:rPr>
                  </w:pPr>
                  <w:r>
                    <w:rPr>
                      <w:kern w:val="0"/>
                      <w:szCs w:val="21"/>
                      <w:lang w:bidi="ar"/>
                    </w:rPr>
                    <w:t>文件情况</w:t>
                  </w:r>
                </w:p>
              </w:tc>
              <w:tc>
                <w:tcPr>
                  <w:tcW w:w="2576" w:type="dxa"/>
                  <w:tcBorders>
                    <w:top w:val="single" w:color="auto" w:sz="12" w:space="0"/>
                    <w:left w:val="single" w:color="auto" w:sz="4" w:space="0"/>
                    <w:bottom w:val="single" w:color="auto" w:sz="4" w:space="0"/>
                    <w:right w:val="single" w:color="auto" w:sz="4" w:space="0"/>
                  </w:tcBorders>
                  <w:shd w:val="clear" w:color="auto" w:fill="FFFFFF"/>
                  <w:vAlign w:val="center"/>
                </w:tcPr>
                <w:p w14:paraId="32C3A060">
                  <w:pPr>
                    <w:autoSpaceDE w:val="0"/>
                    <w:autoSpaceDN w:val="0"/>
                    <w:adjustRightInd w:val="0"/>
                    <w:snapToGrid w:val="0"/>
                    <w:jc w:val="center"/>
                    <w:rPr>
                      <w:kern w:val="0"/>
                      <w:szCs w:val="21"/>
                    </w:rPr>
                  </w:pPr>
                  <w:r>
                    <w:rPr>
                      <w:kern w:val="0"/>
                      <w:szCs w:val="21"/>
                      <w:lang w:bidi="ar"/>
                    </w:rPr>
                    <w:t>本项目情况</w:t>
                  </w:r>
                </w:p>
              </w:tc>
              <w:tc>
                <w:tcPr>
                  <w:tcW w:w="401" w:type="dxa"/>
                  <w:tcBorders>
                    <w:top w:val="single" w:color="auto" w:sz="12" w:space="0"/>
                    <w:left w:val="single" w:color="auto" w:sz="4" w:space="0"/>
                    <w:bottom w:val="single" w:color="auto" w:sz="4" w:space="0"/>
                    <w:right w:val="single" w:color="auto" w:sz="12" w:space="0"/>
                  </w:tcBorders>
                  <w:shd w:val="clear" w:color="auto" w:fill="FFFFFF"/>
                  <w:vAlign w:val="center"/>
                </w:tcPr>
                <w:p w14:paraId="6886BAEF">
                  <w:pPr>
                    <w:autoSpaceDE w:val="0"/>
                    <w:autoSpaceDN w:val="0"/>
                    <w:adjustRightInd w:val="0"/>
                    <w:snapToGrid w:val="0"/>
                    <w:jc w:val="center"/>
                    <w:rPr>
                      <w:kern w:val="0"/>
                      <w:szCs w:val="21"/>
                    </w:rPr>
                  </w:pPr>
                  <w:r>
                    <w:rPr>
                      <w:kern w:val="0"/>
                      <w:szCs w:val="21"/>
                      <w:lang w:bidi="ar"/>
                    </w:rPr>
                    <w:t>符合性</w:t>
                  </w:r>
                </w:p>
              </w:tc>
            </w:tr>
            <w:tr w14:paraId="3364E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14:paraId="49307084">
                  <w:pPr>
                    <w:autoSpaceDE w:val="0"/>
                    <w:autoSpaceDN w:val="0"/>
                    <w:adjustRightInd w:val="0"/>
                    <w:snapToGrid w:val="0"/>
                    <w:rPr>
                      <w:b/>
                      <w:bCs/>
                      <w:szCs w:val="21"/>
                    </w:rPr>
                  </w:pPr>
                  <w:r>
                    <w:rPr>
                      <w:b/>
                      <w:bCs/>
                      <w:szCs w:val="21"/>
                      <w:lang w:bidi="ar"/>
                    </w:rPr>
                    <w:t>严格“三线一单”管控：</w:t>
                  </w:r>
                </w:p>
                <w:p w14:paraId="3ED1D921">
                  <w:pPr>
                    <w:autoSpaceDE w:val="0"/>
                    <w:autoSpaceDN w:val="0"/>
                    <w:adjustRightInd w:val="0"/>
                    <w:snapToGrid w:val="0"/>
                    <w:ind w:firstLine="420" w:firstLineChars="200"/>
                    <w:jc w:val="center"/>
                    <w:rPr>
                      <w:szCs w:val="21"/>
                    </w:rPr>
                  </w:pPr>
                  <w:r>
                    <w:rPr>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三线一单”编制成果》及四川省各市州长江经济带战略环境评价“三线一单”编制文本中有关矿产资源勘查开发的准入要求，严格矿产资源开采项目准入，推进矿产资源开发利用布局与结构优化调整，落实《关于加快建设绿色矿山的实施意见》（国土资规〔2017〕4号）等相关规定和要求，推动矿业绿色发展，实现资源开发利用与环境保护相协调的绿色发展格局。</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14:paraId="2774206A">
                  <w:pPr>
                    <w:autoSpaceDE w:val="0"/>
                    <w:autoSpaceDN w:val="0"/>
                    <w:adjustRightInd w:val="0"/>
                    <w:snapToGrid w:val="0"/>
                    <w:rPr>
                      <w:kern w:val="0"/>
                      <w:szCs w:val="21"/>
                    </w:rPr>
                  </w:pPr>
                  <w:r>
                    <w:rPr>
                      <w:kern w:val="0"/>
                      <w:szCs w:val="21"/>
                      <w:lang w:bidi="ar"/>
                    </w:rPr>
                    <w:t>本项目</w:t>
                  </w:r>
                  <w:r>
                    <w:rPr>
                      <w:rFonts w:hint="eastAsia"/>
                      <w:kern w:val="0"/>
                      <w:szCs w:val="21"/>
                      <w:lang w:bidi="ar"/>
                    </w:rPr>
                    <w:t>选址</w:t>
                  </w:r>
                  <w:r>
                    <w:rPr>
                      <w:kern w:val="0"/>
                      <w:szCs w:val="21"/>
                      <w:lang w:bidi="ar"/>
                    </w:rPr>
                    <w:t>不涉及四川省生态保护红线，</w:t>
                  </w:r>
                  <w:r>
                    <w:rPr>
                      <w:rFonts w:hint="eastAsia"/>
                      <w:kern w:val="0"/>
                      <w:szCs w:val="21"/>
                      <w:lang w:bidi="ar"/>
                    </w:rPr>
                    <w:t>不涉及自然保护区、饮用水源保护区、风景名胜区、湿地公园等敏感区域。</w:t>
                  </w:r>
                  <w:r>
                    <w:rPr>
                      <w:kern w:val="0"/>
                      <w:szCs w:val="21"/>
                      <w:lang w:bidi="ar"/>
                    </w:rPr>
                    <w:t>施工过程中产生的废水及固废均交由有资质和处置能力的单位处置，</w:t>
                  </w:r>
                  <w:r>
                    <w:rPr>
                      <w:rFonts w:hint="eastAsia"/>
                      <w:kern w:val="0"/>
                      <w:szCs w:val="21"/>
                      <w:lang w:bidi="ar"/>
                    </w:rPr>
                    <w:t>现场</w:t>
                  </w:r>
                  <w:r>
                    <w:rPr>
                      <w:kern w:val="0"/>
                      <w:szCs w:val="21"/>
                      <w:lang w:bidi="ar"/>
                    </w:rPr>
                    <w:t>不外排</w:t>
                  </w:r>
                  <w:r>
                    <w:rPr>
                      <w:rFonts w:hint="eastAsia"/>
                      <w:kern w:val="0"/>
                      <w:szCs w:val="21"/>
                      <w:lang w:bidi="ar"/>
                    </w:rPr>
                    <w:t>。项目不占用永久基本农田</w:t>
                  </w:r>
                  <w:r>
                    <w:rPr>
                      <w:kern w:val="0"/>
                      <w:szCs w:val="21"/>
                      <w:lang w:bidi="ar"/>
                    </w:rPr>
                    <w:t>。</w:t>
                  </w:r>
                  <w:r>
                    <w:rPr>
                      <w:rFonts w:hint="eastAsia"/>
                      <w:color w:val="0000FF"/>
                      <w:kern w:val="0"/>
                      <w:szCs w:val="21"/>
                      <w:lang w:bidi="ar"/>
                    </w:rPr>
                    <w:t>项目占用部分林地，将按照相关规定开工前完善林地使用手续。</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14:paraId="3895DD68">
                  <w:pPr>
                    <w:autoSpaceDE w:val="0"/>
                    <w:autoSpaceDN w:val="0"/>
                    <w:adjustRightInd w:val="0"/>
                    <w:snapToGrid w:val="0"/>
                    <w:jc w:val="center"/>
                    <w:rPr>
                      <w:kern w:val="0"/>
                      <w:szCs w:val="21"/>
                    </w:rPr>
                  </w:pPr>
                  <w:r>
                    <w:rPr>
                      <w:kern w:val="0"/>
                      <w:szCs w:val="21"/>
                      <w:lang w:bidi="ar"/>
                    </w:rPr>
                    <w:t>符合</w:t>
                  </w:r>
                </w:p>
              </w:tc>
            </w:tr>
            <w:tr w14:paraId="3C33B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14:paraId="068CC6E3">
                  <w:pPr>
                    <w:autoSpaceDE w:val="0"/>
                    <w:autoSpaceDN w:val="0"/>
                    <w:adjustRightInd w:val="0"/>
                    <w:snapToGrid w:val="0"/>
                    <w:rPr>
                      <w:b/>
                      <w:bCs/>
                      <w:szCs w:val="21"/>
                    </w:rPr>
                  </w:pPr>
                  <w:r>
                    <w:rPr>
                      <w:b/>
                      <w:bCs/>
                      <w:szCs w:val="21"/>
                      <w:lang w:bidi="ar"/>
                    </w:rPr>
                    <w:t>严格开采准入条件，优化开发利用结构。</w:t>
                  </w:r>
                </w:p>
                <w:p w14:paraId="35E1F856">
                  <w:pPr>
                    <w:autoSpaceDE w:val="0"/>
                    <w:autoSpaceDN w:val="0"/>
                    <w:adjustRightInd w:val="0"/>
                    <w:snapToGrid w:val="0"/>
                    <w:ind w:firstLine="420" w:firstLineChars="200"/>
                    <w:rPr>
                      <w:szCs w:val="21"/>
                    </w:rPr>
                  </w:pPr>
                  <w:r>
                    <w:rPr>
                      <w:szCs w:val="21"/>
                      <w:lang w:bidi="ar"/>
                    </w:rPr>
                    <w:t>限制开采能耗大、污染重的矿产，最大限度减少对环境的破坏。一是</w:t>
                  </w:r>
                  <w:r>
                    <w:rPr>
                      <w:b/>
                      <w:bCs/>
                      <w:szCs w:val="21"/>
                      <w:lang w:bidi="ar"/>
                    </w:rPr>
                    <w:t>加大页岩气</w:t>
                  </w:r>
                  <w:r>
                    <w:rPr>
                      <w:szCs w:val="21"/>
                      <w:lang w:bidi="ar"/>
                    </w:rPr>
                    <w:t>、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14:paraId="7EC8138A">
                  <w:pPr>
                    <w:autoSpaceDE w:val="0"/>
                    <w:autoSpaceDN w:val="0"/>
                    <w:adjustRightInd w:val="0"/>
                    <w:snapToGrid w:val="0"/>
                    <w:jc w:val="center"/>
                    <w:rPr>
                      <w:kern w:val="0"/>
                      <w:szCs w:val="21"/>
                    </w:rPr>
                  </w:pPr>
                  <w:r>
                    <w:rPr>
                      <w:kern w:val="0"/>
                      <w:szCs w:val="21"/>
                      <w:lang w:bidi="ar"/>
                    </w:rPr>
                    <w:t>本项目为陆地矿产资源地质勘查（含油气资源勘探），</w:t>
                  </w:r>
                  <w:r>
                    <w:rPr>
                      <w:rFonts w:hint="eastAsia"/>
                      <w:kern w:val="0"/>
                      <w:szCs w:val="21"/>
                      <w:lang w:bidi="ar"/>
                    </w:rPr>
                    <w:t>符合加大页岩气等非常规能源矿产勘查的政策，项目</w:t>
                  </w:r>
                  <w:r>
                    <w:rPr>
                      <w:kern w:val="0"/>
                      <w:szCs w:val="21"/>
                      <w:lang w:bidi="ar"/>
                    </w:rPr>
                    <w:t>实施过程中产生的废水及固废均交由有资质和处置能力的单位处置</w:t>
                  </w:r>
                  <w:r>
                    <w:rPr>
                      <w:rFonts w:hint="eastAsia"/>
                      <w:kern w:val="0"/>
                      <w:szCs w:val="21"/>
                      <w:lang w:bidi="ar"/>
                    </w:rPr>
                    <w:t>，现场不外排。实施过程产生的</w:t>
                  </w:r>
                  <w:r>
                    <w:rPr>
                      <w:kern w:val="0"/>
                      <w:szCs w:val="21"/>
                      <w:lang w:bidi="ar"/>
                    </w:rPr>
                    <w:t>污染物均得到有效处置，对环境影响较小。</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14:paraId="131A3FC7">
                  <w:pPr>
                    <w:autoSpaceDE w:val="0"/>
                    <w:autoSpaceDN w:val="0"/>
                    <w:adjustRightInd w:val="0"/>
                    <w:snapToGrid w:val="0"/>
                    <w:jc w:val="center"/>
                    <w:rPr>
                      <w:kern w:val="0"/>
                      <w:szCs w:val="21"/>
                    </w:rPr>
                  </w:pPr>
                  <w:r>
                    <w:rPr>
                      <w:kern w:val="0"/>
                      <w:szCs w:val="21"/>
                      <w:lang w:bidi="ar"/>
                    </w:rPr>
                    <w:t>符合</w:t>
                  </w:r>
                </w:p>
              </w:tc>
            </w:tr>
            <w:tr w14:paraId="050A2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14:paraId="2663301B">
                  <w:pPr>
                    <w:autoSpaceDE w:val="0"/>
                    <w:autoSpaceDN w:val="0"/>
                    <w:adjustRightInd w:val="0"/>
                    <w:snapToGrid w:val="0"/>
                    <w:rPr>
                      <w:b/>
                      <w:bCs/>
                      <w:szCs w:val="21"/>
                    </w:rPr>
                  </w:pPr>
                  <w:r>
                    <w:rPr>
                      <w:b/>
                      <w:bCs/>
                      <w:szCs w:val="21"/>
                      <w:lang w:bidi="ar"/>
                    </w:rPr>
                    <w:t>建立健全监管与风险防控体系。</w:t>
                  </w:r>
                </w:p>
                <w:p w14:paraId="3D8F27E5">
                  <w:pPr>
                    <w:autoSpaceDE w:val="0"/>
                    <w:autoSpaceDN w:val="0"/>
                    <w:adjustRightInd w:val="0"/>
                    <w:snapToGrid w:val="0"/>
                    <w:ind w:firstLine="420" w:firstLineChars="200"/>
                    <w:jc w:val="center"/>
                    <w:rPr>
                      <w:szCs w:val="21"/>
                    </w:rPr>
                  </w:pPr>
                  <w:r>
                    <w:rPr>
                      <w:szCs w:val="21"/>
                      <w:lang w:bidi="ar"/>
                    </w:rPr>
                    <w:t>坚持生态补偿和资源有偿使用制度，坚持“谁保护，谁受益”。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三同时”制度。完善环境突发事件应急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14:paraId="4808FA55">
                  <w:pPr>
                    <w:autoSpaceDE w:val="0"/>
                    <w:autoSpaceDN w:val="0"/>
                    <w:adjustRightInd w:val="0"/>
                    <w:snapToGrid w:val="0"/>
                    <w:jc w:val="center"/>
                    <w:rPr>
                      <w:kern w:val="0"/>
                      <w:szCs w:val="21"/>
                    </w:rPr>
                  </w:pPr>
                  <w:r>
                    <w:rPr>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14:paraId="2CC5BD86">
                  <w:pPr>
                    <w:autoSpaceDE w:val="0"/>
                    <w:autoSpaceDN w:val="0"/>
                    <w:adjustRightInd w:val="0"/>
                    <w:snapToGrid w:val="0"/>
                    <w:jc w:val="center"/>
                    <w:rPr>
                      <w:kern w:val="0"/>
                      <w:szCs w:val="21"/>
                    </w:rPr>
                  </w:pPr>
                  <w:r>
                    <w:rPr>
                      <w:kern w:val="0"/>
                      <w:szCs w:val="21"/>
                      <w:lang w:bidi="ar"/>
                    </w:rPr>
                    <w:t>符合</w:t>
                  </w:r>
                </w:p>
              </w:tc>
            </w:tr>
            <w:tr w14:paraId="0CCBE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14:paraId="7BBB1E5F">
                  <w:pPr>
                    <w:autoSpaceDE w:val="0"/>
                    <w:autoSpaceDN w:val="0"/>
                    <w:adjustRightInd w:val="0"/>
                    <w:snapToGrid w:val="0"/>
                    <w:ind w:firstLine="422" w:firstLineChars="200"/>
                    <w:jc w:val="center"/>
                    <w:rPr>
                      <w:szCs w:val="21"/>
                      <w:lang w:bidi="ar"/>
                    </w:rPr>
                  </w:pPr>
                  <w:r>
                    <w:rPr>
                      <w:b/>
                      <w:bCs/>
                      <w:szCs w:val="21"/>
                      <w:lang w:bidi="ar"/>
                    </w:rPr>
                    <w:t>严格保护生态空间：</w:t>
                  </w:r>
                  <w:r>
                    <w:rPr>
                      <w:szCs w:val="21"/>
                      <w:lang w:bidi="ar"/>
                    </w:rPr>
                    <w:t>优化《规划》布局。将生态保护红线作为保障和维护区域生态安全的底线，进一步优化矿业权设置和空间布局，依法依规对生态空间实施严格保护。针对与生态保护红线存在空间重叠的勘查规划区块KQ51000000040、开采规划区块CQ51000000004、CQ51000000025等，进一步优化布局，确保满足生态保护红线管控要求。针对与自然保护区、饮用水水源保护区、森林公园、湿地公园、风景名胜区等存在空间局部重叠的KQ51000000005等5个勘查规划区块、CQ51000000004等3个开采规划区块、KZ51000000002等9个规划重点勘查区、CZ51000000001等4，个重点开采区、GK51000000001等7个国家规划矿区、NY51000000001等8个能源资源基地、ZB51000000002等3个战略性矿产储备区，进一步优化布局，确保满足相关生态环境敏感区管控要求。落实《报告书》提出的位于一般生态空间的22个已设采矿权保留区块、34个勘查规划区块的管控要求，进一步优化布局，依法依规妥善处置，严格控制采矿、探矿活动范围和强度。</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14:paraId="43E09678">
                  <w:pPr>
                    <w:autoSpaceDE w:val="0"/>
                    <w:autoSpaceDN w:val="0"/>
                    <w:adjustRightInd w:val="0"/>
                    <w:snapToGrid w:val="0"/>
                    <w:jc w:val="center"/>
                    <w:rPr>
                      <w:kern w:val="0"/>
                      <w:szCs w:val="21"/>
                      <w:lang w:bidi="ar"/>
                    </w:rPr>
                  </w:pPr>
                  <w:r>
                    <w:rPr>
                      <w:kern w:val="0"/>
                      <w:szCs w:val="21"/>
                      <w:lang w:bidi="ar"/>
                    </w:rPr>
                    <w:t>本项目属于一般管控</w:t>
                  </w:r>
                  <w:r>
                    <w:rPr>
                      <w:rFonts w:hint="eastAsia"/>
                      <w:kern w:val="0"/>
                      <w:szCs w:val="21"/>
                      <w:lang w:bidi="ar"/>
                    </w:rPr>
                    <w:t>单元</w:t>
                  </w:r>
                  <w:r>
                    <w:rPr>
                      <w:kern w:val="0"/>
                      <w:szCs w:val="21"/>
                      <w:lang w:bidi="ar"/>
                    </w:rPr>
                    <w:t>，项目不涉及达州市生态保护红线、自然保护区、森林公园、湿地公园、风景名胜区等敏感区域，项目施工过程中产生的污染采取措施后均得到有效处置，废水、固废现场不外排。</w:t>
                  </w:r>
                  <w:r>
                    <w:rPr>
                      <w:rFonts w:hint="eastAsia"/>
                      <w:kern w:val="0"/>
                      <w:szCs w:val="21"/>
                      <w:lang w:bidi="ar"/>
                    </w:rPr>
                    <w:t>本项目不涉及饮用水源保护区。</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14:paraId="3CE191E8">
                  <w:pPr>
                    <w:autoSpaceDE w:val="0"/>
                    <w:autoSpaceDN w:val="0"/>
                    <w:adjustRightInd w:val="0"/>
                    <w:snapToGrid w:val="0"/>
                    <w:jc w:val="center"/>
                    <w:rPr>
                      <w:kern w:val="0"/>
                      <w:szCs w:val="21"/>
                      <w:lang w:bidi="ar"/>
                    </w:rPr>
                  </w:pPr>
                  <w:r>
                    <w:rPr>
                      <w:kern w:val="0"/>
                      <w:szCs w:val="21"/>
                      <w:lang w:bidi="ar"/>
                    </w:rPr>
                    <w:t>符合</w:t>
                  </w:r>
                </w:p>
              </w:tc>
            </w:tr>
            <w:tr w14:paraId="6A461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14:paraId="41792507">
                  <w:pPr>
                    <w:autoSpaceDE w:val="0"/>
                    <w:autoSpaceDN w:val="0"/>
                    <w:adjustRightInd w:val="0"/>
                    <w:snapToGrid w:val="0"/>
                    <w:rPr>
                      <w:szCs w:val="21"/>
                      <w:lang w:bidi="ar"/>
                    </w:rPr>
                  </w:pPr>
                  <w:r>
                    <w:rPr>
                      <w:b/>
                      <w:bCs/>
                      <w:szCs w:val="21"/>
                      <w:lang w:bidi="ar"/>
                    </w:rPr>
                    <w:t>加强矿山生态修复和环境治理：</w:t>
                  </w:r>
                  <w:r>
                    <w:rPr>
                      <w:szCs w:val="21"/>
                      <w:lang w:bidi="ar"/>
                    </w:rPr>
                    <w:t>结合区域生态环境质量改善目标和主要生态环境问题，分区域</w:t>
                  </w:r>
                  <w:r>
                    <w:rPr>
                      <w:rFonts w:hint="eastAsia"/>
                      <w:szCs w:val="21"/>
                      <w:lang w:bidi="ar"/>
                    </w:rPr>
                    <w:t>、</w:t>
                  </w:r>
                  <w:r>
                    <w:rPr>
                      <w:szCs w:val="21"/>
                      <w:lang w:bidi="ar"/>
                    </w:rPr>
                    <w:t>分矿种确定矿山生态修复和环境治理总体要求，将规划任务分解细化到具体矿区、矿山，确保“十四五”规划期矿山生态修复治理面积不小于2000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14:paraId="36B3ADE0">
                  <w:pPr>
                    <w:autoSpaceDE w:val="0"/>
                    <w:autoSpaceDN w:val="0"/>
                    <w:adjustRightInd w:val="0"/>
                    <w:snapToGrid w:val="0"/>
                    <w:rPr>
                      <w:kern w:val="0"/>
                      <w:szCs w:val="21"/>
                      <w:lang w:bidi="ar"/>
                    </w:rPr>
                  </w:pPr>
                  <w:r>
                    <w:rPr>
                      <w:kern w:val="0"/>
                      <w:szCs w:val="21"/>
                      <w:lang w:bidi="ar"/>
                    </w:rPr>
                    <w:t>本项目</w:t>
                  </w:r>
                  <w:r>
                    <w:rPr>
                      <w:rFonts w:hint="eastAsia"/>
                      <w:kern w:val="0"/>
                      <w:szCs w:val="21"/>
                      <w:lang w:bidi="ar"/>
                    </w:rPr>
                    <w:t>试气工程</w:t>
                  </w:r>
                  <w:r>
                    <w:rPr>
                      <w:kern w:val="0"/>
                      <w:szCs w:val="21"/>
                      <w:lang w:bidi="ar"/>
                    </w:rPr>
                    <w:t>废水经</w:t>
                  </w:r>
                  <w:r>
                    <w:rPr>
                      <w:rFonts w:hint="eastAsia"/>
                      <w:kern w:val="0"/>
                      <w:szCs w:val="21"/>
                      <w:lang w:bidi="ar"/>
                    </w:rPr>
                    <w:t>放喷池及清水池</w:t>
                  </w:r>
                  <w:r>
                    <w:rPr>
                      <w:kern w:val="0"/>
                      <w:szCs w:val="21"/>
                      <w:lang w:bidi="ar"/>
                    </w:rPr>
                    <w:t>收集后拟由罐车拉运至</w:t>
                  </w:r>
                  <w:r>
                    <w:rPr>
                      <w:rFonts w:hint="eastAsia"/>
                      <w:kern w:val="0"/>
                      <w:szCs w:val="21"/>
                      <w:lang w:bidi="ar"/>
                    </w:rPr>
                    <w:t>赵家坝污水处理站</w:t>
                  </w:r>
                  <w:r>
                    <w:rPr>
                      <w:kern w:val="0"/>
                      <w:szCs w:val="21"/>
                      <w:lang w:bidi="ar"/>
                    </w:rPr>
                    <w:t>处理达标后</w:t>
                  </w:r>
                  <w:r>
                    <w:rPr>
                      <w:rFonts w:hint="eastAsia"/>
                      <w:kern w:val="0"/>
                      <w:szCs w:val="21"/>
                      <w:lang w:bidi="ar"/>
                    </w:rPr>
                    <w:t>由罐车拉运至普光3井等回注站</w:t>
                  </w:r>
                  <w:r>
                    <w:rPr>
                      <w:kern w:val="0"/>
                      <w:szCs w:val="21"/>
                      <w:lang w:bidi="ar"/>
                    </w:rPr>
                    <w:t>回注，项目</w:t>
                  </w:r>
                  <w:r>
                    <w:rPr>
                      <w:rFonts w:hint="eastAsia"/>
                      <w:kern w:val="0"/>
                      <w:szCs w:val="21"/>
                      <w:lang w:bidi="ar"/>
                    </w:rPr>
                    <w:t>备用</w:t>
                  </w:r>
                  <w:r>
                    <w:rPr>
                      <w:kern w:val="0"/>
                      <w:szCs w:val="21"/>
                      <w:lang w:bidi="ar"/>
                    </w:rPr>
                    <w:t>柴油发电机使用优质柴油，废气产生量较小</w:t>
                  </w:r>
                  <w:r>
                    <w:rPr>
                      <w:rFonts w:hint="eastAsia"/>
                      <w:kern w:val="0"/>
                      <w:szCs w:val="21"/>
                      <w:lang w:bidi="ar"/>
                    </w:rPr>
                    <w:t>。本项目导管段采用清水钻井，可有效保护区域地下水环境。项目产生的</w:t>
                  </w:r>
                  <w:r>
                    <w:rPr>
                      <w:kern w:val="0"/>
                      <w:szCs w:val="21"/>
                      <w:lang w:bidi="ar"/>
                    </w:rPr>
                    <w:t>清水、水基岩屑按要求就近交给依法取得生态环境部门关于利用和处置相关工业固体废物项目环评批复、具有处理处置相应固体废物能力并配套建设有废气、废水、固废等污染物治理设施的单位进行资源化利用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kern w:val="0"/>
                      <w:szCs w:val="21"/>
                      <w:lang w:bidi="ar"/>
                    </w:rPr>
                    <w:t>（四川光隆环保科技有限公司等），油基岩屑、油基泥浆收集后交由有资质单位处置。</w:t>
                  </w:r>
                  <w:r>
                    <w:rPr>
                      <w:kern w:val="0"/>
                      <w:szCs w:val="21"/>
                      <w:lang w:bidi="ar"/>
                    </w:rPr>
                    <w:t>本项目施工时间较短，噪声随施工结束而结束，对外环境影响较小。综上所述，本项目各污染因素均得到有效处置，符合污染物控制要求。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14:paraId="7427006E">
                  <w:pPr>
                    <w:autoSpaceDE w:val="0"/>
                    <w:autoSpaceDN w:val="0"/>
                    <w:adjustRightInd w:val="0"/>
                    <w:snapToGrid w:val="0"/>
                    <w:jc w:val="center"/>
                    <w:rPr>
                      <w:kern w:val="0"/>
                      <w:szCs w:val="21"/>
                      <w:lang w:bidi="ar"/>
                    </w:rPr>
                  </w:pPr>
                  <w:r>
                    <w:rPr>
                      <w:kern w:val="0"/>
                      <w:szCs w:val="21"/>
                      <w:lang w:bidi="ar"/>
                    </w:rPr>
                    <w:t>符合</w:t>
                  </w:r>
                </w:p>
              </w:tc>
            </w:tr>
          </w:tbl>
          <w:p w14:paraId="376DFB0A">
            <w:pPr>
              <w:autoSpaceDE w:val="0"/>
              <w:autoSpaceDN w:val="0"/>
              <w:adjustRightInd w:val="0"/>
              <w:snapToGrid w:val="0"/>
              <w:spacing w:line="360" w:lineRule="auto"/>
              <w:ind w:firstLine="480" w:firstLineChars="200"/>
              <w:rPr>
                <w:kern w:val="0"/>
                <w:sz w:val="24"/>
                <w:lang w:bidi="ar"/>
              </w:rPr>
            </w:pPr>
            <w:r>
              <w:rPr>
                <w:kern w:val="0"/>
                <w:sz w:val="24"/>
                <w:lang w:bidi="ar"/>
              </w:rPr>
              <w:t>综上所述，项目建设</w:t>
            </w:r>
            <w:r>
              <w:rPr>
                <w:rFonts w:hint="eastAsia"/>
                <w:kern w:val="0"/>
                <w:sz w:val="24"/>
                <w:lang w:bidi="ar"/>
              </w:rPr>
              <w:t>符合</w:t>
            </w:r>
            <w:r>
              <w:rPr>
                <w:kern w:val="0"/>
                <w:sz w:val="24"/>
                <w:lang w:bidi="ar"/>
              </w:rPr>
              <w:t>《四川省矿产资源总体规划（2021-2025年）环境影响报告书》及审查意见</w:t>
            </w:r>
            <w:r>
              <w:rPr>
                <w:rFonts w:hint="eastAsia"/>
                <w:kern w:val="0"/>
                <w:sz w:val="24"/>
                <w:lang w:bidi="ar"/>
              </w:rPr>
              <w:t>相关要求</w:t>
            </w:r>
            <w:r>
              <w:rPr>
                <w:kern w:val="0"/>
                <w:sz w:val="24"/>
                <w:lang w:bidi="ar"/>
              </w:rPr>
              <w:t>。</w:t>
            </w:r>
          </w:p>
          <w:p w14:paraId="4FE13164">
            <w:pPr>
              <w:autoSpaceDE w:val="0"/>
              <w:autoSpaceDN w:val="0"/>
              <w:adjustRightInd w:val="0"/>
              <w:snapToGrid w:val="0"/>
              <w:spacing w:line="360" w:lineRule="auto"/>
              <w:ind w:firstLine="480" w:firstLineChars="200"/>
              <w:rPr>
                <w:kern w:val="0"/>
                <w:sz w:val="24"/>
                <w:lang w:bidi="ar"/>
              </w:rPr>
            </w:pPr>
            <w:r>
              <w:rPr>
                <w:kern w:val="0"/>
                <w:sz w:val="24"/>
                <w:lang w:bidi="ar"/>
              </w:rPr>
              <w:t>（3）与《达州市矿产资源总体规划（2021-2025年）》符合性分析</w:t>
            </w:r>
          </w:p>
          <w:p w14:paraId="739A03A2">
            <w:pPr>
              <w:autoSpaceDE w:val="0"/>
              <w:autoSpaceDN w:val="0"/>
              <w:adjustRightInd w:val="0"/>
              <w:snapToGrid w:val="0"/>
              <w:spacing w:line="360" w:lineRule="auto"/>
              <w:ind w:firstLine="480" w:firstLineChars="200"/>
              <w:rPr>
                <w:kern w:val="0"/>
                <w:sz w:val="24"/>
                <w:lang w:bidi="ar"/>
              </w:rPr>
            </w:pPr>
            <w:r>
              <w:rPr>
                <w:kern w:val="0"/>
                <w:sz w:val="24"/>
                <w:lang w:bidi="ar"/>
              </w:rPr>
              <w:t>本项目与《达州市矿产资源总体规划（2021-2025年）》符合性分析如下</w:t>
            </w:r>
          </w:p>
          <w:p w14:paraId="4A91AA26">
            <w:pPr>
              <w:spacing w:line="360" w:lineRule="auto"/>
              <w:jc w:val="center"/>
              <w:rPr>
                <w:b/>
                <w:sz w:val="22"/>
                <w:szCs w:val="22"/>
                <w:lang w:bidi="ar"/>
              </w:rPr>
            </w:pPr>
            <w:r>
              <w:rPr>
                <w:b/>
                <w:sz w:val="22"/>
                <w:szCs w:val="22"/>
                <w:lang w:bidi="ar"/>
              </w:rPr>
              <w:t>表1-2 与《达州市矿产资源总体规划（2021-2025年）》符合性分析一览表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3140"/>
              <w:gridCol w:w="611"/>
            </w:tblGrid>
            <w:tr w14:paraId="5769B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12" w:space="0"/>
                    <w:left w:val="single" w:color="auto" w:sz="12" w:space="0"/>
                    <w:bottom w:val="single" w:color="auto" w:sz="4" w:space="0"/>
                    <w:right w:val="single" w:color="auto" w:sz="4" w:space="0"/>
                  </w:tcBorders>
                  <w:shd w:val="clear" w:color="auto" w:fill="FFFFFF"/>
                  <w:vAlign w:val="center"/>
                </w:tcPr>
                <w:p w14:paraId="1DF911C9">
                  <w:pPr>
                    <w:autoSpaceDE w:val="0"/>
                    <w:autoSpaceDN w:val="0"/>
                    <w:adjustRightInd w:val="0"/>
                    <w:snapToGrid w:val="0"/>
                    <w:jc w:val="center"/>
                    <w:rPr>
                      <w:kern w:val="0"/>
                      <w:szCs w:val="21"/>
                    </w:rPr>
                  </w:pPr>
                  <w:r>
                    <w:rPr>
                      <w:kern w:val="0"/>
                      <w:szCs w:val="21"/>
                      <w:lang w:bidi="ar"/>
                    </w:rPr>
                    <w:t>文件情况</w:t>
                  </w:r>
                </w:p>
              </w:tc>
              <w:tc>
                <w:tcPr>
                  <w:tcW w:w="2978" w:type="dxa"/>
                  <w:tcBorders>
                    <w:top w:val="single" w:color="auto" w:sz="12" w:space="0"/>
                    <w:left w:val="single" w:color="auto" w:sz="4" w:space="0"/>
                    <w:bottom w:val="single" w:color="auto" w:sz="4" w:space="0"/>
                    <w:right w:val="single" w:color="auto" w:sz="4" w:space="0"/>
                  </w:tcBorders>
                  <w:shd w:val="clear" w:color="auto" w:fill="FFFFFF"/>
                  <w:vAlign w:val="center"/>
                </w:tcPr>
                <w:p w14:paraId="2BE47832">
                  <w:pPr>
                    <w:autoSpaceDE w:val="0"/>
                    <w:autoSpaceDN w:val="0"/>
                    <w:adjustRightInd w:val="0"/>
                    <w:snapToGrid w:val="0"/>
                    <w:jc w:val="center"/>
                    <w:rPr>
                      <w:kern w:val="0"/>
                      <w:szCs w:val="21"/>
                    </w:rPr>
                  </w:pPr>
                  <w:r>
                    <w:rPr>
                      <w:kern w:val="0"/>
                      <w:szCs w:val="21"/>
                      <w:lang w:bidi="ar"/>
                    </w:rPr>
                    <w:t>本项目情况</w:t>
                  </w:r>
                </w:p>
              </w:tc>
              <w:tc>
                <w:tcPr>
                  <w:tcW w:w="579" w:type="dxa"/>
                  <w:tcBorders>
                    <w:top w:val="single" w:color="auto" w:sz="12" w:space="0"/>
                    <w:left w:val="single" w:color="auto" w:sz="4" w:space="0"/>
                    <w:bottom w:val="single" w:color="auto" w:sz="4" w:space="0"/>
                    <w:right w:val="single" w:color="auto" w:sz="12" w:space="0"/>
                  </w:tcBorders>
                  <w:shd w:val="clear" w:color="auto" w:fill="FFFFFF"/>
                  <w:vAlign w:val="center"/>
                </w:tcPr>
                <w:p w14:paraId="3F24C949">
                  <w:pPr>
                    <w:autoSpaceDE w:val="0"/>
                    <w:autoSpaceDN w:val="0"/>
                    <w:adjustRightInd w:val="0"/>
                    <w:snapToGrid w:val="0"/>
                    <w:jc w:val="center"/>
                    <w:rPr>
                      <w:kern w:val="0"/>
                      <w:szCs w:val="21"/>
                    </w:rPr>
                  </w:pPr>
                  <w:r>
                    <w:rPr>
                      <w:kern w:val="0"/>
                      <w:szCs w:val="21"/>
                      <w:lang w:bidi="ar"/>
                    </w:rPr>
                    <w:t>符合性</w:t>
                  </w:r>
                </w:p>
              </w:tc>
            </w:tr>
            <w:tr w14:paraId="2AC3A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14:paraId="3574C5EE">
                  <w:pPr>
                    <w:autoSpaceDE w:val="0"/>
                    <w:autoSpaceDN w:val="0"/>
                    <w:adjustRightInd w:val="0"/>
                    <w:snapToGrid w:val="0"/>
                    <w:jc w:val="center"/>
                    <w:rPr>
                      <w:szCs w:val="21"/>
                    </w:rPr>
                  </w:pPr>
                  <w:r>
                    <w:rPr>
                      <w:b/>
                      <w:bCs/>
                      <w:szCs w:val="21"/>
                    </w:rPr>
                    <w:t>规划目标：</w:t>
                  </w:r>
                  <w:r>
                    <w:rPr>
                      <w:szCs w:val="21"/>
                    </w:rPr>
                    <w:t>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14:paraId="78701F2E">
                  <w:pPr>
                    <w:autoSpaceDE w:val="0"/>
                    <w:autoSpaceDN w:val="0"/>
                    <w:adjustRightInd w:val="0"/>
                    <w:snapToGrid w:val="0"/>
                    <w:jc w:val="center"/>
                    <w:rPr>
                      <w:kern w:val="0"/>
                      <w:szCs w:val="21"/>
                    </w:rPr>
                  </w:pPr>
                  <w:r>
                    <w:rPr>
                      <w:kern w:val="0"/>
                      <w:szCs w:val="21"/>
                    </w:rPr>
                    <w:t>本项目是为探</w:t>
                  </w:r>
                  <w:r>
                    <w:rPr>
                      <w:rFonts w:hint="eastAsia"/>
                      <w:kern w:val="0"/>
                      <w:szCs w:val="21"/>
                    </w:rPr>
                    <w:t>二叠系大隆组页岩储层级含气性，项目选址不涉及生态保护红线、自然保护区、饮用水源保护区等生态敏感区，符合确定矿产资源勘查开发目标任务</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14:paraId="2CAD075A">
                  <w:pPr>
                    <w:autoSpaceDE w:val="0"/>
                    <w:autoSpaceDN w:val="0"/>
                    <w:adjustRightInd w:val="0"/>
                    <w:snapToGrid w:val="0"/>
                    <w:jc w:val="center"/>
                    <w:rPr>
                      <w:kern w:val="0"/>
                      <w:szCs w:val="21"/>
                    </w:rPr>
                  </w:pPr>
                  <w:r>
                    <w:rPr>
                      <w:kern w:val="0"/>
                      <w:szCs w:val="21"/>
                      <w:lang w:bidi="ar"/>
                    </w:rPr>
                    <w:t>符合</w:t>
                  </w:r>
                </w:p>
              </w:tc>
            </w:tr>
            <w:tr w14:paraId="54E13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14:paraId="3D84F135">
                  <w:pPr>
                    <w:autoSpaceDE w:val="0"/>
                    <w:autoSpaceDN w:val="0"/>
                    <w:adjustRightInd w:val="0"/>
                    <w:snapToGrid w:val="0"/>
                    <w:jc w:val="center"/>
                    <w:rPr>
                      <w:szCs w:val="21"/>
                    </w:rPr>
                  </w:pPr>
                  <w:r>
                    <w:rPr>
                      <w:b/>
                      <w:bCs/>
                      <w:szCs w:val="21"/>
                    </w:rPr>
                    <w:t>矿产勘查开发与保护布局：</w:t>
                  </w:r>
                  <w:r>
                    <w:rPr>
                      <w:szCs w:val="21"/>
                    </w:rPr>
                    <w:t>重点开采矿种：天然气、炼焦用煤、地热、石灰岩、砂岩及钾盐。在符合准入条件的前提下，优先出让采矿权，适度扩大开发规模，提高资源供应能力。</w:t>
                  </w:r>
                </w:p>
                <w:p w14:paraId="02BF5913">
                  <w:pPr>
                    <w:autoSpaceDE w:val="0"/>
                    <w:autoSpaceDN w:val="0"/>
                    <w:adjustRightInd w:val="0"/>
                    <w:snapToGrid w:val="0"/>
                    <w:jc w:val="center"/>
                    <w:rPr>
                      <w:szCs w:val="21"/>
                    </w:rPr>
                  </w:pPr>
                  <w:r>
                    <w:rPr>
                      <w:b/>
                      <w:bCs/>
                      <w:szCs w:val="21"/>
                    </w:rPr>
                    <w:t>中部能源化工勘查开发区。</w:t>
                  </w:r>
                  <w:r>
                    <w:rPr>
                      <w:szCs w:val="21"/>
                    </w:rPr>
                    <w:t>包括</w:t>
                  </w:r>
                  <w:r>
                    <w:rPr>
                      <w:b/>
                      <w:bCs/>
                      <w:szCs w:val="21"/>
                    </w:rPr>
                    <w:t>宣汉县</w:t>
                  </w:r>
                  <w:r>
                    <w:rPr>
                      <w:szCs w:val="21"/>
                    </w:rPr>
                    <w:t>、开江县。加强</w:t>
                  </w:r>
                  <w:r>
                    <w:rPr>
                      <w:b/>
                      <w:bCs/>
                      <w:szCs w:val="21"/>
                    </w:rPr>
                    <w:t>天然气、页岩气勘探开发</w:t>
                  </w:r>
                  <w:r>
                    <w:rPr>
                      <w:szCs w:val="21"/>
                    </w:rPr>
                    <w:t>，提升天然气资源综合利用水平。鼓励钾盐勘查开发，加大科研投入，重点攻克锂钾综合利用关键核心技术，力争取得重大突破。鼓励社会资金参与钾盐勘查开发，探索“政府出课题、企业出资金”的新型合作模式，共同推进钾盐产业发展。</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14:paraId="250B320D">
                  <w:pPr>
                    <w:autoSpaceDE w:val="0"/>
                    <w:autoSpaceDN w:val="0"/>
                    <w:adjustRightInd w:val="0"/>
                    <w:snapToGrid w:val="0"/>
                    <w:jc w:val="center"/>
                    <w:rPr>
                      <w:kern w:val="0"/>
                      <w:szCs w:val="21"/>
                    </w:rPr>
                  </w:pPr>
                  <w:r>
                    <w:rPr>
                      <w:kern w:val="0"/>
                      <w:szCs w:val="21"/>
                    </w:rPr>
                    <w:t>本项目属于陆地矿产资源地质勘查（油气资源勘探），</w:t>
                  </w:r>
                  <w:r>
                    <w:rPr>
                      <w:rFonts w:hint="eastAsia"/>
                      <w:kern w:val="0"/>
                      <w:szCs w:val="21"/>
                    </w:rPr>
                    <w:t>项目</w:t>
                  </w:r>
                  <w:r>
                    <w:rPr>
                      <w:kern w:val="0"/>
                      <w:szCs w:val="21"/>
                    </w:rPr>
                    <w:t>位于宣汉县</w:t>
                  </w:r>
                  <w:r>
                    <w:rPr>
                      <w:rFonts w:hint="eastAsia"/>
                      <w:kern w:val="0"/>
                      <w:szCs w:val="21"/>
                    </w:rPr>
                    <w:t>君塘镇</w:t>
                  </w:r>
                  <w:r>
                    <w:rPr>
                      <w:kern w:val="0"/>
                      <w:szCs w:val="21"/>
                    </w:rPr>
                    <w:t>，属于</w:t>
                  </w:r>
                  <w:r>
                    <w:rPr>
                      <w:rFonts w:hint="eastAsia"/>
                      <w:kern w:val="0"/>
                      <w:szCs w:val="21"/>
                    </w:rPr>
                    <w:t>加大</w:t>
                  </w:r>
                  <w:r>
                    <w:rPr>
                      <w:b/>
                      <w:bCs/>
                      <w:kern w:val="0"/>
                      <w:szCs w:val="21"/>
                    </w:rPr>
                    <w:t>天然气</w:t>
                  </w:r>
                  <w:r>
                    <w:rPr>
                      <w:rFonts w:hint="eastAsia"/>
                      <w:b/>
                      <w:bCs/>
                      <w:kern w:val="0"/>
                      <w:szCs w:val="21"/>
                    </w:rPr>
                    <w:t>、页岩气勘探</w:t>
                  </w:r>
                  <w:r>
                    <w:rPr>
                      <w:kern w:val="0"/>
                      <w:szCs w:val="21"/>
                    </w:rPr>
                    <w:t>，且本项目不涉及达州市</w:t>
                  </w:r>
                  <w:r>
                    <w:rPr>
                      <w:rFonts w:hint="eastAsia"/>
                      <w:kern w:val="0"/>
                      <w:szCs w:val="21"/>
                    </w:rPr>
                    <w:t>生态保护红线</w:t>
                  </w:r>
                  <w:r>
                    <w:rPr>
                      <w:kern w:val="0"/>
                      <w:szCs w:val="21"/>
                    </w:rPr>
                    <w:t>，项目位置属于一般管控单元，符合准入条件。</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14:paraId="56CBFAB6">
                  <w:pPr>
                    <w:autoSpaceDE w:val="0"/>
                    <w:autoSpaceDN w:val="0"/>
                    <w:adjustRightInd w:val="0"/>
                    <w:snapToGrid w:val="0"/>
                    <w:jc w:val="center"/>
                    <w:rPr>
                      <w:kern w:val="0"/>
                      <w:szCs w:val="21"/>
                    </w:rPr>
                  </w:pPr>
                  <w:r>
                    <w:rPr>
                      <w:kern w:val="0"/>
                      <w:szCs w:val="21"/>
                      <w:lang w:bidi="ar"/>
                    </w:rPr>
                    <w:t>符合</w:t>
                  </w:r>
                </w:p>
              </w:tc>
            </w:tr>
            <w:tr w14:paraId="3236D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12" w:space="0"/>
                    <w:right w:val="single" w:color="auto" w:sz="4" w:space="0"/>
                  </w:tcBorders>
                  <w:shd w:val="clear" w:color="auto" w:fill="FFFFFF"/>
                  <w:vAlign w:val="center"/>
                </w:tcPr>
                <w:p w14:paraId="3E931AB1">
                  <w:pPr>
                    <w:autoSpaceDE w:val="0"/>
                    <w:autoSpaceDN w:val="0"/>
                    <w:adjustRightInd w:val="0"/>
                    <w:snapToGrid w:val="0"/>
                    <w:jc w:val="center"/>
                    <w:rPr>
                      <w:szCs w:val="21"/>
                    </w:rPr>
                  </w:pPr>
                  <w:r>
                    <w:rPr>
                      <w:b/>
                      <w:bCs/>
                      <w:szCs w:val="21"/>
                    </w:rPr>
                    <w:t>绿色矿山建设和矿区生态保护</w:t>
                  </w:r>
                  <w:r>
                    <w:rPr>
                      <w:szCs w:val="21"/>
                    </w:rPr>
                    <w:t>：鼓励矿山企业加大科技投入和技术攻关，对于发展绿色矿山建设进行相关新技术、新工艺、新设备研究并取得重大成果的企业，从成果推广、专项资金等方面加以支持，必要时作为典型案例加以推广。研究制定矿产资源节约与综合利用鼓励、限制、淘汰技术目录，通过技术改造，采用先进技术、工艺和装备，逐步淘汰落后产能，提高资源开发利用、节能减排和环境保护的水平，满足绿色矿山建设的要求。</w:t>
                  </w:r>
                </w:p>
              </w:tc>
              <w:tc>
                <w:tcPr>
                  <w:tcW w:w="2978" w:type="dxa"/>
                  <w:tcBorders>
                    <w:top w:val="single" w:color="auto" w:sz="4" w:space="0"/>
                    <w:left w:val="single" w:color="auto" w:sz="4" w:space="0"/>
                    <w:bottom w:val="single" w:color="auto" w:sz="12" w:space="0"/>
                    <w:right w:val="single" w:color="auto" w:sz="4" w:space="0"/>
                  </w:tcBorders>
                  <w:shd w:val="clear" w:color="auto" w:fill="FFFFFF"/>
                  <w:vAlign w:val="center"/>
                </w:tcPr>
                <w:p w14:paraId="48D05982">
                  <w:pPr>
                    <w:autoSpaceDE w:val="0"/>
                    <w:autoSpaceDN w:val="0"/>
                    <w:adjustRightInd w:val="0"/>
                    <w:snapToGrid w:val="0"/>
                    <w:jc w:val="center"/>
                    <w:rPr>
                      <w:kern w:val="0"/>
                      <w:szCs w:val="21"/>
                    </w:rPr>
                  </w:pPr>
                  <w:r>
                    <w:rPr>
                      <w:kern w:val="0"/>
                      <w:szCs w:val="21"/>
                    </w:rPr>
                    <w:t>本项目</w:t>
                  </w:r>
                  <w:r>
                    <w:rPr>
                      <w:rFonts w:hint="eastAsia"/>
                      <w:kern w:val="0"/>
                      <w:szCs w:val="21"/>
                    </w:rPr>
                    <w:t>试气工程</w:t>
                  </w:r>
                  <w:r>
                    <w:rPr>
                      <w:kern w:val="0"/>
                      <w:szCs w:val="21"/>
                    </w:rPr>
                    <w:t>废水经放喷池及清水池收集后拟由罐车拉运至</w:t>
                  </w:r>
                  <w:r>
                    <w:rPr>
                      <w:rFonts w:hint="eastAsia"/>
                      <w:kern w:val="0"/>
                      <w:szCs w:val="21"/>
                    </w:rPr>
                    <w:t>赵家坝污水处理站</w:t>
                  </w:r>
                  <w:r>
                    <w:rPr>
                      <w:kern w:val="0"/>
                      <w:szCs w:val="21"/>
                    </w:rPr>
                    <w:t>处理达标后</w:t>
                  </w:r>
                  <w:r>
                    <w:rPr>
                      <w:rFonts w:hint="eastAsia"/>
                      <w:kern w:val="0"/>
                      <w:szCs w:val="21"/>
                    </w:rPr>
                    <w:t>由罐车拉运至普光3井等回注站</w:t>
                  </w:r>
                  <w:r>
                    <w:rPr>
                      <w:kern w:val="0"/>
                      <w:szCs w:val="21"/>
                    </w:rPr>
                    <w:t>回注，</w:t>
                  </w:r>
                  <w:r>
                    <w:rPr>
                      <w:rFonts w:hint="eastAsia"/>
                      <w:kern w:val="0"/>
                      <w:szCs w:val="21"/>
                    </w:rPr>
                    <w:t>现场不外排。</w:t>
                  </w:r>
                  <w:r>
                    <w:rPr>
                      <w:kern w:val="0"/>
                      <w:szCs w:val="21"/>
                    </w:rPr>
                    <w:t>项目</w:t>
                  </w:r>
                  <w:r>
                    <w:rPr>
                      <w:rFonts w:hint="eastAsia"/>
                      <w:kern w:val="0"/>
                      <w:szCs w:val="21"/>
                    </w:rPr>
                    <w:t>备用</w:t>
                  </w:r>
                  <w:r>
                    <w:rPr>
                      <w:kern w:val="0"/>
                      <w:szCs w:val="21"/>
                    </w:rPr>
                    <w:t>柴油发电机使用优质柴油，废气产生量较小，</w:t>
                  </w:r>
                  <w:r>
                    <w:rPr>
                      <w:rFonts w:hint="eastAsia"/>
                      <w:color w:val="0000FF"/>
                      <w:kern w:val="0"/>
                      <w:szCs w:val="21"/>
                    </w:rPr>
                    <w:t>水基</w:t>
                  </w:r>
                  <w:r>
                    <w:rPr>
                      <w:color w:val="0000FF"/>
                      <w:kern w:val="0"/>
                      <w:szCs w:val="21"/>
                    </w:rPr>
                    <w:t>岩屑按要求就近交给依法取得生态环境部门关于利用和处置相关工业固体废物项目环评批复、具有处理处置相应固体废物能力并配套建设有废气、废水、固废等污染物治理设施的单位进行资源化利用（四川光隆环保科技有限公司等）；</w:t>
                  </w:r>
                  <w:r>
                    <w:rPr>
                      <w:rFonts w:hint="eastAsia"/>
                      <w:color w:val="0000FF"/>
                      <w:kern w:val="0"/>
                      <w:szCs w:val="21"/>
                    </w:rPr>
                    <w:t>油基岩屑、油基泥浆交由有资质单位处置</w:t>
                  </w:r>
                  <w:r>
                    <w:rPr>
                      <w:rFonts w:hint="eastAsia"/>
                      <w:kern w:val="0"/>
                      <w:szCs w:val="21"/>
                    </w:rPr>
                    <w:t>。</w:t>
                  </w:r>
                  <w:r>
                    <w:rPr>
                      <w:kern w:val="0"/>
                      <w:szCs w:val="21"/>
                    </w:rPr>
                    <w:t>本项目施工时间较短，噪声随施工结束而结束，对外环境影响较小。综上所述，本项目各污染因素均得到有效处置，符合污染物控制要求。</w:t>
                  </w:r>
                </w:p>
              </w:tc>
              <w:tc>
                <w:tcPr>
                  <w:tcW w:w="579" w:type="dxa"/>
                  <w:tcBorders>
                    <w:top w:val="single" w:color="auto" w:sz="4" w:space="0"/>
                    <w:left w:val="single" w:color="auto" w:sz="4" w:space="0"/>
                    <w:bottom w:val="single" w:color="auto" w:sz="12" w:space="0"/>
                    <w:right w:val="single" w:color="auto" w:sz="12" w:space="0"/>
                  </w:tcBorders>
                  <w:shd w:val="clear" w:color="auto" w:fill="FFFFFF"/>
                  <w:vAlign w:val="center"/>
                </w:tcPr>
                <w:p w14:paraId="4F3D09FE">
                  <w:pPr>
                    <w:autoSpaceDE w:val="0"/>
                    <w:autoSpaceDN w:val="0"/>
                    <w:adjustRightInd w:val="0"/>
                    <w:snapToGrid w:val="0"/>
                    <w:jc w:val="center"/>
                    <w:rPr>
                      <w:kern w:val="0"/>
                      <w:szCs w:val="21"/>
                    </w:rPr>
                  </w:pPr>
                  <w:r>
                    <w:rPr>
                      <w:kern w:val="0"/>
                      <w:szCs w:val="21"/>
                      <w:lang w:bidi="ar"/>
                    </w:rPr>
                    <w:t>符合</w:t>
                  </w:r>
                </w:p>
              </w:tc>
            </w:tr>
          </w:tbl>
          <w:p w14:paraId="2E3C6616">
            <w:pPr>
              <w:autoSpaceDE w:val="0"/>
              <w:autoSpaceDN w:val="0"/>
              <w:adjustRightInd w:val="0"/>
              <w:snapToGrid w:val="0"/>
              <w:spacing w:line="360" w:lineRule="auto"/>
              <w:ind w:firstLine="480" w:firstLineChars="200"/>
              <w:rPr>
                <w:kern w:val="0"/>
                <w:sz w:val="24"/>
                <w:lang w:bidi="ar"/>
              </w:rPr>
            </w:pPr>
            <w:r>
              <w:rPr>
                <w:kern w:val="0"/>
                <w:sz w:val="24"/>
                <w:lang w:bidi="ar"/>
              </w:rPr>
              <w:t>综上所述，项目</w:t>
            </w:r>
            <w:r>
              <w:rPr>
                <w:rFonts w:hint="eastAsia"/>
                <w:kern w:val="0"/>
                <w:sz w:val="24"/>
                <w:lang w:bidi="ar"/>
              </w:rPr>
              <w:t>的建设</w:t>
            </w:r>
            <w:r>
              <w:rPr>
                <w:kern w:val="0"/>
                <w:sz w:val="24"/>
                <w:lang w:bidi="ar"/>
              </w:rPr>
              <w:t>符合《四川省达州市矿产资源总体规划（2021-2025年）》相关</w:t>
            </w:r>
            <w:r>
              <w:rPr>
                <w:rFonts w:hint="eastAsia"/>
                <w:kern w:val="0"/>
                <w:sz w:val="24"/>
                <w:lang w:bidi="ar"/>
              </w:rPr>
              <w:t>要求</w:t>
            </w:r>
            <w:r>
              <w:rPr>
                <w:kern w:val="0"/>
                <w:sz w:val="24"/>
                <w:lang w:bidi="ar"/>
              </w:rPr>
              <w:t>。</w:t>
            </w:r>
          </w:p>
          <w:p w14:paraId="629762E9">
            <w:pPr>
              <w:autoSpaceDE w:val="0"/>
              <w:autoSpaceDN w:val="0"/>
              <w:adjustRightInd w:val="0"/>
              <w:snapToGrid w:val="0"/>
              <w:spacing w:line="360" w:lineRule="auto"/>
              <w:ind w:firstLine="480" w:firstLineChars="200"/>
              <w:rPr>
                <w:color w:val="0000FF"/>
                <w:kern w:val="0"/>
                <w:sz w:val="24"/>
                <w:lang w:bidi="ar"/>
              </w:rPr>
            </w:pPr>
            <w:r>
              <w:rPr>
                <w:rFonts w:hint="eastAsia"/>
                <w:color w:val="0000FF"/>
                <w:kern w:val="0"/>
                <w:sz w:val="24"/>
                <w:lang w:bidi="ar"/>
              </w:rPr>
              <w:t>（4）与《宣汉县矿产资源总体规划（2021-2025年）》符合性分析</w:t>
            </w:r>
          </w:p>
          <w:p w14:paraId="00AD7013">
            <w:pPr>
              <w:autoSpaceDE w:val="0"/>
              <w:autoSpaceDN w:val="0"/>
              <w:adjustRightInd w:val="0"/>
              <w:snapToGrid w:val="0"/>
              <w:spacing w:line="360" w:lineRule="auto"/>
              <w:ind w:firstLine="480" w:firstLineChars="200"/>
              <w:rPr>
                <w:kern w:val="0"/>
                <w:sz w:val="24"/>
                <w:lang w:bidi="ar"/>
              </w:rPr>
            </w:pPr>
            <w:r>
              <w:rPr>
                <w:rFonts w:hint="eastAsia"/>
                <w:color w:val="0000FF"/>
                <w:kern w:val="0"/>
                <w:sz w:val="24"/>
                <w:lang w:bidi="ar"/>
              </w:rPr>
              <w:t>根据《宣汉县矿产资源总体规划（2021-2025年）》中“二、勘察方向”提出“1、重点勘查矿种：</w:t>
            </w:r>
            <w:r>
              <w:rPr>
                <w:rFonts w:hint="eastAsia"/>
                <w:b/>
                <w:bCs/>
                <w:color w:val="0000FF"/>
                <w:kern w:val="0"/>
                <w:sz w:val="24"/>
                <w:lang w:bidi="ar"/>
              </w:rPr>
              <w:t>天然气</w:t>
            </w:r>
            <w:r>
              <w:rPr>
                <w:rFonts w:hint="eastAsia"/>
                <w:color w:val="0000FF"/>
                <w:kern w:val="0"/>
                <w:sz w:val="24"/>
                <w:lang w:bidi="ar"/>
              </w:rPr>
              <w:t>、钾盐和地热。争取财政投资勘查的同时，引导社会资金投入，争取实现找矿突破。”本项目属于预探井，</w:t>
            </w:r>
            <w:r>
              <w:rPr>
                <w:rFonts w:hint="eastAsia"/>
                <w:b/>
                <w:bCs/>
                <w:color w:val="0000FF"/>
                <w:kern w:val="0"/>
                <w:sz w:val="24"/>
                <w:lang w:bidi="ar"/>
              </w:rPr>
              <w:t>导眼井钻井目的为探双庙场构造二叠系大隆组页岩储层及含气性；水平井探双庙场构造二叠系大隆组页岩含气性及产能</w:t>
            </w:r>
            <w:r>
              <w:rPr>
                <w:rFonts w:hint="eastAsia"/>
                <w:color w:val="0000FF"/>
                <w:kern w:val="0"/>
                <w:sz w:val="24"/>
                <w:lang w:bidi="ar"/>
              </w:rPr>
              <w:t>。因此项目实施符合《宣汉县矿产资源总体规划（2021-2025年）》，项目实施过程中采取相关措施后污染物均得到有效处置，现场不外排，对外环境影响较小。</w:t>
            </w:r>
          </w:p>
        </w:tc>
      </w:tr>
      <w:tr w14:paraId="5E605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28" w:hRule="atLeast"/>
        </w:trPr>
        <w:tc>
          <w:tcPr>
            <w:tcW w:w="883" w:type="dxa"/>
            <w:tcMar>
              <w:top w:w="16" w:type="dxa"/>
              <w:left w:w="16" w:type="dxa"/>
              <w:right w:w="16" w:type="dxa"/>
            </w:tcMar>
            <w:vAlign w:val="center"/>
          </w:tcPr>
          <w:p w14:paraId="7D21C3B5">
            <w:pPr>
              <w:autoSpaceDE w:val="0"/>
              <w:autoSpaceDN w:val="0"/>
              <w:adjustRightInd w:val="0"/>
              <w:snapToGrid w:val="0"/>
              <w:jc w:val="center"/>
              <w:rPr>
                <w:kern w:val="0"/>
                <w:szCs w:val="21"/>
              </w:rPr>
            </w:pPr>
            <w:bookmarkStart w:id="4" w:name="_Hlk56690880"/>
            <w:r>
              <w:rPr>
                <w:kern w:val="0"/>
                <w:szCs w:val="21"/>
              </w:rPr>
              <w:t>其他符合性分析</w:t>
            </w:r>
            <w:bookmarkEnd w:id="4"/>
          </w:p>
        </w:tc>
        <w:tc>
          <w:tcPr>
            <w:tcW w:w="7906" w:type="dxa"/>
            <w:gridSpan w:val="3"/>
            <w:tcMar>
              <w:top w:w="16" w:type="dxa"/>
              <w:left w:w="16" w:type="dxa"/>
              <w:right w:w="16" w:type="dxa"/>
            </w:tcMar>
            <w:vAlign w:val="center"/>
          </w:tcPr>
          <w:p w14:paraId="55E2F40B">
            <w:pPr>
              <w:pStyle w:val="38"/>
              <w:numPr>
                <w:ilvl w:val="1"/>
                <w:numId w:val="3"/>
              </w:numPr>
              <w:spacing w:before="0" w:beforeAutospacing="0" w:after="0" w:afterAutospacing="0" w:line="360" w:lineRule="auto"/>
              <w:ind w:left="0" w:firstLine="0"/>
              <w:rPr>
                <w:rFonts w:ascii="Times New Roman" w:hAnsi="Times New Roman"/>
                <w:b/>
                <w:lang w:bidi="ar"/>
              </w:rPr>
            </w:pPr>
            <w:r>
              <w:rPr>
                <w:rFonts w:ascii="Times New Roman" w:hAnsi="Times New Roman"/>
                <w:b/>
                <w:lang w:bidi="ar"/>
              </w:rPr>
              <w:t>与 “</w:t>
            </w:r>
            <w:r>
              <w:rPr>
                <w:rFonts w:hint="eastAsia" w:ascii="Times New Roman" w:hAnsi="Times New Roman"/>
                <w:b/>
                <w:lang w:bidi="ar"/>
              </w:rPr>
              <w:t>生态环境分区管控</w:t>
            </w:r>
            <w:r>
              <w:rPr>
                <w:rFonts w:ascii="Times New Roman" w:hAnsi="Times New Roman"/>
                <w:b/>
                <w:lang w:bidi="ar"/>
              </w:rPr>
              <w:t>”符合性</w:t>
            </w:r>
            <w:r>
              <w:rPr>
                <w:rFonts w:hint="eastAsia" w:ascii="Times New Roman" w:hAnsi="Times New Roman"/>
                <w:b/>
                <w:lang w:bidi="ar"/>
              </w:rPr>
              <w:t>分析</w:t>
            </w:r>
          </w:p>
          <w:p w14:paraId="48ECE96D">
            <w:pPr>
              <w:spacing w:line="360" w:lineRule="auto"/>
              <w:ind w:firstLine="482" w:firstLineChars="200"/>
              <w:rPr>
                <w:bCs/>
                <w:sz w:val="24"/>
              </w:rPr>
            </w:pPr>
            <w:r>
              <w:rPr>
                <w:rFonts w:hint="eastAsia"/>
                <w:b/>
                <w:sz w:val="24"/>
              </w:rPr>
              <w:t>（1）与《达州市人民政府关于落实生态保护红线、环境质量底线、资源利用上线制定生态环境准入清单实施生态环境分区管控的通知》（达市府发〔2021〕17号）</w:t>
            </w:r>
            <w:r>
              <w:rPr>
                <w:rFonts w:hint="eastAsia"/>
                <w:bCs/>
                <w:sz w:val="24"/>
              </w:rPr>
              <w:t>符合性分析</w:t>
            </w:r>
          </w:p>
          <w:p w14:paraId="1F4E0922">
            <w:pPr>
              <w:spacing w:line="360" w:lineRule="auto"/>
              <w:ind w:firstLine="480" w:firstLineChars="200"/>
              <w:rPr>
                <w:bCs/>
                <w:sz w:val="24"/>
              </w:rPr>
            </w:pPr>
            <w:r>
              <w:rPr>
                <w:bCs/>
                <w:sz w:val="24"/>
              </w:rPr>
              <w:t>根据《达州市人民政府关于落实生态保护红线、环境质量底线、资源利用上线制定生态环境准入清单实施生态环境分区管控的通知》</w:t>
            </w:r>
            <w:r>
              <w:rPr>
                <w:rFonts w:hint="eastAsia"/>
                <w:bCs/>
                <w:sz w:val="24"/>
              </w:rPr>
              <w:t>（</w:t>
            </w:r>
            <w:r>
              <w:rPr>
                <w:bCs/>
                <w:sz w:val="24"/>
              </w:rPr>
              <w:t>达市府发〔2021〕17号</w:t>
            </w:r>
            <w:r>
              <w:rPr>
                <w:rFonts w:hint="eastAsia"/>
                <w:bCs/>
                <w:sz w:val="24"/>
              </w:rPr>
              <w:t>），</w:t>
            </w:r>
            <w:r>
              <w:rPr>
                <w:bCs/>
                <w:sz w:val="24"/>
              </w:rPr>
              <w:t>本项目位于四川省达州市</w:t>
            </w:r>
            <w:r>
              <w:rPr>
                <w:rFonts w:hint="eastAsia"/>
                <w:bCs/>
                <w:sz w:val="24"/>
              </w:rPr>
              <w:t>宣汉县君塘镇界湾村</w:t>
            </w:r>
            <w:r>
              <w:rPr>
                <w:bCs/>
                <w:sz w:val="24"/>
              </w:rPr>
              <w:t>，项目与达州市生态环境管控方案相符性分析表见下表</w:t>
            </w:r>
            <w:r>
              <w:rPr>
                <w:rFonts w:hint="eastAsia"/>
                <w:bCs/>
                <w:sz w:val="24"/>
              </w:rPr>
              <w:t>。</w:t>
            </w:r>
          </w:p>
          <w:p w14:paraId="364FBA69">
            <w:pPr>
              <w:spacing w:line="360" w:lineRule="auto"/>
              <w:jc w:val="center"/>
              <w:rPr>
                <w:b/>
                <w:sz w:val="24"/>
              </w:rPr>
            </w:pPr>
            <w:r>
              <w:rPr>
                <w:b/>
                <w:sz w:val="24"/>
              </w:rPr>
              <w:t>表1-6 项目与达州市生态环境管控方案相符性分析表</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4164"/>
              <w:gridCol w:w="2390"/>
            </w:tblGrid>
            <w:tr w14:paraId="65508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4" w:type="dxa"/>
                  <w:tcBorders>
                    <w:tl2br w:val="nil"/>
                    <w:tr2bl w:val="nil"/>
                  </w:tcBorders>
                  <w:vAlign w:val="center"/>
                </w:tcPr>
                <w:p w14:paraId="43B1A061">
                  <w:pPr>
                    <w:autoSpaceDE w:val="0"/>
                    <w:autoSpaceDN w:val="0"/>
                    <w:adjustRightInd w:val="0"/>
                    <w:snapToGrid w:val="0"/>
                    <w:jc w:val="center"/>
                    <w:rPr>
                      <w:b/>
                      <w:bCs/>
                      <w:szCs w:val="21"/>
                    </w:rPr>
                  </w:pPr>
                  <w:r>
                    <w:rPr>
                      <w:b/>
                      <w:bCs/>
                      <w:szCs w:val="21"/>
                    </w:rPr>
                    <w:t>环境管控单元类型</w:t>
                  </w:r>
                </w:p>
              </w:tc>
              <w:tc>
                <w:tcPr>
                  <w:tcW w:w="4164" w:type="dxa"/>
                  <w:tcBorders>
                    <w:tl2br w:val="nil"/>
                    <w:tr2bl w:val="nil"/>
                  </w:tcBorders>
                  <w:vAlign w:val="center"/>
                </w:tcPr>
                <w:p w14:paraId="736077EB">
                  <w:pPr>
                    <w:autoSpaceDE w:val="0"/>
                    <w:autoSpaceDN w:val="0"/>
                    <w:adjustRightInd w:val="0"/>
                    <w:snapToGrid w:val="0"/>
                    <w:jc w:val="center"/>
                    <w:rPr>
                      <w:b/>
                      <w:bCs/>
                      <w:szCs w:val="21"/>
                    </w:rPr>
                  </w:pPr>
                  <w:r>
                    <w:rPr>
                      <w:b/>
                      <w:bCs/>
                      <w:szCs w:val="21"/>
                    </w:rPr>
                    <w:t>总体生态环境管控要求</w:t>
                  </w:r>
                </w:p>
              </w:tc>
              <w:tc>
                <w:tcPr>
                  <w:tcW w:w="2390" w:type="dxa"/>
                  <w:tcBorders>
                    <w:tl2br w:val="nil"/>
                    <w:tr2bl w:val="nil"/>
                  </w:tcBorders>
                  <w:vAlign w:val="center"/>
                </w:tcPr>
                <w:p w14:paraId="086544B2">
                  <w:pPr>
                    <w:autoSpaceDE w:val="0"/>
                    <w:autoSpaceDN w:val="0"/>
                    <w:adjustRightInd w:val="0"/>
                    <w:snapToGrid w:val="0"/>
                    <w:jc w:val="center"/>
                    <w:rPr>
                      <w:b/>
                      <w:bCs/>
                      <w:szCs w:val="21"/>
                    </w:rPr>
                  </w:pPr>
                  <w:r>
                    <w:rPr>
                      <w:b/>
                      <w:bCs/>
                      <w:szCs w:val="21"/>
                    </w:rPr>
                    <w:t>本项目情况</w:t>
                  </w:r>
                </w:p>
              </w:tc>
            </w:tr>
            <w:tr w14:paraId="1F8EA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144" w:type="dxa"/>
                  <w:tcBorders>
                    <w:tl2br w:val="nil"/>
                    <w:tr2bl w:val="nil"/>
                  </w:tcBorders>
                  <w:vAlign w:val="center"/>
                </w:tcPr>
                <w:p w14:paraId="1F408973">
                  <w:pPr>
                    <w:autoSpaceDE w:val="0"/>
                    <w:autoSpaceDN w:val="0"/>
                    <w:adjustRightInd w:val="0"/>
                    <w:snapToGrid w:val="0"/>
                    <w:jc w:val="center"/>
                    <w:rPr>
                      <w:rFonts w:hint="eastAsia" w:eastAsia="宋体"/>
                      <w:szCs w:val="21"/>
                      <w:lang w:val="en-US" w:eastAsia="zh-CN"/>
                    </w:rPr>
                  </w:pPr>
                  <w:r>
                    <w:rPr>
                      <w:szCs w:val="21"/>
                    </w:rPr>
                    <w:t>优先保护单元</w:t>
                  </w:r>
                  <w:r>
                    <w:rPr>
                      <w:rFonts w:hint="eastAsia"/>
                      <w:szCs w:val="21"/>
                      <w:lang w:val="en-US" w:eastAsia="zh-CN"/>
                    </w:rPr>
                    <w:t xml:space="preserve"> </w:t>
                  </w:r>
                </w:p>
              </w:tc>
              <w:tc>
                <w:tcPr>
                  <w:tcW w:w="4164" w:type="dxa"/>
                  <w:tcBorders>
                    <w:tl2br w:val="nil"/>
                    <w:tr2bl w:val="nil"/>
                  </w:tcBorders>
                  <w:vAlign w:val="center"/>
                </w:tcPr>
                <w:p w14:paraId="754FE340">
                  <w:pPr>
                    <w:autoSpaceDE w:val="0"/>
                    <w:autoSpaceDN w:val="0"/>
                    <w:adjustRightInd w:val="0"/>
                    <w:snapToGrid w:val="0"/>
                    <w:ind w:firstLine="210" w:firstLineChars="100"/>
                    <w:rPr>
                      <w:szCs w:val="21"/>
                    </w:rPr>
                  </w:pPr>
                  <w:r>
                    <w:rPr>
                      <w:szCs w:val="21"/>
                    </w:rPr>
                    <w:t>优先保护单元中，应以生态环境保护优先为原则，严格执行相关法律、法规要求，严守生态环境质量底线，确保生态环境功能不降低。</w:t>
                  </w:r>
                </w:p>
              </w:tc>
              <w:tc>
                <w:tcPr>
                  <w:tcW w:w="2390" w:type="dxa"/>
                  <w:tcBorders>
                    <w:tl2br w:val="nil"/>
                    <w:tr2bl w:val="nil"/>
                  </w:tcBorders>
                  <w:vAlign w:val="center"/>
                </w:tcPr>
                <w:p w14:paraId="49A94E21">
                  <w:pPr>
                    <w:autoSpaceDE w:val="0"/>
                    <w:autoSpaceDN w:val="0"/>
                    <w:adjustRightInd w:val="0"/>
                    <w:snapToGrid w:val="0"/>
                    <w:jc w:val="center"/>
                    <w:rPr>
                      <w:szCs w:val="21"/>
                    </w:rPr>
                  </w:pPr>
                  <w:r>
                    <w:rPr>
                      <w:rFonts w:hint="eastAsia"/>
                      <w:szCs w:val="21"/>
                    </w:rPr>
                    <w:t>本项目不涉及优先保护单元。</w:t>
                  </w:r>
                </w:p>
              </w:tc>
            </w:tr>
            <w:tr w14:paraId="7408D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144" w:type="dxa"/>
                  <w:tcBorders>
                    <w:tl2br w:val="nil"/>
                    <w:tr2bl w:val="nil"/>
                  </w:tcBorders>
                  <w:vAlign w:val="center"/>
                </w:tcPr>
                <w:p w14:paraId="2348EDCF">
                  <w:pPr>
                    <w:autoSpaceDE w:val="0"/>
                    <w:autoSpaceDN w:val="0"/>
                    <w:adjustRightInd w:val="0"/>
                    <w:snapToGrid w:val="0"/>
                    <w:jc w:val="center"/>
                    <w:rPr>
                      <w:rFonts w:hint="eastAsia" w:eastAsia="宋体"/>
                      <w:szCs w:val="21"/>
                      <w:lang w:val="en-US" w:eastAsia="zh-CN"/>
                    </w:rPr>
                  </w:pPr>
                  <w:r>
                    <w:rPr>
                      <w:szCs w:val="21"/>
                    </w:rPr>
                    <w:t>重点管控单元</w:t>
                  </w:r>
                  <w:r>
                    <w:rPr>
                      <w:rFonts w:hint="eastAsia"/>
                      <w:szCs w:val="21"/>
                      <w:lang w:val="en-US" w:eastAsia="zh-CN"/>
                    </w:rPr>
                    <w:t xml:space="preserve"> </w:t>
                  </w:r>
                </w:p>
              </w:tc>
              <w:tc>
                <w:tcPr>
                  <w:tcW w:w="4164" w:type="dxa"/>
                  <w:tcBorders>
                    <w:tl2br w:val="nil"/>
                    <w:tr2bl w:val="nil"/>
                  </w:tcBorders>
                  <w:vAlign w:val="center"/>
                </w:tcPr>
                <w:p w14:paraId="717B5D8C">
                  <w:pPr>
                    <w:autoSpaceDE w:val="0"/>
                    <w:autoSpaceDN w:val="0"/>
                    <w:adjustRightInd w:val="0"/>
                    <w:snapToGrid w:val="0"/>
                    <w:rPr>
                      <w:szCs w:val="21"/>
                    </w:rPr>
                  </w:pPr>
                  <w:r>
                    <w:rPr>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2390" w:type="dxa"/>
                  <w:tcBorders>
                    <w:tl2br w:val="nil"/>
                    <w:tr2bl w:val="nil"/>
                  </w:tcBorders>
                  <w:vAlign w:val="center"/>
                </w:tcPr>
                <w:p w14:paraId="79E423A2">
                  <w:pPr>
                    <w:autoSpaceDE w:val="0"/>
                    <w:autoSpaceDN w:val="0"/>
                    <w:adjustRightInd w:val="0"/>
                    <w:snapToGrid w:val="0"/>
                    <w:jc w:val="center"/>
                    <w:rPr>
                      <w:szCs w:val="21"/>
                    </w:rPr>
                  </w:pPr>
                  <w:r>
                    <w:rPr>
                      <w:szCs w:val="21"/>
                    </w:rPr>
                    <w:t>本项目不涉及</w:t>
                  </w:r>
                  <w:r>
                    <w:rPr>
                      <w:rFonts w:hint="eastAsia"/>
                      <w:szCs w:val="21"/>
                    </w:rPr>
                    <w:t>重点管控</w:t>
                  </w:r>
                  <w:r>
                    <w:rPr>
                      <w:szCs w:val="21"/>
                    </w:rPr>
                    <w:t>单元</w:t>
                  </w:r>
                  <w:r>
                    <w:rPr>
                      <w:rFonts w:hint="eastAsia"/>
                      <w:szCs w:val="21"/>
                    </w:rPr>
                    <w:t>。</w:t>
                  </w:r>
                </w:p>
              </w:tc>
            </w:tr>
            <w:tr w14:paraId="02E33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44" w:type="dxa"/>
                  <w:tcBorders>
                    <w:tl2br w:val="nil"/>
                    <w:tr2bl w:val="nil"/>
                  </w:tcBorders>
                  <w:vAlign w:val="center"/>
                </w:tcPr>
                <w:p w14:paraId="7DAEF94C">
                  <w:pPr>
                    <w:autoSpaceDE w:val="0"/>
                    <w:autoSpaceDN w:val="0"/>
                    <w:adjustRightInd w:val="0"/>
                    <w:snapToGrid w:val="0"/>
                    <w:jc w:val="center"/>
                    <w:rPr>
                      <w:rFonts w:hint="eastAsia" w:eastAsia="宋体"/>
                      <w:szCs w:val="21"/>
                      <w:lang w:val="en-US" w:eastAsia="zh-CN"/>
                    </w:rPr>
                  </w:pPr>
                  <w:r>
                    <w:rPr>
                      <w:szCs w:val="21"/>
                    </w:rPr>
                    <w:t>一般管控单元</w:t>
                  </w:r>
                  <w:r>
                    <w:rPr>
                      <w:rFonts w:hint="eastAsia"/>
                      <w:szCs w:val="21"/>
                      <w:lang w:val="en-US" w:eastAsia="zh-CN"/>
                    </w:rPr>
                    <w:t xml:space="preserve"> </w:t>
                  </w:r>
                </w:p>
              </w:tc>
              <w:tc>
                <w:tcPr>
                  <w:tcW w:w="4164" w:type="dxa"/>
                  <w:tcBorders>
                    <w:tl2br w:val="nil"/>
                    <w:tr2bl w:val="nil"/>
                  </w:tcBorders>
                  <w:vAlign w:val="center"/>
                </w:tcPr>
                <w:p w14:paraId="1CA4DC13">
                  <w:pPr>
                    <w:autoSpaceDE w:val="0"/>
                    <w:autoSpaceDN w:val="0"/>
                    <w:adjustRightInd w:val="0"/>
                    <w:snapToGrid w:val="0"/>
                    <w:rPr>
                      <w:szCs w:val="21"/>
                    </w:rPr>
                  </w:pPr>
                  <w:r>
                    <w:rPr>
                      <w:szCs w:val="21"/>
                    </w:rPr>
                    <w:t>一般管控单元中，执行区域生态环境保护的基本要求，重点加强农业、生活等领域污染治理。</w:t>
                  </w:r>
                </w:p>
              </w:tc>
              <w:tc>
                <w:tcPr>
                  <w:tcW w:w="2390" w:type="dxa"/>
                  <w:tcBorders>
                    <w:tl2br w:val="nil"/>
                    <w:tr2bl w:val="nil"/>
                  </w:tcBorders>
                  <w:vAlign w:val="center"/>
                </w:tcPr>
                <w:p w14:paraId="733AB37B">
                  <w:pPr>
                    <w:autoSpaceDE w:val="0"/>
                    <w:autoSpaceDN w:val="0"/>
                    <w:adjustRightInd w:val="0"/>
                    <w:snapToGrid w:val="0"/>
                    <w:rPr>
                      <w:szCs w:val="21"/>
                    </w:rPr>
                  </w:pPr>
                  <w:r>
                    <w:rPr>
                      <w:rFonts w:hint="eastAsia"/>
                      <w:szCs w:val="21"/>
                    </w:rPr>
                    <w:t>本项目施工过程产生的污染物均交由有资质单位处置，现场不外排，污染得到有效处置。</w:t>
                  </w:r>
                </w:p>
              </w:tc>
            </w:tr>
            <w:tr w14:paraId="58F1F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144" w:type="dxa"/>
                  <w:tcBorders>
                    <w:tl2br w:val="nil"/>
                    <w:tr2bl w:val="nil"/>
                  </w:tcBorders>
                  <w:vAlign w:val="center"/>
                </w:tcPr>
                <w:p w14:paraId="22145E0D">
                  <w:pPr>
                    <w:autoSpaceDE w:val="0"/>
                    <w:autoSpaceDN w:val="0"/>
                    <w:adjustRightInd w:val="0"/>
                    <w:snapToGrid w:val="0"/>
                    <w:jc w:val="center"/>
                    <w:rPr>
                      <w:szCs w:val="21"/>
                    </w:rPr>
                  </w:pPr>
                  <w:r>
                    <w:rPr>
                      <w:szCs w:val="21"/>
                    </w:rPr>
                    <w:t>达州市</w:t>
                  </w:r>
                </w:p>
              </w:tc>
              <w:tc>
                <w:tcPr>
                  <w:tcW w:w="4164" w:type="dxa"/>
                  <w:tcBorders>
                    <w:tl2br w:val="nil"/>
                    <w:tr2bl w:val="nil"/>
                  </w:tcBorders>
                  <w:vAlign w:val="center"/>
                </w:tcPr>
                <w:p w14:paraId="530E4199">
                  <w:pPr>
                    <w:autoSpaceDE w:val="0"/>
                    <w:autoSpaceDN w:val="0"/>
                    <w:adjustRightInd w:val="0"/>
                    <w:snapToGrid w:val="0"/>
                    <w:rPr>
                      <w:szCs w:val="21"/>
                    </w:rPr>
                  </w:pPr>
                  <w:r>
                    <w:rPr>
                      <w:szCs w:val="21"/>
                    </w:rPr>
                    <w:t>1.长江干支流岸线1千米范围内，不得新建、扩建化工园区和化工项目。</w:t>
                  </w:r>
                </w:p>
                <w:p w14:paraId="76D4F2D4">
                  <w:pPr>
                    <w:autoSpaceDE w:val="0"/>
                    <w:autoSpaceDN w:val="0"/>
                    <w:adjustRightInd w:val="0"/>
                    <w:snapToGrid w:val="0"/>
                    <w:rPr>
                      <w:szCs w:val="21"/>
                    </w:rPr>
                  </w:pPr>
                  <w:r>
                    <w:rPr>
                      <w:szCs w:val="21"/>
                    </w:rPr>
                    <w:t>2.严控产业转移环境准入。</w:t>
                  </w:r>
                </w:p>
                <w:p w14:paraId="76872599">
                  <w:pPr>
                    <w:autoSpaceDE w:val="0"/>
                    <w:autoSpaceDN w:val="0"/>
                    <w:adjustRightInd w:val="0"/>
                    <w:snapToGrid w:val="0"/>
                    <w:rPr>
                      <w:szCs w:val="21"/>
                    </w:rPr>
                  </w:pPr>
                  <w:r>
                    <w:rPr>
                      <w:szCs w:val="21"/>
                    </w:rPr>
                    <w:t>3.引进项目应符合园区规划环评和区域产业准入清单要求。</w:t>
                  </w:r>
                </w:p>
                <w:p w14:paraId="5F657A0F">
                  <w:pPr>
                    <w:autoSpaceDE w:val="0"/>
                    <w:autoSpaceDN w:val="0"/>
                    <w:adjustRightInd w:val="0"/>
                    <w:snapToGrid w:val="0"/>
                    <w:rPr>
                      <w:szCs w:val="21"/>
                    </w:rPr>
                  </w:pPr>
                  <w:r>
                    <w:rPr>
                      <w:szCs w:val="21"/>
                    </w:rPr>
                    <w:t>4.造纸等产业污染治理和环境管理应达到国内先进水平。优化制浆造纸产业布局，提升行业清洁生产水平，推动制浆造纸工业向节能、环保、绿色方向发展。</w:t>
                  </w:r>
                </w:p>
                <w:p w14:paraId="7C618A8F">
                  <w:pPr>
                    <w:autoSpaceDE w:val="0"/>
                    <w:autoSpaceDN w:val="0"/>
                    <w:adjustRightInd w:val="0"/>
                    <w:snapToGrid w:val="0"/>
                    <w:rPr>
                      <w:szCs w:val="21"/>
                    </w:rPr>
                  </w:pPr>
                  <w:r>
                    <w:rPr>
                      <w:szCs w:val="21"/>
                    </w:rPr>
                    <w:t>5.深化成都</w:t>
                  </w:r>
                  <w:r>
                    <w:rPr>
                      <w:rFonts w:hint="eastAsia"/>
                      <w:szCs w:val="21"/>
                    </w:rPr>
                    <w:t xml:space="preserve"> </w:t>
                  </w:r>
                  <w:r>
                    <w:rPr>
                      <w:szCs w:val="21"/>
                    </w:rPr>
                    <w:t>平原、川南、川东北地区大气污染联防联控工作机制，加强川渝地区联防联控。强化重污染天气区域应急联动机制，深化区域重污染天气联合应对。</w:t>
                  </w:r>
                </w:p>
                <w:p w14:paraId="2BE8E3BE">
                  <w:pPr>
                    <w:autoSpaceDE w:val="0"/>
                    <w:autoSpaceDN w:val="0"/>
                    <w:adjustRightInd w:val="0"/>
                    <w:snapToGrid w:val="0"/>
                    <w:rPr>
                      <w:szCs w:val="21"/>
                    </w:rPr>
                  </w:pPr>
                  <w:r>
                    <w:rPr>
                      <w:szCs w:val="21"/>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2390" w:type="dxa"/>
                  <w:tcBorders>
                    <w:tl2br w:val="nil"/>
                    <w:tr2bl w:val="nil"/>
                  </w:tcBorders>
                  <w:vAlign w:val="center"/>
                </w:tcPr>
                <w:p w14:paraId="568FA91E">
                  <w:pPr>
                    <w:autoSpaceDE w:val="0"/>
                    <w:autoSpaceDN w:val="0"/>
                    <w:adjustRightInd w:val="0"/>
                    <w:snapToGrid w:val="0"/>
                    <w:rPr>
                      <w:szCs w:val="21"/>
                    </w:rPr>
                  </w:pPr>
                  <w:r>
                    <w:rPr>
                      <w:szCs w:val="21"/>
                    </w:rPr>
                    <w:t>1、本项目不属于化工项目；</w:t>
                  </w:r>
                </w:p>
                <w:p w14:paraId="1A65650E">
                  <w:pPr>
                    <w:autoSpaceDE w:val="0"/>
                    <w:autoSpaceDN w:val="0"/>
                    <w:adjustRightInd w:val="0"/>
                    <w:snapToGrid w:val="0"/>
                    <w:rPr>
                      <w:szCs w:val="21"/>
                    </w:rPr>
                  </w:pPr>
                  <w:r>
                    <w:rPr>
                      <w:szCs w:val="21"/>
                    </w:rPr>
                    <w:t>2、本项目不涉及产业转移；</w:t>
                  </w:r>
                </w:p>
                <w:p w14:paraId="64ACC1D0">
                  <w:pPr>
                    <w:autoSpaceDE w:val="0"/>
                    <w:autoSpaceDN w:val="0"/>
                    <w:adjustRightInd w:val="0"/>
                    <w:snapToGrid w:val="0"/>
                    <w:rPr>
                      <w:szCs w:val="21"/>
                    </w:rPr>
                  </w:pPr>
                  <w:r>
                    <w:rPr>
                      <w:szCs w:val="21"/>
                    </w:rPr>
                    <w:t>3、本项目属于陆地矿产资源地质勘查（油气资源勘探）</w:t>
                  </w:r>
                  <w:r>
                    <w:rPr>
                      <w:rFonts w:hint="eastAsia"/>
                      <w:szCs w:val="21"/>
                    </w:rPr>
                    <w:t>，符合国家产业政策</w:t>
                  </w:r>
                  <w:r>
                    <w:rPr>
                      <w:szCs w:val="21"/>
                    </w:rPr>
                    <w:t>；</w:t>
                  </w:r>
                </w:p>
                <w:p w14:paraId="45C07E25">
                  <w:pPr>
                    <w:autoSpaceDE w:val="0"/>
                    <w:autoSpaceDN w:val="0"/>
                    <w:adjustRightInd w:val="0"/>
                    <w:snapToGrid w:val="0"/>
                    <w:rPr>
                      <w:szCs w:val="21"/>
                    </w:rPr>
                  </w:pPr>
                  <w:r>
                    <w:rPr>
                      <w:szCs w:val="21"/>
                    </w:rPr>
                    <w:t>4、本项目不涉及造纸；</w:t>
                  </w:r>
                </w:p>
                <w:p w14:paraId="616C5DB9">
                  <w:pPr>
                    <w:autoSpaceDE w:val="0"/>
                    <w:autoSpaceDN w:val="0"/>
                    <w:adjustRightInd w:val="0"/>
                    <w:snapToGrid w:val="0"/>
                    <w:rPr>
                      <w:szCs w:val="21"/>
                    </w:rPr>
                  </w:pPr>
                  <w:r>
                    <w:rPr>
                      <w:szCs w:val="21"/>
                    </w:rPr>
                    <w:t>5、本项目</w:t>
                  </w:r>
                  <w:r>
                    <w:rPr>
                      <w:rFonts w:hint="eastAsia"/>
                      <w:szCs w:val="21"/>
                    </w:rPr>
                    <w:t>施工过程产生的污染物均交由有资质单位处置，现场不外排</w:t>
                  </w:r>
                  <w:r>
                    <w:rPr>
                      <w:szCs w:val="21"/>
                    </w:rPr>
                    <w:t>；</w:t>
                  </w:r>
                </w:p>
                <w:p w14:paraId="5252720D">
                  <w:pPr>
                    <w:autoSpaceDE w:val="0"/>
                    <w:autoSpaceDN w:val="0"/>
                    <w:adjustRightInd w:val="0"/>
                    <w:snapToGrid w:val="0"/>
                    <w:rPr>
                      <w:szCs w:val="21"/>
                    </w:rPr>
                  </w:pPr>
                  <w:r>
                    <w:rPr>
                      <w:szCs w:val="21"/>
                    </w:rPr>
                    <w:t>6、本项目不属于钢铁行业。</w:t>
                  </w:r>
                </w:p>
              </w:tc>
            </w:tr>
            <w:tr w14:paraId="4641A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144" w:type="dxa"/>
                  <w:tcBorders>
                    <w:tl2br w:val="nil"/>
                    <w:tr2bl w:val="nil"/>
                  </w:tcBorders>
                  <w:vAlign w:val="center"/>
                </w:tcPr>
                <w:p w14:paraId="353883F2">
                  <w:pPr>
                    <w:autoSpaceDE w:val="0"/>
                    <w:autoSpaceDN w:val="0"/>
                    <w:adjustRightInd w:val="0"/>
                    <w:snapToGrid w:val="0"/>
                    <w:jc w:val="center"/>
                    <w:rPr>
                      <w:szCs w:val="21"/>
                    </w:rPr>
                  </w:pPr>
                  <w:r>
                    <w:rPr>
                      <w:rFonts w:hint="eastAsia"/>
                      <w:szCs w:val="21"/>
                    </w:rPr>
                    <w:t>宣汉县</w:t>
                  </w:r>
                </w:p>
              </w:tc>
              <w:tc>
                <w:tcPr>
                  <w:tcW w:w="4164" w:type="dxa"/>
                  <w:tcBorders>
                    <w:tl2br w:val="nil"/>
                    <w:tr2bl w:val="nil"/>
                  </w:tcBorders>
                  <w:vAlign w:val="center"/>
                </w:tcPr>
                <w:p w14:paraId="0DB83DC1">
                  <w:pPr>
                    <w:autoSpaceDE w:val="0"/>
                    <w:autoSpaceDN w:val="0"/>
                    <w:adjustRightInd w:val="0"/>
                    <w:snapToGrid w:val="0"/>
                    <w:rPr>
                      <w:szCs w:val="21"/>
                    </w:rPr>
                  </w:pPr>
                  <w:r>
                    <w:rPr>
                      <w:szCs w:val="21"/>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14:paraId="79686D0E">
                  <w:pPr>
                    <w:autoSpaceDE w:val="0"/>
                    <w:autoSpaceDN w:val="0"/>
                    <w:adjustRightInd w:val="0"/>
                    <w:snapToGrid w:val="0"/>
                    <w:rPr>
                      <w:szCs w:val="21"/>
                    </w:rPr>
                  </w:pPr>
                  <w:r>
                    <w:rPr>
                      <w:szCs w:val="21"/>
                    </w:rPr>
                    <w:t>2.打好升级版污染防治攻坚战。持续优化调整产业布局，以细颗粒物（PM</w:t>
                  </w:r>
                  <w:r>
                    <w:rPr>
                      <w:szCs w:val="21"/>
                      <w:vertAlign w:val="subscript"/>
                    </w:rPr>
                    <w:t>2.5</w:t>
                  </w:r>
                  <w:r>
                    <w:rPr>
                      <w:szCs w:val="21"/>
                    </w:rPr>
                    <w:t>）和臭氧（O</w:t>
                  </w:r>
                  <w:r>
                    <w:rPr>
                      <w:szCs w:val="21"/>
                      <w:vertAlign w:val="subscript"/>
                    </w:rPr>
                    <w:t>3</w:t>
                  </w:r>
                  <w:r>
                    <w:rPr>
                      <w:szCs w:val="21"/>
                    </w:rPr>
                    <w:t>）污染协同控制为重点，全面开展挥发性有机物（VOCs）治理，实施移动源整治，持续推进空气质量精细化管理。引进项目应符合园区规划环评和区域产业准入清单要求。</w:t>
                  </w:r>
                </w:p>
                <w:p w14:paraId="740BB773">
                  <w:pPr>
                    <w:autoSpaceDE w:val="0"/>
                    <w:autoSpaceDN w:val="0"/>
                    <w:adjustRightInd w:val="0"/>
                    <w:snapToGrid w:val="0"/>
                    <w:rPr>
                      <w:szCs w:val="21"/>
                    </w:rPr>
                  </w:pPr>
                  <w:r>
                    <w:rPr>
                      <w:szCs w:val="21"/>
                    </w:rPr>
                    <w:t>3.加强小流域水环境保护，推动农村环保基础设施建设，全面推进农村环境综合整治、生活污水处理项目。</w:t>
                  </w:r>
                </w:p>
                <w:p w14:paraId="2872C7A8">
                  <w:pPr>
                    <w:autoSpaceDE w:val="0"/>
                    <w:autoSpaceDN w:val="0"/>
                    <w:adjustRightInd w:val="0"/>
                    <w:snapToGrid w:val="0"/>
                    <w:rPr>
                      <w:szCs w:val="21"/>
                    </w:rPr>
                  </w:pPr>
                  <w:r>
                    <w:rPr>
                      <w:szCs w:val="21"/>
                    </w:rPr>
                    <w:t>4.大力开展沿河畜禽养殖污染整治，大力推广生态种植，减少农药化肥使用量；普光气田开发污染防治和环境管理等方面要达国内先进水平。</w:t>
                  </w:r>
                </w:p>
              </w:tc>
              <w:tc>
                <w:tcPr>
                  <w:tcW w:w="2390" w:type="dxa"/>
                  <w:tcBorders>
                    <w:tl2br w:val="nil"/>
                    <w:tr2bl w:val="nil"/>
                  </w:tcBorders>
                  <w:vAlign w:val="center"/>
                </w:tcPr>
                <w:p w14:paraId="2BDAF7F0">
                  <w:pPr>
                    <w:autoSpaceDE w:val="0"/>
                    <w:autoSpaceDN w:val="0"/>
                    <w:adjustRightInd w:val="0"/>
                    <w:snapToGrid w:val="0"/>
                    <w:rPr>
                      <w:szCs w:val="21"/>
                    </w:rPr>
                  </w:pPr>
                  <w:r>
                    <w:rPr>
                      <w:szCs w:val="21"/>
                    </w:rPr>
                    <w:t>1、</w:t>
                  </w:r>
                  <w:r>
                    <w:rPr>
                      <w:rFonts w:hint="eastAsia"/>
                      <w:szCs w:val="21"/>
                    </w:rPr>
                    <w:t>本项目均</w:t>
                  </w:r>
                  <w:r>
                    <w:rPr>
                      <w:szCs w:val="21"/>
                    </w:rPr>
                    <w:t>不涉及</w:t>
                  </w:r>
                  <w:r>
                    <w:rPr>
                      <w:rFonts w:hint="eastAsia"/>
                      <w:szCs w:val="21"/>
                    </w:rPr>
                    <w:t>左列项目</w:t>
                  </w:r>
                  <w:r>
                    <w:rPr>
                      <w:szCs w:val="21"/>
                    </w:rPr>
                    <w:t>；</w:t>
                  </w:r>
                </w:p>
                <w:p w14:paraId="7DDDC94D">
                  <w:pPr>
                    <w:autoSpaceDE w:val="0"/>
                    <w:autoSpaceDN w:val="0"/>
                    <w:adjustRightInd w:val="0"/>
                    <w:snapToGrid w:val="0"/>
                    <w:rPr>
                      <w:szCs w:val="21"/>
                    </w:rPr>
                  </w:pPr>
                  <w:r>
                    <w:rPr>
                      <w:szCs w:val="21"/>
                    </w:rPr>
                    <w:t>2、</w:t>
                  </w:r>
                  <w:r>
                    <w:rPr>
                      <w:rFonts w:hint="eastAsia"/>
                      <w:szCs w:val="21"/>
                    </w:rPr>
                    <w:t>本项目施工期采取洒水降尘等措施后，扬尘排放对周边影响较小，</w:t>
                  </w:r>
                  <w:r>
                    <w:rPr>
                      <w:szCs w:val="21"/>
                    </w:rPr>
                    <w:t>不涉及</w:t>
                  </w:r>
                  <w:r>
                    <w:rPr>
                      <w:rFonts w:hint="eastAsia"/>
                      <w:szCs w:val="21"/>
                    </w:rPr>
                    <w:t>O</w:t>
                  </w:r>
                  <w:r>
                    <w:rPr>
                      <w:rFonts w:hint="eastAsia"/>
                      <w:szCs w:val="21"/>
                      <w:vertAlign w:val="subscript"/>
                    </w:rPr>
                    <w:t>3</w:t>
                  </w:r>
                  <w:r>
                    <w:rPr>
                      <w:rFonts w:hint="eastAsia"/>
                      <w:szCs w:val="21"/>
                    </w:rPr>
                    <w:t>排放</w:t>
                  </w:r>
                  <w:r>
                    <w:rPr>
                      <w:szCs w:val="21"/>
                    </w:rPr>
                    <w:t>；</w:t>
                  </w:r>
                </w:p>
                <w:p w14:paraId="22C1FCC6">
                  <w:pPr>
                    <w:autoSpaceDE w:val="0"/>
                    <w:autoSpaceDN w:val="0"/>
                    <w:adjustRightInd w:val="0"/>
                    <w:snapToGrid w:val="0"/>
                    <w:rPr>
                      <w:szCs w:val="21"/>
                    </w:rPr>
                  </w:pPr>
                  <w:r>
                    <w:rPr>
                      <w:szCs w:val="21"/>
                    </w:rPr>
                    <w:t>3、本项目</w:t>
                  </w:r>
                  <w:r>
                    <w:rPr>
                      <w:rFonts w:hint="eastAsia"/>
                      <w:szCs w:val="21"/>
                    </w:rPr>
                    <w:t>施工人员产生的生活污水收集后交由当地污水处理厂处理</w:t>
                  </w:r>
                  <w:r>
                    <w:rPr>
                      <w:szCs w:val="21"/>
                    </w:rPr>
                    <w:t>；4、不涉及</w:t>
                  </w:r>
                  <w:r>
                    <w:rPr>
                      <w:rFonts w:hint="eastAsia"/>
                      <w:szCs w:val="21"/>
                    </w:rPr>
                    <w:t>畜禽养殖</w:t>
                  </w:r>
                  <w:r>
                    <w:rPr>
                      <w:szCs w:val="21"/>
                    </w:rPr>
                    <w:t>。</w:t>
                  </w:r>
                </w:p>
              </w:tc>
            </w:tr>
          </w:tbl>
          <w:p w14:paraId="0C413581">
            <w:pPr>
              <w:jc w:val="center"/>
              <w:rPr>
                <w:bC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2646045</wp:posOffset>
                      </wp:positionH>
                      <wp:positionV relativeFrom="paragraph">
                        <wp:posOffset>1381125</wp:posOffset>
                      </wp:positionV>
                      <wp:extent cx="1000125" cy="421005"/>
                      <wp:effectExtent l="558800" t="6350" r="22225" b="67945"/>
                      <wp:wrapNone/>
                      <wp:docPr id="36" name="矩形标注 36"/>
                      <wp:cNvGraphicFramePr/>
                      <a:graphic xmlns:a="http://schemas.openxmlformats.org/drawingml/2006/main">
                        <a:graphicData uri="http://schemas.microsoft.com/office/word/2010/wordprocessingShape">
                          <wps:wsp>
                            <wps:cNvSpPr/>
                            <wps:spPr>
                              <a:xfrm>
                                <a:off x="3807460" y="5652770"/>
                                <a:ext cx="1000125" cy="421005"/>
                              </a:xfrm>
                              <a:prstGeom prst="wedgeRectCallout">
                                <a:avLst>
                                  <a:gd name="adj1" fmla="val -100984"/>
                                  <a:gd name="adj2" fmla="val 60708"/>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A0025EB">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8.35pt;margin-top:108.75pt;height:33.15pt;width:78.75pt;z-index:251661312;v-text-anchor:middle;mso-width-relative:page;mso-height-relative:page;" fillcolor="#5B9BD5 [3204]" filled="t" stroked="t" coordsize="21600,21600" o:gfxdata="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1&#10;RFBN1wAAAAsBAAAPAAAAAAAAAAEAIAAAACIAAABkcnMvZG93bnJldi54bWxQSwECFAAUAAAACACH&#10;TuJAfvAzedACAACUBQAADgAAAAAAAAABACAAAAAmAQAAZHJzL2Uyb0RvYy54bWxQSwUGAAAAAAYA&#10;BgBZAQAAaAYAAAAA&#10;" adj="-11013,23913">
                      <v:fill on="t" focussize="0,0"/>
                      <v:stroke weight="1pt" color="#2E75B6 [2404]" miterlimit="8" joinstyle="miter"/>
                      <v:imagedata o:title=""/>
                      <o:lock v:ext="edit" aspectratio="f"/>
                      <v:textbox>
                        <w:txbxContent>
                          <w:p w14:paraId="1A0025EB">
                            <w:pPr>
                              <w:jc w:val="center"/>
                            </w:pPr>
                            <w:r>
                              <w:rPr>
                                <w:rFonts w:hint="eastAsia"/>
                              </w:rPr>
                              <w:t>项目位置</w:t>
                            </w:r>
                          </w:p>
                        </w:txbxContent>
                      </v:textbox>
                    </v:shape>
                  </w:pict>
                </mc:Fallback>
              </mc:AlternateContent>
            </w:r>
            <w:r>
              <w:rPr>
                <w:bCs/>
                <w:sz w:val="24"/>
              </w:rPr>
              <w:drawing>
                <wp:inline distT="0" distB="0" distL="114300" distR="114300">
                  <wp:extent cx="4914265" cy="3477895"/>
                  <wp:effectExtent l="0" t="0" r="635" b="8255"/>
                  <wp:docPr id="35" name="图片 1" descr="微信截图_202407251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微信截图_20240725102605"/>
                          <pic:cNvPicPr>
                            <a:picLocks noChangeAspect="1"/>
                          </pic:cNvPicPr>
                        </pic:nvPicPr>
                        <pic:blipFill>
                          <a:blip r:embed="rId7"/>
                          <a:stretch>
                            <a:fillRect/>
                          </a:stretch>
                        </pic:blipFill>
                        <pic:spPr>
                          <a:xfrm>
                            <a:off x="0" y="0"/>
                            <a:ext cx="4914265" cy="3477895"/>
                          </a:xfrm>
                          <a:prstGeom prst="rect">
                            <a:avLst/>
                          </a:prstGeom>
                          <a:noFill/>
                          <a:ln>
                            <a:noFill/>
                          </a:ln>
                        </pic:spPr>
                      </pic:pic>
                    </a:graphicData>
                  </a:graphic>
                </wp:inline>
              </w:drawing>
            </w:r>
          </w:p>
          <w:p w14:paraId="6F12E932">
            <w:pPr>
              <w:spacing w:line="360" w:lineRule="auto"/>
              <w:ind w:firstLine="482" w:firstLineChars="200"/>
              <w:jc w:val="center"/>
              <w:rPr>
                <w:bCs/>
                <w:sz w:val="24"/>
              </w:rPr>
            </w:pPr>
            <w:r>
              <w:rPr>
                <w:b/>
                <w:sz w:val="24"/>
              </w:rPr>
              <w:t>图1-1 达州市环境管控单元分布图</w:t>
            </w:r>
          </w:p>
          <w:p w14:paraId="11E24A93">
            <w:pPr>
              <w:spacing w:line="360" w:lineRule="auto"/>
              <w:ind w:firstLine="480" w:firstLineChars="200"/>
              <w:rPr>
                <w:bCs/>
                <w:color w:val="0000FF"/>
                <w:sz w:val="24"/>
              </w:rPr>
            </w:pPr>
            <w:r>
              <w:rPr>
                <w:bCs/>
                <w:color w:val="0000FF"/>
                <w:sz w:val="24"/>
              </w:rPr>
              <w:t>根据达州市环境管控单元分布图，本项目位于环境管控单元要素</w:t>
            </w:r>
            <w:r>
              <w:rPr>
                <w:rFonts w:hint="eastAsia"/>
                <w:bCs/>
                <w:color w:val="0000FF"/>
                <w:sz w:val="24"/>
              </w:rPr>
              <w:t>一般</w:t>
            </w:r>
            <w:r>
              <w:rPr>
                <w:bCs/>
                <w:color w:val="0000FF"/>
                <w:sz w:val="24"/>
              </w:rPr>
              <w:t>管控单元</w:t>
            </w:r>
            <w:r>
              <w:rPr>
                <w:rFonts w:hint="eastAsia"/>
                <w:bCs/>
                <w:color w:val="0000FF"/>
                <w:sz w:val="24"/>
              </w:rPr>
              <w:t>、宣汉县大气环境布局敏感重点管控单元、州河-宣汉县-张鼓坪-控制单元，项目均符合上述管控单元对应管控要求。</w:t>
            </w:r>
          </w:p>
          <w:p w14:paraId="7B48A9A9">
            <w:pPr>
              <w:spacing w:line="360" w:lineRule="auto"/>
              <w:ind w:firstLine="480" w:firstLineChars="200"/>
              <w:rPr>
                <w:bCs/>
                <w:sz w:val="24"/>
              </w:rPr>
            </w:pPr>
            <w:r>
              <w:rPr>
                <w:rFonts w:hint="eastAsia"/>
                <w:bCs/>
                <w:sz w:val="24"/>
              </w:rPr>
              <w:t>（2）</w:t>
            </w:r>
            <w:r>
              <w:rPr>
                <w:bCs/>
                <w:sz w:val="24"/>
              </w:rPr>
              <w:t>与</w:t>
            </w:r>
            <w:r>
              <w:rPr>
                <w:rFonts w:hint="eastAsia"/>
                <w:bCs/>
                <w:sz w:val="24"/>
              </w:rPr>
              <w:t>生态环境分区管控</w:t>
            </w:r>
            <w:r>
              <w:rPr>
                <w:bCs/>
                <w:sz w:val="24"/>
              </w:rPr>
              <w:t>符合性分析</w:t>
            </w:r>
          </w:p>
          <w:p w14:paraId="62A7FC9C">
            <w:pPr>
              <w:spacing w:line="360" w:lineRule="auto"/>
              <w:ind w:firstLine="480" w:firstLineChars="200"/>
              <w:rPr>
                <w:bCs/>
                <w:sz w:val="24"/>
              </w:rPr>
            </w:pPr>
            <w:r>
              <w:rPr>
                <w:bCs/>
                <w:sz w:val="24"/>
              </w:rPr>
              <w:t>通过四川省政务服务网“</w:t>
            </w:r>
            <w:r>
              <w:rPr>
                <w:rFonts w:hint="eastAsia"/>
                <w:bCs/>
                <w:sz w:val="24"/>
              </w:rPr>
              <w:t>生态环境分区管控分析符合性分析系统</w:t>
            </w:r>
            <w:r>
              <w:rPr>
                <w:bCs/>
                <w:sz w:val="24"/>
              </w:rPr>
              <w:t>”进行比对分析，本项目涉及环境管控单元3个，涉及的管控单元详见如下：</w:t>
            </w:r>
          </w:p>
          <w:p w14:paraId="7FD2C446">
            <w:pPr>
              <w:rPr>
                <w:bCs/>
                <w:sz w:val="24"/>
              </w:rPr>
            </w:pPr>
            <w:r>
              <w:rPr>
                <w:rFonts w:hint="eastAsia"/>
                <w:bCs/>
                <w:sz w:val="24"/>
              </w:rPr>
              <w:drawing>
                <wp:inline distT="0" distB="0" distL="114300" distR="114300">
                  <wp:extent cx="4998720" cy="3785870"/>
                  <wp:effectExtent l="0" t="0" r="1143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98720" cy="3785870"/>
                          </a:xfrm>
                          <a:prstGeom prst="rect">
                            <a:avLst/>
                          </a:prstGeom>
                          <a:noFill/>
                          <a:ln>
                            <a:noFill/>
                          </a:ln>
                        </pic:spPr>
                      </pic:pic>
                    </a:graphicData>
                  </a:graphic>
                </wp:inline>
              </w:drawing>
            </w:r>
          </w:p>
          <w:p w14:paraId="60A2E355">
            <w:pPr>
              <w:spacing w:line="360" w:lineRule="auto"/>
              <w:jc w:val="center"/>
              <w:rPr>
                <w:bCs/>
                <w:color w:val="0070C0"/>
                <w:sz w:val="24"/>
              </w:rPr>
            </w:pPr>
            <w:r>
              <w:rPr>
                <w:bCs/>
                <w:color w:val="0070C0"/>
                <w:sz w:val="24"/>
              </w:rPr>
              <w:t xml:space="preserve">图 1-1 </w:t>
            </w:r>
            <w:r>
              <w:rPr>
                <w:rFonts w:hint="eastAsia"/>
                <w:bCs/>
                <w:color w:val="0070C0"/>
                <w:sz w:val="24"/>
              </w:rPr>
              <w:t>生态环境分区管控符合性</w:t>
            </w:r>
            <w:r>
              <w:rPr>
                <w:bCs/>
                <w:color w:val="0070C0"/>
                <w:sz w:val="24"/>
              </w:rPr>
              <w:t>分析系统截图</w:t>
            </w:r>
          </w:p>
          <w:p w14:paraId="37C30953">
            <w:pPr>
              <w:spacing w:line="360" w:lineRule="auto"/>
              <w:ind w:firstLine="480" w:firstLineChars="200"/>
              <w:jc w:val="center"/>
              <w:rPr>
                <w:bCs/>
                <w:sz w:val="24"/>
              </w:rPr>
            </w:pPr>
            <w:r>
              <w:rPr>
                <w:bCs/>
                <w:sz w:val="24"/>
              </w:rPr>
              <w:t>表1-7 本项目涉及环境管控单元表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737"/>
              <w:gridCol w:w="919"/>
              <w:gridCol w:w="904"/>
              <w:gridCol w:w="1187"/>
              <w:gridCol w:w="1938"/>
            </w:tblGrid>
            <w:tr w14:paraId="0D59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blHeader/>
              </w:trPr>
              <w:tc>
                <w:tcPr>
                  <w:tcW w:w="749" w:type="pct"/>
                  <w:vAlign w:val="center"/>
                </w:tcPr>
                <w:p w14:paraId="695DC6BB">
                  <w:pPr>
                    <w:autoSpaceDE w:val="0"/>
                    <w:autoSpaceDN w:val="0"/>
                    <w:adjustRightInd w:val="0"/>
                    <w:snapToGrid w:val="0"/>
                    <w:jc w:val="center"/>
                    <w:rPr>
                      <w:b/>
                      <w:bCs/>
                      <w:szCs w:val="21"/>
                    </w:rPr>
                  </w:pPr>
                  <w:r>
                    <w:rPr>
                      <w:b/>
                      <w:bCs/>
                      <w:szCs w:val="21"/>
                    </w:rPr>
                    <w:t>环境管控单元编码</w:t>
                  </w:r>
                </w:p>
              </w:tc>
              <w:tc>
                <w:tcPr>
                  <w:tcW w:w="1104" w:type="pct"/>
                  <w:vAlign w:val="center"/>
                </w:tcPr>
                <w:p w14:paraId="101EAD3C">
                  <w:pPr>
                    <w:autoSpaceDE w:val="0"/>
                    <w:autoSpaceDN w:val="0"/>
                    <w:adjustRightInd w:val="0"/>
                    <w:snapToGrid w:val="0"/>
                    <w:jc w:val="center"/>
                    <w:rPr>
                      <w:b/>
                      <w:bCs/>
                      <w:szCs w:val="21"/>
                    </w:rPr>
                  </w:pPr>
                  <w:r>
                    <w:rPr>
                      <w:b/>
                      <w:bCs/>
                      <w:szCs w:val="21"/>
                    </w:rPr>
                    <w:t>环境管控单元名称</w:t>
                  </w:r>
                </w:p>
              </w:tc>
              <w:tc>
                <w:tcPr>
                  <w:tcW w:w="584" w:type="pct"/>
                  <w:vAlign w:val="center"/>
                </w:tcPr>
                <w:p w14:paraId="037EB507">
                  <w:pPr>
                    <w:autoSpaceDE w:val="0"/>
                    <w:autoSpaceDN w:val="0"/>
                    <w:adjustRightInd w:val="0"/>
                    <w:snapToGrid w:val="0"/>
                    <w:jc w:val="center"/>
                    <w:rPr>
                      <w:b/>
                      <w:bCs/>
                      <w:szCs w:val="21"/>
                    </w:rPr>
                  </w:pPr>
                  <w:r>
                    <w:rPr>
                      <w:b/>
                      <w:bCs/>
                      <w:szCs w:val="21"/>
                    </w:rPr>
                    <w:t>所属市（州）</w:t>
                  </w:r>
                </w:p>
              </w:tc>
              <w:tc>
                <w:tcPr>
                  <w:tcW w:w="575" w:type="pct"/>
                  <w:vAlign w:val="center"/>
                </w:tcPr>
                <w:p w14:paraId="5C03050E">
                  <w:pPr>
                    <w:autoSpaceDE w:val="0"/>
                    <w:autoSpaceDN w:val="0"/>
                    <w:adjustRightInd w:val="0"/>
                    <w:snapToGrid w:val="0"/>
                    <w:jc w:val="center"/>
                    <w:rPr>
                      <w:b/>
                      <w:bCs/>
                      <w:szCs w:val="21"/>
                    </w:rPr>
                  </w:pPr>
                  <w:r>
                    <w:rPr>
                      <w:b/>
                      <w:bCs/>
                      <w:szCs w:val="21"/>
                    </w:rPr>
                    <w:t>所属区县</w:t>
                  </w:r>
                </w:p>
              </w:tc>
              <w:tc>
                <w:tcPr>
                  <w:tcW w:w="755" w:type="pct"/>
                  <w:vAlign w:val="center"/>
                </w:tcPr>
                <w:p w14:paraId="1B1E0221">
                  <w:pPr>
                    <w:autoSpaceDE w:val="0"/>
                    <w:autoSpaceDN w:val="0"/>
                    <w:adjustRightInd w:val="0"/>
                    <w:snapToGrid w:val="0"/>
                    <w:jc w:val="center"/>
                    <w:rPr>
                      <w:b/>
                      <w:bCs/>
                      <w:szCs w:val="21"/>
                    </w:rPr>
                  </w:pPr>
                  <w:r>
                    <w:rPr>
                      <w:b/>
                      <w:bCs/>
                      <w:szCs w:val="21"/>
                    </w:rPr>
                    <w:t>准入清单类型</w:t>
                  </w:r>
                </w:p>
              </w:tc>
              <w:tc>
                <w:tcPr>
                  <w:tcW w:w="1232" w:type="pct"/>
                  <w:vAlign w:val="center"/>
                </w:tcPr>
                <w:p w14:paraId="304DC618">
                  <w:pPr>
                    <w:autoSpaceDE w:val="0"/>
                    <w:autoSpaceDN w:val="0"/>
                    <w:adjustRightInd w:val="0"/>
                    <w:snapToGrid w:val="0"/>
                    <w:jc w:val="center"/>
                    <w:rPr>
                      <w:b/>
                      <w:bCs/>
                      <w:szCs w:val="21"/>
                    </w:rPr>
                  </w:pPr>
                  <w:r>
                    <w:rPr>
                      <w:b/>
                      <w:bCs/>
                      <w:szCs w:val="21"/>
                    </w:rPr>
                    <w:t>管控类型</w:t>
                  </w:r>
                </w:p>
              </w:tc>
            </w:tr>
            <w:tr w14:paraId="457C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vAlign w:val="center"/>
                </w:tcPr>
                <w:p w14:paraId="41642B09">
                  <w:pPr>
                    <w:pStyle w:val="408"/>
                    <w:widowControl/>
                    <w:spacing w:line="240" w:lineRule="auto"/>
                    <w:ind w:firstLine="0" w:firstLineChars="0"/>
                    <w:jc w:val="center"/>
                    <w:rPr>
                      <w:rFonts w:eastAsia="宋体"/>
                      <w:sz w:val="21"/>
                      <w:szCs w:val="21"/>
                    </w:rPr>
                  </w:pPr>
                  <w:r>
                    <w:rPr>
                      <w:rFonts w:hint="eastAsia" w:eastAsia="宋体"/>
                      <w:sz w:val="21"/>
                      <w:szCs w:val="21"/>
                    </w:rPr>
                    <w:t>YS5117222320001</w:t>
                  </w:r>
                </w:p>
              </w:tc>
              <w:tc>
                <w:tcPr>
                  <w:tcW w:w="1737" w:type="dxa"/>
                  <w:vAlign w:val="center"/>
                </w:tcPr>
                <w:p w14:paraId="15FCD888">
                  <w:pPr>
                    <w:pStyle w:val="408"/>
                    <w:widowControl/>
                    <w:spacing w:line="240" w:lineRule="auto"/>
                    <w:ind w:firstLine="0" w:firstLineChars="0"/>
                    <w:jc w:val="left"/>
                    <w:rPr>
                      <w:rFonts w:eastAsia="宋体"/>
                      <w:sz w:val="21"/>
                      <w:szCs w:val="21"/>
                    </w:rPr>
                  </w:pPr>
                  <w:r>
                    <w:rPr>
                      <w:rFonts w:hint="eastAsia" w:ascii="宋体" w:hAnsi="宋体" w:eastAsia="宋体"/>
                      <w:sz w:val="21"/>
                      <w:szCs w:val="21"/>
                    </w:rPr>
                    <w:t>宣汉县大气环境布局敏感重点管控单元</w:t>
                  </w:r>
                </w:p>
              </w:tc>
              <w:tc>
                <w:tcPr>
                  <w:tcW w:w="919" w:type="dxa"/>
                  <w:vAlign w:val="center"/>
                </w:tcPr>
                <w:p w14:paraId="6545B8C1">
                  <w:pPr>
                    <w:pStyle w:val="408"/>
                    <w:widowControl/>
                    <w:spacing w:line="240" w:lineRule="auto"/>
                    <w:ind w:firstLine="0" w:firstLineChars="0"/>
                    <w:jc w:val="center"/>
                    <w:rPr>
                      <w:rFonts w:eastAsia="宋体"/>
                      <w:sz w:val="21"/>
                      <w:szCs w:val="21"/>
                    </w:rPr>
                  </w:pPr>
                  <w:r>
                    <w:rPr>
                      <w:rFonts w:eastAsia="宋体"/>
                      <w:sz w:val="21"/>
                      <w:szCs w:val="21"/>
                    </w:rPr>
                    <w:t>达州市</w:t>
                  </w:r>
                </w:p>
              </w:tc>
              <w:tc>
                <w:tcPr>
                  <w:tcW w:w="905" w:type="dxa"/>
                  <w:vAlign w:val="center"/>
                </w:tcPr>
                <w:p w14:paraId="69D64E15">
                  <w:pPr>
                    <w:pStyle w:val="408"/>
                    <w:widowControl/>
                    <w:spacing w:line="240" w:lineRule="auto"/>
                    <w:ind w:firstLine="0" w:firstLineChars="0"/>
                    <w:jc w:val="center"/>
                    <w:rPr>
                      <w:rFonts w:eastAsia="宋体"/>
                      <w:sz w:val="21"/>
                      <w:szCs w:val="21"/>
                    </w:rPr>
                  </w:pPr>
                  <w:r>
                    <w:rPr>
                      <w:rFonts w:eastAsia="宋体"/>
                      <w:sz w:val="21"/>
                      <w:szCs w:val="21"/>
                    </w:rPr>
                    <w:t>宣汉县</w:t>
                  </w:r>
                </w:p>
              </w:tc>
              <w:tc>
                <w:tcPr>
                  <w:tcW w:w="1188" w:type="dxa"/>
                  <w:vAlign w:val="center"/>
                </w:tcPr>
                <w:p w14:paraId="4ABFC639">
                  <w:pPr>
                    <w:pStyle w:val="408"/>
                    <w:widowControl/>
                    <w:spacing w:line="240" w:lineRule="auto"/>
                    <w:ind w:firstLine="0" w:firstLineChars="0"/>
                    <w:jc w:val="center"/>
                    <w:rPr>
                      <w:rFonts w:eastAsia="宋体"/>
                      <w:sz w:val="21"/>
                      <w:szCs w:val="21"/>
                    </w:rPr>
                  </w:pPr>
                  <w:r>
                    <w:rPr>
                      <w:rFonts w:eastAsia="宋体"/>
                      <w:sz w:val="21"/>
                      <w:szCs w:val="21"/>
                    </w:rPr>
                    <w:t>大气环境管控分区</w:t>
                  </w:r>
                </w:p>
              </w:tc>
              <w:tc>
                <w:tcPr>
                  <w:tcW w:w="1938" w:type="dxa"/>
                  <w:vAlign w:val="center"/>
                </w:tcPr>
                <w:p w14:paraId="696B809C">
                  <w:pPr>
                    <w:pStyle w:val="408"/>
                    <w:widowControl/>
                    <w:spacing w:line="240" w:lineRule="auto"/>
                    <w:ind w:firstLine="0" w:firstLineChars="0"/>
                    <w:jc w:val="center"/>
                    <w:rPr>
                      <w:rFonts w:eastAsia="宋体"/>
                      <w:sz w:val="21"/>
                      <w:szCs w:val="21"/>
                    </w:rPr>
                  </w:pPr>
                  <w:r>
                    <w:rPr>
                      <w:rFonts w:eastAsia="宋体"/>
                      <w:sz w:val="21"/>
                      <w:szCs w:val="21"/>
                    </w:rPr>
                    <w:t>大气环境</w:t>
                  </w:r>
                  <w:r>
                    <w:rPr>
                      <w:rFonts w:hint="eastAsia" w:eastAsia="宋体"/>
                      <w:sz w:val="21"/>
                      <w:szCs w:val="21"/>
                    </w:rPr>
                    <w:t>重点管控</w:t>
                  </w:r>
                </w:p>
              </w:tc>
            </w:tr>
            <w:tr w14:paraId="6D2A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vAlign w:val="center"/>
                </w:tcPr>
                <w:p w14:paraId="2554C3D2">
                  <w:pPr>
                    <w:pStyle w:val="408"/>
                    <w:widowControl/>
                    <w:spacing w:line="240" w:lineRule="auto"/>
                    <w:ind w:firstLine="0" w:firstLineChars="0"/>
                    <w:jc w:val="center"/>
                    <w:rPr>
                      <w:rFonts w:eastAsia="宋体"/>
                      <w:sz w:val="21"/>
                      <w:szCs w:val="21"/>
                    </w:rPr>
                  </w:pPr>
                  <w:r>
                    <w:rPr>
                      <w:rFonts w:hint="eastAsia" w:eastAsia="宋体"/>
                      <w:sz w:val="21"/>
                      <w:szCs w:val="21"/>
                    </w:rPr>
                    <w:t>YS5117223210001</w:t>
                  </w:r>
                </w:p>
              </w:tc>
              <w:tc>
                <w:tcPr>
                  <w:tcW w:w="1737" w:type="dxa"/>
                  <w:vAlign w:val="center"/>
                </w:tcPr>
                <w:p w14:paraId="475B4FDF">
                  <w:pPr>
                    <w:pStyle w:val="408"/>
                    <w:widowControl/>
                    <w:spacing w:line="240" w:lineRule="auto"/>
                    <w:ind w:firstLine="0" w:firstLineChars="0"/>
                    <w:jc w:val="left"/>
                    <w:rPr>
                      <w:rFonts w:eastAsia="宋体"/>
                      <w:sz w:val="21"/>
                      <w:szCs w:val="21"/>
                    </w:rPr>
                  </w:pPr>
                  <w:r>
                    <w:rPr>
                      <w:rFonts w:hint="eastAsia" w:ascii="宋体" w:hAnsi="宋体" w:eastAsia="宋体"/>
                      <w:sz w:val="21"/>
                      <w:szCs w:val="21"/>
                    </w:rPr>
                    <w:t>州河-宣汉县-张鼓坪-控制单元</w:t>
                  </w:r>
                </w:p>
              </w:tc>
              <w:tc>
                <w:tcPr>
                  <w:tcW w:w="919" w:type="dxa"/>
                  <w:vAlign w:val="center"/>
                </w:tcPr>
                <w:p w14:paraId="050A3669">
                  <w:pPr>
                    <w:pStyle w:val="408"/>
                    <w:widowControl/>
                    <w:spacing w:line="240" w:lineRule="auto"/>
                    <w:ind w:firstLine="0" w:firstLineChars="0"/>
                    <w:jc w:val="center"/>
                    <w:rPr>
                      <w:rFonts w:eastAsia="宋体"/>
                      <w:sz w:val="21"/>
                      <w:szCs w:val="21"/>
                    </w:rPr>
                  </w:pPr>
                  <w:r>
                    <w:rPr>
                      <w:rFonts w:eastAsia="宋体"/>
                      <w:sz w:val="21"/>
                      <w:szCs w:val="21"/>
                    </w:rPr>
                    <w:t>达州市</w:t>
                  </w:r>
                </w:p>
              </w:tc>
              <w:tc>
                <w:tcPr>
                  <w:tcW w:w="905" w:type="dxa"/>
                  <w:vAlign w:val="center"/>
                </w:tcPr>
                <w:p w14:paraId="16167031">
                  <w:pPr>
                    <w:pStyle w:val="408"/>
                    <w:widowControl/>
                    <w:spacing w:line="240" w:lineRule="auto"/>
                    <w:ind w:firstLine="0" w:firstLineChars="0"/>
                    <w:jc w:val="center"/>
                    <w:rPr>
                      <w:rFonts w:eastAsia="宋体"/>
                      <w:sz w:val="21"/>
                      <w:szCs w:val="21"/>
                    </w:rPr>
                  </w:pPr>
                  <w:r>
                    <w:rPr>
                      <w:rFonts w:eastAsia="宋体"/>
                      <w:sz w:val="21"/>
                      <w:szCs w:val="21"/>
                    </w:rPr>
                    <w:t>宣汉县</w:t>
                  </w:r>
                </w:p>
              </w:tc>
              <w:tc>
                <w:tcPr>
                  <w:tcW w:w="1188" w:type="dxa"/>
                  <w:vAlign w:val="center"/>
                </w:tcPr>
                <w:p w14:paraId="51261D60">
                  <w:pPr>
                    <w:pStyle w:val="408"/>
                    <w:widowControl/>
                    <w:spacing w:line="240" w:lineRule="auto"/>
                    <w:ind w:firstLine="0" w:firstLineChars="0"/>
                    <w:jc w:val="center"/>
                    <w:rPr>
                      <w:rFonts w:eastAsia="宋体"/>
                      <w:sz w:val="21"/>
                      <w:szCs w:val="21"/>
                    </w:rPr>
                  </w:pPr>
                  <w:r>
                    <w:rPr>
                      <w:rFonts w:eastAsia="宋体"/>
                      <w:sz w:val="21"/>
                      <w:szCs w:val="21"/>
                    </w:rPr>
                    <w:t>水环境管控分区</w:t>
                  </w:r>
                </w:p>
              </w:tc>
              <w:tc>
                <w:tcPr>
                  <w:tcW w:w="1938" w:type="dxa"/>
                  <w:vAlign w:val="center"/>
                </w:tcPr>
                <w:p w14:paraId="4CEA1E34">
                  <w:pPr>
                    <w:pStyle w:val="408"/>
                    <w:widowControl/>
                    <w:spacing w:line="240" w:lineRule="auto"/>
                    <w:ind w:firstLine="0" w:firstLineChars="0"/>
                    <w:jc w:val="center"/>
                    <w:rPr>
                      <w:rFonts w:eastAsia="宋体"/>
                      <w:sz w:val="21"/>
                      <w:szCs w:val="21"/>
                    </w:rPr>
                  </w:pPr>
                  <w:r>
                    <w:rPr>
                      <w:rFonts w:eastAsia="宋体"/>
                      <w:sz w:val="21"/>
                      <w:szCs w:val="21"/>
                    </w:rPr>
                    <w:t>水环境一般管控区</w:t>
                  </w:r>
                </w:p>
              </w:tc>
            </w:tr>
            <w:tr w14:paraId="7E43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vAlign w:val="center"/>
                </w:tcPr>
                <w:p w14:paraId="6B30DCC9">
                  <w:pPr>
                    <w:pStyle w:val="408"/>
                    <w:widowControl/>
                    <w:spacing w:line="240" w:lineRule="auto"/>
                    <w:ind w:firstLine="0" w:firstLineChars="0"/>
                    <w:jc w:val="center"/>
                    <w:rPr>
                      <w:rFonts w:eastAsia="宋体"/>
                      <w:sz w:val="21"/>
                      <w:szCs w:val="21"/>
                    </w:rPr>
                  </w:pPr>
                  <w:r>
                    <w:rPr>
                      <w:rFonts w:eastAsia="宋体"/>
                      <w:sz w:val="21"/>
                      <w:szCs w:val="21"/>
                    </w:rPr>
                    <w:t>ZH51172230001</w:t>
                  </w:r>
                </w:p>
              </w:tc>
              <w:tc>
                <w:tcPr>
                  <w:tcW w:w="1737" w:type="dxa"/>
                  <w:vAlign w:val="center"/>
                </w:tcPr>
                <w:p w14:paraId="565D416F">
                  <w:pPr>
                    <w:pStyle w:val="408"/>
                    <w:widowControl/>
                    <w:spacing w:line="240" w:lineRule="auto"/>
                    <w:ind w:firstLine="0" w:firstLineChars="0"/>
                    <w:jc w:val="center"/>
                    <w:rPr>
                      <w:rFonts w:eastAsia="宋体"/>
                      <w:sz w:val="21"/>
                      <w:szCs w:val="21"/>
                    </w:rPr>
                  </w:pPr>
                  <w:r>
                    <w:rPr>
                      <w:rFonts w:eastAsia="宋体"/>
                      <w:sz w:val="21"/>
                      <w:szCs w:val="21"/>
                    </w:rPr>
                    <w:t>宣汉县一般管控单元</w:t>
                  </w:r>
                </w:p>
              </w:tc>
              <w:tc>
                <w:tcPr>
                  <w:tcW w:w="919" w:type="dxa"/>
                  <w:vAlign w:val="center"/>
                </w:tcPr>
                <w:p w14:paraId="2D89BB44">
                  <w:pPr>
                    <w:pStyle w:val="408"/>
                    <w:widowControl/>
                    <w:spacing w:line="240" w:lineRule="auto"/>
                    <w:ind w:firstLine="0" w:firstLineChars="0"/>
                    <w:jc w:val="center"/>
                    <w:rPr>
                      <w:rFonts w:eastAsia="宋体"/>
                      <w:sz w:val="21"/>
                      <w:szCs w:val="21"/>
                    </w:rPr>
                  </w:pPr>
                  <w:r>
                    <w:rPr>
                      <w:rFonts w:eastAsia="宋体"/>
                      <w:sz w:val="21"/>
                      <w:szCs w:val="21"/>
                    </w:rPr>
                    <w:t>达州市</w:t>
                  </w:r>
                </w:p>
              </w:tc>
              <w:tc>
                <w:tcPr>
                  <w:tcW w:w="905" w:type="dxa"/>
                  <w:vAlign w:val="center"/>
                </w:tcPr>
                <w:p w14:paraId="299B1E6A">
                  <w:pPr>
                    <w:pStyle w:val="408"/>
                    <w:widowControl/>
                    <w:spacing w:line="240" w:lineRule="auto"/>
                    <w:ind w:firstLine="0" w:firstLineChars="0"/>
                    <w:jc w:val="center"/>
                    <w:rPr>
                      <w:rFonts w:eastAsia="宋体"/>
                      <w:sz w:val="21"/>
                      <w:szCs w:val="21"/>
                    </w:rPr>
                  </w:pPr>
                  <w:r>
                    <w:rPr>
                      <w:rFonts w:eastAsia="宋体"/>
                      <w:sz w:val="21"/>
                      <w:szCs w:val="21"/>
                    </w:rPr>
                    <w:t>宣汉县</w:t>
                  </w:r>
                </w:p>
              </w:tc>
              <w:tc>
                <w:tcPr>
                  <w:tcW w:w="1188" w:type="dxa"/>
                  <w:vAlign w:val="center"/>
                </w:tcPr>
                <w:p w14:paraId="3FB02882">
                  <w:pPr>
                    <w:pStyle w:val="408"/>
                    <w:widowControl/>
                    <w:spacing w:line="240" w:lineRule="auto"/>
                    <w:ind w:firstLine="0" w:firstLineChars="0"/>
                    <w:jc w:val="center"/>
                    <w:rPr>
                      <w:rFonts w:eastAsia="宋体"/>
                      <w:sz w:val="21"/>
                      <w:szCs w:val="21"/>
                    </w:rPr>
                  </w:pPr>
                  <w:r>
                    <w:rPr>
                      <w:rFonts w:eastAsia="宋体"/>
                      <w:sz w:val="21"/>
                      <w:szCs w:val="21"/>
                    </w:rPr>
                    <w:t>环境综合管控单元</w:t>
                  </w:r>
                  <w:r>
                    <w:rPr>
                      <w:rFonts w:hint="eastAsia" w:eastAsia="宋体"/>
                      <w:sz w:val="21"/>
                      <w:szCs w:val="21"/>
                    </w:rPr>
                    <w:t xml:space="preserve"> </w:t>
                  </w:r>
                </w:p>
              </w:tc>
              <w:tc>
                <w:tcPr>
                  <w:tcW w:w="1938" w:type="dxa"/>
                  <w:vAlign w:val="center"/>
                </w:tcPr>
                <w:p w14:paraId="0BE0CA22">
                  <w:pPr>
                    <w:pStyle w:val="408"/>
                    <w:widowControl/>
                    <w:spacing w:line="240" w:lineRule="auto"/>
                    <w:ind w:firstLine="0" w:firstLineChars="0"/>
                    <w:jc w:val="center"/>
                    <w:rPr>
                      <w:rFonts w:eastAsia="宋体"/>
                      <w:sz w:val="21"/>
                      <w:szCs w:val="21"/>
                    </w:rPr>
                  </w:pPr>
                  <w:r>
                    <w:rPr>
                      <w:rFonts w:eastAsia="宋体"/>
                      <w:sz w:val="21"/>
                      <w:szCs w:val="21"/>
                    </w:rPr>
                    <w:t>环境综合管控单元一般管控单元</w:t>
                  </w:r>
                </w:p>
              </w:tc>
            </w:tr>
          </w:tbl>
          <w:p w14:paraId="3267F42A">
            <w:pPr>
              <w:spacing w:line="360" w:lineRule="auto"/>
              <w:ind w:firstLine="480" w:firstLineChars="200"/>
              <w:rPr>
                <w:bCs/>
                <w:color w:val="0000FF"/>
                <w:sz w:val="24"/>
              </w:rPr>
            </w:pPr>
            <w:r>
              <w:rPr>
                <w:bCs/>
                <w:color w:val="0000FF"/>
                <w:sz w:val="24"/>
              </w:rPr>
              <w:t>项目</w:t>
            </w:r>
            <w:r>
              <w:rPr>
                <w:rFonts w:hint="eastAsia"/>
                <w:bCs/>
                <w:color w:val="0000FF"/>
                <w:sz w:val="24"/>
              </w:rPr>
              <w:t>所在环境综合管控单元为</w:t>
            </w:r>
            <w:r>
              <w:rPr>
                <w:bCs/>
                <w:color w:val="0000FF"/>
                <w:sz w:val="24"/>
              </w:rPr>
              <w:t>宣汉县一般管控单元</w:t>
            </w:r>
            <w:r>
              <w:rPr>
                <w:rFonts w:hint="eastAsia"/>
                <w:bCs/>
                <w:color w:val="0000FF"/>
                <w:sz w:val="24"/>
              </w:rPr>
              <w:t>，管控单元编号为ZH51172230001，位于大气环境管控分区中宣汉县大气环境布局敏感重点管控单元，属于大气环境重点管控单元，管控单元编号为YS5117223210001；位于水环境管控分区中州河-宣汉县-张鼓坪-控制单元，属水环境一般管控区</w:t>
            </w:r>
            <w:r>
              <w:rPr>
                <w:bCs/>
                <w:color w:val="0000FF"/>
                <w:sz w:val="24"/>
              </w:rPr>
              <w:t>，管控单元编号：</w:t>
            </w:r>
            <w:r>
              <w:rPr>
                <w:rFonts w:hint="eastAsia"/>
                <w:bCs/>
                <w:color w:val="0000FF"/>
                <w:sz w:val="24"/>
              </w:rPr>
              <w:t>YS5117222320001。均符合上述管控单元对应管控要求。</w:t>
            </w:r>
          </w:p>
          <w:p w14:paraId="34DA28B6">
            <w:pPr>
              <w:spacing w:line="360" w:lineRule="auto"/>
              <w:ind w:firstLine="480" w:firstLineChars="200"/>
              <w:rPr>
                <w:bCs/>
                <w:sz w:val="24"/>
              </w:rPr>
            </w:pPr>
            <w:r>
              <w:rPr>
                <w:rFonts w:hint="eastAsia"/>
                <w:bCs/>
                <w:sz w:val="24"/>
              </w:rPr>
              <w:t>（3）</w:t>
            </w:r>
            <w:r>
              <w:rPr>
                <w:bCs/>
                <w:sz w:val="24"/>
              </w:rPr>
              <w:t>生态环境准入清单符合性分析</w:t>
            </w:r>
          </w:p>
          <w:p w14:paraId="404417B2">
            <w:pPr>
              <w:spacing w:line="360" w:lineRule="auto"/>
              <w:ind w:firstLine="480" w:firstLineChars="200"/>
              <w:rPr>
                <w:bCs/>
                <w:sz w:val="24"/>
              </w:rPr>
            </w:pPr>
            <w:r>
              <w:rPr>
                <w:bCs/>
                <w:sz w:val="24"/>
              </w:rPr>
              <w:t>本项目为生态影响类项目。按照四川省生态环境厅《关于印发</w:t>
            </w:r>
            <w:r>
              <w:rPr>
                <w:rFonts w:hint="eastAsia"/>
                <w:bCs/>
                <w:sz w:val="24"/>
              </w:rPr>
              <w:t>〈</w:t>
            </w:r>
            <w:r>
              <w:rPr>
                <w:bCs/>
                <w:sz w:val="24"/>
              </w:rPr>
              <w:t>产业园区规划环评“三线一单”符合性分析技术要点（试行）</w:t>
            </w:r>
            <w:r>
              <w:rPr>
                <w:rFonts w:hint="eastAsia"/>
                <w:bCs/>
                <w:sz w:val="24"/>
              </w:rPr>
              <w:t>〉</w:t>
            </w:r>
            <w:r>
              <w:rPr>
                <w:bCs/>
                <w:sz w:val="24"/>
              </w:rPr>
              <w:t>和</w:t>
            </w:r>
            <w:r>
              <w:rPr>
                <w:rFonts w:hint="eastAsia"/>
                <w:bCs/>
                <w:sz w:val="24"/>
              </w:rPr>
              <w:t>〈</w:t>
            </w:r>
            <w:r>
              <w:rPr>
                <w:bCs/>
                <w:sz w:val="24"/>
              </w:rPr>
              <w:t>项目环评“三线一单”符合性分析技术要点（试行）</w:t>
            </w:r>
            <w:r>
              <w:rPr>
                <w:rFonts w:hint="eastAsia"/>
                <w:bCs/>
                <w:sz w:val="24"/>
              </w:rPr>
              <w:t>〉</w:t>
            </w:r>
            <w:r>
              <w:rPr>
                <w:bCs/>
                <w:sz w:val="24"/>
              </w:rPr>
              <w:t>的通知》中要求，“三线一单”分析应明确项目所属环境管控单元，并说明该单元的基本情况，对于生态类建设项目，重点分析与生态保护红线、生态空间和自然保护地的位置关系，并从空间约束布局、污染物排放管控、环境风险防控、资源开发效率四个</w:t>
            </w:r>
            <w:r>
              <w:rPr>
                <w:rFonts w:hint="eastAsia"/>
                <w:bCs/>
                <w:sz w:val="24"/>
              </w:rPr>
              <w:t>维</w:t>
            </w:r>
            <w:r>
              <w:rPr>
                <w:bCs/>
                <w:sz w:val="24"/>
              </w:rPr>
              <w:t>度论述符合性。</w:t>
            </w:r>
          </w:p>
          <w:p w14:paraId="619759F4">
            <w:pPr>
              <w:spacing w:line="360" w:lineRule="auto"/>
              <w:ind w:firstLine="480" w:firstLineChars="200"/>
              <w:rPr>
                <w:bCs/>
                <w:sz w:val="24"/>
              </w:rPr>
            </w:pPr>
            <w:r>
              <w:rPr>
                <w:bCs/>
                <w:sz w:val="24"/>
              </w:rPr>
              <w:t>本项目属生态类建设项目，项目位于“宣汉县一般管控单元”（环境管控单元编码ZH51172230001）内，项目不在生态保护红线和自然保护地范围内。</w:t>
            </w:r>
          </w:p>
          <w:p w14:paraId="61249988">
            <w:pPr>
              <w:spacing w:line="360" w:lineRule="auto"/>
              <w:ind w:firstLine="480" w:firstLineChars="200"/>
              <w:rPr>
                <w:kern w:val="0"/>
                <w:szCs w:val="21"/>
              </w:rPr>
            </w:pPr>
            <w:r>
              <w:rPr>
                <w:bCs/>
                <w:sz w:val="24"/>
              </w:rPr>
              <w:t>根据四川省政务服务网“生态环境分区管控分析符合性分析系统”中相关内容，项目与达州市“</w:t>
            </w:r>
            <w:r>
              <w:rPr>
                <w:rFonts w:hint="eastAsia"/>
                <w:bCs/>
                <w:sz w:val="24"/>
              </w:rPr>
              <w:t>生态环境分区管控</w:t>
            </w:r>
            <w:r>
              <w:rPr>
                <w:bCs/>
                <w:sz w:val="24"/>
              </w:rPr>
              <w:t>”相关要求的符合性分析见下表</w:t>
            </w:r>
            <w:r>
              <w:rPr>
                <w:rFonts w:hint="eastAsia"/>
                <w:bCs/>
                <w:sz w:val="24"/>
              </w:rPr>
              <w:t>。</w:t>
            </w:r>
          </w:p>
        </w:tc>
      </w:tr>
    </w:tbl>
    <w:p w14:paraId="57EC17BA">
      <w:pPr>
        <w:spacing w:line="360" w:lineRule="auto"/>
        <w:outlineLvl w:val="0"/>
        <w:rPr>
          <w:rFonts w:eastAsia="黑体"/>
          <w:szCs w:val="21"/>
        </w:rPr>
        <w:sectPr>
          <w:footerReference r:id="rId5" w:type="default"/>
          <w:pgSz w:w="11906" w:h="16838"/>
          <w:pgMar w:top="1417" w:right="1417" w:bottom="1417" w:left="1701" w:header="851" w:footer="1077" w:gutter="0"/>
          <w:pgNumType w:start="1"/>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7C79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5BDDC7BE">
            <w:pPr>
              <w:spacing w:line="360" w:lineRule="auto"/>
              <w:jc w:val="center"/>
              <w:rPr>
                <w:b/>
                <w:kern w:val="0"/>
                <w:szCs w:val="21"/>
              </w:rPr>
            </w:pPr>
            <w:r>
              <w:rPr>
                <w:b/>
                <w:kern w:val="0"/>
                <w:szCs w:val="21"/>
              </w:rPr>
              <w:t>表1-3 与各环境管控单元符合性分析一览表</w:t>
            </w:r>
          </w:p>
          <w:tbl>
            <w:tblPr>
              <w:tblStyle w:val="44"/>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14:paraId="3C955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14:paraId="659C005B">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“三线一单”的具体要求</w:t>
                  </w:r>
                </w:p>
              </w:tc>
              <w:tc>
                <w:tcPr>
                  <w:tcW w:w="2139" w:type="dxa"/>
                  <w:vMerge w:val="restart"/>
                  <w:tcBorders>
                    <w:tl2br w:val="nil"/>
                    <w:tr2bl w:val="nil"/>
                  </w:tcBorders>
                  <w:shd w:val="clear" w:color="auto" w:fill="auto"/>
                  <w:vAlign w:val="center"/>
                </w:tcPr>
                <w:p w14:paraId="3702F840">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项目情况</w:t>
                  </w:r>
                </w:p>
              </w:tc>
              <w:tc>
                <w:tcPr>
                  <w:tcW w:w="1409" w:type="dxa"/>
                  <w:vMerge w:val="restart"/>
                  <w:tcBorders>
                    <w:tl2br w:val="nil"/>
                    <w:tr2bl w:val="nil"/>
                  </w:tcBorders>
                  <w:shd w:val="clear" w:color="auto" w:fill="auto"/>
                  <w:vAlign w:val="center"/>
                </w:tcPr>
                <w:p w14:paraId="32E9721D">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符合性分析</w:t>
                  </w:r>
                </w:p>
              </w:tc>
            </w:tr>
            <w:tr w14:paraId="2846D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14:paraId="2B49AE3D">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类别</w:t>
                  </w:r>
                </w:p>
              </w:tc>
              <w:tc>
                <w:tcPr>
                  <w:tcW w:w="7349" w:type="dxa"/>
                  <w:tcBorders>
                    <w:tl2br w:val="nil"/>
                    <w:tr2bl w:val="nil"/>
                  </w:tcBorders>
                  <w:shd w:val="clear" w:color="auto" w:fill="auto"/>
                  <w:vAlign w:val="center"/>
                </w:tcPr>
                <w:p w14:paraId="229E5D47">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对应的管控要求</w:t>
                  </w:r>
                </w:p>
              </w:tc>
              <w:tc>
                <w:tcPr>
                  <w:tcW w:w="2139" w:type="dxa"/>
                  <w:vMerge w:val="continue"/>
                  <w:tcBorders>
                    <w:tl2br w:val="nil"/>
                    <w:tr2bl w:val="nil"/>
                  </w:tcBorders>
                  <w:shd w:val="clear" w:color="auto" w:fill="auto"/>
                  <w:vAlign w:val="center"/>
                </w:tcPr>
                <w:p w14:paraId="3077F821">
                  <w:pPr>
                    <w:rPr>
                      <w:szCs w:val="21"/>
                    </w:rPr>
                  </w:pPr>
                </w:p>
              </w:tc>
              <w:tc>
                <w:tcPr>
                  <w:tcW w:w="1409" w:type="dxa"/>
                  <w:vMerge w:val="continue"/>
                  <w:tcBorders>
                    <w:tl2br w:val="nil"/>
                    <w:tr2bl w:val="nil"/>
                  </w:tcBorders>
                  <w:shd w:val="clear" w:color="auto" w:fill="auto"/>
                  <w:vAlign w:val="center"/>
                </w:tcPr>
                <w:p w14:paraId="46728FFF">
                  <w:pPr>
                    <w:rPr>
                      <w:szCs w:val="21"/>
                    </w:rPr>
                  </w:pPr>
                </w:p>
              </w:tc>
            </w:tr>
            <w:tr w14:paraId="04B28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14:paraId="2FC0B0FF">
                  <w:pPr>
                    <w:pStyle w:val="38"/>
                    <w:widowControl w:val="0"/>
                    <w:spacing w:before="0" w:beforeAutospacing="0" w:after="0" w:afterAutospacing="0"/>
                    <w:jc w:val="both"/>
                    <w:rPr>
                      <w:rFonts w:ascii="Times New Roman" w:hAnsi="Times New Roman"/>
                      <w:kern w:val="2"/>
                      <w:sz w:val="21"/>
                      <w:szCs w:val="21"/>
                      <w:lang w:bidi="ar"/>
                    </w:rPr>
                  </w:pPr>
                  <w:r>
                    <w:rPr>
                      <w:rFonts w:ascii="Times New Roman" w:hAnsi="Times New Roman"/>
                      <w:kern w:val="2"/>
                      <w:sz w:val="21"/>
                      <w:szCs w:val="21"/>
                      <w:lang w:bidi="ar"/>
                    </w:rPr>
                    <w:t>环境要素一般管控单元ZH51172230001</w:t>
                  </w:r>
                </w:p>
              </w:tc>
              <w:tc>
                <w:tcPr>
                  <w:tcW w:w="934" w:type="dxa"/>
                  <w:vMerge w:val="restart"/>
                  <w:tcBorders>
                    <w:tl2br w:val="nil"/>
                    <w:tr2bl w:val="nil"/>
                  </w:tcBorders>
                  <w:shd w:val="clear" w:color="auto" w:fill="auto"/>
                  <w:vAlign w:val="center"/>
                </w:tcPr>
                <w:p w14:paraId="2B4BA4CF">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普适性清单管控要求</w:t>
                  </w:r>
                </w:p>
              </w:tc>
              <w:tc>
                <w:tcPr>
                  <w:tcW w:w="1072" w:type="dxa"/>
                  <w:tcBorders>
                    <w:tl2br w:val="nil"/>
                    <w:tr2bl w:val="nil"/>
                  </w:tcBorders>
                  <w:shd w:val="clear" w:color="auto" w:fill="auto"/>
                  <w:vAlign w:val="center"/>
                </w:tcPr>
                <w:p w14:paraId="1A0C2FD6">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tcPr>
                <w:p w14:paraId="0915EF8C">
                  <w:pPr>
                    <w:pStyle w:val="373"/>
                    <w:spacing w:line="240" w:lineRule="auto"/>
                    <w:ind w:firstLine="0" w:firstLineChars="0"/>
                    <w:rPr>
                      <w:rFonts w:eastAsia="新宋体"/>
                      <w:kern w:val="0"/>
                      <w:sz w:val="21"/>
                    </w:rPr>
                  </w:pPr>
                  <w:r>
                    <w:rPr>
                      <w:rFonts w:eastAsia="新宋体"/>
                      <w:kern w:val="0"/>
                      <w:sz w:val="21"/>
                    </w:rPr>
                    <w:t>禁止开发建设活动的要求</w:t>
                  </w:r>
                </w:p>
                <w:p w14:paraId="0E50EF9C">
                  <w:pPr>
                    <w:pStyle w:val="373"/>
                    <w:spacing w:line="240" w:lineRule="auto"/>
                    <w:ind w:firstLine="0" w:firstLineChars="0"/>
                    <w:rPr>
                      <w:rFonts w:eastAsia="新宋体"/>
                      <w:kern w:val="0"/>
                      <w:sz w:val="21"/>
                    </w:rPr>
                  </w:pPr>
                  <w:r>
                    <w:rPr>
                      <w:rFonts w:eastAsia="新宋体"/>
                      <w:kern w:val="0"/>
                      <w:sz w:val="21"/>
                    </w:rPr>
                    <w:t>-禁止在长江干支流1公里范围内新建、扩建化工园区和化工项目。</w:t>
                  </w:r>
                </w:p>
                <w:p w14:paraId="7BBFC884">
                  <w:pPr>
                    <w:pStyle w:val="373"/>
                    <w:spacing w:line="240" w:lineRule="auto"/>
                    <w:ind w:firstLine="0" w:firstLineChars="0"/>
                    <w:rPr>
                      <w:rFonts w:eastAsia="新宋体"/>
                      <w:kern w:val="0"/>
                      <w:sz w:val="21"/>
                    </w:rPr>
                  </w:pPr>
                  <w:r>
                    <w:rPr>
                      <w:rFonts w:eastAsia="新宋体"/>
                      <w:kern w:val="0"/>
                      <w:sz w:val="21"/>
                    </w:rPr>
                    <w:t>-禁止在法律法规规定的禁采区内新建矿山；禁止土法采、选、冶严重污染环境的矿产资源。</w:t>
                  </w:r>
                </w:p>
                <w:p w14:paraId="6ACB4F2B">
                  <w:pPr>
                    <w:pStyle w:val="373"/>
                    <w:spacing w:line="240" w:lineRule="auto"/>
                    <w:ind w:firstLine="0" w:firstLineChars="0"/>
                    <w:rPr>
                      <w:rFonts w:eastAsia="新宋体"/>
                      <w:kern w:val="0"/>
                      <w:sz w:val="21"/>
                    </w:rPr>
                  </w:pPr>
                  <w:r>
                    <w:rPr>
                      <w:rFonts w:eastAsia="新宋体"/>
                      <w:kern w:val="0"/>
                      <w:sz w:val="21"/>
                    </w:rPr>
                    <w:t>-涉及永久基本农田的区域，除法律规定的重点建设项目选址确实无法避让外，其他任何建设不得占用。</w:t>
                  </w:r>
                </w:p>
                <w:p w14:paraId="3D5F7FEC">
                  <w:pPr>
                    <w:pStyle w:val="373"/>
                    <w:spacing w:line="240" w:lineRule="auto"/>
                    <w:ind w:firstLine="0" w:firstLineChars="0"/>
                    <w:rPr>
                      <w:rFonts w:eastAsia="新宋体"/>
                      <w:kern w:val="0"/>
                      <w:sz w:val="21"/>
                    </w:rPr>
                  </w:pPr>
                  <w:r>
                    <w:rPr>
                      <w:rFonts w:eastAsia="新宋体"/>
                      <w:kern w:val="0"/>
                      <w:sz w:val="21"/>
                    </w:rPr>
                    <w:t>-禁止在长江流域河湖管理范围内倾倒、填埋、堆放、弃置、处理固体废物。</w:t>
                  </w:r>
                </w:p>
                <w:p w14:paraId="59300E71">
                  <w:pPr>
                    <w:pStyle w:val="373"/>
                    <w:spacing w:line="240" w:lineRule="auto"/>
                    <w:ind w:firstLine="0" w:firstLineChars="0"/>
                    <w:rPr>
                      <w:rFonts w:eastAsia="新宋体"/>
                      <w:kern w:val="0"/>
                      <w:sz w:val="21"/>
                    </w:rPr>
                  </w:pPr>
                  <w:r>
                    <w:rPr>
                      <w:rFonts w:eastAsia="新宋体"/>
                      <w:kern w:val="0"/>
                      <w:sz w:val="21"/>
                    </w:rPr>
                    <w:t>-禁止在永久基本农田集中区域和其他需要特别保护的区域选址建设尾矿库、冶炼渣库、磷石膏库。</w:t>
                  </w:r>
                </w:p>
                <w:p w14:paraId="724B8AAE">
                  <w:pPr>
                    <w:pStyle w:val="373"/>
                    <w:spacing w:line="240" w:lineRule="auto"/>
                    <w:ind w:firstLine="0" w:firstLineChars="0"/>
                    <w:rPr>
                      <w:rFonts w:eastAsia="新宋体"/>
                      <w:kern w:val="0"/>
                      <w:sz w:val="21"/>
                    </w:rPr>
                  </w:pPr>
                  <w:r>
                    <w:rPr>
                      <w:rFonts w:eastAsia="新宋体"/>
                      <w:kern w:val="0"/>
                      <w:sz w:val="21"/>
                    </w:rPr>
                    <w:t>-禁止在长江干流岸线三公里范围内和重要支流岸线一公里范围内新建、改建、扩建尾矿库、冶炼渣库、磷石膏库，以提升安全、生态环境保护水平为目的的改建除外。</w:t>
                  </w:r>
                </w:p>
                <w:p w14:paraId="2D4561B8">
                  <w:pPr>
                    <w:pStyle w:val="373"/>
                    <w:spacing w:line="240" w:lineRule="auto"/>
                    <w:ind w:firstLine="0" w:firstLineChars="0"/>
                    <w:rPr>
                      <w:rFonts w:eastAsia="新宋体"/>
                      <w:kern w:val="0"/>
                      <w:sz w:val="21"/>
                    </w:rPr>
                  </w:pPr>
                  <w:r>
                    <w:rPr>
                      <w:rFonts w:eastAsia="新宋体"/>
                      <w:kern w:val="0"/>
                      <w:sz w:val="21"/>
                    </w:rPr>
                    <w:t>限制开发建设活动的要求</w:t>
                  </w:r>
                </w:p>
                <w:p w14:paraId="037283C8">
                  <w:pPr>
                    <w:pStyle w:val="373"/>
                    <w:spacing w:line="240" w:lineRule="auto"/>
                    <w:ind w:firstLine="0" w:firstLineChars="0"/>
                    <w:rPr>
                      <w:rFonts w:eastAsia="新宋体"/>
                      <w:kern w:val="0"/>
                      <w:sz w:val="21"/>
                    </w:rPr>
                  </w:pPr>
                  <w:r>
                    <w:rPr>
                      <w:rFonts w:eastAsia="新宋体"/>
                      <w:kern w:val="0"/>
                      <w:sz w:val="21"/>
                    </w:rPr>
                    <w:t>-按照相关要求严控水泥新增产能。</w:t>
                  </w:r>
                </w:p>
                <w:p w14:paraId="5B2133C6">
                  <w:pPr>
                    <w:pStyle w:val="373"/>
                    <w:spacing w:line="240" w:lineRule="auto"/>
                    <w:ind w:firstLine="0" w:firstLineChars="0"/>
                    <w:rPr>
                      <w:rFonts w:eastAsia="新宋体"/>
                      <w:kern w:val="0"/>
                      <w:sz w:val="21"/>
                    </w:rPr>
                  </w:pPr>
                  <w:r>
                    <w:rPr>
                      <w:rFonts w:eastAsia="新宋体"/>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14:paraId="2EA1C921">
                  <w:pPr>
                    <w:pStyle w:val="373"/>
                    <w:spacing w:line="240" w:lineRule="auto"/>
                    <w:ind w:firstLine="0" w:firstLineChars="0"/>
                    <w:rPr>
                      <w:rFonts w:eastAsia="新宋体"/>
                      <w:kern w:val="0"/>
                      <w:sz w:val="21"/>
                    </w:rPr>
                  </w:pPr>
                  <w:r>
                    <w:rPr>
                      <w:rFonts w:eastAsia="新宋体"/>
                      <w:kern w:val="0"/>
                      <w:sz w:val="21"/>
                    </w:rPr>
                    <w:t>按照相关要求严控水泥新增产能。</w:t>
                  </w:r>
                </w:p>
                <w:p w14:paraId="7F6E3337">
                  <w:pPr>
                    <w:pStyle w:val="373"/>
                    <w:spacing w:line="240" w:lineRule="auto"/>
                    <w:ind w:firstLine="0" w:firstLineChars="0"/>
                    <w:rPr>
                      <w:rFonts w:eastAsia="新宋体"/>
                      <w:kern w:val="0"/>
                      <w:sz w:val="21"/>
                    </w:rPr>
                  </w:pPr>
                  <w:r>
                    <w:rPr>
                      <w:rFonts w:eastAsia="新宋体"/>
                      <w:kern w:val="0"/>
                      <w:sz w:val="21"/>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78675E5E">
                  <w:pPr>
                    <w:pStyle w:val="373"/>
                    <w:spacing w:line="240" w:lineRule="auto"/>
                    <w:ind w:firstLine="0" w:firstLineChars="0"/>
                    <w:rPr>
                      <w:rFonts w:eastAsia="新宋体"/>
                      <w:kern w:val="0"/>
                      <w:sz w:val="21"/>
                    </w:rPr>
                  </w:pPr>
                  <w:r>
                    <w:rPr>
                      <w:rFonts w:eastAsia="新宋体"/>
                      <w:kern w:val="0"/>
                      <w:sz w:val="21"/>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14:paraId="303D14BC">
                  <w:pPr>
                    <w:pStyle w:val="373"/>
                    <w:spacing w:line="240" w:lineRule="auto"/>
                    <w:ind w:firstLine="0" w:firstLineChars="0"/>
                    <w:rPr>
                      <w:rFonts w:eastAsia="新宋体"/>
                      <w:kern w:val="0"/>
                      <w:sz w:val="21"/>
                    </w:rPr>
                  </w:pPr>
                  <w:r>
                    <w:rPr>
                      <w:rFonts w:eastAsia="新宋体"/>
                      <w:kern w:val="0"/>
                      <w:sz w:val="21"/>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14:paraId="0E461042">
                  <w:pPr>
                    <w:pStyle w:val="373"/>
                    <w:spacing w:line="240" w:lineRule="auto"/>
                    <w:ind w:firstLine="0" w:firstLineChars="0"/>
                    <w:rPr>
                      <w:rFonts w:eastAsia="新宋体"/>
                      <w:kern w:val="0"/>
                      <w:sz w:val="21"/>
                    </w:rPr>
                  </w:pPr>
                  <w:r>
                    <w:rPr>
                      <w:rFonts w:eastAsia="新宋体"/>
                      <w:kern w:val="0"/>
                      <w:sz w:val="21"/>
                    </w:rPr>
                    <w:t>不符合空间布局要求活动的退出要求</w:t>
                  </w:r>
                </w:p>
                <w:p w14:paraId="6FC95D2F">
                  <w:pPr>
                    <w:pStyle w:val="373"/>
                    <w:spacing w:line="240" w:lineRule="auto"/>
                    <w:ind w:firstLine="0" w:firstLineChars="0"/>
                    <w:rPr>
                      <w:rFonts w:eastAsia="新宋体"/>
                      <w:kern w:val="0"/>
                      <w:sz w:val="21"/>
                    </w:rPr>
                  </w:pPr>
                  <w:r>
                    <w:rPr>
                      <w:rFonts w:eastAsia="新宋体"/>
                      <w:kern w:val="0"/>
                      <w:sz w:val="21"/>
                    </w:rPr>
                    <w:t>针对现有水泥企业，强化污染治理和污染物减排，依法依规整治或搬迁。</w:t>
                  </w:r>
                </w:p>
                <w:p w14:paraId="0899F68F">
                  <w:pPr>
                    <w:pStyle w:val="373"/>
                    <w:spacing w:line="240" w:lineRule="auto"/>
                    <w:ind w:firstLine="0" w:firstLineChars="0"/>
                    <w:rPr>
                      <w:rFonts w:eastAsia="新宋体"/>
                      <w:kern w:val="0"/>
                      <w:sz w:val="21"/>
                    </w:rPr>
                  </w:pPr>
                  <w:r>
                    <w:rPr>
                      <w:rFonts w:eastAsia="新宋体"/>
                      <w:kern w:val="0"/>
                      <w:sz w:val="21"/>
                    </w:rPr>
                    <w:t>全面取缔禁养区内规模化畜禽养殖场。</w:t>
                  </w:r>
                </w:p>
                <w:p w14:paraId="05E2B6D0">
                  <w:pPr>
                    <w:pStyle w:val="373"/>
                    <w:spacing w:line="240" w:lineRule="auto"/>
                    <w:ind w:firstLine="0" w:firstLineChars="0"/>
                    <w:rPr>
                      <w:rFonts w:eastAsia="新宋体"/>
                      <w:kern w:val="0"/>
                      <w:sz w:val="21"/>
                    </w:rPr>
                  </w:pPr>
                  <w:r>
                    <w:rPr>
                      <w:rFonts w:eastAsia="新宋体"/>
                      <w:kern w:val="0"/>
                      <w:sz w:val="21"/>
                    </w:rPr>
                    <w:t>2025年基本完成全域内“散乱污”企业整治工作。</w:t>
                  </w:r>
                </w:p>
                <w:p w14:paraId="02B6E3AD">
                  <w:pPr>
                    <w:pStyle w:val="373"/>
                    <w:spacing w:line="240" w:lineRule="auto"/>
                    <w:ind w:firstLine="0" w:firstLineChars="0"/>
                    <w:rPr>
                      <w:rFonts w:eastAsia="新宋体"/>
                      <w:kern w:val="0"/>
                      <w:sz w:val="21"/>
                    </w:rPr>
                  </w:pPr>
                  <w:r>
                    <w:rPr>
                      <w:rFonts w:eastAsia="新宋体"/>
                      <w:kern w:val="0"/>
                      <w:sz w:val="21"/>
                    </w:rPr>
                    <w:t>在全市范围深入开展集中整治“散乱污”工业企业，对不符合产业政策和规划布局的，一律责令停产、限期搬迁或关停；</w:t>
                  </w:r>
                </w:p>
                <w:p w14:paraId="5E255DE3">
                  <w:pPr>
                    <w:pStyle w:val="373"/>
                    <w:spacing w:line="240" w:lineRule="auto"/>
                    <w:ind w:firstLine="0" w:firstLineChars="0"/>
                    <w:rPr>
                      <w:rFonts w:eastAsia="新宋体"/>
                      <w:kern w:val="0"/>
                      <w:sz w:val="21"/>
                    </w:rPr>
                  </w:pPr>
                  <w:r>
                    <w:rPr>
                      <w:rFonts w:eastAsia="新宋体"/>
                      <w:kern w:val="0"/>
                      <w:sz w:val="21"/>
                    </w:rPr>
                    <w:t>其他空间布局约束要求</w:t>
                  </w:r>
                </w:p>
                <w:p w14:paraId="4A491FB8">
                  <w:pPr>
                    <w:pStyle w:val="373"/>
                    <w:spacing w:line="240" w:lineRule="auto"/>
                    <w:ind w:firstLine="0" w:firstLineChars="0"/>
                    <w:rPr>
                      <w:rFonts w:eastAsia="新宋体"/>
                      <w:kern w:val="0"/>
                      <w:sz w:val="21"/>
                    </w:rPr>
                  </w:pPr>
                  <w:r>
                    <w:rPr>
                      <w:rFonts w:eastAsia="新宋体"/>
                      <w:kern w:val="0"/>
                      <w:sz w:val="21"/>
                    </w:rPr>
                    <w:t>新建矿山全部达到绿色矿山建设要求，生产矿山加快改造升级，逐步达到要求。</w:t>
                  </w:r>
                </w:p>
              </w:tc>
              <w:tc>
                <w:tcPr>
                  <w:tcW w:w="2139" w:type="dxa"/>
                  <w:tcBorders>
                    <w:tl2br w:val="nil"/>
                    <w:tr2bl w:val="nil"/>
                  </w:tcBorders>
                  <w:shd w:val="clear" w:color="auto" w:fill="auto"/>
                  <w:vAlign w:val="center"/>
                </w:tcPr>
                <w:p w14:paraId="65CB4473">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本项目符合相关规划，项目不占用永久基本农田</w:t>
                  </w:r>
                  <w:r>
                    <w:rPr>
                      <w:rFonts w:hint="eastAsia" w:ascii="Times New Roman" w:hAnsi="Times New Roman"/>
                      <w:sz w:val="21"/>
                      <w:szCs w:val="21"/>
                    </w:rPr>
                    <w:t>，</w:t>
                  </w:r>
                  <w:r>
                    <w:rPr>
                      <w:rFonts w:ascii="Times New Roman" w:hAnsi="Times New Roman"/>
                      <w:sz w:val="21"/>
                      <w:szCs w:val="21"/>
                    </w:rPr>
                    <w:t>不属于上述禁止建设项目，项目建设将</w:t>
                  </w:r>
                  <w:r>
                    <w:rPr>
                      <w:rFonts w:hint="eastAsia" w:ascii="Times New Roman" w:hAnsi="Times New Roman"/>
                      <w:sz w:val="21"/>
                      <w:szCs w:val="21"/>
                    </w:rPr>
                    <w:t>不</w:t>
                  </w:r>
                  <w:r>
                    <w:rPr>
                      <w:rFonts w:ascii="Times New Roman" w:hAnsi="Times New Roman"/>
                      <w:sz w:val="21"/>
                      <w:szCs w:val="21"/>
                    </w:rPr>
                    <w:t>占用</w:t>
                  </w:r>
                  <w:r>
                    <w:rPr>
                      <w:rFonts w:hint="eastAsia" w:ascii="Times New Roman" w:hAnsi="Times New Roman"/>
                      <w:sz w:val="21"/>
                      <w:szCs w:val="21"/>
                    </w:rPr>
                    <w:t>永久</w:t>
                  </w:r>
                  <w:r>
                    <w:rPr>
                      <w:rFonts w:ascii="Times New Roman" w:hAnsi="Times New Roman"/>
                      <w:sz w:val="21"/>
                      <w:szCs w:val="21"/>
                    </w:rPr>
                    <w:t>基本农田，</w:t>
                  </w:r>
                  <w:r>
                    <w:rPr>
                      <w:rFonts w:hint="eastAsia" w:ascii="Times New Roman" w:hAnsi="Times New Roman"/>
                      <w:sz w:val="21"/>
                      <w:szCs w:val="21"/>
                    </w:rPr>
                    <w:t>项目占用部分林地，开工前将按照相关规定完善林地使用手续</w:t>
                  </w:r>
                  <w:r>
                    <w:rPr>
                      <w:rFonts w:ascii="Times New Roman" w:hAnsi="Times New Roman"/>
                      <w:sz w:val="21"/>
                      <w:szCs w:val="21"/>
                    </w:rPr>
                    <w:t>。</w:t>
                  </w:r>
                </w:p>
              </w:tc>
              <w:tc>
                <w:tcPr>
                  <w:tcW w:w="1409" w:type="dxa"/>
                  <w:tcBorders>
                    <w:tl2br w:val="nil"/>
                    <w:tr2bl w:val="nil"/>
                  </w:tcBorders>
                  <w:shd w:val="clear" w:color="auto" w:fill="auto"/>
                  <w:vAlign w:val="center"/>
                </w:tcPr>
                <w:p w14:paraId="7AB60370">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357E7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7C4AEE36">
                  <w:pPr>
                    <w:rPr>
                      <w:szCs w:val="21"/>
                    </w:rPr>
                  </w:pPr>
                </w:p>
              </w:tc>
              <w:tc>
                <w:tcPr>
                  <w:tcW w:w="934" w:type="dxa"/>
                  <w:vMerge w:val="continue"/>
                  <w:tcBorders>
                    <w:tl2br w:val="nil"/>
                    <w:tr2bl w:val="nil"/>
                  </w:tcBorders>
                  <w:shd w:val="clear" w:color="auto" w:fill="auto"/>
                  <w:vAlign w:val="center"/>
                </w:tcPr>
                <w:p w14:paraId="7C570A27">
                  <w:pPr>
                    <w:rPr>
                      <w:szCs w:val="21"/>
                    </w:rPr>
                  </w:pPr>
                </w:p>
              </w:tc>
              <w:tc>
                <w:tcPr>
                  <w:tcW w:w="1072" w:type="dxa"/>
                  <w:tcBorders>
                    <w:tl2br w:val="nil"/>
                    <w:tr2bl w:val="nil"/>
                  </w:tcBorders>
                  <w:shd w:val="clear" w:color="auto" w:fill="auto"/>
                  <w:vAlign w:val="center"/>
                </w:tcPr>
                <w:p w14:paraId="2AD84608">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tcPr>
                <w:p w14:paraId="10C5A385">
                  <w:pPr>
                    <w:pStyle w:val="373"/>
                    <w:spacing w:line="240" w:lineRule="auto"/>
                    <w:ind w:firstLine="0" w:firstLineChars="0"/>
                    <w:rPr>
                      <w:rFonts w:eastAsia="新宋体"/>
                      <w:kern w:val="0"/>
                      <w:sz w:val="21"/>
                    </w:rPr>
                  </w:pPr>
                  <w:r>
                    <w:rPr>
                      <w:rFonts w:eastAsia="新宋体"/>
                      <w:kern w:val="0"/>
                      <w:sz w:val="21"/>
                    </w:rPr>
                    <w:t>允许排放量要求</w:t>
                  </w:r>
                </w:p>
                <w:p w14:paraId="481654A4">
                  <w:pPr>
                    <w:pStyle w:val="373"/>
                    <w:spacing w:line="240" w:lineRule="auto"/>
                    <w:ind w:firstLine="0" w:firstLineChars="0"/>
                    <w:rPr>
                      <w:rFonts w:eastAsia="新宋体"/>
                      <w:kern w:val="0"/>
                      <w:sz w:val="21"/>
                    </w:rPr>
                  </w:pPr>
                  <w:r>
                    <w:rPr>
                      <w:rFonts w:eastAsia="新宋体"/>
                      <w:kern w:val="0"/>
                      <w:sz w:val="21"/>
                    </w:rPr>
                    <w:t>/</w:t>
                  </w:r>
                </w:p>
                <w:p w14:paraId="086E0FF8">
                  <w:pPr>
                    <w:pStyle w:val="373"/>
                    <w:spacing w:line="240" w:lineRule="auto"/>
                    <w:ind w:firstLine="0" w:firstLineChars="0"/>
                    <w:rPr>
                      <w:rFonts w:eastAsia="新宋体"/>
                      <w:kern w:val="0"/>
                      <w:sz w:val="21"/>
                    </w:rPr>
                  </w:pPr>
                  <w:r>
                    <w:rPr>
                      <w:rFonts w:eastAsia="新宋体"/>
                      <w:kern w:val="0"/>
                      <w:sz w:val="21"/>
                    </w:rPr>
                    <w:t>现有源提标升级改造</w:t>
                  </w:r>
                </w:p>
                <w:p w14:paraId="7774970E">
                  <w:pPr>
                    <w:pStyle w:val="373"/>
                    <w:spacing w:line="240" w:lineRule="auto"/>
                    <w:ind w:firstLine="0" w:firstLineChars="0"/>
                    <w:rPr>
                      <w:rFonts w:eastAsia="新宋体"/>
                      <w:kern w:val="0"/>
                      <w:sz w:val="21"/>
                    </w:rPr>
                  </w:pPr>
                  <w:r>
                    <w:rPr>
                      <w:rFonts w:eastAsia="新宋体"/>
                      <w:kern w:val="0"/>
                      <w:sz w:val="21"/>
                    </w:rPr>
                    <w:t>加快现有乡镇污水处理设施升级改造，按要求达《城镇污水处理厂污染物排放标准》一级A标后排放。</w:t>
                  </w:r>
                </w:p>
                <w:p w14:paraId="1B660085">
                  <w:pPr>
                    <w:pStyle w:val="373"/>
                    <w:spacing w:line="240" w:lineRule="auto"/>
                    <w:ind w:firstLine="0" w:firstLineChars="0"/>
                    <w:rPr>
                      <w:rFonts w:eastAsia="新宋体"/>
                      <w:kern w:val="0"/>
                      <w:sz w:val="21"/>
                    </w:rPr>
                  </w:pPr>
                  <w:r>
                    <w:rPr>
                      <w:rFonts w:eastAsia="新宋体"/>
                      <w:kern w:val="0"/>
                      <w:sz w:val="21"/>
                    </w:rPr>
                    <w:t>在矿产资源开发活动集中区域，废水执行重金属污染物排放特别限值。</w:t>
                  </w:r>
                </w:p>
                <w:p w14:paraId="1405937B">
                  <w:pPr>
                    <w:pStyle w:val="373"/>
                    <w:spacing w:line="240" w:lineRule="auto"/>
                    <w:ind w:firstLine="0" w:firstLineChars="0"/>
                    <w:rPr>
                      <w:rFonts w:eastAsia="新宋体"/>
                      <w:kern w:val="0"/>
                      <w:sz w:val="21"/>
                    </w:rPr>
                  </w:pPr>
                  <w:r>
                    <w:rPr>
                      <w:rFonts w:eastAsia="新宋体"/>
                      <w:kern w:val="0"/>
                      <w:sz w:val="21"/>
                    </w:rPr>
                    <w:t>火电、水泥等行业按相关要求推进大气污染物超低排放和深度治理。</w:t>
                  </w:r>
                </w:p>
                <w:p w14:paraId="37610603">
                  <w:pPr>
                    <w:pStyle w:val="373"/>
                    <w:spacing w:line="240" w:lineRule="auto"/>
                    <w:ind w:firstLine="0" w:firstLineChars="0"/>
                    <w:rPr>
                      <w:rFonts w:eastAsia="新宋体"/>
                      <w:kern w:val="0"/>
                      <w:sz w:val="21"/>
                    </w:rPr>
                  </w:pPr>
                  <w:r>
                    <w:rPr>
                      <w:rFonts w:eastAsia="新宋体"/>
                      <w:kern w:val="0"/>
                      <w:sz w:val="21"/>
                    </w:rPr>
                    <w:t>砖瓦行业实施脱硫、除尘升级改造，污染物排放达到《砖瓦工业大气污染物排放标准》相关要求。</w:t>
                  </w:r>
                </w:p>
                <w:p w14:paraId="1CDA90C7">
                  <w:pPr>
                    <w:pStyle w:val="373"/>
                    <w:spacing w:line="240" w:lineRule="auto"/>
                    <w:ind w:firstLine="0" w:firstLineChars="0"/>
                    <w:rPr>
                      <w:rFonts w:eastAsia="新宋体"/>
                      <w:kern w:val="0"/>
                      <w:sz w:val="21"/>
                    </w:rPr>
                  </w:pPr>
                </w:p>
                <w:p w14:paraId="0DB1FA21">
                  <w:pPr>
                    <w:pStyle w:val="373"/>
                    <w:spacing w:line="240" w:lineRule="auto"/>
                    <w:ind w:firstLine="0" w:firstLineChars="0"/>
                    <w:rPr>
                      <w:rFonts w:eastAsia="新宋体"/>
                      <w:kern w:val="0"/>
                      <w:sz w:val="21"/>
                    </w:rPr>
                  </w:pPr>
                  <w:r>
                    <w:rPr>
                      <w:rFonts w:eastAsia="新宋体"/>
                      <w:kern w:val="0"/>
                      <w:sz w:val="21"/>
                    </w:rPr>
                    <w:t>其他污染物排放管控要求</w:t>
                  </w:r>
                </w:p>
                <w:p w14:paraId="0D984495">
                  <w:pPr>
                    <w:pStyle w:val="373"/>
                    <w:spacing w:line="240" w:lineRule="auto"/>
                    <w:ind w:firstLine="0" w:firstLineChars="0"/>
                    <w:rPr>
                      <w:rFonts w:eastAsia="新宋体"/>
                      <w:kern w:val="0"/>
                      <w:sz w:val="21"/>
                    </w:rPr>
                  </w:pPr>
                  <w:r>
                    <w:rPr>
                      <w:rFonts w:eastAsia="新宋体"/>
                      <w:kern w:val="0"/>
                      <w:sz w:val="21"/>
                    </w:rPr>
                    <w:t>新增源等量或倍量替代</w:t>
                  </w:r>
                  <w:r>
                    <w:rPr>
                      <w:rFonts w:hint="eastAsia" w:eastAsia="新宋体"/>
                      <w:kern w:val="0"/>
                      <w:sz w:val="21"/>
                    </w:rPr>
                    <w:t>：</w:t>
                  </w:r>
                  <w:r>
                    <w:rPr>
                      <w:rFonts w:eastAsia="新宋体"/>
                      <w:kern w:val="0"/>
                      <w:sz w:val="21"/>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14:paraId="61E18AB1">
                  <w:pPr>
                    <w:pStyle w:val="373"/>
                    <w:spacing w:line="240" w:lineRule="auto"/>
                    <w:ind w:firstLine="0" w:firstLineChars="0"/>
                    <w:rPr>
                      <w:rFonts w:eastAsia="新宋体"/>
                      <w:kern w:val="0"/>
                      <w:sz w:val="21"/>
                    </w:rPr>
                  </w:pPr>
                  <w:r>
                    <w:rPr>
                      <w:rFonts w:eastAsia="新宋体"/>
                      <w:kern w:val="0"/>
                      <w:sz w:val="21"/>
                    </w:rPr>
                    <w:t>污染物排放绩效水平准入要求</w:t>
                  </w:r>
                  <w:r>
                    <w:rPr>
                      <w:rFonts w:hint="eastAsia" w:eastAsia="新宋体"/>
                      <w:kern w:val="0"/>
                      <w:sz w:val="21"/>
                    </w:rPr>
                    <w:t>：</w:t>
                  </w:r>
                  <w:r>
                    <w:rPr>
                      <w:rFonts w:eastAsia="新宋体"/>
                      <w:kern w:val="0"/>
                      <w:sz w:val="21"/>
                    </w:rPr>
                    <w:t>屠宰项目必须配套污水处理设施或进入城市污水管网。</w:t>
                  </w:r>
                </w:p>
                <w:p w14:paraId="1FCFA34F">
                  <w:pPr>
                    <w:pStyle w:val="373"/>
                    <w:spacing w:line="240" w:lineRule="auto"/>
                    <w:ind w:firstLine="0" w:firstLineChars="0"/>
                    <w:rPr>
                      <w:rFonts w:eastAsia="新宋体"/>
                      <w:kern w:val="0"/>
                      <w:sz w:val="21"/>
                    </w:rPr>
                  </w:pPr>
                  <w:r>
                    <w:rPr>
                      <w:rFonts w:eastAsia="新宋体"/>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14:paraId="3961351E">
                  <w:pPr>
                    <w:pStyle w:val="373"/>
                    <w:spacing w:line="240" w:lineRule="auto"/>
                    <w:ind w:firstLine="0" w:firstLineChars="0"/>
                    <w:rPr>
                      <w:rFonts w:eastAsia="新宋体"/>
                      <w:kern w:val="0"/>
                      <w:sz w:val="21"/>
                    </w:rPr>
                  </w:pPr>
                  <w:r>
                    <w:rPr>
                      <w:rFonts w:eastAsia="新宋体"/>
                      <w:kern w:val="0"/>
                      <w:sz w:val="21"/>
                    </w:rPr>
                    <w:t>-到2023年底，力争全市生活垃圾焚烧处理能力占比达60%以上，各县（市）生活垃圾无害化处理率保持95%以上，乡镇及行政村生活垃圾收转运处置体系基本实现全覆盖。</w:t>
                  </w:r>
                </w:p>
                <w:p w14:paraId="48AC04F2">
                  <w:pPr>
                    <w:pStyle w:val="373"/>
                    <w:spacing w:line="240" w:lineRule="auto"/>
                    <w:ind w:firstLine="0" w:firstLineChars="0"/>
                    <w:rPr>
                      <w:rFonts w:eastAsia="新宋体"/>
                      <w:kern w:val="0"/>
                      <w:sz w:val="21"/>
                    </w:rPr>
                  </w:pPr>
                  <w:r>
                    <w:rPr>
                      <w:rFonts w:eastAsia="新宋体"/>
                      <w:kern w:val="0"/>
                      <w:sz w:val="21"/>
                    </w:rPr>
                    <w:t>-到2025年，农药包装废弃物回收率达80%；粮油绿色高质高效示范区、茶叶主产区和现代农业园区农药包装废弃物回收率100%。</w:t>
                  </w:r>
                </w:p>
                <w:p w14:paraId="35B0A62D">
                  <w:pPr>
                    <w:pStyle w:val="373"/>
                    <w:spacing w:line="240" w:lineRule="auto"/>
                    <w:ind w:firstLine="0" w:firstLineChars="0"/>
                    <w:rPr>
                      <w:rFonts w:eastAsia="新宋体"/>
                      <w:kern w:val="0"/>
                      <w:sz w:val="21"/>
                    </w:rPr>
                  </w:pPr>
                  <w:r>
                    <w:rPr>
                      <w:rFonts w:eastAsia="新宋体"/>
                      <w:kern w:val="0"/>
                      <w:sz w:val="21"/>
                    </w:rPr>
                    <w:t>-到2025年，全国主要农作物化肥、农药利用率达43%，测土配方施肥技术推广覆盖率保持在90%以上，控制农村面源污染，采取灌排分离等措施控制农田氮磷流失。</w:t>
                  </w:r>
                </w:p>
                <w:p w14:paraId="25813E81">
                  <w:pPr>
                    <w:pStyle w:val="373"/>
                    <w:spacing w:line="240" w:lineRule="auto"/>
                    <w:ind w:firstLine="0" w:firstLineChars="0"/>
                    <w:rPr>
                      <w:rFonts w:eastAsia="新宋体"/>
                      <w:kern w:val="0"/>
                      <w:sz w:val="21"/>
                    </w:rPr>
                  </w:pPr>
                  <w:r>
                    <w:rPr>
                      <w:rFonts w:eastAsia="新宋体"/>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45AF0EA4">
                  <w:pPr>
                    <w:pStyle w:val="373"/>
                    <w:spacing w:line="240" w:lineRule="auto"/>
                    <w:ind w:firstLine="0" w:firstLineChars="0"/>
                    <w:rPr>
                      <w:rFonts w:eastAsia="新宋体"/>
                      <w:kern w:val="0"/>
                      <w:sz w:val="21"/>
                    </w:rPr>
                  </w:pPr>
                  <w:r>
                    <w:rPr>
                      <w:rFonts w:eastAsia="新宋体"/>
                      <w:kern w:val="0"/>
                      <w:sz w:val="21"/>
                    </w:rPr>
                    <w:t>-到2025年，废旧农膜回收利用率达到85%以上。</w:t>
                  </w:r>
                </w:p>
                <w:p w14:paraId="374B06A8">
                  <w:pPr>
                    <w:pStyle w:val="373"/>
                    <w:spacing w:line="240" w:lineRule="auto"/>
                    <w:ind w:firstLine="0" w:firstLineChars="0"/>
                    <w:rPr>
                      <w:rFonts w:eastAsia="新宋体"/>
                      <w:kern w:val="0"/>
                      <w:sz w:val="21"/>
                    </w:rPr>
                  </w:pPr>
                  <w:r>
                    <w:rPr>
                      <w:rFonts w:eastAsia="新宋体"/>
                      <w:kern w:val="0"/>
                      <w:sz w:val="21"/>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14:paraId="397CA217">
                  <w:pPr>
                    <w:pStyle w:val="38"/>
                    <w:widowControl w:val="0"/>
                    <w:spacing w:before="0" w:beforeAutospacing="0" w:after="0" w:afterAutospacing="0"/>
                    <w:jc w:val="both"/>
                    <w:rPr>
                      <w:rFonts w:ascii="Times New Roman" w:hAnsi="Times New Roman"/>
                      <w:sz w:val="21"/>
                      <w:szCs w:val="21"/>
                    </w:rPr>
                  </w:pPr>
                  <w:r>
                    <w:rPr>
                      <w:rFonts w:ascii="Times New Roman" w:hAnsi="Times New Roman"/>
                      <w:color w:val="0000FF"/>
                      <w:sz w:val="21"/>
                      <w:szCs w:val="21"/>
                    </w:rPr>
                    <w:t>本项目试气工程废水经放喷池及清水池收集后拟由罐车拉运至</w:t>
                  </w:r>
                  <w:r>
                    <w:rPr>
                      <w:rFonts w:hint="eastAsia" w:ascii="Times New Roman" w:hAnsi="Times New Roman"/>
                      <w:color w:val="0000FF"/>
                      <w:sz w:val="21"/>
                      <w:szCs w:val="21"/>
                    </w:rPr>
                    <w:t>赵家坝污水处理站</w:t>
                  </w:r>
                  <w:r>
                    <w:rPr>
                      <w:rFonts w:ascii="Times New Roman" w:hAnsi="Times New Roman"/>
                      <w:color w:val="0000FF"/>
                      <w:sz w:val="21"/>
                      <w:szCs w:val="21"/>
                    </w:rPr>
                    <w:t>处理达标后</w:t>
                  </w:r>
                  <w:r>
                    <w:rPr>
                      <w:rFonts w:hint="eastAsia" w:ascii="Times New Roman" w:hAnsi="Times New Roman"/>
                      <w:color w:val="0000FF"/>
                      <w:sz w:val="21"/>
                      <w:szCs w:val="21"/>
                    </w:rPr>
                    <w:t>由罐车拉运至普光3井等回注站</w:t>
                  </w:r>
                  <w:r>
                    <w:rPr>
                      <w:rFonts w:ascii="Times New Roman" w:hAnsi="Times New Roman"/>
                      <w:color w:val="0000FF"/>
                      <w:sz w:val="21"/>
                      <w:szCs w:val="21"/>
                    </w:rPr>
                    <w:t>回注，项目柴油发电机使用优质柴油，废气产生量较小，</w:t>
                  </w:r>
                  <w:r>
                    <w:rPr>
                      <w:rFonts w:hint="eastAsia" w:ascii="Times New Roman" w:hAnsi="Times New Roman"/>
                      <w:color w:val="0000FF"/>
                      <w:sz w:val="21"/>
                      <w:szCs w:val="21"/>
                    </w:rPr>
                    <w:t>水基</w:t>
                  </w:r>
                  <w:r>
                    <w:rPr>
                      <w:rFonts w:ascii="Times New Roman" w:hAnsi="Times New Roman"/>
                      <w:color w:val="0000FF"/>
                      <w:sz w:val="21"/>
                      <w:szCs w:val="21"/>
                    </w:rPr>
                    <w:t>岩屑按要求就近交给依法取得生态环境部门关于利用和处置相关工业固体废物项目环评批复、具有处理处置相应固体废物能力并配套建设有废气、废水、固废等污染物治理设施的单位进行资源化利用（四川光隆环保科技有限公司等）</w:t>
                  </w:r>
                  <w:r>
                    <w:rPr>
                      <w:rFonts w:hint="eastAsia" w:ascii="Times New Roman" w:hAnsi="Times New Roman"/>
                      <w:color w:val="0000FF"/>
                      <w:sz w:val="21"/>
                      <w:szCs w:val="21"/>
                    </w:rPr>
                    <w:t>，油基岩屑、油基泥浆交由有资质单位处置</w:t>
                  </w:r>
                  <w:r>
                    <w:rPr>
                      <w:rFonts w:ascii="Times New Roman" w:hAnsi="Times New Roman"/>
                      <w:color w:val="0000FF"/>
                      <w:sz w:val="21"/>
                      <w:szCs w:val="21"/>
                    </w:rPr>
                    <w:t>；本项目施工时间较短，噪声随施工结束而结束，对外环境影响较小。综上所述，本项目各污染因素均得到有效处置，符合污染物控制要求。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14:paraId="1E92EC31">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3ADE6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77B222B5">
                  <w:pPr>
                    <w:rPr>
                      <w:szCs w:val="21"/>
                    </w:rPr>
                  </w:pPr>
                </w:p>
              </w:tc>
              <w:tc>
                <w:tcPr>
                  <w:tcW w:w="934" w:type="dxa"/>
                  <w:vMerge w:val="continue"/>
                  <w:tcBorders>
                    <w:tl2br w:val="nil"/>
                    <w:tr2bl w:val="nil"/>
                  </w:tcBorders>
                  <w:shd w:val="clear" w:color="auto" w:fill="auto"/>
                  <w:vAlign w:val="center"/>
                </w:tcPr>
                <w:p w14:paraId="4C8E43BC">
                  <w:pPr>
                    <w:rPr>
                      <w:szCs w:val="21"/>
                    </w:rPr>
                  </w:pPr>
                </w:p>
              </w:tc>
              <w:tc>
                <w:tcPr>
                  <w:tcW w:w="1072" w:type="dxa"/>
                  <w:tcBorders>
                    <w:tl2br w:val="nil"/>
                    <w:tr2bl w:val="nil"/>
                  </w:tcBorders>
                  <w:shd w:val="clear" w:color="auto" w:fill="auto"/>
                  <w:vAlign w:val="center"/>
                </w:tcPr>
                <w:p w14:paraId="7DF11A41">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tcPr>
                <w:p w14:paraId="1F9620C1">
                  <w:pPr>
                    <w:pStyle w:val="373"/>
                    <w:spacing w:line="240" w:lineRule="auto"/>
                    <w:ind w:firstLine="0" w:firstLineChars="0"/>
                    <w:rPr>
                      <w:rFonts w:eastAsia="新宋体"/>
                      <w:kern w:val="0"/>
                      <w:sz w:val="21"/>
                    </w:rPr>
                  </w:pPr>
                  <w:r>
                    <w:rPr>
                      <w:rFonts w:eastAsia="新宋体"/>
                      <w:kern w:val="0"/>
                      <w:sz w:val="21"/>
                    </w:rPr>
                    <w:t>联防联控要求</w:t>
                  </w:r>
                </w:p>
                <w:p w14:paraId="53FAC021">
                  <w:pPr>
                    <w:pStyle w:val="373"/>
                    <w:spacing w:line="240" w:lineRule="auto"/>
                    <w:ind w:firstLine="0" w:firstLineChars="0"/>
                    <w:rPr>
                      <w:rFonts w:eastAsia="新宋体"/>
                      <w:kern w:val="0"/>
                      <w:sz w:val="21"/>
                    </w:rPr>
                  </w:pPr>
                  <w:r>
                    <w:rPr>
                      <w:rFonts w:eastAsia="新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0B62BD7E">
                  <w:pPr>
                    <w:pStyle w:val="373"/>
                    <w:spacing w:line="240" w:lineRule="auto"/>
                    <w:ind w:firstLine="0" w:firstLineChars="0"/>
                    <w:rPr>
                      <w:rFonts w:eastAsia="新宋体"/>
                      <w:kern w:val="0"/>
                      <w:sz w:val="21"/>
                    </w:rPr>
                  </w:pPr>
                  <w:r>
                    <w:rPr>
                      <w:rFonts w:eastAsia="新宋体"/>
                      <w:kern w:val="0"/>
                      <w:sz w:val="21"/>
                    </w:rPr>
                    <w:t>其他环境风险防控要求</w:t>
                  </w:r>
                </w:p>
                <w:p w14:paraId="271352CA">
                  <w:pPr>
                    <w:pStyle w:val="373"/>
                    <w:spacing w:line="240" w:lineRule="auto"/>
                    <w:ind w:firstLine="0" w:firstLineChars="0"/>
                    <w:rPr>
                      <w:rFonts w:eastAsia="新宋体"/>
                      <w:kern w:val="0"/>
                      <w:sz w:val="21"/>
                    </w:rPr>
                  </w:pPr>
                  <w:r>
                    <w:rPr>
                      <w:rFonts w:eastAsia="新宋体"/>
                      <w:kern w:val="0"/>
                      <w:sz w:val="21"/>
                    </w:rPr>
                    <w:t>企业环境风险防控要求</w:t>
                  </w:r>
                  <w:r>
                    <w:rPr>
                      <w:rFonts w:hint="eastAsia" w:eastAsia="新宋体"/>
                      <w:kern w:val="0"/>
                      <w:sz w:val="21"/>
                    </w:rPr>
                    <w:t>：</w:t>
                  </w:r>
                  <w:r>
                    <w:rPr>
                      <w:rFonts w:eastAsia="新宋体"/>
                      <w:kern w:val="0"/>
                      <w:sz w:val="21"/>
                    </w:rPr>
                    <w:t>工业企业退出用地，须经评估、修复满足相应用地功能后，方可改变用途。</w:t>
                  </w:r>
                </w:p>
                <w:p w14:paraId="21B86A14">
                  <w:pPr>
                    <w:pStyle w:val="373"/>
                    <w:spacing w:line="240" w:lineRule="auto"/>
                    <w:ind w:firstLine="0" w:firstLineChars="0"/>
                    <w:rPr>
                      <w:rFonts w:eastAsia="新宋体"/>
                      <w:kern w:val="0"/>
                      <w:sz w:val="21"/>
                    </w:rPr>
                  </w:pPr>
                  <w:r>
                    <w:rPr>
                      <w:rFonts w:eastAsia="新宋体"/>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eastAsia" w:eastAsia="新宋体"/>
                      <w:kern w:val="0"/>
                      <w:sz w:val="21"/>
                    </w:rPr>
                    <w:t>：</w:t>
                  </w:r>
                  <w:r>
                    <w:rPr>
                      <w:rFonts w:eastAsia="新宋体"/>
                      <w:kern w:val="0"/>
                      <w:sz w:val="21"/>
                    </w:rPr>
                    <w:t>严禁将城镇生活垃圾、污泥、工业废物直接用作肥料，禁止处理不达标的污泥进入耕地；禁止在农用地排放、倾倒、使用污泥、清淤底泥、尾矿（渣）等可能对土壤造成污染的固体废物。</w:t>
                  </w:r>
                </w:p>
                <w:p w14:paraId="7BDD7694">
                  <w:pPr>
                    <w:pStyle w:val="373"/>
                    <w:spacing w:line="240" w:lineRule="auto"/>
                    <w:ind w:firstLine="0" w:firstLineChars="0"/>
                    <w:rPr>
                      <w:rFonts w:eastAsia="新宋体"/>
                      <w:kern w:val="0"/>
                      <w:sz w:val="21"/>
                    </w:rPr>
                  </w:pPr>
                  <w:r>
                    <w:rPr>
                      <w:rFonts w:eastAsia="新宋体"/>
                      <w:kern w:val="0"/>
                      <w:sz w:val="21"/>
                    </w:rPr>
                    <w:t>定期对单元内尾矿库进行风险巡查，建立监测系统和环境风险应急预案；完善各尾矿库渗滤液收集、处理、回用系统，杜绝事故排放；尾矿库闭矿后因地制宜进行植被恢复和综合利用。</w:t>
                  </w:r>
                </w:p>
                <w:p w14:paraId="7335B29D">
                  <w:pPr>
                    <w:pStyle w:val="373"/>
                    <w:spacing w:line="240" w:lineRule="auto"/>
                    <w:ind w:firstLine="0" w:firstLineChars="0"/>
                    <w:rPr>
                      <w:rFonts w:eastAsia="新宋体"/>
                      <w:kern w:val="0"/>
                      <w:sz w:val="21"/>
                    </w:rPr>
                  </w:pPr>
                  <w:r>
                    <w:rPr>
                      <w:rFonts w:eastAsia="新宋体"/>
                      <w:kern w:val="0"/>
                      <w:sz w:val="21"/>
                    </w:rPr>
                    <w:t>规范排土场、渣场等整治。禁止处理不达标的污泥进入耕地。</w:t>
                  </w:r>
                </w:p>
                <w:p w14:paraId="0D0AD719">
                  <w:pPr>
                    <w:pStyle w:val="373"/>
                    <w:spacing w:line="240" w:lineRule="auto"/>
                    <w:ind w:firstLine="0" w:firstLineChars="0"/>
                    <w:rPr>
                      <w:rFonts w:eastAsia="新宋体"/>
                      <w:kern w:val="0"/>
                      <w:sz w:val="21"/>
                    </w:rPr>
                  </w:pPr>
                  <w:r>
                    <w:rPr>
                      <w:rFonts w:eastAsia="新宋体"/>
                      <w:kern w:val="0"/>
                      <w:sz w:val="21"/>
                    </w:rPr>
                    <w:t>严格控制林地、草地、园地的农药使用量，禁止使用高毒、高残留农药。</w:t>
                  </w:r>
                </w:p>
                <w:p w14:paraId="18261A9E">
                  <w:pPr>
                    <w:pStyle w:val="373"/>
                    <w:spacing w:line="240" w:lineRule="auto"/>
                    <w:ind w:firstLine="0" w:firstLineChars="0"/>
                    <w:rPr>
                      <w:rFonts w:eastAsia="新宋体"/>
                      <w:kern w:val="0"/>
                      <w:sz w:val="21"/>
                    </w:rPr>
                  </w:pPr>
                  <w:r>
                    <w:rPr>
                      <w:rFonts w:eastAsia="新宋体"/>
                      <w:kern w:val="0"/>
                      <w:sz w:val="21"/>
                    </w:rPr>
                    <w:t>到2030年，全市受污染耕地安全利用率达到95%以上，污染地块安全利用率达到95%以上。</w:t>
                  </w:r>
                </w:p>
              </w:tc>
              <w:tc>
                <w:tcPr>
                  <w:tcW w:w="2139" w:type="dxa"/>
                  <w:tcBorders>
                    <w:tl2br w:val="nil"/>
                    <w:tr2bl w:val="nil"/>
                  </w:tcBorders>
                  <w:shd w:val="clear" w:color="auto" w:fill="auto"/>
                  <w:vAlign w:val="center"/>
                </w:tcPr>
                <w:p w14:paraId="4F3FAE8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14:paraId="301F5646">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1710C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7217743E">
                  <w:pPr>
                    <w:rPr>
                      <w:szCs w:val="21"/>
                    </w:rPr>
                  </w:pPr>
                </w:p>
              </w:tc>
              <w:tc>
                <w:tcPr>
                  <w:tcW w:w="934" w:type="dxa"/>
                  <w:vMerge w:val="continue"/>
                  <w:tcBorders>
                    <w:tl2br w:val="nil"/>
                    <w:tr2bl w:val="nil"/>
                  </w:tcBorders>
                  <w:shd w:val="clear" w:color="auto" w:fill="auto"/>
                  <w:vAlign w:val="center"/>
                </w:tcPr>
                <w:p w14:paraId="5E8A1CDD">
                  <w:pPr>
                    <w:rPr>
                      <w:szCs w:val="21"/>
                    </w:rPr>
                  </w:pPr>
                </w:p>
              </w:tc>
              <w:tc>
                <w:tcPr>
                  <w:tcW w:w="1072" w:type="dxa"/>
                  <w:tcBorders>
                    <w:tl2br w:val="nil"/>
                    <w:tr2bl w:val="nil"/>
                  </w:tcBorders>
                  <w:shd w:val="clear" w:color="auto" w:fill="auto"/>
                  <w:vAlign w:val="center"/>
                </w:tcPr>
                <w:p w14:paraId="4BBA9351">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tcPr>
                <w:p w14:paraId="3858C80F">
                  <w:pPr>
                    <w:pStyle w:val="373"/>
                    <w:spacing w:line="240" w:lineRule="auto"/>
                    <w:ind w:firstLine="0" w:firstLineChars="0"/>
                    <w:rPr>
                      <w:rFonts w:eastAsia="新宋体"/>
                      <w:kern w:val="0"/>
                      <w:sz w:val="21"/>
                    </w:rPr>
                  </w:pPr>
                  <w:r>
                    <w:rPr>
                      <w:rFonts w:eastAsia="新宋体"/>
                      <w:kern w:val="0"/>
                      <w:sz w:val="21"/>
                    </w:rPr>
                    <w:t>水资源利用总量要求</w:t>
                  </w:r>
                </w:p>
                <w:p w14:paraId="5F2C9CAA">
                  <w:pPr>
                    <w:pStyle w:val="373"/>
                    <w:spacing w:line="240" w:lineRule="auto"/>
                    <w:ind w:firstLine="0" w:firstLineChars="0"/>
                    <w:rPr>
                      <w:rFonts w:eastAsia="新宋体"/>
                      <w:kern w:val="0"/>
                      <w:sz w:val="21"/>
                    </w:rPr>
                  </w:pPr>
                  <w:r>
                    <w:rPr>
                      <w:rFonts w:eastAsia="新宋体"/>
                      <w:kern w:val="0"/>
                      <w:sz w:val="21"/>
                    </w:rPr>
                    <w:t>-到2025年，农田灌溉水有效利用系数达到0.57以上。</w:t>
                  </w:r>
                </w:p>
                <w:p w14:paraId="051D1415">
                  <w:pPr>
                    <w:pStyle w:val="373"/>
                    <w:spacing w:line="240" w:lineRule="auto"/>
                    <w:ind w:firstLine="0" w:firstLineChars="0"/>
                    <w:rPr>
                      <w:rFonts w:eastAsia="新宋体"/>
                      <w:kern w:val="0"/>
                      <w:sz w:val="21"/>
                    </w:rPr>
                  </w:pPr>
                  <w:r>
                    <w:rPr>
                      <w:rFonts w:eastAsia="新宋体"/>
                      <w:kern w:val="0"/>
                      <w:sz w:val="21"/>
                    </w:rPr>
                    <w:t>地下水开采要求</w:t>
                  </w:r>
                </w:p>
                <w:p w14:paraId="4E906109">
                  <w:pPr>
                    <w:pStyle w:val="373"/>
                    <w:spacing w:line="240" w:lineRule="auto"/>
                    <w:ind w:firstLine="0" w:firstLineChars="0"/>
                    <w:rPr>
                      <w:rFonts w:eastAsia="新宋体"/>
                      <w:kern w:val="0"/>
                      <w:sz w:val="21"/>
                    </w:rPr>
                  </w:pPr>
                  <w:r>
                    <w:rPr>
                      <w:rFonts w:eastAsia="新宋体"/>
                      <w:kern w:val="0"/>
                      <w:sz w:val="21"/>
                    </w:rPr>
                    <w:t>以省市下发指标为准</w:t>
                  </w:r>
                </w:p>
                <w:p w14:paraId="44E94445">
                  <w:pPr>
                    <w:pStyle w:val="373"/>
                    <w:spacing w:line="240" w:lineRule="auto"/>
                    <w:ind w:firstLine="0" w:firstLineChars="0"/>
                    <w:rPr>
                      <w:rFonts w:eastAsia="新宋体"/>
                      <w:kern w:val="0"/>
                      <w:sz w:val="21"/>
                    </w:rPr>
                  </w:pPr>
                  <w:r>
                    <w:rPr>
                      <w:rFonts w:eastAsia="新宋体"/>
                      <w:kern w:val="0"/>
                      <w:sz w:val="21"/>
                    </w:rPr>
                    <w:t>能源利用总量及效率要求</w:t>
                  </w:r>
                </w:p>
                <w:p w14:paraId="4960D772">
                  <w:pPr>
                    <w:pStyle w:val="373"/>
                    <w:spacing w:line="240" w:lineRule="auto"/>
                    <w:ind w:firstLine="0" w:firstLineChars="0"/>
                    <w:rPr>
                      <w:rFonts w:eastAsia="新宋体"/>
                      <w:kern w:val="0"/>
                      <w:sz w:val="21"/>
                    </w:rPr>
                  </w:pPr>
                  <w:r>
                    <w:rPr>
                      <w:rFonts w:eastAsia="新宋体"/>
                      <w:kern w:val="0"/>
                      <w:sz w:val="21"/>
                    </w:rPr>
                    <w:t>推进清洁能源的推广使用，全面推进散煤清洁化整治；禁止新建每小时10蒸吨以下的燃煤锅炉及其他燃煤设施。</w:t>
                  </w:r>
                </w:p>
                <w:p w14:paraId="39355F2A">
                  <w:pPr>
                    <w:pStyle w:val="373"/>
                    <w:spacing w:line="240" w:lineRule="auto"/>
                    <w:ind w:firstLine="0" w:firstLineChars="0"/>
                    <w:rPr>
                      <w:rFonts w:eastAsia="新宋体"/>
                      <w:kern w:val="0"/>
                      <w:sz w:val="21"/>
                    </w:rPr>
                  </w:pPr>
                  <w:r>
                    <w:rPr>
                      <w:rFonts w:eastAsia="新宋体"/>
                      <w:kern w:val="0"/>
                      <w:sz w:val="21"/>
                    </w:rPr>
                    <w:t>禁止焚烧秸秆和垃圾，到2025年底，秸秆综合利用率达到86%以上。</w:t>
                  </w:r>
                </w:p>
                <w:p w14:paraId="64E1A376">
                  <w:pPr>
                    <w:pStyle w:val="373"/>
                    <w:spacing w:line="240" w:lineRule="auto"/>
                    <w:ind w:firstLine="0" w:firstLineChars="0"/>
                    <w:rPr>
                      <w:rFonts w:eastAsia="新宋体"/>
                      <w:kern w:val="0"/>
                      <w:sz w:val="21"/>
                    </w:rPr>
                  </w:pPr>
                  <w:r>
                    <w:rPr>
                      <w:rFonts w:eastAsia="新宋体"/>
                      <w:kern w:val="0"/>
                      <w:sz w:val="21"/>
                    </w:rPr>
                    <w:t>禁燃区要求</w:t>
                  </w:r>
                </w:p>
                <w:p w14:paraId="25825D9D">
                  <w:pPr>
                    <w:pStyle w:val="373"/>
                    <w:spacing w:line="240" w:lineRule="auto"/>
                    <w:ind w:firstLine="0" w:firstLineChars="0"/>
                    <w:rPr>
                      <w:rFonts w:eastAsia="新宋体"/>
                      <w:kern w:val="0"/>
                      <w:sz w:val="21"/>
                    </w:rPr>
                  </w:pPr>
                  <w:r>
                    <w:rPr>
                      <w:rFonts w:eastAsia="新宋体"/>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1816AD23">
                  <w:pPr>
                    <w:pStyle w:val="373"/>
                    <w:spacing w:line="240" w:lineRule="auto"/>
                    <w:ind w:firstLine="0" w:firstLineChars="0"/>
                    <w:rPr>
                      <w:rFonts w:eastAsia="新宋体"/>
                      <w:kern w:val="0"/>
                      <w:sz w:val="21"/>
                    </w:rPr>
                  </w:pPr>
                  <w:r>
                    <w:rPr>
                      <w:rFonts w:eastAsia="新宋体"/>
                      <w:kern w:val="0"/>
                      <w:sz w:val="21"/>
                    </w:rPr>
                    <w:t>-禁燃区内禁止销售、燃用高污染燃料；禁止新建、改建、扩建燃用高污染燃料的设施和设备。</w:t>
                  </w:r>
                </w:p>
                <w:p w14:paraId="7FB4E44B">
                  <w:pPr>
                    <w:pStyle w:val="373"/>
                    <w:spacing w:line="240" w:lineRule="auto"/>
                    <w:ind w:firstLine="0" w:firstLineChars="0"/>
                    <w:rPr>
                      <w:rFonts w:eastAsia="新宋体"/>
                      <w:kern w:val="0"/>
                      <w:sz w:val="21"/>
                    </w:rPr>
                  </w:pPr>
                  <w:r>
                    <w:rPr>
                      <w:rFonts w:eastAsia="新宋体"/>
                      <w:kern w:val="0"/>
                      <w:sz w:val="21"/>
                    </w:rPr>
                    <w:t>-禁燃区内已建成的高污染燃料燃用设施由辖区人民政府制定限期改造计划，改用天然气、页岩气、液化石油气、电或其他清洁能源。</w:t>
                  </w:r>
                </w:p>
                <w:p w14:paraId="17AC3206">
                  <w:pPr>
                    <w:pStyle w:val="373"/>
                    <w:spacing w:line="240" w:lineRule="auto"/>
                    <w:ind w:firstLine="0" w:firstLineChars="0"/>
                    <w:rPr>
                      <w:rFonts w:eastAsia="新宋体"/>
                      <w:kern w:val="0"/>
                      <w:sz w:val="21"/>
                    </w:rPr>
                  </w:pPr>
                  <w:r>
                    <w:rPr>
                      <w:rFonts w:eastAsia="新宋体"/>
                      <w:kern w:val="0"/>
                      <w:sz w:val="21"/>
                    </w:rPr>
                    <w:t>其他资源利用效率要求</w:t>
                  </w:r>
                </w:p>
                <w:p w14:paraId="3DBF21A6">
                  <w:pPr>
                    <w:pStyle w:val="373"/>
                    <w:spacing w:line="240" w:lineRule="auto"/>
                    <w:ind w:firstLine="0" w:firstLineChars="0"/>
                    <w:rPr>
                      <w:rFonts w:eastAsia="新宋体"/>
                      <w:kern w:val="0"/>
                      <w:sz w:val="21"/>
                    </w:rPr>
                  </w:pPr>
                  <w:r>
                    <w:rPr>
                      <w:rFonts w:eastAsia="新宋体"/>
                      <w:kern w:val="0"/>
                      <w:sz w:val="21"/>
                    </w:rPr>
                    <w:t>△</w:t>
                  </w:r>
                </w:p>
              </w:tc>
              <w:tc>
                <w:tcPr>
                  <w:tcW w:w="2139" w:type="dxa"/>
                  <w:tcBorders>
                    <w:tl2br w:val="nil"/>
                    <w:tr2bl w:val="nil"/>
                  </w:tcBorders>
                  <w:shd w:val="clear" w:color="auto" w:fill="auto"/>
                  <w:vAlign w:val="center"/>
                </w:tcPr>
                <w:p w14:paraId="25E5C150">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14:paraId="02CA75AB">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5ADF8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688B4028">
                  <w:pPr>
                    <w:rPr>
                      <w:szCs w:val="21"/>
                    </w:rPr>
                  </w:pPr>
                </w:p>
              </w:tc>
              <w:tc>
                <w:tcPr>
                  <w:tcW w:w="934" w:type="dxa"/>
                  <w:vMerge w:val="restart"/>
                  <w:tcBorders>
                    <w:tl2br w:val="nil"/>
                    <w:tr2bl w:val="nil"/>
                  </w:tcBorders>
                  <w:shd w:val="clear" w:color="auto" w:fill="auto"/>
                  <w:vAlign w:val="center"/>
                </w:tcPr>
                <w:p w14:paraId="000B76C9">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单元级清单管控要求</w:t>
                  </w:r>
                </w:p>
              </w:tc>
              <w:tc>
                <w:tcPr>
                  <w:tcW w:w="1072" w:type="dxa"/>
                  <w:tcBorders>
                    <w:tl2br w:val="nil"/>
                    <w:tr2bl w:val="nil"/>
                  </w:tcBorders>
                  <w:shd w:val="clear" w:color="auto" w:fill="auto"/>
                  <w:vAlign w:val="center"/>
                </w:tcPr>
                <w:p w14:paraId="0A4984FB">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14:paraId="7A9DB4F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禁止开发建设活动的要求</w:t>
                  </w:r>
                </w:p>
                <w:p w14:paraId="5BC52E1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0AD986F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14:paraId="32D81B50">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对四川省主体功能区划中的农产品主产区，应限制进行大规模高强度工业化城镇化开发，严格控制有色金属冶炼、石油加工、化工、焦化、电镀、制革等产能，原则上不增加产能</w:t>
                  </w:r>
                </w:p>
                <w:p w14:paraId="799D04F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其他同达州市一般管控单元总体准入要求</w:t>
                  </w:r>
                </w:p>
                <w:p w14:paraId="0380C740">
                  <w:pPr>
                    <w:pStyle w:val="373"/>
                    <w:widowControl/>
                    <w:shd w:val="clear" w:color="auto" w:fill="FFFFFF"/>
                    <w:spacing w:line="240" w:lineRule="auto"/>
                    <w:ind w:firstLine="0" w:firstLineChars="0"/>
                    <w:jc w:val="left"/>
                    <w:rPr>
                      <w:rFonts w:hint="eastAsia" w:ascii="宋体" w:hAnsi="宋体" w:eastAsia="宋体"/>
                      <w:sz w:val="21"/>
                    </w:rPr>
                  </w:pPr>
                </w:p>
                <w:p w14:paraId="4736322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14:paraId="3E5A8EB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34EE75A9">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14:paraId="5D6D99BC">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6464621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-其他同达州市一般管控单元总体准入要求</w:t>
                  </w:r>
                </w:p>
                <w:p w14:paraId="42ED7099">
                  <w:pPr>
                    <w:pStyle w:val="373"/>
                    <w:widowControl/>
                    <w:shd w:val="clear" w:color="auto" w:fill="FFFFFF"/>
                    <w:spacing w:line="240" w:lineRule="auto"/>
                    <w:ind w:firstLine="0" w:firstLineChars="0"/>
                    <w:jc w:val="left"/>
                    <w:rPr>
                      <w:rFonts w:hint="eastAsia" w:ascii="宋体" w:hAnsi="宋体" w:eastAsia="宋体"/>
                      <w:sz w:val="21"/>
                    </w:rPr>
                  </w:pPr>
                </w:p>
                <w:p w14:paraId="4967ABC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其他空间布局约束要求</w:t>
                  </w:r>
                </w:p>
                <w:p w14:paraId="4E2A8E2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7B5EBD6B">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项目位</w:t>
                  </w:r>
                  <w:r>
                    <w:rPr>
                      <w:rFonts w:hint="eastAsia" w:ascii="Times New Roman" w:hAnsi="Times New Roman"/>
                      <w:sz w:val="21"/>
                      <w:szCs w:val="21"/>
                    </w:rPr>
                    <w:t>于四川省达州市宣汉县君塘镇界湾村</w:t>
                  </w:r>
                  <w:r>
                    <w:rPr>
                      <w:rFonts w:ascii="Times New Roman" w:hAnsi="Times New Roman"/>
                      <w:sz w:val="21"/>
                      <w:szCs w:val="21"/>
                    </w:rPr>
                    <w:t>，属于一般管控单元，不属于禁止开发建设活动</w:t>
                  </w:r>
                </w:p>
              </w:tc>
              <w:tc>
                <w:tcPr>
                  <w:tcW w:w="1409" w:type="dxa"/>
                  <w:tcBorders>
                    <w:tl2br w:val="nil"/>
                    <w:tr2bl w:val="nil"/>
                  </w:tcBorders>
                  <w:shd w:val="clear" w:color="auto" w:fill="auto"/>
                  <w:vAlign w:val="center"/>
                </w:tcPr>
                <w:p w14:paraId="4E69DB25">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191A6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7383B90B">
                  <w:pPr>
                    <w:rPr>
                      <w:szCs w:val="21"/>
                    </w:rPr>
                  </w:pPr>
                </w:p>
              </w:tc>
              <w:tc>
                <w:tcPr>
                  <w:tcW w:w="934" w:type="dxa"/>
                  <w:vMerge w:val="continue"/>
                  <w:tcBorders>
                    <w:tl2br w:val="nil"/>
                    <w:tr2bl w:val="nil"/>
                  </w:tcBorders>
                  <w:shd w:val="clear" w:color="auto" w:fill="auto"/>
                  <w:vAlign w:val="center"/>
                </w:tcPr>
                <w:p w14:paraId="1BF7FD06">
                  <w:pPr>
                    <w:rPr>
                      <w:szCs w:val="21"/>
                    </w:rPr>
                  </w:pPr>
                </w:p>
              </w:tc>
              <w:tc>
                <w:tcPr>
                  <w:tcW w:w="1072" w:type="dxa"/>
                  <w:tcBorders>
                    <w:tl2br w:val="nil"/>
                    <w:tr2bl w:val="nil"/>
                  </w:tcBorders>
                  <w:shd w:val="clear" w:color="auto" w:fill="auto"/>
                  <w:vAlign w:val="center"/>
                </w:tcPr>
                <w:p w14:paraId="2145E923">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14:paraId="4254DC2F">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现有源提标升级改造</w:t>
                  </w:r>
                </w:p>
                <w:p w14:paraId="57FD2F3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7AAA47F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新增源等量或倍量替代</w:t>
                  </w:r>
                </w:p>
                <w:p w14:paraId="489D4BD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7EC90B4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新增源排放标准限值</w:t>
                  </w:r>
                </w:p>
                <w:p w14:paraId="7059C02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37A48D0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污染物排放绩效水平准入要求</w:t>
                  </w:r>
                </w:p>
                <w:p w14:paraId="28B61FD9">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-大气环境布局敏感和弱扩散重点管控区内，现有大气污染重点企业，限期进行深度治理或关停并转。</w:t>
                  </w:r>
                </w:p>
                <w:p w14:paraId="585A0BF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-其它同达州市一般管控单元总体准入要求</w:t>
                  </w:r>
                </w:p>
                <w:p w14:paraId="757462B5">
                  <w:pPr>
                    <w:pStyle w:val="373"/>
                    <w:widowControl/>
                    <w:shd w:val="clear" w:color="auto" w:fill="FFFFFF"/>
                    <w:spacing w:line="240" w:lineRule="auto"/>
                    <w:ind w:firstLine="0" w:firstLineChars="0"/>
                    <w:jc w:val="left"/>
                    <w:rPr>
                      <w:rFonts w:hint="eastAsia" w:ascii="宋体" w:hAnsi="宋体" w:eastAsia="宋体"/>
                      <w:sz w:val="21"/>
                    </w:rPr>
                  </w:pPr>
                </w:p>
                <w:p w14:paraId="3D96022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其他污染物排放管控要求</w:t>
                  </w:r>
                </w:p>
                <w:p w14:paraId="6AF9091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20F7596D">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项目废水收集后通过密闭罐车定期拉运至</w:t>
                  </w:r>
                  <w:r>
                    <w:rPr>
                      <w:rFonts w:hint="eastAsia" w:ascii="Times New Roman" w:hAnsi="Times New Roman"/>
                      <w:sz w:val="21"/>
                      <w:szCs w:val="21"/>
                    </w:rPr>
                    <w:t>赵家坝污水处理站</w:t>
                  </w:r>
                  <w:r>
                    <w:rPr>
                      <w:rFonts w:ascii="Times New Roman" w:hAnsi="Times New Roman"/>
                      <w:sz w:val="21"/>
                      <w:szCs w:val="21"/>
                    </w:rPr>
                    <w:t>处理达标后</w:t>
                  </w:r>
                  <w:r>
                    <w:rPr>
                      <w:rFonts w:hint="eastAsia" w:ascii="Times New Roman" w:hAnsi="Times New Roman"/>
                      <w:sz w:val="21"/>
                      <w:szCs w:val="21"/>
                    </w:rPr>
                    <w:t>由罐车拉运至普光3井等回注站</w:t>
                  </w:r>
                  <w:r>
                    <w:rPr>
                      <w:rFonts w:ascii="Times New Roman" w:hAnsi="Times New Roman"/>
                      <w:sz w:val="21"/>
                      <w:szCs w:val="21"/>
                    </w:rPr>
                    <w:t>回注，岩屑按要求就近交给依法取得生态环境部门关于利用和处置相关工业固体废物项目环评批复、具有处理处置相应固体废物能力并配套建设有废气、废水、固废等污染物治理设施的单位进行资源化利用（四川光隆环保科技有限公司等），废气污染物产生较小，项目施工时间短，施工结束后噪声影响消失，因此符合污染物排放管控</w:t>
                  </w:r>
                </w:p>
              </w:tc>
              <w:tc>
                <w:tcPr>
                  <w:tcW w:w="1409" w:type="dxa"/>
                  <w:tcBorders>
                    <w:tl2br w:val="nil"/>
                    <w:tr2bl w:val="nil"/>
                  </w:tcBorders>
                  <w:shd w:val="clear" w:color="auto" w:fill="auto"/>
                  <w:vAlign w:val="center"/>
                </w:tcPr>
                <w:p w14:paraId="07B8429E">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5FC5E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14:paraId="303F8471">
                  <w:pPr>
                    <w:rPr>
                      <w:szCs w:val="21"/>
                    </w:rPr>
                  </w:pPr>
                </w:p>
              </w:tc>
              <w:tc>
                <w:tcPr>
                  <w:tcW w:w="934" w:type="dxa"/>
                  <w:vMerge w:val="continue"/>
                  <w:tcBorders>
                    <w:tl2br w:val="nil"/>
                    <w:tr2bl w:val="nil"/>
                  </w:tcBorders>
                  <w:shd w:val="clear" w:color="auto" w:fill="auto"/>
                  <w:vAlign w:val="center"/>
                </w:tcPr>
                <w:p w14:paraId="018B030A">
                  <w:pPr>
                    <w:rPr>
                      <w:szCs w:val="21"/>
                    </w:rPr>
                  </w:pPr>
                </w:p>
              </w:tc>
              <w:tc>
                <w:tcPr>
                  <w:tcW w:w="1072" w:type="dxa"/>
                  <w:tcBorders>
                    <w:tl2br w:val="nil"/>
                    <w:tr2bl w:val="nil"/>
                  </w:tcBorders>
                  <w:shd w:val="clear" w:color="auto" w:fill="auto"/>
                  <w:vAlign w:val="center"/>
                </w:tcPr>
                <w:p w14:paraId="263FE70A">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14:paraId="0582048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严格管控类农用地管控要求</w:t>
                  </w:r>
                </w:p>
                <w:p w14:paraId="5F2EF5EE">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6C69F2DF">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安全利用类农用地管控要求</w:t>
                  </w:r>
                </w:p>
                <w:p w14:paraId="047E473F">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201552A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污染地块管控要求</w:t>
                  </w:r>
                </w:p>
                <w:p w14:paraId="38FE640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35811C1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园区环境风险防控要求</w:t>
                  </w:r>
                </w:p>
                <w:p w14:paraId="692AE48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7A7C3F7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企业环境风险防控要求</w:t>
                  </w:r>
                </w:p>
                <w:p w14:paraId="632657C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05FDA72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其他环境风险防控要求</w:t>
                  </w:r>
                </w:p>
                <w:p w14:paraId="58410E20">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41A32AAD">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14:paraId="01238A29">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39A1E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5A6C0C8C">
                  <w:pPr>
                    <w:rPr>
                      <w:szCs w:val="21"/>
                    </w:rPr>
                  </w:pPr>
                </w:p>
              </w:tc>
              <w:tc>
                <w:tcPr>
                  <w:tcW w:w="934" w:type="dxa"/>
                  <w:vMerge w:val="continue"/>
                  <w:tcBorders>
                    <w:tl2br w:val="nil"/>
                    <w:tr2bl w:val="nil"/>
                  </w:tcBorders>
                  <w:shd w:val="clear" w:color="auto" w:fill="auto"/>
                  <w:vAlign w:val="center"/>
                </w:tcPr>
                <w:p w14:paraId="66C8C39B">
                  <w:pPr>
                    <w:rPr>
                      <w:szCs w:val="21"/>
                    </w:rPr>
                  </w:pPr>
                </w:p>
              </w:tc>
              <w:tc>
                <w:tcPr>
                  <w:tcW w:w="1072" w:type="dxa"/>
                  <w:tcBorders>
                    <w:tl2br w:val="nil"/>
                    <w:tr2bl w:val="nil"/>
                  </w:tcBorders>
                  <w:shd w:val="clear" w:color="auto" w:fill="auto"/>
                  <w:vAlign w:val="center"/>
                </w:tcPr>
                <w:p w14:paraId="1CC9EE8C">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14:paraId="2777AF2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水资源利用效率要求</w:t>
                  </w:r>
                </w:p>
                <w:p w14:paraId="72A4A50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3AA1D63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地下水开采要求</w:t>
                  </w:r>
                </w:p>
                <w:p w14:paraId="3285B808">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5646930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能源利用效率要求</w:t>
                  </w:r>
                </w:p>
                <w:p w14:paraId="69C9F139">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同达州市一般管控单元总体准入要求</w:t>
                  </w:r>
                </w:p>
                <w:p w14:paraId="492FE84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其他资源利用效率要求</w:t>
                  </w:r>
                </w:p>
                <w:p w14:paraId="0FB7CCBD">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4C9534EF">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14:paraId="4007C2F9">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14:paraId="42F6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14:paraId="5C5FC67B">
                  <w:pPr>
                    <w:rPr>
                      <w:szCs w:val="21"/>
                    </w:rPr>
                  </w:pPr>
                  <w:r>
                    <w:rPr>
                      <w:szCs w:val="21"/>
                    </w:rPr>
                    <w:t>州河-宣汉县-张鼓坪-控制单元：YS5117223210002</w:t>
                  </w:r>
                </w:p>
                <w:p w14:paraId="2F39BAF8">
                  <w:r>
                    <w:rPr>
                      <w:szCs w:val="21"/>
                    </w:rPr>
                    <w:t>宣汉县大气环境布局敏感重点管控区：YS5117222320001</w:t>
                  </w:r>
                </w:p>
              </w:tc>
              <w:tc>
                <w:tcPr>
                  <w:tcW w:w="934" w:type="dxa"/>
                  <w:vMerge w:val="restart"/>
                  <w:tcBorders>
                    <w:tl2br w:val="nil"/>
                    <w:tr2bl w:val="nil"/>
                  </w:tcBorders>
                  <w:shd w:val="clear" w:color="auto" w:fill="auto"/>
                  <w:vAlign w:val="center"/>
                </w:tcPr>
                <w:p w14:paraId="4BA4A1DC">
                  <w:pPr>
                    <w:rPr>
                      <w:szCs w:val="21"/>
                    </w:rPr>
                  </w:pPr>
                  <w:r>
                    <w:rPr>
                      <w:szCs w:val="21"/>
                    </w:rPr>
                    <w:t>普适性清单管控要求</w:t>
                  </w:r>
                </w:p>
              </w:tc>
              <w:tc>
                <w:tcPr>
                  <w:tcW w:w="1072" w:type="dxa"/>
                  <w:tcBorders>
                    <w:tl2br w:val="nil"/>
                    <w:tr2bl w:val="nil"/>
                  </w:tcBorders>
                  <w:shd w:val="clear" w:color="auto" w:fill="auto"/>
                  <w:vAlign w:val="center"/>
                </w:tcPr>
                <w:p w14:paraId="637AA12E">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14:paraId="254F06E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禁止开发建设活动的要求</w:t>
                  </w:r>
                </w:p>
                <w:p w14:paraId="549F4CCA">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1253765B">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限制开发建设活动的要求</w:t>
                  </w:r>
                </w:p>
                <w:p w14:paraId="57A90966">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14D09531">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不符合空间布局要求活动的退出要求</w:t>
                  </w:r>
                </w:p>
                <w:p w14:paraId="369AD558">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3B02FC10">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其他空间布局约束要求</w:t>
                  </w:r>
                </w:p>
                <w:p w14:paraId="2CCA6902">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tc>
              <w:tc>
                <w:tcPr>
                  <w:tcW w:w="2139" w:type="dxa"/>
                  <w:tcBorders>
                    <w:tl2br w:val="nil"/>
                    <w:tr2bl w:val="nil"/>
                  </w:tcBorders>
                  <w:shd w:val="clear" w:color="auto" w:fill="auto"/>
                  <w:vAlign w:val="center"/>
                </w:tcPr>
                <w:p w14:paraId="163E7C9F">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无</w:t>
                  </w:r>
                </w:p>
              </w:tc>
              <w:tc>
                <w:tcPr>
                  <w:tcW w:w="1409" w:type="dxa"/>
                  <w:tcBorders>
                    <w:tl2br w:val="nil"/>
                    <w:tr2bl w:val="nil"/>
                  </w:tcBorders>
                  <w:shd w:val="clear" w:color="auto" w:fill="auto"/>
                  <w:vAlign w:val="center"/>
                </w:tcPr>
                <w:p w14:paraId="0230BFE3">
                  <w:pPr>
                    <w:rPr>
                      <w:szCs w:val="21"/>
                      <w:lang w:bidi="ar"/>
                    </w:rPr>
                  </w:pPr>
                  <w:r>
                    <w:rPr>
                      <w:szCs w:val="21"/>
                      <w:lang w:bidi="ar"/>
                    </w:rPr>
                    <w:t>符合</w:t>
                  </w:r>
                </w:p>
              </w:tc>
            </w:tr>
            <w:tr w14:paraId="471F4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7F651C3A">
                  <w:pPr>
                    <w:rPr>
                      <w:szCs w:val="21"/>
                    </w:rPr>
                  </w:pPr>
                </w:p>
              </w:tc>
              <w:tc>
                <w:tcPr>
                  <w:tcW w:w="934" w:type="dxa"/>
                  <w:vMerge w:val="continue"/>
                  <w:tcBorders>
                    <w:tl2br w:val="nil"/>
                    <w:tr2bl w:val="nil"/>
                  </w:tcBorders>
                  <w:shd w:val="clear" w:color="auto" w:fill="auto"/>
                  <w:vAlign w:val="center"/>
                </w:tcPr>
                <w:p w14:paraId="353714F6">
                  <w:pPr>
                    <w:rPr>
                      <w:szCs w:val="21"/>
                    </w:rPr>
                  </w:pPr>
                </w:p>
              </w:tc>
              <w:tc>
                <w:tcPr>
                  <w:tcW w:w="1072" w:type="dxa"/>
                  <w:tcBorders>
                    <w:tl2br w:val="nil"/>
                    <w:tr2bl w:val="nil"/>
                  </w:tcBorders>
                  <w:shd w:val="clear" w:color="auto" w:fill="auto"/>
                  <w:vAlign w:val="center"/>
                </w:tcPr>
                <w:p w14:paraId="15EBECA3">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14:paraId="54DC4EF4">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允许排放量要求</w:t>
                  </w:r>
                </w:p>
                <w:p w14:paraId="52EDAA1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33F98591">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现有源提标升级改造</w:t>
                  </w:r>
                </w:p>
                <w:p w14:paraId="1FEBB4A3">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38513FAB">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其他污染物排放管控要求</w:t>
                  </w:r>
                </w:p>
                <w:p w14:paraId="4267C65F">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tc>
              <w:tc>
                <w:tcPr>
                  <w:tcW w:w="2139" w:type="dxa"/>
                  <w:tcBorders>
                    <w:tl2br w:val="nil"/>
                    <w:tr2bl w:val="nil"/>
                  </w:tcBorders>
                  <w:shd w:val="clear" w:color="auto" w:fill="auto"/>
                  <w:vAlign w:val="center"/>
                </w:tcPr>
                <w:p w14:paraId="6C54A20B">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无</w:t>
                  </w:r>
                </w:p>
              </w:tc>
              <w:tc>
                <w:tcPr>
                  <w:tcW w:w="1409" w:type="dxa"/>
                  <w:tcBorders>
                    <w:tl2br w:val="nil"/>
                    <w:tr2bl w:val="nil"/>
                  </w:tcBorders>
                  <w:shd w:val="clear" w:color="auto" w:fill="auto"/>
                  <w:vAlign w:val="center"/>
                </w:tcPr>
                <w:p w14:paraId="45567FB7">
                  <w:pPr>
                    <w:rPr>
                      <w:szCs w:val="21"/>
                      <w:lang w:bidi="ar"/>
                    </w:rPr>
                  </w:pPr>
                  <w:r>
                    <w:rPr>
                      <w:szCs w:val="21"/>
                      <w:lang w:bidi="ar"/>
                    </w:rPr>
                    <w:t>符合</w:t>
                  </w:r>
                </w:p>
              </w:tc>
            </w:tr>
            <w:tr w14:paraId="29C04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319FA55A">
                  <w:pPr>
                    <w:rPr>
                      <w:szCs w:val="21"/>
                    </w:rPr>
                  </w:pPr>
                </w:p>
              </w:tc>
              <w:tc>
                <w:tcPr>
                  <w:tcW w:w="934" w:type="dxa"/>
                  <w:vMerge w:val="continue"/>
                  <w:tcBorders>
                    <w:tl2br w:val="nil"/>
                    <w:tr2bl w:val="nil"/>
                  </w:tcBorders>
                  <w:shd w:val="clear" w:color="auto" w:fill="auto"/>
                  <w:vAlign w:val="center"/>
                </w:tcPr>
                <w:p w14:paraId="37046AC0">
                  <w:pPr>
                    <w:rPr>
                      <w:szCs w:val="21"/>
                    </w:rPr>
                  </w:pPr>
                </w:p>
              </w:tc>
              <w:tc>
                <w:tcPr>
                  <w:tcW w:w="1072" w:type="dxa"/>
                  <w:tcBorders>
                    <w:tl2br w:val="nil"/>
                    <w:tr2bl w:val="nil"/>
                  </w:tcBorders>
                  <w:shd w:val="clear" w:color="auto" w:fill="auto"/>
                  <w:vAlign w:val="center"/>
                </w:tcPr>
                <w:p w14:paraId="1760FB3D">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14:paraId="4B05EF36">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联防联控要求</w:t>
                  </w:r>
                </w:p>
                <w:p w14:paraId="7A9124C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3B56C99A">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其他环境风险防控要求</w:t>
                  </w:r>
                </w:p>
                <w:p w14:paraId="59BF9911">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tc>
              <w:tc>
                <w:tcPr>
                  <w:tcW w:w="2139" w:type="dxa"/>
                  <w:tcBorders>
                    <w:tl2br w:val="nil"/>
                    <w:tr2bl w:val="nil"/>
                  </w:tcBorders>
                  <w:shd w:val="clear" w:color="auto" w:fill="auto"/>
                  <w:vAlign w:val="center"/>
                </w:tcPr>
                <w:p w14:paraId="0DE2F801">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无</w:t>
                  </w:r>
                </w:p>
              </w:tc>
              <w:tc>
                <w:tcPr>
                  <w:tcW w:w="1409" w:type="dxa"/>
                  <w:tcBorders>
                    <w:tl2br w:val="nil"/>
                    <w:tr2bl w:val="nil"/>
                  </w:tcBorders>
                  <w:shd w:val="clear" w:color="auto" w:fill="auto"/>
                  <w:vAlign w:val="center"/>
                </w:tcPr>
                <w:p w14:paraId="6F148E9E">
                  <w:pPr>
                    <w:rPr>
                      <w:szCs w:val="21"/>
                      <w:lang w:bidi="ar"/>
                    </w:rPr>
                  </w:pPr>
                  <w:r>
                    <w:rPr>
                      <w:szCs w:val="21"/>
                      <w:lang w:bidi="ar"/>
                    </w:rPr>
                    <w:t>符合</w:t>
                  </w:r>
                </w:p>
              </w:tc>
            </w:tr>
            <w:tr w14:paraId="3EC3A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024B0CDB">
                  <w:pPr>
                    <w:rPr>
                      <w:szCs w:val="21"/>
                    </w:rPr>
                  </w:pPr>
                </w:p>
              </w:tc>
              <w:tc>
                <w:tcPr>
                  <w:tcW w:w="934" w:type="dxa"/>
                  <w:vMerge w:val="continue"/>
                  <w:tcBorders>
                    <w:tl2br w:val="nil"/>
                    <w:tr2bl w:val="nil"/>
                  </w:tcBorders>
                  <w:shd w:val="clear" w:color="auto" w:fill="auto"/>
                  <w:vAlign w:val="center"/>
                </w:tcPr>
                <w:p w14:paraId="5D72805D">
                  <w:pPr>
                    <w:rPr>
                      <w:szCs w:val="21"/>
                    </w:rPr>
                  </w:pPr>
                </w:p>
              </w:tc>
              <w:tc>
                <w:tcPr>
                  <w:tcW w:w="1072" w:type="dxa"/>
                  <w:tcBorders>
                    <w:tl2br w:val="nil"/>
                    <w:tr2bl w:val="nil"/>
                  </w:tcBorders>
                  <w:shd w:val="clear" w:color="auto" w:fill="auto"/>
                  <w:vAlign w:val="center"/>
                </w:tcPr>
                <w:p w14:paraId="1886E297">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14:paraId="16C80C36">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水资源利用总量要求</w:t>
                  </w:r>
                </w:p>
                <w:p w14:paraId="4AE612F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72CBBCE3">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地下水开采要求</w:t>
                  </w:r>
                </w:p>
                <w:p w14:paraId="1FEB5C34">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6767B7C3">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能源利用总量及效率要求</w:t>
                  </w:r>
                </w:p>
                <w:p w14:paraId="1397B1D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3695C881">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禁燃区要求</w:t>
                  </w:r>
                </w:p>
                <w:p w14:paraId="087D988A">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p w14:paraId="6E6C00E0">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其他资源利用效率要求</w:t>
                  </w:r>
                </w:p>
                <w:p w14:paraId="4C5B44BE">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暂无</w:t>
                  </w:r>
                </w:p>
              </w:tc>
              <w:tc>
                <w:tcPr>
                  <w:tcW w:w="2139" w:type="dxa"/>
                  <w:tcBorders>
                    <w:tl2br w:val="nil"/>
                    <w:tr2bl w:val="nil"/>
                  </w:tcBorders>
                  <w:shd w:val="clear" w:color="auto" w:fill="auto"/>
                  <w:vAlign w:val="center"/>
                </w:tcPr>
                <w:p w14:paraId="73F607F3">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无</w:t>
                  </w:r>
                </w:p>
              </w:tc>
              <w:tc>
                <w:tcPr>
                  <w:tcW w:w="1409" w:type="dxa"/>
                  <w:tcBorders>
                    <w:tl2br w:val="nil"/>
                    <w:tr2bl w:val="nil"/>
                  </w:tcBorders>
                  <w:shd w:val="clear" w:color="auto" w:fill="auto"/>
                  <w:vAlign w:val="center"/>
                </w:tcPr>
                <w:p w14:paraId="5CE18B96">
                  <w:pPr>
                    <w:rPr>
                      <w:szCs w:val="21"/>
                      <w:lang w:bidi="ar"/>
                    </w:rPr>
                  </w:pPr>
                  <w:r>
                    <w:rPr>
                      <w:szCs w:val="21"/>
                      <w:lang w:bidi="ar"/>
                    </w:rPr>
                    <w:t>符合</w:t>
                  </w:r>
                </w:p>
              </w:tc>
            </w:tr>
            <w:tr w14:paraId="31951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0DC7FB0B">
                  <w:pPr>
                    <w:rPr>
                      <w:szCs w:val="21"/>
                    </w:rPr>
                  </w:pPr>
                </w:p>
              </w:tc>
              <w:tc>
                <w:tcPr>
                  <w:tcW w:w="934" w:type="dxa"/>
                  <w:vMerge w:val="restart"/>
                  <w:tcBorders>
                    <w:tl2br w:val="nil"/>
                    <w:tr2bl w:val="nil"/>
                  </w:tcBorders>
                  <w:shd w:val="clear" w:color="auto" w:fill="auto"/>
                  <w:vAlign w:val="center"/>
                </w:tcPr>
                <w:p w14:paraId="7A278DBE">
                  <w:pPr>
                    <w:rPr>
                      <w:szCs w:val="21"/>
                    </w:rPr>
                  </w:pPr>
                  <w:r>
                    <w:rPr>
                      <w:szCs w:val="21"/>
                    </w:rPr>
                    <w:t>单元级清单管控要求</w:t>
                  </w:r>
                  <w:r>
                    <w:rPr>
                      <w:rFonts w:hint="eastAsia"/>
                      <w:szCs w:val="21"/>
                    </w:rPr>
                    <w:t>（州河-宣汉县-张鼓坪-控制单元）</w:t>
                  </w:r>
                </w:p>
              </w:tc>
              <w:tc>
                <w:tcPr>
                  <w:tcW w:w="1072" w:type="dxa"/>
                  <w:tcBorders>
                    <w:tl2br w:val="nil"/>
                    <w:tr2bl w:val="nil"/>
                  </w:tcBorders>
                  <w:shd w:val="clear" w:color="auto" w:fill="auto"/>
                  <w:vAlign w:val="center"/>
                </w:tcPr>
                <w:p w14:paraId="5414270E">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14:paraId="3A2570C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禁止开发建设活动的要求</w:t>
                  </w:r>
                </w:p>
                <w:p w14:paraId="4AA9B9C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不再新建、改扩建开采规模在50万吨/年以下的磷矿，不再新建露天磷矿</w:t>
                  </w:r>
                </w:p>
                <w:p w14:paraId="73DDB9A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14:paraId="2EBBDFAF">
                  <w:pPr>
                    <w:pStyle w:val="373"/>
                    <w:widowControl/>
                    <w:shd w:val="clear" w:color="auto" w:fill="FFFFFF"/>
                    <w:spacing w:line="240" w:lineRule="auto"/>
                    <w:ind w:firstLine="0" w:firstLineChars="0"/>
                    <w:jc w:val="left"/>
                    <w:rPr>
                      <w:rFonts w:hint="eastAsia" w:ascii="宋体" w:hAnsi="宋体" w:eastAsia="宋体"/>
                      <w:sz w:val="21"/>
                    </w:rPr>
                  </w:pPr>
                </w:p>
                <w:p w14:paraId="639F223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14:paraId="22A4BED1">
                  <w:pPr>
                    <w:pStyle w:val="373"/>
                    <w:widowControl/>
                    <w:shd w:val="clear" w:color="auto" w:fill="FFFFFF"/>
                    <w:spacing w:line="240" w:lineRule="auto"/>
                    <w:ind w:firstLine="0" w:firstLineChars="0"/>
                    <w:jc w:val="left"/>
                    <w:rPr>
                      <w:rFonts w:hint="eastAsia" w:ascii="宋体" w:hAnsi="宋体" w:eastAsia="宋体"/>
                      <w:sz w:val="21"/>
                    </w:rPr>
                  </w:pPr>
                </w:p>
                <w:p w14:paraId="36A56AA1">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14:paraId="22EF7C40">
                  <w:pPr>
                    <w:pStyle w:val="373"/>
                    <w:widowControl/>
                    <w:shd w:val="clear" w:color="auto" w:fill="FFFFFF"/>
                    <w:spacing w:line="240" w:lineRule="auto"/>
                    <w:ind w:firstLine="0" w:firstLineChars="0"/>
                    <w:jc w:val="left"/>
                    <w:rPr>
                      <w:rFonts w:hint="eastAsia" w:ascii="宋体" w:hAnsi="宋体" w:eastAsia="宋体"/>
                      <w:sz w:val="21"/>
                    </w:rPr>
                  </w:pPr>
                </w:p>
                <w:p w14:paraId="5098F8D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其他空间布局约束要求</w:t>
                  </w:r>
                </w:p>
              </w:tc>
              <w:tc>
                <w:tcPr>
                  <w:tcW w:w="2139" w:type="dxa"/>
                  <w:tcBorders>
                    <w:tl2br w:val="nil"/>
                    <w:tr2bl w:val="nil"/>
                  </w:tcBorders>
                  <w:shd w:val="clear" w:color="auto" w:fill="auto"/>
                  <w:vAlign w:val="center"/>
                </w:tcPr>
                <w:p w14:paraId="37879AB8">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本项目符合相关规划，不属于上述禁止、限制类建设项目</w:t>
                  </w:r>
                </w:p>
              </w:tc>
              <w:tc>
                <w:tcPr>
                  <w:tcW w:w="1409" w:type="dxa"/>
                  <w:tcBorders>
                    <w:tl2br w:val="nil"/>
                    <w:tr2bl w:val="nil"/>
                  </w:tcBorders>
                  <w:shd w:val="clear" w:color="auto" w:fill="auto"/>
                  <w:vAlign w:val="center"/>
                </w:tcPr>
                <w:p w14:paraId="5C8337FF">
                  <w:pPr>
                    <w:rPr>
                      <w:szCs w:val="21"/>
                      <w:lang w:bidi="ar"/>
                    </w:rPr>
                  </w:pPr>
                  <w:r>
                    <w:rPr>
                      <w:szCs w:val="21"/>
                      <w:lang w:bidi="ar"/>
                    </w:rPr>
                    <w:t>符合</w:t>
                  </w:r>
                </w:p>
              </w:tc>
            </w:tr>
            <w:tr w14:paraId="5AC63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3925025F">
                  <w:pPr>
                    <w:rPr>
                      <w:szCs w:val="21"/>
                    </w:rPr>
                  </w:pPr>
                </w:p>
              </w:tc>
              <w:tc>
                <w:tcPr>
                  <w:tcW w:w="934" w:type="dxa"/>
                  <w:vMerge w:val="continue"/>
                  <w:tcBorders>
                    <w:tl2br w:val="nil"/>
                    <w:tr2bl w:val="nil"/>
                  </w:tcBorders>
                  <w:shd w:val="clear" w:color="auto" w:fill="auto"/>
                  <w:vAlign w:val="center"/>
                </w:tcPr>
                <w:p w14:paraId="5DC7A1C9">
                  <w:pPr>
                    <w:rPr>
                      <w:szCs w:val="21"/>
                    </w:rPr>
                  </w:pPr>
                </w:p>
              </w:tc>
              <w:tc>
                <w:tcPr>
                  <w:tcW w:w="1072" w:type="dxa"/>
                  <w:tcBorders>
                    <w:tl2br w:val="nil"/>
                    <w:tr2bl w:val="nil"/>
                  </w:tcBorders>
                  <w:shd w:val="clear" w:color="auto" w:fill="auto"/>
                  <w:vAlign w:val="center"/>
                </w:tcPr>
                <w:p w14:paraId="77610659">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14:paraId="46613384">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城镇污水污染控制措施要求</w:t>
                  </w:r>
                </w:p>
                <w:p w14:paraId="117784AE">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1、持续推进环保基础设施补短板，完善污水收集处理系统。2、保障乡镇污水收集处理设施顺畅运行。3、推进污水直排口排查与整治，落实“一口一策”整改措施。</w:t>
                  </w:r>
                </w:p>
                <w:p w14:paraId="09B1F42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工业废水污染控制措施要求</w:t>
                  </w:r>
                </w:p>
                <w:p w14:paraId="366C139C">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1、落实主要污染物排放总量指标控制要求，加强入河排污口登记、审批和监督管理。2、强化流域内工业点源、规模化畜禽养殖场运行监管，避免偷排、漏排。</w:t>
                  </w:r>
                </w:p>
                <w:p w14:paraId="5766FE88">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农业面源水污染控制措施要求</w:t>
                  </w:r>
                </w:p>
                <w:p w14:paraId="4BBAF67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14:paraId="036970F0">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船舶港口水污染控制措施要求</w:t>
                  </w:r>
                </w:p>
                <w:p w14:paraId="307D4E7D">
                  <w:pPr>
                    <w:pStyle w:val="373"/>
                    <w:widowControl/>
                    <w:shd w:val="clear" w:color="auto" w:fill="FFFFFF"/>
                    <w:spacing w:line="240" w:lineRule="auto"/>
                    <w:ind w:firstLine="0" w:firstLineChars="0"/>
                    <w:jc w:val="left"/>
                    <w:rPr>
                      <w:rFonts w:hint="eastAsia" w:ascii="宋体" w:hAnsi="宋体" w:eastAsia="宋体"/>
                      <w:sz w:val="21"/>
                    </w:rPr>
                  </w:pPr>
                </w:p>
                <w:p w14:paraId="362816F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饮用水水源和其它特殊水体保护要求</w:t>
                  </w:r>
                </w:p>
              </w:tc>
              <w:tc>
                <w:tcPr>
                  <w:tcW w:w="2139" w:type="dxa"/>
                  <w:tcBorders>
                    <w:tl2br w:val="nil"/>
                    <w:tr2bl w:val="nil"/>
                  </w:tcBorders>
                  <w:shd w:val="clear" w:color="auto" w:fill="auto"/>
                  <w:vAlign w:val="center"/>
                </w:tcPr>
                <w:p w14:paraId="4A70CA94">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项目废水交由相关资质单位处置，废气污染物产生较小，项目施工时间短，施工结束后噪声影响消失，因此符合污染物排放管控。本项目</w:t>
                  </w:r>
                  <w:r>
                    <w:rPr>
                      <w:rFonts w:hint="eastAsia" w:ascii="Times New Roman" w:hAnsi="Times New Roman"/>
                      <w:sz w:val="21"/>
                      <w:szCs w:val="21"/>
                    </w:rPr>
                    <w:t>不涉及饮用水源保护区</w:t>
                  </w:r>
                </w:p>
              </w:tc>
              <w:tc>
                <w:tcPr>
                  <w:tcW w:w="1409" w:type="dxa"/>
                  <w:tcBorders>
                    <w:tl2br w:val="nil"/>
                    <w:tr2bl w:val="nil"/>
                  </w:tcBorders>
                  <w:shd w:val="clear" w:color="auto" w:fill="auto"/>
                  <w:vAlign w:val="center"/>
                </w:tcPr>
                <w:p w14:paraId="5ADA840B">
                  <w:pPr>
                    <w:rPr>
                      <w:szCs w:val="21"/>
                      <w:lang w:bidi="ar"/>
                    </w:rPr>
                  </w:pPr>
                  <w:r>
                    <w:rPr>
                      <w:szCs w:val="21"/>
                      <w:lang w:bidi="ar"/>
                    </w:rPr>
                    <w:t>符合</w:t>
                  </w:r>
                </w:p>
              </w:tc>
            </w:tr>
            <w:tr w14:paraId="463F5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027A8837">
                  <w:pPr>
                    <w:rPr>
                      <w:szCs w:val="21"/>
                    </w:rPr>
                  </w:pPr>
                </w:p>
              </w:tc>
              <w:tc>
                <w:tcPr>
                  <w:tcW w:w="934" w:type="dxa"/>
                  <w:vMerge w:val="continue"/>
                  <w:tcBorders>
                    <w:tl2br w:val="nil"/>
                    <w:tr2bl w:val="nil"/>
                  </w:tcBorders>
                  <w:shd w:val="clear" w:color="auto" w:fill="auto"/>
                  <w:vAlign w:val="center"/>
                </w:tcPr>
                <w:p w14:paraId="4EE3B2A2">
                  <w:pPr>
                    <w:rPr>
                      <w:szCs w:val="21"/>
                    </w:rPr>
                  </w:pPr>
                </w:p>
              </w:tc>
              <w:tc>
                <w:tcPr>
                  <w:tcW w:w="1072" w:type="dxa"/>
                  <w:tcBorders>
                    <w:tl2br w:val="nil"/>
                    <w:tr2bl w:val="nil"/>
                  </w:tcBorders>
                  <w:shd w:val="clear" w:color="auto" w:fill="auto"/>
                  <w:vAlign w:val="center"/>
                </w:tcPr>
                <w:p w14:paraId="76DC384A">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14:paraId="5D79879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139" w:type="dxa"/>
                  <w:tcBorders>
                    <w:tl2br w:val="nil"/>
                    <w:tr2bl w:val="nil"/>
                  </w:tcBorders>
                  <w:shd w:val="clear" w:color="auto" w:fill="auto"/>
                  <w:vAlign w:val="center"/>
                </w:tcPr>
                <w:p w14:paraId="3BEB8FA9">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14:paraId="4385A7E7">
                  <w:pPr>
                    <w:rPr>
                      <w:szCs w:val="21"/>
                      <w:lang w:bidi="ar"/>
                    </w:rPr>
                  </w:pPr>
                  <w:r>
                    <w:rPr>
                      <w:szCs w:val="21"/>
                      <w:lang w:bidi="ar"/>
                    </w:rPr>
                    <w:t>符合</w:t>
                  </w:r>
                </w:p>
              </w:tc>
            </w:tr>
            <w:tr w14:paraId="00781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14:paraId="7586C66A">
                  <w:pPr>
                    <w:rPr>
                      <w:szCs w:val="21"/>
                    </w:rPr>
                  </w:pPr>
                </w:p>
              </w:tc>
              <w:tc>
                <w:tcPr>
                  <w:tcW w:w="934" w:type="dxa"/>
                  <w:vMerge w:val="continue"/>
                  <w:tcBorders>
                    <w:tl2br w:val="nil"/>
                    <w:tr2bl w:val="nil"/>
                  </w:tcBorders>
                  <w:shd w:val="clear" w:color="auto" w:fill="auto"/>
                  <w:vAlign w:val="center"/>
                </w:tcPr>
                <w:p w14:paraId="48F62CA0">
                  <w:pPr>
                    <w:rPr>
                      <w:szCs w:val="21"/>
                    </w:rPr>
                  </w:pPr>
                </w:p>
              </w:tc>
              <w:tc>
                <w:tcPr>
                  <w:tcW w:w="1072" w:type="dxa"/>
                  <w:tcBorders>
                    <w:tl2br w:val="nil"/>
                    <w:tr2bl w:val="nil"/>
                  </w:tcBorders>
                  <w:shd w:val="clear" w:color="auto" w:fill="auto"/>
                  <w:vAlign w:val="center"/>
                </w:tcPr>
                <w:p w14:paraId="2C2B5CEA">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14:paraId="2B3CAD5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强化种植业节水；推进农村污水分质资源化利用。</w:t>
                  </w:r>
                </w:p>
              </w:tc>
              <w:tc>
                <w:tcPr>
                  <w:tcW w:w="2139" w:type="dxa"/>
                  <w:tcBorders>
                    <w:tl2br w:val="nil"/>
                    <w:tr2bl w:val="nil"/>
                  </w:tcBorders>
                  <w:shd w:val="clear" w:color="auto" w:fill="auto"/>
                  <w:vAlign w:val="center"/>
                </w:tcPr>
                <w:p w14:paraId="4A1FEF30">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本项目不涉及</w:t>
                  </w:r>
                  <w:r>
                    <w:rPr>
                      <w:rFonts w:hint="eastAsia" w:ascii="Times New Roman" w:hAnsi="Times New Roman"/>
                      <w:sz w:val="21"/>
                      <w:szCs w:val="21"/>
                    </w:rPr>
                    <w:t>种植</w:t>
                  </w:r>
                  <w:r>
                    <w:rPr>
                      <w:rFonts w:ascii="Times New Roman" w:hAnsi="Times New Roman"/>
                      <w:sz w:val="21"/>
                      <w:szCs w:val="21"/>
                    </w:rPr>
                    <w:t>，</w:t>
                  </w:r>
                  <w:r>
                    <w:rPr>
                      <w:rFonts w:hint="eastAsia" w:ascii="Times New Roman" w:hAnsi="Times New Roman"/>
                      <w:sz w:val="21"/>
                      <w:szCs w:val="21"/>
                    </w:rPr>
                    <w:t>项目施工期间产生的生活污水经收集后运至当地污水处理厂处理，不涉及农村污水分质资源化利用。</w:t>
                  </w:r>
                </w:p>
              </w:tc>
              <w:tc>
                <w:tcPr>
                  <w:tcW w:w="1409" w:type="dxa"/>
                  <w:tcBorders>
                    <w:tl2br w:val="nil"/>
                    <w:tr2bl w:val="nil"/>
                  </w:tcBorders>
                  <w:shd w:val="clear" w:color="auto" w:fill="auto"/>
                  <w:vAlign w:val="center"/>
                </w:tcPr>
                <w:p w14:paraId="3EFA56C5">
                  <w:pPr>
                    <w:rPr>
                      <w:szCs w:val="21"/>
                      <w:lang w:bidi="ar"/>
                    </w:rPr>
                  </w:pPr>
                  <w:r>
                    <w:rPr>
                      <w:szCs w:val="21"/>
                      <w:lang w:bidi="ar"/>
                    </w:rPr>
                    <w:t>符合</w:t>
                  </w:r>
                </w:p>
              </w:tc>
            </w:tr>
            <w:tr w14:paraId="0F5B3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14:paraId="1BAA8A8A">
                  <w:pPr>
                    <w:rPr>
                      <w:szCs w:val="21"/>
                    </w:rPr>
                  </w:pPr>
                </w:p>
              </w:tc>
              <w:tc>
                <w:tcPr>
                  <w:tcW w:w="934" w:type="dxa"/>
                  <w:vMerge w:val="restart"/>
                  <w:tcBorders>
                    <w:tl2br w:val="nil"/>
                    <w:tr2bl w:val="nil"/>
                  </w:tcBorders>
                  <w:shd w:val="clear" w:color="auto" w:fill="auto"/>
                  <w:vAlign w:val="center"/>
                </w:tcPr>
                <w:p w14:paraId="57FBB1F5">
                  <w:pPr>
                    <w:rPr>
                      <w:szCs w:val="21"/>
                    </w:rPr>
                  </w:pPr>
                  <w:r>
                    <w:rPr>
                      <w:szCs w:val="21"/>
                    </w:rPr>
                    <w:t>单元级清单管控要求（宣汉县大气环境布局敏感重点管控区）</w:t>
                  </w:r>
                </w:p>
              </w:tc>
              <w:tc>
                <w:tcPr>
                  <w:tcW w:w="1072" w:type="dxa"/>
                  <w:tcBorders>
                    <w:tl2br w:val="nil"/>
                    <w:tr2bl w:val="nil"/>
                  </w:tcBorders>
                  <w:shd w:val="clear" w:color="auto" w:fill="auto"/>
                  <w:vAlign w:val="center"/>
                </w:tcPr>
                <w:p w14:paraId="43D15FCD">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14:paraId="36EA14C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禁止开发建设活动的要求</w:t>
                  </w:r>
                </w:p>
                <w:p w14:paraId="2C37C36D">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14:paraId="4438A03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14:paraId="073C3CF2">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63C744F2">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14:paraId="65F1F2D7">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5BD6371C">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14:paraId="3BE169FD">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7481E7CD">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其他空间布局约束要求</w:t>
                  </w:r>
                </w:p>
                <w:p w14:paraId="249B9CB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5BE768FC">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项目不涉及高耗能、高排放、低水平，且不属于钢铁、焦化、炼油、电解铝、水泥、平板玻璃项目。</w:t>
                  </w:r>
                </w:p>
              </w:tc>
              <w:tc>
                <w:tcPr>
                  <w:tcW w:w="1409" w:type="dxa"/>
                  <w:tcBorders>
                    <w:tl2br w:val="nil"/>
                    <w:tr2bl w:val="nil"/>
                  </w:tcBorders>
                  <w:shd w:val="clear" w:color="auto" w:fill="auto"/>
                  <w:vAlign w:val="center"/>
                </w:tcPr>
                <w:p w14:paraId="4B44F25F">
                  <w:pPr>
                    <w:rPr>
                      <w:szCs w:val="21"/>
                      <w:lang w:bidi="ar"/>
                    </w:rPr>
                  </w:pPr>
                  <w:r>
                    <w:rPr>
                      <w:rFonts w:hint="eastAsia"/>
                      <w:szCs w:val="21"/>
                      <w:lang w:bidi="ar"/>
                    </w:rPr>
                    <w:t>符合</w:t>
                  </w:r>
                </w:p>
              </w:tc>
            </w:tr>
            <w:tr w14:paraId="4FF3A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14:paraId="4ED832B5">
                  <w:pPr>
                    <w:rPr>
                      <w:szCs w:val="21"/>
                    </w:rPr>
                  </w:pPr>
                </w:p>
              </w:tc>
              <w:tc>
                <w:tcPr>
                  <w:tcW w:w="934" w:type="dxa"/>
                  <w:vMerge w:val="continue"/>
                  <w:tcBorders>
                    <w:tl2br w:val="nil"/>
                    <w:tr2bl w:val="nil"/>
                  </w:tcBorders>
                  <w:shd w:val="clear" w:color="auto" w:fill="auto"/>
                  <w:vAlign w:val="center"/>
                </w:tcPr>
                <w:p w14:paraId="7D852DE9">
                  <w:pPr>
                    <w:rPr>
                      <w:szCs w:val="21"/>
                    </w:rPr>
                  </w:pPr>
                </w:p>
              </w:tc>
              <w:tc>
                <w:tcPr>
                  <w:tcW w:w="1072" w:type="dxa"/>
                  <w:tcBorders>
                    <w:tl2br w:val="nil"/>
                    <w:tr2bl w:val="nil"/>
                  </w:tcBorders>
                  <w:shd w:val="clear" w:color="auto" w:fill="auto"/>
                  <w:vAlign w:val="center"/>
                </w:tcPr>
                <w:p w14:paraId="32ED796F">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14:paraId="1B4DB972">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大气环境质量执行标准</w:t>
                  </w:r>
                </w:p>
                <w:p w14:paraId="13B64D5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《环境空气质量标准》（GB3095-2012）：二级</w:t>
                  </w:r>
                </w:p>
                <w:p w14:paraId="71C2F70A">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区域大气污染物削减/替代要求</w:t>
                  </w:r>
                </w:p>
                <w:p w14:paraId="2C997980">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42E37060">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燃煤和其他能源大气污染控制要求</w:t>
                  </w:r>
                </w:p>
                <w:p w14:paraId="00EE5F1E">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40B620C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工业废气污染控制要求</w:t>
                  </w:r>
                </w:p>
                <w:p w14:paraId="037333A3">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7DE9F11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机动车船大气污染控制要求</w:t>
                  </w:r>
                </w:p>
                <w:p w14:paraId="18A0A4EC">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19AE1EA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扬尘污染控制要求</w:t>
                  </w:r>
                </w:p>
                <w:p w14:paraId="28292D4B">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776C1D5C">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农业生产经营活动大气污染控制要求</w:t>
                  </w:r>
                </w:p>
                <w:p w14:paraId="2341F10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0E84E608">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重点行业企业专项治理要求</w:t>
                  </w:r>
                </w:p>
                <w:p w14:paraId="152A1895">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p w14:paraId="63AB8342">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其他大气污染物排放管控要求</w:t>
                  </w:r>
                </w:p>
                <w:p w14:paraId="3502ED1F">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减少工业化、城镇化对大气环境的影响，严格执行国家、省、市下达的相关大气污染防治要求。</w:t>
                  </w:r>
                </w:p>
              </w:tc>
              <w:tc>
                <w:tcPr>
                  <w:tcW w:w="2139" w:type="dxa"/>
                  <w:tcBorders>
                    <w:tl2br w:val="nil"/>
                    <w:tr2bl w:val="nil"/>
                  </w:tcBorders>
                  <w:shd w:val="clear" w:color="auto" w:fill="auto"/>
                  <w:vAlign w:val="center"/>
                </w:tcPr>
                <w:p w14:paraId="529B4926">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本项目优先采用网电钻井，备用柴油发电机采用优质柴油，废气经自带排气筒排放，满足排放标准</w:t>
                  </w:r>
                </w:p>
              </w:tc>
              <w:tc>
                <w:tcPr>
                  <w:tcW w:w="1409" w:type="dxa"/>
                  <w:tcBorders>
                    <w:tl2br w:val="nil"/>
                    <w:tr2bl w:val="nil"/>
                  </w:tcBorders>
                  <w:shd w:val="clear" w:color="auto" w:fill="auto"/>
                  <w:vAlign w:val="center"/>
                </w:tcPr>
                <w:p w14:paraId="00AE00D2">
                  <w:pPr>
                    <w:rPr>
                      <w:szCs w:val="21"/>
                      <w:lang w:bidi="ar"/>
                    </w:rPr>
                  </w:pPr>
                  <w:r>
                    <w:rPr>
                      <w:rFonts w:hint="eastAsia"/>
                      <w:szCs w:val="21"/>
                      <w:lang w:bidi="ar"/>
                    </w:rPr>
                    <w:t>符合</w:t>
                  </w:r>
                </w:p>
              </w:tc>
            </w:tr>
            <w:tr w14:paraId="5691D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14:paraId="3560A817">
                  <w:pPr>
                    <w:rPr>
                      <w:szCs w:val="21"/>
                    </w:rPr>
                  </w:pPr>
                </w:p>
              </w:tc>
              <w:tc>
                <w:tcPr>
                  <w:tcW w:w="934" w:type="dxa"/>
                  <w:vMerge w:val="continue"/>
                  <w:tcBorders>
                    <w:tl2br w:val="nil"/>
                    <w:tr2bl w:val="nil"/>
                  </w:tcBorders>
                  <w:shd w:val="clear" w:color="auto" w:fill="auto"/>
                  <w:vAlign w:val="center"/>
                </w:tcPr>
                <w:p w14:paraId="63407E83">
                  <w:pPr>
                    <w:rPr>
                      <w:szCs w:val="21"/>
                    </w:rPr>
                  </w:pPr>
                </w:p>
              </w:tc>
              <w:tc>
                <w:tcPr>
                  <w:tcW w:w="1072" w:type="dxa"/>
                  <w:tcBorders>
                    <w:tl2br w:val="nil"/>
                    <w:tr2bl w:val="nil"/>
                  </w:tcBorders>
                  <w:shd w:val="clear" w:color="auto" w:fill="auto"/>
                  <w:vAlign w:val="center"/>
                </w:tcPr>
                <w:p w14:paraId="3A4DE097">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14:paraId="2BE7D4ED">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394CCED8">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14:paraId="349DBCE2">
                  <w:pPr>
                    <w:rPr>
                      <w:szCs w:val="21"/>
                      <w:lang w:bidi="ar"/>
                    </w:rPr>
                  </w:pPr>
                  <w:r>
                    <w:rPr>
                      <w:rFonts w:hint="eastAsia"/>
                      <w:szCs w:val="21"/>
                      <w:lang w:bidi="ar"/>
                    </w:rPr>
                    <w:t>/</w:t>
                  </w:r>
                </w:p>
              </w:tc>
            </w:tr>
            <w:tr w14:paraId="4A1F8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14:paraId="298B3313">
                  <w:pPr>
                    <w:rPr>
                      <w:szCs w:val="21"/>
                    </w:rPr>
                  </w:pPr>
                </w:p>
              </w:tc>
              <w:tc>
                <w:tcPr>
                  <w:tcW w:w="934" w:type="dxa"/>
                  <w:vMerge w:val="continue"/>
                  <w:tcBorders>
                    <w:tl2br w:val="nil"/>
                    <w:tr2bl w:val="nil"/>
                  </w:tcBorders>
                  <w:shd w:val="clear" w:color="auto" w:fill="auto"/>
                  <w:vAlign w:val="center"/>
                </w:tcPr>
                <w:p w14:paraId="201D3129">
                  <w:pPr>
                    <w:rPr>
                      <w:szCs w:val="21"/>
                    </w:rPr>
                  </w:pPr>
                </w:p>
              </w:tc>
              <w:tc>
                <w:tcPr>
                  <w:tcW w:w="1072" w:type="dxa"/>
                  <w:tcBorders>
                    <w:tl2br w:val="nil"/>
                    <w:tr2bl w:val="nil"/>
                  </w:tcBorders>
                  <w:shd w:val="clear" w:color="auto" w:fill="auto"/>
                  <w:vAlign w:val="center"/>
                </w:tcPr>
                <w:p w14:paraId="4E7F7686">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14:paraId="5AD0F356">
                  <w:pPr>
                    <w:pStyle w:val="373"/>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2139" w:type="dxa"/>
                  <w:tcBorders>
                    <w:tl2br w:val="nil"/>
                    <w:tr2bl w:val="nil"/>
                  </w:tcBorders>
                  <w:shd w:val="clear" w:color="auto" w:fill="auto"/>
                  <w:vAlign w:val="center"/>
                </w:tcPr>
                <w:p w14:paraId="4ED9383B">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14:paraId="5DEDC162">
                  <w:pPr>
                    <w:rPr>
                      <w:szCs w:val="21"/>
                      <w:lang w:bidi="ar"/>
                    </w:rPr>
                  </w:pPr>
                  <w:r>
                    <w:rPr>
                      <w:rFonts w:hint="eastAsia"/>
                      <w:szCs w:val="21"/>
                      <w:lang w:bidi="ar"/>
                    </w:rPr>
                    <w:t>/</w:t>
                  </w:r>
                </w:p>
              </w:tc>
            </w:tr>
          </w:tbl>
          <w:p w14:paraId="3D3108C2">
            <w:pPr>
              <w:pStyle w:val="345"/>
              <w:ind w:firstLine="420"/>
              <w:rPr>
                <w:rFonts w:eastAsia="黑体"/>
                <w:snapToGrid w:val="0"/>
                <w:sz w:val="21"/>
                <w:szCs w:val="21"/>
              </w:rPr>
            </w:pPr>
          </w:p>
          <w:p w14:paraId="5DCD1C3A">
            <w:pPr>
              <w:pStyle w:val="345"/>
              <w:ind w:firstLine="420"/>
              <w:rPr>
                <w:rFonts w:eastAsia="黑体"/>
                <w:snapToGrid w:val="0"/>
                <w:sz w:val="21"/>
                <w:szCs w:val="21"/>
              </w:rPr>
            </w:pPr>
            <w:r>
              <w:rPr>
                <w:sz w:val="21"/>
                <w:szCs w:val="21"/>
              </w:rPr>
              <w:t>综上，项目符合达州市“三线一单”管控要求。</w:t>
            </w:r>
          </w:p>
        </w:tc>
      </w:tr>
    </w:tbl>
    <w:p w14:paraId="58265B99">
      <w:pPr>
        <w:pStyle w:val="38"/>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812"/>
      </w:tblGrid>
      <w:tr w14:paraId="5BC7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97B9240">
            <w:pPr>
              <w:pStyle w:val="38"/>
              <w:jc w:val="center"/>
              <w:outlineLvl w:val="0"/>
              <w:rPr>
                <w:rFonts w:ascii="Times New Roman" w:hAnsi="Times New Roman" w:eastAsia="黑体"/>
                <w:snapToGrid w:val="0"/>
                <w:sz w:val="21"/>
                <w:szCs w:val="21"/>
              </w:rPr>
            </w:pPr>
            <w:r>
              <w:rPr>
                <w:rFonts w:ascii="Times New Roman" w:hAnsi="Times New Roman" w:eastAsia="黑体"/>
                <w:snapToGrid w:val="0"/>
                <w:sz w:val="21"/>
                <w:szCs w:val="21"/>
              </w:rPr>
              <w:t>其他符合性分析</w:t>
            </w:r>
          </w:p>
        </w:tc>
        <w:tc>
          <w:tcPr>
            <w:tcW w:w="7812" w:type="dxa"/>
          </w:tcPr>
          <w:p w14:paraId="46B3BB06">
            <w:pPr>
              <w:pStyle w:val="38"/>
              <w:numPr>
                <w:ilvl w:val="1"/>
                <w:numId w:val="3"/>
              </w:numPr>
              <w:spacing w:before="0" w:beforeAutospacing="0" w:after="0" w:afterAutospacing="0" w:line="360" w:lineRule="auto"/>
              <w:ind w:left="0" w:firstLine="0"/>
              <w:rPr>
                <w:rFonts w:ascii="Times New Roman" w:hAnsi="Times New Roman"/>
                <w:b/>
                <w:lang w:bidi="ar"/>
              </w:rPr>
            </w:pPr>
            <w:r>
              <w:rPr>
                <w:rFonts w:ascii="Times New Roman" w:hAnsi="Times New Roman"/>
                <w:b/>
                <w:lang w:bidi="ar"/>
              </w:rPr>
              <w:t>与产业政策符合性分析</w:t>
            </w:r>
          </w:p>
          <w:p w14:paraId="31B01833">
            <w:pPr>
              <w:spacing w:line="360" w:lineRule="auto"/>
              <w:ind w:firstLine="480" w:firstLineChars="200"/>
              <w:rPr>
                <w:sz w:val="24"/>
              </w:rPr>
            </w:pPr>
            <w:r>
              <w:rPr>
                <w:sz w:val="24"/>
              </w:rPr>
              <w:t>项目属于陆地矿产资源地质勘查（油气资源勘探），根据《产业结构调整指导目录（2024年本）》的有关规定，项目属于第一类“鼓励类”第七条“石油类、天然气”第一款“常规石油、</w:t>
            </w:r>
            <w:r>
              <w:rPr>
                <w:b/>
                <w:bCs/>
                <w:sz w:val="24"/>
              </w:rPr>
              <w:t>天然气勘探</w:t>
            </w:r>
            <w:r>
              <w:rPr>
                <w:sz w:val="24"/>
              </w:rPr>
              <w:t>与开采，页岩气、页岩油、致密油（气）、油砂、天然气水合物等非常规资源勘探开发”，因此，</w:t>
            </w:r>
            <w:r>
              <w:rPr>
                <w:rFonts w:hint="eastAsia"/>
                <w:sz w:val="24"/>
              </w:rPr>
              <w:t>项目实施</w:t>
            </w:r>
            <w:r>
              <w:rPr>
                <w:sz w:val="24"/>
              </w:rPr>
              <w:t>符合国家有关产业政策。</w:t>
            </w:r>
          </w:p>
          <w:p w14:paraId="5396865C">
            <w:pPr>
              <w:pStyle w:val="38"/>
              <w:numPr>
                <w:ilvl w:val="1"/>
                <w:numId w:val="3"/>
              </w:numPr>
              <w:spacing w:before="0" w:beforeAutospacing="0" w:after="0" w:afterAutospacing="0" w:line="360" w:lineRule="auto"/>
              <w:ind w:left="0" w:firstLine="0"/>
              <w:rPr>
                <w:rFonts w:ascii="Times New Roman" w:hAnsi="Times New Roman"/>
                <w:b/>
                <w:lang w:bidi="ar"/>
              </w:rPr>
            </w:pPr>
            <w:r>
              <w:rPr>
                <w:rFonts w:ascii="Times New Roman" w:hAnsi="Times New Roman"/>
                <w:b/>
                <w:lang w:bidi="ar"/>
              </w:rPr>
              <w:t>与《四川省“十四五”能源发展规划》符合性分析</w:t>
            </w:r>
          </w:p>
          <w:p w14:paraId="0482FCB7">
            <w:pPr>
              <w:autoSpaceDE w:val="0"/>
              <w:autoSpaceDN w:val="0"/>
              <w:adjustRightInd w:val="0"/>
              <w:snapToGrid w:val="0"/>
              <w:spacing w:line="360" w:lineRule="auto"/>
              <w:ind w:firstLine="480" w:firstLineChars="200"/>
              <w:rPr>
                <w:kern w:val="0"/>
                <w:sz w:val="24"/>
              </w:rPr>
            </w:pPr>
            <w:r>
              <w:rPr>
                <w:kern w:val="0"/>
                <w:sz w:val="24"/>
              </w:rPr>
              <w:t>根据《四川省“十四五”能源发展规划》中“第五章加快天然气勘探开发利用中第一节，建设千亿立方米级产能基地”中“</w:t>
            </w:r>
            <w:r>
              <w:rPr>
                <w:b/>
                <w:bCs/>
                <w:kern w:val="0"/>
                <w:sz w:val="24"/>
              </w:rPr>
              <w:t>大力推进天然气（页岩气）勘探开发</w:t>
            </w:r>
            <w:r>
              <w:rPr>
                <w:kern w:val="0"/>
                <w:sz w:val="24"/>
              </w:rPr>
              <w:t>，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14:paraId="05C2D9BC">
            <w:pPr>
              <w:autoSpaceDE w:val="0"/>
              <w:autoSpaceDN w:val="0"/>
              <w:adjustRightInd w:val="0"/>
              <w:snapToGrid w:val="0"/>
              <w:spacing w:line="360" w:lineRule="auto"/>
              <w:ind w:firstLine="480" w:firstLineChars="200"/>
              <w:rPr>
                <w:kern w:val="0"/>
                <w:sz w:val="24"/>
              </w:rPr>
            </w:pPr>
            <w:r>
              <w:rPr>
                <w:kern w:val="0"/>
                <w:sz w:val="24"/>
              </w:rPr>
              <w:t>本项目属于</w:t>
            </w:r>
            <w:r>
              <w:rPr>
                <w:b/>
                <w:bCs/>
                <w:kern w:val="0"/>
                <w:sz w:val="24"/>
              </w:rPr>
              <w:t>陆地矿产资源地质勘查（含油气资源勘探），属</w:t>
            </w:r>
            <w:r>
              <w:rPr>
                <w:rFonts w:hint="eastAsia"/>
                <w:b/>
                <w:bCs/>
                <w:kern w:val="0"/>
                <w:sz w:val="24"/>
              </w:rPr>
              <w:t>于四川</w:t>
            </w:r>
            <w:r>
              <w:rPr>
                <w:b/>
                <w:bCs/>
                <w:kern w:val="0"/>
                <w:sz w:val="24"/>
              </w:rPr>
              <w:t>东北区域</w:t>
            </w:r>
            <w:r>
              <w:rPr>
                <w:kern w:val="0"/>
                <w:sz w:val="24"/>
              </w:rPr>
              <w:t>，项目建成后有利于加快川东北天然气建设。因此，本项目符合《四川省“十四五”能源发展规划》。</w:t>
            </w:r>
          </w:p>
          <w:p w14:paraId="43DFFA5E">
            <w:pPr>
              <w:pStyle w:val="38"/>
              <w:numPr>
                <w:ilvl w:val="1"/>
                <w:numId w:val="3"/>
              </w:numPr>
              <w:spacing w:before="0" w:beforeAutospacing="0" w:after="0" w:afterAutospacing="0" w:line="360" w:lineRule="auto"/>
              <w:ind w:left="0" w:firstLine="0"/>
              <w:rPr>
                <w:rFonts w:ascii="Times New Roman" w:hAnsi="Times New Roman"/>
                <w:b/>
                <w:lang w:bidi="ar"/>
              </w:rPr>
            </w:pPr>
            <w:r>
              <w:rPr>
                <w:rFonts w:ascii="Times New Roman" w:hAnsi="Times New Roman"/>
                <w:b/>
                <w:lang w:bidi="ar"/>
              </w:rPr>
              <w:t>与城乡规划的符合性分析</w:t>
            </w:r>
          </w:p>
          <w:p w14:paraId="242E43E2">
            <w:pPr>
              <w:pStyle w:val="341"/>
              <w:ind w:firstLine="480"/>
              <w:rPr>
                <w:sz w:val="24"/>
                <w:szCs w:val="24"/>
              </w:rPr>
            </w:pPr>
            <w:r>
              <w:rPr>
                <w:sz w:val="24"/>
                <w:szCs w:val="24"/>
              </w:rPr>
              <w:t>本工程位</w:t>
            </w:r>
            <w:r>
              <w:rPr>
                <w:rFonts w:hint="eastAsia"/>
                <w:sz w:val="24"/>
                <w:szCs w:val="24"/>
              </w:rPr>
              <w:t>于四川省达州市宣汉县君塘镇界湾村</w:t>
            </w:r>
            <w:r>
              <w:rPr>
                <w:sz w:val="24"/>
                <w:szCs w:val="24"/>
              </w:rPr>
              <w:t>，项目区域属于农村地区，本项目新增占地面积</w:t>
            </w:r>
            <w:r>
              <w:rPr>
                <w:rFonts w:hint="eastAsia"/>
                <w:sz w:val="24"/>
                <w:szCs w:val="24"/>
              </w:rPr>
              <w:t>21867</w:t>
            </w:r>
            <w:r>
              <w:rPr>
                <w:sz w:val="24"/>
                <w:szCs w:val="24"/>
              </w:rPr>
              <w:t>m</w:t>
            </w:r>
            <w:r>
              <w:rPr>
                <w:sz w:val="24"/>
                <w:szCs w:val="24"/>
                <w:vertAlign w:val="superscript"/>
              </w:rPr>
              <w:t>2</w:t>
            </w:r>
            <w:r>
              <w:rPr>
                <w:sz w:val="24"/>
                <w:szCs w:val="24"/>
              </w:rPr>
              <w:t>，根据与宣汉县三区三线复核结果，项目选址不在宣汉县</w:t>
            </w:r>
            <w:r>
              <w:rPr>
                <w:rFonts w:hint="eastAsia"/>
                <w:sz w:val="24"/>
                <w:szCs w:val="24"/>
              </w:rPr>
              <w:t>君塘镇</w:t>
            </w:r>
            <w:r>
              <w:rPr>
                <w:sz w:val="24"/>
                <w:szCs w:val="24"/>
              </w:rPr>
              <w:t>场镇规划建设用地范围内，本项目将按照相关规定办理相关用地手续</w:t>
            </w:r>
            <w:r>
              <w:t>，</w:t>
            </w:r>
            <w:r>
              <w:rPr>
                <w:sz w:val="24"/>
                <w:szCs w:val="24"/>
              </w:rPr>
              <w:t>项目实施不影响城乡建设。</w:t>
            </w:r>
          </w:p>
          <w:p w14:paraId="5BC072A5">
            <w:pPr>
              <w:pStyle w:val="38"/>
              <w:numPr>
                <w:ilvl w:val="1"/>
                <w:numId w:val="3"/>
              </w:numPr>
              <w:spacing w:before="0" w:beforeAutospacing="0" w:after="0" w:afterAutospacing="0" w:line="360" w:lineRule="auto"/>
              <w:ind w:left="0" w:firstLine="0"/>
              <w:rPr>
                <w:rFonts w:ascii="Times New Roman" w:hAnsi="Times New Roman"/>
                <w:b/>
                <w:lang w:bidi="ar"/>
              </w:rPr>
            </w:pPr>
            <w:r>
              <w:rPr>
                <w:rFonts w:ascii="Times New Roman" w:hAnsi="Times New Roman"/>
                <w:b/>
                <w:lang w:bidi="ar"/>
              </w:rPr>
              <w:t>与《石油天然气开采业污染防治技术政策》的符合性</w:t>
            </w:r>
          </w:p>
          <w:p w14:paraId="054A70AF">
            <w:pPr>
              <w:spacing w:line="360" w:lineRule="auto"/>
              <w:jc w:val="center"/>
              <w:rPr>
                <w:b/>
                <w:sz w:val="24"/>
              </w:rPr>
            </w:pPr>
            <w:r>
              <w:rPr>
                <w:b/>
                <w:sz w:val="24"/>
              </w:rPr>
              <w:t>表1-4 与《石油天然气开采业污染防治技术政策》对比分析表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3230"/>
              <w:gridCol w:w="3010"/>
              <w:gridCol w:w="685"/>
            </w:tblGrid>
            <w:tr w14:paraId="3FF9B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12" w:space="0"/>
                    <w:left w:val="single" w:color="auto" w:sz="12" w:space="0"/>
                    <w:bottom w:val="single" w:color="auto" w:sz="4" w:space="0"/>
                    <w:right w:val="single" w:color="auto" w:sz="4" w:space="0"/>
                    <w:tl2br w:val="nil"/>
                    <w:tr2bl w:val="nil"/>
                  </w:tcBorders>
                  <w:vAlign w:val="center"/>
                </w:tcPr>
                <w:p w14:paraId="01AB4354">
                  <w:pPr>
                    <w:pStyle w:val="342"/>
                    <w:rPr>
                      <w:szCs w:val="21"/>
                      <w:lang w:bidi="ar"/>
                    </w:rPr>
                  </w:pPr>
                  <w:r>
                    <w:rPr>
                      <w:szCs w:val="21"/>
                    </w:rPr>
                    <w:t>序号</w:t>
                  </w:r>
                </w:p>
              </w:tc>
              <w:tc>
                <w:tcPr>
                  <w:tcW w:w="3230" w:type="dxa"/>
                  <w:tcBorders>
                    <w:top w:val="single" w:color="auto" w:sz="12" w:space="0"/>
                    <w:left w:val="single" w:color="auto" w:sz="4" w:space="0"/>
                    <w:bottom w:val="single" w:color="auto" w:sz="4" w:space="0"/>
                    <w:right w:val="single" w:color="auto" w:sz="4" w:space="0"/>
                    <w:tl2br w:val="nil"/>
                    <w:tr2bl w:val="nil"/>
                  </w:tcBorders>
                  <w:vAlign w:val="center"/>
                </w:tcPr>
                <w:p w14:paraId="7A30DB91">
                  <w:pPr>
                    <w:pStyle w:val="342"/>
                    <w:rPr>
                      <w:szCs w:val="21"/>
                      <w:lang w:bidi="ar"/>
                    </w:rPr>
                  </w:pPr>
                  <w:r>
                    <w:rPr>
                      <w:szCs w:val="21"/>
                    </w:rPr>
                    <w:t>技术政策要求</w:t>
                  </w:r>
                </w:p>
              </w:tc>
              <w:tc>
                <w:tcPr>
                  <w:tcW w:w="3010" w:type="dxa"/>
                  <w:tcBorders>
                    <w:top w:val="single" w:color="auto" w:sz="12" w:space="0"/>
                    <w:left w:val="single" w:color="auto" w:sz="4" w:space="0"/>
                    <w:bottom w:val="single" w:color="auto" w:sz="4" w:space="0"/>
                    <w:right w:val="single" w:color="auto" w:sz="4" w:space="0"/>
                    <w:tl2br w:val="nil"/>
                    <w:tr2bl w:val="nil"/>
                  </w:tcBorders>
                  <w:vAlign w:val="center"/>
                </w:tcPr>
                <w:p w14:paraId="159A8C39">
                  <w:pPr>
                    <w:pStyle w:val="342"/>
                    <w:rPr>
                      <w:szCs w:val="21"/>
                      <w:lang w:bidi="ar"/>
                    </w:rPr>
                  </w:pPr>
                  <w:r>
                    <w:rPr>
                      <w:szCs w:val="21"/>
                    </w:rPr>
                    <w:t>本工程内容</w:t>
                  </w:r>
                </w:p>
              </w:tc>
              <w:tc>
                <w:tcPr>
                  <w:tcW w:w="685" w:type="dxa"/>
                  <w:tcBorders>
                    <w:top w:val="single" w:color="auto" w:sz="12" w:space="0"/>
                    <w:left w:val="single" w:color="auto" w:sz="4" w:space="0"/>
                    <w:bottom w:val="single" w:color="auto" w:sz="4" w:space="0"/>
                    <w:right w:val="single" w:color="auto" w:sz="12" w:space="0"/>
                    <w:tl2br w:val="nil"/>
                    <w:tr2bl w:val="nil"/>
                  </w:tcBorders>
                  <w:vAlign w:val="center"/>
                </w:tcPr>
                <w:p w14:paraId="52726425">
                  <w:pPr>
                    <w:pStyle w:val="342"/>
                    <w:rPr>
                      <w:szCs w:val="21"/>
                      <w:lang w:bidi="ar"/>
                    </w:rPr>
                  </w:pPr>
                  <w:r>
                    <w:rPr>
                      <w:szCs w:val="21"/>
                    </w:rPr>
                    <w:t>符合性</w:t>
                  </w:r>
                </w:p>
              </w:tc>
            </w:tr>
            <w:tr w14:paraId="78001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3A705E2C">
                  <w:pPr>
                    <w:pStyle w:val="342"/>
                    <w:rPr>
                      <w:b/>
                      <w:szCs w:val="21"/>
                      <w:lang w:bidi="ar"/>
                    </w:rPr>
                  </w:pPr>
                  <w:r>
                    <w:rPr>
                      <w:b/>
                      <w:szCs w:val="21"/>
                    </w:rPr>
                    <w:t>一</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0049FE3C">
                  <w:pPr>
                    <w:pStyle w:val="342"/>
                    <w:rPr>
                      <w:b/>
                      <w:szCs w:val="21"/>
                      <w:lang w:bidi="ar"/>
                    </w:rPr>
                  </w:pPr>
                  <w:r>
                    <w:rPr>
                      <w:b/>
                      <w:szCs w:val="21"/>
                    </w:rPr>
                    <w:t>清洁生产</w:t>
                  </w:r>
                </w:p>
              </w:tc>
            </w:tr>
            <w:tr w14:paraId="0B08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00992B9E">
                  <w:pPr>
                    <w:pStyle w:val="342"/>
                    <w:rPr>
                      <w:szCs w:val="21"/>
                    </w:rPr>
                  </w:pPr>
                  <w:r>
                    <w:rPr>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2E07F1B6">
                  <w:pPr>
                    <w:pStyle w:val="342"/>
                    <w:rPr>
                      <w:szCs w:val="21"/>
                    </w:rPr>
                  </w:pPr>
                  <w:r>
                    <w:rPr>
                      <w:szCs w:val="21"/>
                    </w:rPr>
                    <w:t>油气田建设应总体规划，优化布局，整体开发，减少占地和油气损失，实现油气和废物的集中收集、处理处置。</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69B3EA3A">
                  <w:pPr>
                    <w:pStyle w:val="342"/>
                    <w:rPr>
                      <w:szCs w:val="21"/>
                    </w:rPr>
                  </w:pPr>
                  <w:r>
                    <w:rPr>
                      <w:szCs w:val="21"/>
                    </w:rPr>
                    <w:t>本项目属于陆地矿产资源地质勘查（含油气资源勘探），占地较少，废水、固废收集后集中交由有资质且具有处置能力的单位处置。</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5055E8B6">
                  <w:pPr>
                    <w:pStyle w:val="342"/>
                    <w:rPr>
                      <w:szCs w:val="21"/>
                    </w:rPr>
                  </w:pPr>
                  <w:r>
                    <w:rPr>
                      <w:szCs w:val="21"/>
                      <w:lang w:bidi="ar"/>
                    </w:rPr>
                    <w:t>符合</w:t>
                  </w:r>
                </w:p>
              </w:tc>
            </w:tr>
            <w:tr w14:paraId="0B424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7BA27D78">
                  <w:pPr>
                    <w:pStyle w:val="342"/>
                    <w:rPr>
                      <w:szCs w:val="21"/>
                      <w:lang w:bidi="ar"/>
                    </w:rPr>
                  </w:pPr>
                  <w:r>
                    <w:rPr>
                      <w:szCs w:val="21"/>
                      <w:lang w:bidi="ar"/>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33F8C28B">
                  <w:pPr>
                    <w:pStyle w:val="342"/>
                    <w:rPr>
                      <w:szCs w:val="21"/>
                    </w:rPr>
                  </w:pPr>
                  <w:r>
                    <w:rPr>
                      <w:szCs w:val="21"/>
                    </w:rPr>
                    <w:t>油气田开发不得使用含有国际公约禁用化学物质的油气田化学剂，逐步淘汰微毒及以上油气田化学剂，鼓励使用无毒油气田化学剂。</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099B53ED">
                  <w:pPr>
                    <w:jc w:val="center"/>
                    <w:rPr>
                      <w:szCs w:val="21"/>
                    </w:rPr>
                  </w:pPr>
                  <w:r>
                    <w:rPr>
                      <w:szCs w:val="21"/>
                    </w:rPr>
                    <w:t>本项目无国际公约禁用化学物质，主要使用化学物质为防塌润滑剂、重晶石粉等，钻井液不属于聚磺体系，符合要求。</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4BC9843C">
                  <w:pPr>
                    <w:pStyle w:val="342"/>
                    <w:rPr>
                      <w:szCs w:val="21"/>
                    </w:rPr>
                  </w:pPr>
                  <w:r>
                    <w:rPr>
                      <w:szCs w:val="21"/>
                      <w:lang w:bidi="ar"/>
                    </w:rPr>
                    <w:t>符合</w:t>
                  </w:r>
                </w:p>
              </w:tc>
            </w:tr>
            <w:tr w14:paraId="4AF1D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44AF5CA6">
                  <w:pPr>
                    <w:pStyle w:val="342"/>
                    <w:rPr>
                      <w:szCs w:val="21"/>
                    </w:rPr>
                  </w:pPr>
                  <w:r>
                    <w:rPr>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6E50B202">
                  <w:pPr>
                    <w:pStyle w:val="342"/>
                    <w:rPr>
                      <w:szCs w:val="21"/>
                    </w:rPr>
                  </w:pPr>
                  <w:r>
                    <w:rPr>
                      <w:szCs w:val="21"/>
                    </w:rPr>
                    <w:t>在油气勘探过程中，宜使用环保型炸药和可控震源，应采取防渗等措施预防燃料泄漏对环境的污染。</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29224C71">
                  <w:pPr>
                    <w:pStyle w:val="342"/>
                    <w:rPr>
                      <w:szCs w:val="21"/>
                    </w:rPr>
                  </w:pPr>
                  <w:r>
                    <w:rPr>
                      <w:szCs w:val="21"/>
                    </w:rPr>
                    <w:t>本项目无需炸药，油罐区设置地面硬化防渗、围堰，井场场内建设排水沟及</w:t>
                  </w:r>
                  <w:r>
                    <w:rPr>
                      <w:rFonts w:hint="eastAsia"/>
                      <w:szCs w:val="21"/>
                    </w:rPr>
                    <w:t>1</w:t>
                  </w:r>
                  <w:r>
                    <w:rPr>
                      <w:szCs w:val="21"/>
                    </w:rPr>
                    <w:t>座环境监测池，可预防柴油泄漏。</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362E60BD">
                  <w:pPr>
                    <w:pStyle w:val="342"/>
                    <w:rPr>
                      <w:szCs w:val="21"/>
                    </w:rPr>
                  </w:pPr>
                  <w:r>
                    <w:rPr>
                      <w:szCs w:val="21"/>
                      <w:lang w:bidi="ar"/>
                    </w:rPr>
                    <w:t>符合</w:t>
                  </w:r>
                </w:p>
              </w:tc>
            </w:tr>
            <w:tr w14:paraId="7681F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71EFDF96">
                  <w:pPr>
                    <w:pStyle w:val="342"/>
                    <w:rPr>
                      <w:szCs w:val="21"/>
                      <w:lang w:bidi="ar"/>
                    </w:rPr>
                  </w:pPr>
                  <w:r>
                    <w:rPr>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2F26DEB3">
                  <w:pPr>
                    <w:pStyle w:val="342"/>
                    <w:rPr>
                      <w:szCs w:val="21"/>
                    </w:rPr>
                  </w:pPr>
                  <w:r>
                    <w:rPr>
                      <w:szCs w:val="21"/>
                    </w:rPr>
                    <w:t>在钻井过程中，鼓励采用环境友好的钻井液体系；配备完善的固控设备，钻井液循环率达到95%以上；钻井过程产生的废水应回用。</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4215FF1B">
                  <w:pPr>
                    <w:pStyle w:val="342"/>
                    <w:rPr>
                      <w:szCs w:val="21"/>
                    </w:rPr>
                  </w:pPr>
                  <w:r>
                    <w:rPr>
                      <w:szCs w:val="21"/>
                    </w:rPr>
                    <w:t>本项目采用导管段采用清水井，一开、二开段</w:t>
                  </w:r>
                  <w:r>
                    <w:rPr>
                      <w:rFonts w:hint="eastAsia"/>
                      <w:szCs w:val="21"/>
                    </w:rPr>
                    <w:t>采用</w:t>
                  </w:r>
                  <w:r>
                    <w:rPr>
                      <w:szCs w:val="21"/>
                    </w:rPr>
                    <w:t>水基钻井液钻井，钻井过程中钻井液循环使用，钻井废水处理回用，符合要求。</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551C9906">
                  <w:pPr>
                    <w:pStyle w:val="342"/>
                    <w:rPr>
                      <w:szCs w:val="21"/>
                    </w:rPr>
                  </w:pPr>
                  <w:r>
                    <w:rPr>
                      <w:szCs w:val="21"/>
                      <w:lang w:bidi="ar"/>
                    </w:rPr>
                    <w:t>符合</w:t>
                  </w:r>
                </w:p>
              </w:tc>
            </w:tr>
            <w:tr w14:paraId="083A2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7C9C0E52">
                  <w:pPr>
                    <w:pStyle w:val="342"/>
                    <w:rPr>
                      <w:szCs w:val="21"/>
                    </w:rPr>
                  </w:pPr>
                  <w:r>
                    <w:rPr>
                      <w:szCs w:val="21"/>
                      <w:lang w:bidi="ar"/>
                    </w:rPr>
                    <w:t>5</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02F47CC2">
                  <w:pPr>
                    <w:pStyle w:val="342"/>
                    <w:rPr>
                      <w:szCs w:val="21"/>
                    </w:rPr>
                  </w:pPr>
                  <w:r>
                    <w:rPr>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5836D19F">
                  <w:pPr>
                    <w:pStyle w:val="342"/>
                    <w:rPr>
                      <w:szCs w:val="21"/>
                    </w:rPr>
                  </w:pPr>
                  <w:r>
                    <w:rPr>
                      <w:szCs w:val="21"/>
                    </w:rPr>
                    <w:t>本项目压裂液运输到现场集中配置，现场采取了防漏、防溢措施，全部外运处理。</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0AF42E7E">
                  <w:pPr>
                    <w:pStyle w:val="342"/>
                    <w:rPr>
                      <w:szCs w:val="21"/>
                    </w:rPr>
                  </w:pPr>
                  <w:r>
                    <w:rPr>
                      <w:szCs w:val="21"/>
                      <w:lang w:bidi="ar"/>
                    </w:rPr>
                    <w:t>符合</w:t>
                  </w:r>
                </w:p>
              </w:tc>
            </w:tr>
            <w:tr w14:paraId="0DEB7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70AEBBAF">
                  <w:pPr>
                    <w:pStyle w:val="342"/>
                    <w:rPr>
                      <w:b/>
                      <w:szCs w:val="21"/>
                      <w:lang w:bidi="ar"/>
                    </w:rPr>
                  </w:pPr>
                  <w:r>
                    <w:rPr>
                      <w:b/>
                      <w:szCs w:val="21"/>
                      <w:lang w:bidi="ar"/>
                    </w:rPr>
                    <w:t>二</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5CCF2D10">
                  <w:pPr>
                    <w:pStyle w:val="342"/>
                    <w:rPr>
                      <w:b/>
                      <w:szCs w:val="21"/>
                      <w:lang w:bidi="ar"/>
                    </w:rPr>
                  </w:pPr>
                  <w:r>
                    <w:rPr>
                      <w:b/>
                      <w:szCs w:val="21"/>
                      <w:lang w:bidi="ar"/>
                    </w:rPr>
                    <w:t>生态保护</w:t>
                  </w:r>
                </w:p>
              </w:tc>
            </w:tr>
            <w:tr w14:paraId="56006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6F6B57F0">
                  <w:pPr>
                    <w:pStyle w:val="342"/>
                    <w:rPr>
                      <w:szCs w:val="21"/>
                      <w:lang w:bidi="ar"/>
                    </w:rPr>
                  </w:pPr>
                  <w:r>
                    <w:rPr>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5807F933">
                  <w:pPr>
                    <w:pStyle w:val="342"/>
                    <w:rPr>
                      <w:szCs w:val="21"/>
                      <w:lang w:bidi="ar"/>
                    </w:rPr>
                  </w:pPr>
                  <w:r>
                    <w:rPr>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2D93053D">
                  <w:pPr>
                    <w:pStyle w:val="342"/>
                    <w:rPr>
                      <w:szCs w:val="21"/>
                      <w:lang w:bidi="ar"/>
                    </w:rPr>
                  </w:pPr>
                  <w:r>
                    <w:rPr>
                      <w:szCs w:val="21"/>
                      <w:lang w:bidi="ar"/>
                    </w:rPr>
                    <w:t>本项目不涉及伴生气回收</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5B8D3613">
                  <w:pPr>
                    <w:pStyle w:val="342"/>
                    <w:rPr>
                      <w:szCs w:val="21"/>
                      <w:lang w:bidi="ar"/>
                    </w:rPr>
                  </w:pPr>
                  <w:r>
                    <w:rPr>
                      <w:szCs w:val="21"/>
                      <w:lang w:bidi="ar"/>
                    </w:rPr>
                    <w:t>符合</w:t>
                  </w:r>
                </w:p>
              </w:tc>
            </w:tr>
            <w:tr w14:paraId="6DB9E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214A65FE">
                  <w:pPr>
                    <w:pStyle w:val="342"/>
                    <w:rPr>
                      <w:b/>
                      <w:szCs w:val="21"/>
                      <w:lang w:bidi="ar"/>
                    </w:rPr>
                  </w:pPr>
                  <w:r>
                    <w:rPr>
                      <w:b/>
                      <w:szCs w:val="21"/>
                      <w:lang w:bidi="ar"/>
                    </w:rPr>
                    <w:t>三</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5E0AEB4F">
                  <w:pPr>
                    <w:pStyle w:val="342"/>
                    <w:rPr>
                      <w:b/>
                      <w:szCs w:val="21"/>
                      <w:lang w:bidi="ar"/>
                    </w:rPr>
                  </w:pPr>
                  <w:r>
                    <w:rPr>
                      <w:b/>
                      <w:szCs w:val="21"/>
                      <w:lang w:bidi="ar"/>
                    </w:rPr>
                    <w:t>污染治理</w:t>
                  </w:r>
                </w:p>
              </w:tc>
            </w:tr>
            <w:tr w14:paraId="743CF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5EA31F6F">
                  <w:pPr>
                    <w:pStyle w:val="342"/>
                    <w:rPr>
                      <w:szCs w:val="21"/>
                      <w:lang w:bidi="ar"/>
                    </w:rPr>
                  </w:pPr>
                  <w:r>
                    <w:rPr>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30B09CE4">
                  <w:pPr>
                    <w:pStyle w:val="342"/>
                    <w:rPr>
                      <w:b/>
                      <w:szCs w:val="21"/>
                      <w:lang w:bidi="ar"/>
                    </w:rPr>
                  </w:pPr>
                  <w:r>
                    <w:rPr>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3010" w:type="dxa"/>
                  <w:tcBorders>
                    <w:top w:val="single" w:color="auto" w:sz="4" w:space="0"/>
                    <w:left w:val="single" w:color="auto" w:sz="4" w:space="0"/>
                    <w:bottom w:val="single" w:color="auto" w:sz="4" w:space="0"/>
                    <w:right w:val="single" w:color="auto" w:sz="4" w:space="0"/>
                    <w:tl2br w:val="nil"/>
                    <w:tr2bl w:val="nil"/>
                  </w:tcBorders>
                </w:tcPr>
                <w:p w14:paraId="5B8F6028">
                  <w:pPr>
                    <w:pStyle w:val="342"/>
                    <w:rPr>
                      <w:b/>
                      <w:szCs w:val="21"/>
                      <w:lang w:bidi="ar"/>
                    </w:rPr>
                  </w:pPr>
                  <w:r>
                    <w:rPr>
                      <w:color w:val="0000FF"/>
                      <w:szCs w:val="21"/>
                    </w:rPr>
                    <w:t>本项目洗井废水回用于压裂液配置，不能回用时密闭罐车定期拉运至</w:t>
                  </w:r>
                  <w:r>
                    <w:rPr>
                      <w:rFonts w:hint="eastAsia"/>
                      <w:color w:val="0000FF"/>
                      <w:szCs w:val="21"/>
                    </w:rPr>
                    <w:t>赵家坝污水处理站</w:t>
                  </w:r>
                  <w:r>
                    <w:rPr>
                      <w:color w:val="0000FF"/>
                      <w:szCs w:val="21"/>
                    </w:rPr>
                    <w:t>处理达标后</w:t>
                  </w:r>
                  <w:r>
                    <w:rPr>
                      <w:rFonts w:hint="eastAsia"/>
                      <w:color w:val="0000FF"/>
                      <w:szCs w:val="21"/>
                    </w:rPr>
                    <w:t>由罐车拉运至普光3井等回注站</w:t>
                  </w:r>
                  <w:r>
                    <w:rPr>
                      <w:color w:val="0000FF"/>
                      <w:szCs w:val="21"/>
                    </w:rPr>
                    <w:t>回注。压裂返排液用密闭罐车定期拉运至</w:t>
                  </w:r>
                  <w:r>
                    <w:rPr>
                      <w:rFonts w:hint="eastAsia"/>
                      <w:color w:val="0000FF"/>
                      <w:szCs w:val="21"/>
                    </w:rPr>
                    <w:t>赵家坝污水处理站</w:t>
                  </w:r>
                  <w:r>
                    <w:rPr>
                      <w:color w:val="0000FF"/>
                      <w:szCs w:val="21"/>
                    </w:rPr>
                    <w:t>处理达标后</w:t>
                  </w:r>
                  <w:r>
                    <w:rPr>
                      <w:rFonts w:hint="eastAsia"/>
                      <w:color w:val="0000FF"/>
                      <w:szCs w:val="21"/>
                    </w:rPr>
                    <w:t>由罐车拉运至普光3井等回注站</w:t>
                  </w:r>
                  <w:r>
                    <w:rPr>
                      <w:color w:val="0000FF"/>
                      <w:szCs w:val="21"/>
                    </w:rPr>
                    <w:t>回注。</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5D27064E">
                  <w:pPr>
                    <w:pStyle w:val="342"/>
                    <w:rPr>
                      <w:b/>
                      <w:szCs w:val="21"/>
                      <w:lang w:bidi="ar"/>
                    </w:rPr>
                  </w:pPr>
                  <w:r>
                    <w:rPr>
                      <w:szCs w:val="21"/>
                      <w:lang w:bidi="ar"/>
                    </w:rPr>
                    <w:t>符合</w:t>
                  </w:r>
                </w:p>
              </w:tc>
            </w:tr>
            <w:tr w14:paraId="56788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3C5A65A3">
                  <w:pPr>
                    <w:pStyle w:val="342"/>
                    <w:rPr>
                      <w:szCs w:val="21"/>
                    </w:rPr>
                  </w:pPr>
                  <w:r>
                    <w:rPr>
                      <w:szCs w:val="21"/>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205BA1A4">
                  <w:pPr>
                    <w:pStyle w:val="342"/>
                    <w:rPr>
                      <w:szCs w:val="21"/>
                    </w:rPr>
                  </w:pPr>
                  <w:r>
                    <w:rPr>
                      <w:szCs w:val="21"/>
                      <w:lang w:bidi="ar"/>
                    </w:rPr>
                    <w:t>固体废物收集、贮存、处理处置设施应按照标准要求采取防渗措施。试油（气）后应立即封闭废弃钻井液贮池。</w:t>
                  </w:r>
                </w:p>
              </w:tc>
              <w:tc>
                <w:tcPr>
                  <w:tcW w:w="3010" w:type="dxa"/>
                  <w:tcBorders>
                    <w:top w:val="single" w:color="auto" w:sz="4" w:space="0"/>
                    <w:left w:val="single" w:color="auto" w:sz="4" w:space="0"/>
                    <w:bottom w:val="single" w:color="auto" w:sz="4" w:space="0"/>
                    <w:right w:val="single" w:color="auto" w:sz="4" w:space="0"/>
                    <w:tl2br w:val="nil"/>
                    <w:tr2bl w:val="nil"/>
                  </w:tcBorders>
                </w:tcPr>
                <w:p w14:paraId="2D229145">
                  <w:pPr>
                    <w:pStyle w:val="342"/>
                    <w:rPr>
                      <w:szCs w:val="21"/>
                    </w:rPr>
                  </w:pPr>
                  <w:r>
                    <w:rPr>
                      <w:szCs w:val="21"/>
                    </w:rPr>
                    <w:t>钻井过程中按相关要求进行固废收集、贮存和处理。完井后对泥浆不落地平台清理后封闭。</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3FAEE92E">
                  <w:pPr>
                    <w:pStyle w:val="342"/>
                    <w:rPr>
                      <w:b/>
                      <w:szCs w:val="21"/>
                      <w:lang w:bidi="ar"/>
                    </w:rPr>
                  </w:pPr>
                  <w:r>
                    <w:rPr>
                      <w:szCs w:val="21"/>
                      <w:lang w:bidi="ar"/>
                    </w:rPr>
                    <w:t>符合</w:t>
                  </w:r>
                </w:p>
              </w:tc>
            </w:tr>
            <w:tr w14:paraId="52505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07CB9480">
                  <w:pPr>
                    <w:pStyle w:val="342"/>
                    <w:rPr>
                      <w:b/>
                      <w:szCs w:val="21"/>
                      <w:lang w:bidi="ar"/>
                    </w:rPr>
                  </w:pPr>
                  <w:r>
                    <w:rPr>
                      <w:b/>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2252A96E">
                  <w:pPr>
                    <w:pStyle w:val="342"/>
                    <w:rPr>
                      <w:b/>
                      <w:szCs w:val="21"/>
                      <w:lang w:bidi="ar"/>
                    </w:rPr>
                  </w:pPr>
                  <w:r>
                    <w:rPr>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3010" w:type="dxa"/>
                  <w:tcBorders>
                    <w:top w:val="single" w:color="auto" w:sz="4" w:space="0"/>
                    <w:left w:val="single" w:color="auto" w:sz="4" w:space="0"/>
                    <w:bottom w:val="single" w:color="auto" w:sz="4" w:space="0"/>
                    <w:right w:val="single" w:color="auto" w:sz="4" w:space="0"/>
                    <w:tl2br w:val="nil"/>
                    <w:tr2bl w:val="nil"/>
                  </w:tcBorders>
                </w:tcPr>
                <w:p w14:paraId="078FB89B">
                  <w:pPr>
                    <w:pStyle w:val="342"/>
                    <w:rPr>
                      <w:b/>
                      <w:szCs w:val="21"/>
                      <w:lang w:bidi="ar"/>
                    </w:rPr>
                  </w:pPr>
                  <w:r>
                    <w:rPr>
                      <w:szCs w:val="21"/>
                    </w:rPr>
                    <w:t>本工程在井口及易产生油污的生产设施底部进行防渗处理，收集可能产生的废润滑油，完钻后统一收集交有资质单位处置。</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6B422638">
                  <w:pPr>
                    <w:pStyle w:val="342"/>
                    <w:rPr>
                      <w:b/>
                      <w:szCs w:val="21"/>
                      <w:lang w:bidi="ar"/>
                    </w:rPr>
                  </w:pPr>
                  <w:r>
                    <w:rPr>
                      <w:szCs w:val="21"/>
                      <w:lang w:bidi="ar"/>
                    </w:rPr>
                    <w:t>符合</w:t>
                  </w:r>
                </w:p>
              </w:tc>
            </w:tr>
            <w:tr w14:paraId="5476B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7AA60EA1">
                  <w:pPr>
                    <w:pStyle w:val="342"/>
                    <w:rPr>
                      <w:b/>
                      <w:szCs w:val="21"/>
                      <w:lang w:bidi="ar"/>
                    </w:rPr>
                  </w:pPr>
                  <w:r>
                    <w:rPr>
                      <w:b/>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7A160F50">
                  <w:pPr>
                    <w:pStyle w:val="342"/>
                    <w:rPr>
                      <w:b/>
                      <w:szCs w:val="21"/>
                      <w:lang w:bidi="ar"/>
                    </w:rPr>
                  </w:pPr>
                  <w:r>
                    <w:rPr>
                      <w:szCs w:val="21"/>
                      <w:lang w:bidi="ar"/>
                    </w:rPr>
                    <w:t>对受到油污染的土壤宜采取生物或物化方法进行修复。</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5339F6A7">
                  <w:pPr>
                    <w:pStyle w:val="342"/>
                    <w:rPr>
                      <w:b/>
                      <w:szCs w:val="21"/>
                      <w:lang w:bidi="ar"/>
                    </w:rPr>
                  </w:pPr>
                  <w:r>
                    <w:rPr>
                      <w:szCs w:val="21"/>
                      <w:lang w:bidi="ar"/>
                    </w:rPr>
                    <w:t>废润滑油</w:t>
                  </w:r>
                  <w:r>
                    <w:rPr>
                      <w:rFonts w:hint="eastAsia"/>
                      <w:szCs w:val="21"/>
                      <w:lang w:bidi="ar"/>
                    </w:rPr>
                    <w:t>产生量较少</w:t>
                  </w:r>
                  <w:r>
                    <w:rPr>
                      <w:szCs w:val="21"/>
                      <w:lang w:bidi="ar"/>
                    </w:rPr>
                    <w:t>，通过采取防渗措施，总体不会造成土壤的油污染。</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2C4F5B4B">
                  <w:pPr>
                    <w:pStyle w:val="342"/>
                    <w:rPr>
                      <w:b/>
                      <w:szCs w:val="21"/>
                      <w:lang w:bidi="ar"/>
                    </w:rPr>
                  </w:pPr>
                  <w:r>
                    <w:rPr>
                      <w:szCs w:val="21"/>
                      <w:lang w:bidi="ar"/>
                    </w:rPr>
                    <w:t>符合</w:t>
                  </w:r>
                </w:p>
              </w:tc>
            </w:tr>
            <w:tr w14:paraId="384AB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1A53070F">
                  <w:pPr>
                    <w:pStyle w:val="342"/>
                    <w:rPr>
                      <w:b/>
                      <w:szCs w:val="21"/>
                      <w:lang w:bidi="ar"/>
                    </w:rPr>
                  </w:pPr>
                  <w:r>
                    <w:rPr>
                      <w:b/>
                      <w:szCs w:val="21"/>
                      <w:lang w:bidi="ar"/>
                    </w:rPr>
                    <w:t>四</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33A2CB07">
                  <w:pPr>
                    <w:pStyle w:val="342"/>
                    <w:rPr>
                      <w:szCs w:val="21"/>
                      <w:lang w:bidi="ar"/>
                    </w:rPr>
                  </w:pPr>
                  <w:r>
                    <w:rPr>
                      <w:b/>
                      <w:szCs w:val="21"/>
                      <w:lang w:bidi="ar"/>
                    </w:rPr>
                    <w:t>运行风险和环境管理</w:t>
                  </w:r>
                </w:p>
              </w:tc>
            </w:tr>
            <w:tr w14:paraId="675E1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21EE45C2">
                  <w:pPr>
                    <w:pStyle w:val="342"/>
                    <w:rPr>
                      <w:szCs w:val="21"/>
                      <w:lang w:bidi="ar"/>
                    </w:rPr>
                  </w:pPr>
                  <w:r>
                    <w:rPr>
                      <w:szCs w:val="21"/>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424588F1">
                  <w:pPr>
                    <w:pStyle w:val="342"/>
                    <w:rPr>
                      <w:szCs w:val="21"/>
                      <w:lang w:bidi="ar"/>
                    </w:rPr>
                  </w:pPr>
                  <w:r>
                    <w:rPr>
                      <w:szCs w:val="21"/>
                      <w:lang w:bidi="ar"/>
                    </w:rPr>
                    <w:t>油气田企业应制定环境保护管理规定，建立并运行健康、安全与环境管理体系。</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73FC4931">
                  <w:pPr>
                    <w:pStyle w:val="342"/>
                    <w:rPr>
                      <w:szCs w:val="21"/>
                      <w:lang w:bidi="ar"/>
                    </w:rPr>
                  </w:pPr>
                  <w:r>
                    <w:rPr>
                      <w:szCs w:val="21"/>
                      <w:lang w:bidi="ar"/>
                    </w:rPr>
                    <w:t>建设单位制定有完善的环境保护管理规定，并建立运行健康、安全与环境管理体系。</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422D0F23">
                  <w:pPr>
                    <w:pStyle w:val="342"/>
                    <w:rPr>
                      <w:szCs w:val="21"/>
                      <w:lang w:bidi="ar"/>
                    </w:rPr>
                  </w:pPr>
                  <w:r>
                    <w:rPr>
                      <w:szCs w:val="21"/>
                      <w:lang w:bidi="ar"/>
                    </w:rPr>
                    <w:t>符合</w:t>
                  </w:r>
                </w:p>
              </w:tc>
            </w:tr>
            <w:tr w14:paraId="08A84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3F5B4A82">
                  <w:pPr>
                    <w:pStyle w:val="342"/>
                    <w:rPr>
                      <w:szCs w:val="21"/>
                      <w:lang w:bidi="ar"/>
                    </w:rPr>
                  </w:pPr>
                  <w:r>
                    <w:rPr>
                      <w:szCs w:val="21"/>
                      <w:lang w:bidi="ar"/>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3E303126">
                  <w:pPr>
                    <w:pStyle w:val="342"/>
                    <w:rPr>
                      <w:szCs w:val="21"/>
                      <w:lang w:bidi="ar"/>
                    </w:rPr>
                  </w:pPr>
                  <w:r>
                    <w:rPr>
                      <w:szCs w:val="21"/>
                      <w:lang w:bidi="ar"/>
                    </w:rPr>
                    <w:t>加强油气田建设、开发过程的环境监督管理。</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702B1F2C">
                  <w:pPr>
                    <w:pStyle w:val="342"/>
                    <w:rPr>
                      <w:szCs w:val="21"/>
                      <w:lang w:bidi="ar"/>
                    </w:rPr>
                  </w:pPr>
                  <w:r>
                    <w:rPr>
                      <w:szCs w:val="21"/>
                      <w:lang w:bidi="ar"/>
                    </w:rPr>
                    <w:t>建设单位制定有完善的环境监督管理</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12A3A34E">
                  <w:pPr>
                    <w:pStyle w:val="342"/>
                    <w:rPr>
                      <w:szCs w:val="21"/>
                      <w:lang w:bidi="ar"/>
                    </w:rPr>
                  </w:pPr>
                  <w:r>
                    <w:rPr>
                      <w:szCs w:val="21"/>
                      <w:lang w:bidi="ar"/>
                    </w:rPr>
                    <w:t>符合</w:t>
                  </w:r>
                </w:p>
              </w:tc>
            </w:tr>
            <w:tr w14:paraId="0BC33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0921D7A2">
                  <w:pPr>
                    <w:pStyle w:val="342"/>
                    <w:rPr>
                      <w:szCs w:val="21"/>
                      <w:lang w:bidi="ar"/>
                    </w:rPr>
                  </w:pPr>
                  <w:r>
                    <w:rPr>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6A9352FF">
                  <w:pPr>
                    <w:pStyle w:val="342"/>
                    <w:rPr>
                      <w:szCs w:val="21"/>
                      <w:lang w:bidi="ar"/>
                    </w:rPr>
                  </w:pPr>
                  <w:r>
                    <w:rPr>
                      <w:szCs w:val="21"/>
                      <w:lang w:bidi="ar"/>
                    </w:rPr>
                    <w:t>在开发过程中，企业应加强油气井套管的检测和维护，防止油气泄漏污染地下水。</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7916000D">
                  <w:pPr>
                    <w:pStyle w:val="342"/>
                    <w:rPr>
                      <w:szCs w:val="21"/>
                      <w:lang w:bidi="ar"/>
                    </w:rPr>
                  </w:pPr>
                  <w:r>
                    <w:rPr>
                      <w:szCs w:val="21"/>
                      <w:lang w:bidi="ar"/>
                    </w:rPr>
                    <w:t>建设单位制定有完善的套管监测维护计划和制度，防止天然气泄漏污染地下水。</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42475175">
                  <w:pPr>
                    <w:pStyle w:val="342"/>
                    <w:rPr>
                      <w:szCs w:val="21"/>
                      <w:lang w:bidi="ar"/>
                    </w:rPr>
                  </w:pPr>
                  <w:r>
                    <w:rPr>
                      <w:szCs w:val="21"/>
                      <w:lang w:bidi="ar"/>
                    </w:rPr>
                    <w:t>符合</w:t>
                  </w:r>
                </w:p>
              </w:tc>
            </w:tr>
            <w:tr w14:paraId="2DAB3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14:paraId="36843416">
                  <w:pPr>
                    <w:pStyle w:val="342"/>
                    <w:rPr>
                      <w:szCs w:val="21"/>
                      <w:lang w:bidi="ar"/>
                    </w:rPr>
                  </w:pPr>
                  <w:r>
                    <w:rPr>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14:paraId="1BDB9273">
                  <w:pPr>
                    <w:pStyle w:val="342"/>
                    <w:rPr>
                      <w:szCs w:val="21"/>
                      <w:lang w:bidi="ar"/>
                    </w:rPr>
                  </w:pPr>
                  <w:r>
                    <w:rPr>
                      <w:szCs w:val="21"/>
                      <w:lang w:bidi="ar"/>
                    </w:rPr>
                    <w:t>油气田企业应建立环境保护人员培训制度，环境监测人员、统计人员、污染治理设施操作人员应经培训合格后上岗。</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14:paraId="1798AEAF">
                  <w:pPr>
                    <w:pStyle w:val="342"/>
                    <w:rPr>
                      <w:szCs w:val="21"/>
                      <w:lang w:bidi="ar"/>
                    </w:rPr>
                  </w:pPr>
                  <w:r>
                    <w:rPr>
                      <w:szCs w:val="21"/>
                      <w:lang w:bidi="ar"/>
                    </w:rPr>
                    <w:t>建设单位设置有专门的环境管理部门，并制定有完善的环境管理制度和培训制度。</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14:paraId="0D57398C">
                  <w:pPr>
                    <w:pStyle w:val="342"/>
                    <w:rPr>
                      <w:szCs w:val="21"/>
                      <w:lang w:bidi="ar"/>
                    </w:rPr>
                  </w:pPr>
                  <w:r>
                    <w:rPr>
                      <w:szCs w:val="21"/>
                      <w:lang w:bidi="ar"/>
                    </w:rPr>
                    <w:t>符合</w:t>
                  </w:r>
                </w:p>
              </w:tc>
            </w:tr>
            <w:tr w14:paraId="49D10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12" w:space="0"/>
                    <w:right w:val="single" w:color="auto" w:sz="4" w:space="0"/>
                    <w:tl2br w:val="nil"/>
                    <w:tr2bl w:val="nil"/>
                  </w:tcBorders>
                  <w:vAlign w:val="center"/>
                </w:tcPr>
                <w:p w14:paraId="6515E282">
                  <w:pPr>
                    <w:pStyle w:val="342"/>
                    <w:rPr>
                      <w:szCs w:val="21"/>
                      <w:lang w:bidi="ar"/>
                    </w:rPr>
                  </w:pPr>
                  <w:r>
                    <w:rPr>
                      <w:szCs w:val="21"/>
                      <w:lang w:bidi="ar"/>
                    </w:rPr>
                    <w:t>5</w:t>
                  </w:r>
                </w:p>
              </w:tc>
              <w:tc>
                <w:tcPr>
                  <w:tcW w:w="3230" w:type="dxa"/>
                  <w:tcBorders>
                    <w:top w:val="single" w:color="auto" w:sz="4" w:space="0"/>
                    <w:left w:val="single" w:color="auto" w:sz="4" w:space="0"/>
                    <w:bottom w:val="single" w:color="auto" w:sz="12" w:space="0"/>
                    <w:right w:val="single" w:color="auto" w:sz="4" w:space="0"/>
                    <w:tl2br w:val="nil"/>
                    <w:tr2bl w:val="nil"/>
                  </w:tcBorders>
                  <w:vAlign w:val="center"/>
                </w:tcPr>
                <w:p w14:paraId="685D39C4">
                  <w:pPr>
                    <w:pStyle w:val="342"/>
                    <w:rPr>
                      <w:szCs w:val="21"/>
                      <w:lang w:bidi="ar"/>
                    </w:rPr>
                  </w:pPr>
                  <w:r>
                    <w:rPr>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3010" w:type="dxa"/>
                  <w:tcBorders>
                    <w:top w:val="single" w:color="auto" w:sz="4" w:space="0"/>
                    <w:left w:val="single" w:color="auto" w:sz="4" w:space="0"/>
                    <w:bottom w:val="single" w:color="auto" w:sz="12" w:space="0"/>
                    <w:right w:val="single" w:color="auto" w:sz="4" w:space="0"/>
                    <w:tl2br w:val="nil"/>
                    <w:tr2bl w:val="nil"/>
                  </w:tcBorders>
                  <w:vAlign w:val="center"/>
                </w:tcPr>
                <w:p w14:paraId="499931FD">
                  <w:pPr>
                    <w:pStyle w:val="342"/>
                    <w:rPr>
                      <w:szCs w:val="21"/>
                      <w:lang w:bidi="ar"/>
                    </w:rPr>
                  </w:pPr>
                  <w:r>
                    <w:rPr>
                      <w:szCs w:val="21"/>
                      <w:lang w:bidi="ar"/>
                    </w:rPr>
                    <w:t>建设单位</w:t>
                  </w:r>
                  <w:r>
                    <w:rPr>
                      <w:rFonts w:hint="eastAsia"/>
                      <w:szCs w:val="21"/>
                      <w:lang w:bidi="ar"/>
                    </w:rPr>
                    <w:t>完善本平台的</w:t>
                  </w:r>
                  <w:r>
                    <w:rPr>
                      <w:szCs w:val="21"/>
                      <w:lang w:bidi="ar"/>
                    </w:rPr>
                    <w:t>突发环境事件应急预案，并定期举行演练。</w:t>
                  </w:r>
                </w:p>
              </w:tc>
              <w:tc>
                <w:tcPr>
                  <w:tcW w:w="685" w:type="dxa"/>
                  <w:tcBorders>
                    <w:top w:val="single" w:color="auto" w:sz="4" w:space="0"/>
                    <w:left w:val="single" w:color="auto" w:sz="4" w:space="0"/>
                    <w:bottom w:val="single" w:color="auto" w:sz="12" w:space="0"/>
                    <w:right w:val="single" w:color="auto" w:sz="12" w:space="0"/>
                    <w:tl2br w:val="nil"/>
                    <w:tr2bl w:val="nil"/>
                  </w:tcBorders>
                  <w:vAlign w:val="center"/>
                </w:tcPr>
                <w:p w14:paraId="09134E26">
                  <w:pPr>
                    <w:pStyle w:val="342"/>
                    <w:rPr>
                      <w:szCs w:val="21"/>
                      <w:lang w:bidi="ar"/>
                    </w:rPr>
                  </w:pPr>
                  <w:r>
                    <w:rPr>
                      <w:szCs w:val="21"/>
                      <w:lang w:bidi="ar"/>
                    </w:rPr>
                    <w:t>符合</w:t>
                  </w:r>
                </w:p>
              </w:tc>
            </w:tr>
          </w:tbl>
          <w:p w14:paraId="320AB041">
            <w:pPr>
              <w:pStyle w:val="341"/>
              <w:ind w:firstLine="480"/>
              <w:rPr>
                <w:sz w:val="24"/>
                <w:szCs w:val="24"/>
              </w:rPr>
            </w:pPr>
            <w:r>
              <w:rPr>
                <w:sz w:val="24"/>
                <w:szCs w:val="24"/>
              </w:rPr>
              <w:t>通过与《石油天然气开采业污染防治技术政策》中清洁生产、生态保护、污染治理、运行风险和环境管理内容进行对比分析，本项目的建设符合《石油天然气开采业污染防治技术政策》要求。</w:t>
            </w:r>
          </w:p>
          <w:p w14:paraId="5F68424A">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与《中共四川省委关于制定</w:t>
            </w:r>
            <w:r>
              <w:rPr>
                <w:rFonts w:ascii="Times New Roman" w:hAnsi="Times New Roman"/>
                <w:b/>
                <w:lang w:bidi="ar"/>
              </w:rPr>
              <w:t>四川省</w:t>
            </w:r>
            <w:r>
              <w:rPr>
                <w:rFonts w:ascii="Times New Roman" w:hAnsi="Times New Roman"/>
                <w:b/>
              </w:rPr>
              <w:t>国民经济和社会发展第十四个五年规划和二〇三五年远景目标的建议》的符合性</w:t>
            </w:r>
          </w:p>
          <w:p w14:paraId="0E10BC07">
            <w:pPr>
              <w:pStyle w:val="341"/>
              <w:ind w:firstLine="480"/>
              <w:rPr>
                <w:sz w:val="24"/>
                <w:szCs w:val="24"/>
              </w:rPr>
            </w:pPr>
            <w:r>
              <w:rPr>
                <w:sz w:val="24"/>
                <w:szCs w:val="24"/>
              </w:rPr>
              <w:t>《中共四川省委关于制定四川省国民经济和社会发展第十四个五年规划和二〇三五年远景目标的建议》中指出，“统筹能源水利基础设施建设。</w:t>
            </w:r>
            <w:r>
              <w:rPr>
                <w:b/>
                <w:bCs/>
                <w:sz w:val="24"/>
                <w:szCs w:val="24"/>
              </w:rPr>
              <w:t>建设中国“气大庆”</w:t>
            </w:r>
            <w:r>
              <w:rPr>
                <w:sz w:val="24"/>
                <w:szCs w:val="24"/>
              </w:rPr>
              <w:t>、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w:t>
            </w:r>
            <w:r>
              <w:rPr>
                <w:rFonts w:hint="eastAsia"/>
                <w:sz w:val="24"/>
                <w:szCs w:val="24"/>
              </w:rPr>
              <w:t>本项目</w:t>
            </w:r>
            <w:r>
              <w:rPr>
                <w:sz w:val="24"/>
                <w:szCs w:val="24"/>
              </w:rPr>
              <w:t>符合《中共四川省委关于制定四川省国民经济和社会发展第十四个五年规划和二〇三五年远景目标的建议》。</w:t>
            </w:r>
          </w:p>
          <w:p w14:paraId="60CA5E59">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与自然资源部关于规范临时用地管理的通知（自然资规〔2021〕2号）符合性分析</w:t>
            </w:r>
          </w:p>
          <w:p w14:paraId="72436A46">
            <w:pPr>
              <w:pStyle w:val="341"/>
              <w:ind w:firstLine="480"/>
              <w:rPr>
                <w:sz w:val="24"/>
                <w:szCs w:val="24"/>
              </w:rPr>
            </w:pPr>
            <w:r>
              <w:rPr>
                <w:sz w:val="24"/>
                <w:szCs w:val="24"/>
              </w:rPr>
              <w:t>根据《自然资源部关于规范临时用地管理的通知（自然资规〔2021〕2号）》中相关规定，“</w:t>
            </w:r>
            <w:r>
              <w:rPr>
                <w:b/>
                <w:bCs/>
                <w:sz w:val="24"/>
                <w:szCs w:val="24"/>
              </w:rPr>
              <w:t>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w:t>
            </w:r>
            <w:r>
              <w:rPr>
                <w:sz w:val="24"/>
                <w:szCs w:val="24"/>
              </w:rPr>
              <w:t>。建设周期较长的能源、交通、水利等基础设施建设项目施工使用的临时用地，期限不超过四年。项目不占用永久基本农田</w:t>
            </w:r>
            <w:r>
              <w:rPr>
                <w:rFonts w:hint="eastAsia"/>
                <w:sz w:val="24"/>
                <w:szCs w:val="24"/>
              </w:rPr>
              <w:t>，</w:t>
            </w:r>
            <w:r>
              <w:rPr>
                <w:sz w:val="24"/>
                <w:szCs w:val="24"/>
              </w:rPr>
              <w:t>建设单位按照相关要求正在办理相关用地手续，因此，本项目符合《自然资源部关于规范临时用地管理的通知（自然资规〔2021〕2号）》的要求。</w:t>
            </w:r>
          </w:p>
          <w:p w14:paraId="44B11BF2">
            <w:pPr>
              <w:pStyle w:val="38"/>
              <w:numPr>
                <w:ilvl w:val="1"/>
                <w:numId w:val="3"/>
              </w:numPr>
              <w:spacing w:before="0" w:beforeAutospacing="0" w:after="0" w:afterAutospacing="0" w:line="360" w:lineRule="auto"/>
              <w:ind w:left="0" w:firstLine="0"/>
              <w:rPr>
                <w:rFonts w:ascii="Times New Roman" w:hAnsi="Times New Roman"/>
                <w:b/>
                <w:color w:val="0000FF"/>
              </w:rPr>
            </w:pPr>
            <w:r>
              <w:rPr>
                <w:rFonts w:ascii="Times New Roman" w:hAnsi="Times New Roman"/>
                <w:b/>
                <w:color w:val="0000FF"/>
              </w:rPr>
              <w:t>与</w:t>
            </w:r>
            <w:r>
              <w:rPr>
                <w:rFonts w:hint="eastAsia" w:ascii="Times New Roman" w:hAnsi="Times New Roman"/>
                <w:b/>
                <w:color w:val="0000FF"/>
              </w:rPr>
              <w:t>《</w:t>
            </w:r>
            <w:r>
              <w:rPr>
                <w:rFonts w:ascii="Times New Roman" w:hAnsi="Times New Roman"/>
                <w:b/>
                <w:color w:val="0000FF"/>
              </w:rPr>
              <w:t>自然资源部办公厅关于进一步做好基础设施建设使用临时用地保障工作的通知</w:t>
            </w:r>
            <w:r>
              <w:rPr>
                <w:rFonts w:hint="eastAsia" w:ascii="Times New Roman" w:hAnsi="Times New Roman"/>
                <w:b/>
                <w:color w:val="0000FF"/>
              </w:rPr>
              <w:t>》</w:t>
            </w:r>
            <w:r>
              <w:rPr>
                <w:rFonts w:ascii="Times New Roman" w:hAnsi="Times New Roman"/>
                <w:b/>
                <w:color w:val="0000FF"/>
              </w:rPr>
              <w:t>（自然资办函〔2024〕2159号）</w:t>
            </w:r>
          </w:p>
          <w:p w14:paraId="56D982C4">
            <w:pPr>
              <w:pStyle w:val="341"/>
              <w:ind w:firstLine="480"/>
              <w:rPr>
                <w:color w:val="0000FF"/>
                <w:sz w:val="24"/>
                <w:szCs w:val="24"/>
              </w:rPr>
            </w:pPr>
            <w:r>
              <w:rPr>
                <w:rFonts w:hint="eastAsia"/>
                <w:color w:val="0000FF"/>
                <w:sz w:val="24"/>
                <w:szCs w:val="24"/>
              </w:rPr>
              <w:t>根据自然资源部办公厅关于进一步做好基础设施建设使用临时用地保障工作的通知（自然资办函〔2024〕2159号）中提出“能源（含能源基础设施建设中的油气探采合一涉及的钻井及配套设施）、交通、水利等基础设施使用临时用地，</w:t>
            </w:r>
            <w:r>
              <w:rPr>
                <w:rFonts w:hint="eastAsia"/>
                <w:b/>
                <w:bCs/>
                <w:color w:val="0000FF"/>
                <w:sz w:val="24"/>
                <w:szCs w:val="24"/>
              </w:rPr>
              <w:t>首次申请使用期限不满四年的，用地单位可申请继续使用，总期限不超过四年</w:t>
            </w:r>
            <w:r>
              <w:rPr>
                <w:rFonts w:hint="eastAsia"/>
                <w:color w:val="0000FF"/>
                <w:sz w:val="24"/>
                <w:szCs w:val="24"/>
              </w:rPr>
              <w:t>。申请继续使用的临时用地，应当符合临时用地使用要求、不改变用地位置和批准用途、不扩大用地规模和使用范围、确保完成复垦任务，由具备相应审批权限的自然资源主管部门批准，使用年限连续计算。”</w:t>
            </w:r>
          </w:p>
          <w:p w14:paraId="0AA34E9F">
            <w:pPr>
              <w:pStyle w:val="341"/>
              <w:ind w:firstLine="480"/>
              <w:rPr>
                <w:color w:val="0000FF"/>
                <w:sz w:val="24"/>
                <w:szCs w:val="24"/>
              </w:rPr>
            </w:pPr>
            <w:r>
              <w:rPr>
                <w:rFonts w:hint="eastAsia"/>
                <w:color w:val="0000FF"/>
                <w:sz w:val="24"/>
                <w:szCs w:val="24"/>
              </w:rPr>
              <w:t>本项目属于能源项目，且建设单位正在同步办理相关用地手续，项目实施满足《自然资源部办公厅关于进一步做好基础设施建设使用临时用地保障工作的通知》（自然资办函〔2024〕2159号）。建设单位在钻井工程施工过程中应做好临时占地表土集中堆放、截排水沟、表面覆盖等水土流失控制措施，临时占用应及时按土地复垦方式实施临时占地生态恢复，确保临时占地土地使用功能不降低。</w:t>
            </w:r>
          </w:p>
          <w:p w14:paraId="2D015D98">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与《四川省自然资源厅关于进一步明确临时用地管理有关事项的通知》（川自然资规〔2022〕3号）符合性分析</w:t>
            </w:r>
          </w:p>
          <w:p w14:paraId="6F6C5E0B">
            <w:pPr>
              <w:pStyle w:val="341"/>
              <w:ind w:firstLine="480"/>
              <w:rPr>
                <w:sz w:val="24"/>
                <w:szCs w:val="24"/>
              </w:rPr>
            </w:pPr>
            <w:r>
              <w:rPr>
                <w:sz w:val="24"/>
                <w:szCs w:val="24"/>
              </w:rPr>
              <w:t>根据四川省自然资源厅发布的《四川省自然资源厅关于进一步明确临时用地管理有关事项的通知》（川自然资规〔2022〕3号）提出“二、进一步落实临时用地恢复责任。县级自然资源主管部门负责审查临时用地土地复垦方案，并在土地复垦义务人完成复垦工作后，会同农业农村等相关部门开展复垦验收”；“三、进一步强化永久基本农田特殊保护。市、县级自然资源主管部门要严格耕地用途管制，临时用地应尽量不占或少占耕地，原则上不占用永久基本农田。</w:t>
            </w:r>
            <w:r>
              <w:rPr>
                <w:b/>
                <w:bCs/>
                <w:sz w:val="24"/>
                <w:szCs w:val="24"/>
              </w:rPr>
              <w:t>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项目不占用永久基本农田，</w:t>
            </w:r>
            <w:r>
              <w:rPr>
                <w:sz w:val="24"/>
                <w:szCs w:val="24"/>
              </w:rPr>
              <w:t>建设单位临时用地土地复垦方案及临时用地踏勘报告目前同步编制过程中，按照相关要求正在办理相关用地手续，因此符合《四川省自然资源厅关于进一步明确临时用地管理有关事项的通知》（川自然资规〔2022〕3号）。</w:t>
            </w:r>
          </w:p>
          <w:p w14:paraId="62ADD870">
            <w:pPr>
              <w:pStyle w:val="38"/>
              <w:numPr>
                <w:ilvl w:val="1"/>
                <w:numId w:val="3"/>
              </w:numPr>
              <w:spacing w:before="0" w:beforeAutospacing="0" w:after="0" w:afterAutospacing="0" w:line="360" w:lineRule="auto"/>
              <w:ind w:left="0" w:firstLine="0"/>
              <w:rPr>
                <w:rFonts w:ascii="Times New Roman" w:hAnsi="Times New Roman"/>
                <w:b/>
                <w:color w:val="0000FF"/>
              </w:rPr>
            </w:pPr>
            <w:r>
              <w:rPr>
                <w:rFonts w:hint="eastAsia" w:ascii="Times New Roman" w:hAnsi="Times New Roman"/>
                <w:b/>
                <w:color w:val="0000FF"/>
              </w:rPr>
              <w:t>与《中华人民共和国森林法》符合性分析</w:t>
            </w:r>
          </w:p>
          <w:p w14:paraId="464D1C65">
            <w:pPr>
              <w:pStyle w:val="341"/>
              <w:ind w:firstLine="480"/>
              <w:rPr>
                <w:color w:val="0000FF"/>
                <w:sz w:val="24"/>
                <w:szCs w:val="24"/>
              </w:rPr>
            </w:pPr>
            <w:r>
              <w:rPr>
                <w:rFonts w:hint="eastAsia"/>
                <w:color w:val="0000FF"/>
                <w:sz w:val="24"/>
                <w:szCs w:val="24"/>
              </w:rPr>
              <w:t>根据《中华人民共和国森林法》提出：</w:t>
            </w:r>
            <w:r>
              <w:rPr>
                <w:rFonts w:hint="eastAsia"/>
                <w:b/>
                <w:bCs/>
                <w:color w:val="0000FF"/>
                <w:sz w:val="24"/>
                <w:szCs w:val="24"/>
              </w:rPr>
              <w:t>矿藏勘查、开采以及其他各类工程建设，应当不占或者少占林地；确需占用林地的，应当经县级以上人民政府林业主管部门审核同意，依法办理建设用地审批手续。</w:t>
            </w:r>
          </w:p>
          <w:p w14:paraId="7D8A36FA">
            <w:pPr>
              <w:pStyle w:val="341"/>
              <w:ind w:firstLine="480"/>
              <w:rPr>
                <w:color w:val="0000FF"/>
                <w:sz w:val="24"/>
                <w:szCs w:val="24"/>
              </w:rPr>
            </w:pPr>
            <w:r>
              <w:rPr>
                <w:rFonts w:hint="eastAsia"/>
                <w:color w:val="0000FF"/>
                <w:sz w:val="24"/>
                <w:szCs w:val="24"/>
              </w:rPr>
              <w:t>占用林地的单位应当缴纳森林植被恢复费。森林植被恢复费征收使用管理办法由国务院财政部门会同林业主管部门制定。</w:t>
            </w:r>
          </w:p>
          <w:p w14:paraId="19A605A3">
            <w:pPr>
              <w:pStyle w:val="341"/>
              <w:ind w:firstLine="480"/>
              <w:rPr>
                <w:color w:val="0000FF"/>
                <w:sz w:val="24"/>
                <w:szCs w:val="24"/>
              </w:rPr>
            </w:pPr>
            <w:r>
              <w:rPr>
                <w:rFonts w:hint="eastAsia"/>
                <w:color w:val="0000FF"/>
                <w:sz w:val="24"/>
                <w:szCs w:val="24"/>
              </w:rPr>
              <w:t>县级以上人民政府林业主管部门应当按照规定安排植树造林，恢复森林植被，植树造林面积不得少于因占用林地而减少的森林植被面积。上级林业主管部门应当定期督促下级林业主管部门组织植树造林、恢复森林植被，并进行检查。</w:t>
            </w:r>
          </w:p>
          <w:p w14:paraId="721AA8BD">
            <w:pPr>
              <w:pStyle w:val="341"/>
              <w:ind w:firstLine="482"/>
              <w:rPr>
                <w:b/>
                <w:bCs/>
                <w:color w:val="0000FF"/>
                <w:sz w:val="24"/>
                <w:szCs w:val="24"/>
              </w:rPr>
            </w:pPr>
            <w:r>
              <w:rPr>
                <w:rFonts w:hint="eastAsia"/>
                <w:b/>
                <w:bCs/>
                <w:color w:val="0000FF"/>
                <w:sz w:val="24"/>
                <w:szCs w:val="24"/>
              </w:rPr>
              <w:t>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14:paraId="207EBBA4">
            <w:pPr>
              <w:pStyle w:val="341"/>
              <w:ind w:firstLine="480"/>
              <w:rPr>
                <w:color w:val="0000FF"/>
                <w:sz w:val="24"/>
                <w:szCs w:val="24"/>
              </w:rPr>
            </w:pPr>
            <w:r>
              <w:rPr>
                <w:rFonts w:hint="eastAsia"/>
                <w:color w:val="0000FF"/>
                <w:sz w:val="24"/>
                <w:szCs w:val="24"/>
              </w:rPr>
              <w:t>本项目为陆地矿产资源地质勘查，属于矿藏勘查占用林地，根据核实，不涉及占用公益林、生态林，因此在完善相关手续后，项目可占用林地，本评价提出，在钻井施工前完善相关林地使用手续。</w:t>
            </w:r>
          </w:p>
          <w:p w14:paraId="4C509E8E">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与《地下水管理条例》符合性分析</w:t>
            </w:r>
          </w:p>
          <w:p w14:paraId="71962A96">
            <w:pPr>
              <w:widowControl/>
              <w:adjustRightInd w:val="0"/>
              <w:snapToGrid w:val="0"/>
              <w:spacing w:line="360" w:lineRule="auto"/>
              <w:ind w:firstLine="480" w:firstLineChars="200"/>
              <w:jc w:val="left"/>
            </w:pPr>
            <w:r>
              <w:rPr>
                <w:sz w:val="24"/>
                <w:szCs w:val="22"/>
              </w:rPr>
              <w:t>本项目与《地下水管理条例》相关要求符合性分析见下表：</w:t>
            </w:r>
          </w:p>
          <w:p w14:paraId="45FDA7F7">
            <w:pPr>
              <w:widowControl/>
              <w:adjustRightInd w:val="0"/>
              <w:snapToGrid w:val="0"/>
              <w:spacing w:line="360" w:lineRule="auto"/>
              <w:jc w:val="center"/>
              <w:rPr>
                <w:b/>
                <w:bCs/>
                <w:sz w:val="24"/>
                <w:szCs w:val="22"/>
              </w:rPr>
            </w:pPr>
            <w:r>
              <w:rPr>
                <w:b/>
                <w:bCs/>
                <w:sz w:val="24"/>
                <w:szCs w:val="22"/>
              </w:rPr>
              <w:t>表1-5 《地下水管理条例》符合性分析表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59"/>
              <w:gridCol w:w="3262"/>
              <w:gridCol w:w="545"/>
            </w:tblGrid>
            <w:tr w14:paraId="5BBBD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14:paraId="332BFE4D">
                  <w:pPr>
                    <w:jc w:val="center"/>
                    <w:rPr>
                      <w:kern w:val="0"/>
                      <w:sz w:val="20"/>
                      <w:szCs w:val="20"/>
                    </w:rPr>
                  </w:pPr>
                  <w:r>
                    <w:rPr>
                      <w:kern w:val="0"/>
                      <w:sz w:val="20"/>
                      <w:szCs w:val="20"/>
                    </w:rPr>
                    <w:t>相关要求</w:t>
                  </w:r>
                </w:p>
              </w:tc>
              <w:tc>
                <w:tcPr>
                  <w:tcW w:w="2155" w:type="pct"/>
                  <w:vAlign w:val="center"/>
                </w:tcPr>
                <w:p w14:paraId="0D8E8106">
                  <w:pPr>
                    <w:jc w:val="center"/>
                    <w:rPr>
                      <w:kern w:val="0"/>
                      <w:sz w:val="20"/>
                      <w:szCs w:val="20"/>
                    </w:rPr>
                  </w:pPr>
                  <w:r>
                    <w:rPr>
                      <w:kern w:val="0"/>
                      <w:sz w:val="20"/>
                      <w:szCs w:val="20"/>
                    </w:rPr>
                    <w:t>项目情况</w:t>
                  </w:r>
                </w:p>
              </w:tc>
              <w:tc>
                <w:tcPr>
                  <w:tcW w:w="360" w:type="pct"/>
                  <w:vAlign w:val="center"/>
                </w:tcPr>
                <w:p w14:paraId="29A291F2">
                  <w:pPr>
                    <w:jc w:val="center"/>
                    <w:rPr>
                      <w:kern w:val="0"/>
                      <w:sz w:val="20"/>
                      <w:szCs w:val="20"/>
                    </w:rPr>
                  </w:pPr>
                  <w:r>
                    <w:rPr>
                      <w:kern w:val="0"/>
                      <w:sz w:val="20"/>
                      <w:szCs w:val="20"/>
                    </w:rPr>
                    <w:t>符合性</w:t>
                  </w:r>
                </w:p>
              </w:tc>
            </w:tr>
            <w:tr w14:paraId="07650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14:paraId="13B9AAF1">
                  <w:pPr>
                    <w:jc w:val="center"/>
                    <w:rPr>
                      <w:kern w:val="0"/>
                      <w:sz w:val="20"/>
                      <w:szCs w:val="20"/>
                    </w:rPr>
                  </w:pPr>
                  <w:r>
                    <w:rPr>
                      <w:kern w:val="0"/>
                      <w:sz w:val="20"/>
                      <w:szCs w:val="20"/>
                    </w:rPr>
                    <w:t>禁止下列污染或者可能污染地下水的行为：</w:t>
                  </w:r>
                </w:p>
                <w:p w14:paraId="3F973CD3">
                  <w:pPr>
                    <w:jc w:val="center"/>
                    <w:rPr>
                      <w:kern w:val="0"/>
                      <w:sz w:val="20"/>
                      <w:szCs w:val="20"/>
                    </w:rPr>
                  </w:pPr>
                  <w:r>
                    <w:rPr>
                      <w:kern w:val="0"/>
                      <w:sz w:val="20"/>
                      <w:szCs w:val="20"/>
                    </w:rPr>
                    <w:t>利用渗井、渗坑、裂隙、溶洞以及私设暗管等逃避监管的方式排放水污染物；利用岩层孔隙、裂隙、溶洞、废弃矿坑等贮存石化原料及产品、农药、危险废物、城镇污水处理设施产生的污泥和处理后的污泥或者其他有毒有害物质；利用无防渗漏措施的沟渠、坑塘等输送或者贮存含有毒污染物的废水、含病原体的污水和其他废弃物；法律、法规禁止的其他污染或者可能污染地下水的行为。</w:t>
                  </w:r>
                </w:p>
              </w:tc>
              <w:tc>
                <w:tcPr>
                  <w:tcW w:w="2155" w:type="pct"/>
                  <w:vAlign w:val="center"/>
                </w:tcPr>
                <w:p w14:paraId="73DC762D">
                  <w:pPr>
                    <w:jc w:val="center"/>
                    <w:rPr>
                      <w:kern w:val="0"/>
                      <w:sz w:val="20"/>
                      <w:szCs w:val="20"/>
                    </w:rPr>
                  </w:pPr>
                  <w:r>
                    <w:rPr>
                      <w:kern w:val="0"/>
                      <w:sz w:val="20"/>
                      <w:szCs w:val="20"/>
                    </w:rPr>
                    <w:t>本项目生产废水外运</w:t>
                  </w:r>
                  <w:r>
                    <w:rPr>
                      <w:rFonts w:hint="eastAsia"/>
                      <w:sz w:val="20"/>
                      <w:szCs w:val="20"/>
                    </w:rPr>
                    <w:t>赵家坝污水处理站</w:t>
                  </w:r>
                  <w:r>
                    <w:rPr>
                      <w:sz w:val="20"/>
                      <w:szCs w:val="20"/>
                    </w:rPr>
                    <w:t>处理达标后</w:t>
                  </w:r>
                  <w:r>
                    <w:rPr>
                      <w:rFonts w:hint="eastAsia"/>
                      <w:sz w:val="20"/>
                      <w:szCs w:val="20"/>
                    </w:rPr>
                    <w:t>由罐车拉运至普光3井等回注站</w:t>
                  </w:r>
                  <w:r>
                    <w:rPr>
                      <w:sz w:val="20"/>
                      <w:szCs w:val="20"/>
                    </w:rPr>
                    <w:t>回注</w:t>
                  </w:r>
                  <w:r>
                    <w:rPr>
                      <w:kern w:val="0"/>
                      <w:sz w:val="20"/>
                      <w:szCs w:val="20"/>
                    </w:rPr>
                    <w:t>，生活污水收集后外运处置，不在当地排放；设置危险废物贮存点，并采取防风、防雨、防晒、防渗、防漏、防腐措施。项目采取分区防渗措施。不涉及《地下水管理条例》中明确相关禁止污染或者可能污染地下水的行为。</w:t>
                  </w:r>
                </w:p>
              </w:tc>
              <w:tc>
                <w:tcPr>
                  <w:tcW w:w="360" w:type="pct"/>
                  <w:vAlign w:val="center"/>
                </w:tcPr>
                <w:p w14:paraId="4A71BB54">
                  <w:pPr>
                    <w:jc w:val="center"/>
                    <w:rPr>
                      <w:kern w:val="0"/>
                      <w:sz w:val="20"/>
                      <w:szCs w:val="20"/>
                    </w:rPr>
                  </w:pPr>
                  <w:r>
                    <w:rPr>
                      <w:kern w:val="0"/>
                      <w:sz w:val="20"/>
                      <w:szCs w:val="20"/>
                    </w:rPr>
                    <w:t>符合</w:t>
                  </w:r>
                </w:p>
              </w:tc>
            </w:tr>
            <w:tr w14:paraId="30E66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14:paraId="501CA443">
                  <w:pPr>
                    <w:jc w:val="center"/>
                    <w:rPr>
                      <w:kern w:val="0"/>
                      <w:sz w:val="20"/>
                      <w:szCs w:val="20"/>
                    </w:rPr>
                  </w:pPr>
                  <w:r>
                    <w:rPr>
                      <w:kern w:val="0"/>
                      <w:sz w:val="20"/>
                      <w:szCs w:val="20"/>
                    </w:rPr>
                    <w:t>新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2155" w:type="pct"/>
                  <w:vAlign w:val="center"/>
                </w:tcPr>
                <w:p w14:paraId="0D1C9E05">
                  <w:pPr>
                    <w:jc w:val="center"/>
                    <w:rPr>
                      <w:kern w:val="0"/>
                      <w:sz w:val="20"/>
                      <w:szCs w:val="20"/>
                    </w:rPr>
                  </w:pPr>
                  <w:r>
                    <w:rPr>
                      <w:kern w:val="0"/>
                      <w:sz w:val="20"/>
                      <w:szCs w:val="20"/>
                    </w:rPr>
                    <w:t>本项目属于陆地矿产资源地质勘查（含油气资源勘探），环评报告中编制有地下水污染防治的内容，提出了相应的源头控制、分区防渗等地下水污染防治措施。提出了</w:t>
                  </w:r>
                  <w:r>
                    <w:rPr>
                      <w:rFonts w:hint="eastAsia"/>
                      <w:kern w:val="0"/>
                      <w:sz w:val="20"/>
                      <w:szCs w:val="20"/>
                    </w:rPr>
                    <w:t>竣工</w:t>
                  </w:r>
                  <w:r>
                    <w:rPr>
                      <w:kern w:val="0"/>
                      <w:sz w:val="20"/>
                      <w:szCs w:val="20"/>
                    </w:rPr>
                    <w:t>监测计划。符合相关要求。</w:t>
                  </w:r>
                </w:p>
              </w:tc>
              <w:tc>
                <w:tcPr>
                  <w:tcW w:w="360" w:type="pct"/>
                  <w:vAlign w:val="center"/>
                </w:tcPr>
                <w:p w14:paraId="650495F7">
                  <w:pPr>
                    <w:jc w:val="center"/>
                    <w:rPr>
                      <w:kern w:val="0"/>
                      <w:sz w:val="20"/>
                      <w:szCs w:val="20"/>
                    </w:rPr>
                  </w:pPr>
                  <w:r>
                    <w:rPr>
                      <w:kern w:val="0"/>
                      <w:sz w:val="20"/>
                      <w:szCs w:val="20"/>
                    </w:rPr>
                    <w:t>符合</w:t>
                  </w:r>
                </w:p>
              </w:tc>
            </w:tr>
            <w:tr w14:paraId="3687B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14:paraId="7CD8ED4A">
                  <w:pPr>
                    <w:jc w:val="center"/>
                    <w:rPr>
                      <w:kern w:val="0"/>
                      <w:sz w:val="20"/>
                      <w:szCs w:val="20"/>
                    </w:rPr>
                  </w:pPr>
                  <w:r>
                    <w:rPr>
                      <w:kern w:val="0"/>
                      <w:sz w:val="20"/>
                      <w:szCs w:val="20"/>
                    </w:rPr>
                    <w:t>在泉域保护范围以及岩溶强发育、存在较多落水洞和岩溶漏斗的区域内，不得新建、改建、扩建可能造成地下水污染的建设项目。</w:t>
                  </w:r>
                </w:p>
              </w:tc>
              <w:tc>
                <w:tcPr>
                  <w:tcW w:w="2155" w:type="pct"/>
                  <w:vAlign w:val="center"/>
                </w:tcPr>
                <w:p w14:paraId="0089FF53">
                  <w:pPr>
                    <w:jc w:val="center"/>
                    <w:rPr>
                      <w:kern w:val="0"/>
                      <w:sz w:val="20"/>
                      <w:szCs w:val="20"/>
                    </w:rPr>
                  </w:pPr>
                  <w:r>
                    <w:rPr>
                      <w:kern w:val="0"/>
                      <w:sz w:val="20"/>
                      <w:szCs w:val="20"/>
                    </w:rPr>
                    <w:t>本项目地下水评价范围内无地下水集中式饮用水水源保护区分布，井场周边遗留部分水井，居民水井内水作为生活辅助用水，此部分水井为分散式饮用水源，不涉及泉域保护范围，不属于岩溶强发育、存在较多落水洞和岩溶漏斗的区域。</w:t>
                  </w:r>
                </w:p>
              </w:tc>
              <w:tc>
                <w:tcPr>
                  <w:tcW w:w="360" w:type="pct"/>
                  <w:vAlign w:val="center"/>
                </w:tcPr>
                <w:p w14:paraId="62B1806E">
                  <w:pPr>
                    <w:jc w:val="center"/>
                    <w:rPr>
                      <w:kern w:val="0"/>
                      <w:sz w:val="20"/>
                      <w:szCs w:val="20"/>
                    </w:rPr>
                  </w:pPr>
                  <w:r>
                    <w:rPr>
                      <w:kern w:val="0"/>
                      <w:sz w:val="20"/>
                      <w:szCs w:val="20"/>
                    </w:rPr>
                    <w:t>符合</w:t>
                  </w:r>
                </w:p>
              </w:tc>
            </w:tr>
          </w:tbl>
          <w:p w14:paraId="7C085BC1">
            <w:pPr>
              <w:widowControl/>
              <w:adjustRightInd w:val="0"/>
              <w:snapToGrid w:val="0"/>
              <w:spacing w:line="360" w:lineRule="auto"/>
              <w:ind w:firstLine="480" w:firstLineChars="200"/>
              <w:jc w:val="left"/>
              <w:rPr>
                <w:sz w:val="24"/>
                <w:szCs w:val="22"/>
              </w:rPr>
            </w:pPr>
            <w:r>
              <w:rPr>
                <w:sz w:val="24"/>
                <w:szCs w:val="22"/>
              </w:rPr>
              <w:t>综上，本项目建设符合《地下水管理条例》相关要求。</w:t>
            </w:r>
          </w:p>
          <w:p w14:paraId="6C90A20E">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w:t>
            </w:r>
            <w:bookmarkStart w:id="5" w:name="_Hlk103761627"/>
            <w:r>
              <w:rPr>
                <w:rFonts w:ascii="Times New Roman" w:hAnsi="Times New Roman"/>
                <w:b/>
              </w:rPr>
              <w:t>四川省嘉陵江流域生态环境保护条例</w:t>
            </w:r>
            <w:bookmarkEnd w:id="5"/>
            <w:r>
              <w:rPr>
                <w:rFonts w:ascii="Times New Roman" w:hAnsi="Times New Roman"/>
                <w:b/>
              </w:rPr>
              <w:t>》符合性分析</w:t>
            </w:r>
          </w:p>
          <w:p w14:paraId="7355E3AF">
            <w:pPr>
              <w:pStyle w:val="341"/>
              <w:ind w:firstLine="480"/>
              <w:rPr>
                <w:sz w:val="24"/>
                <w:szCs w:val="24"/>
              </w:rPr>
            </w:pPr>
            <w:r>
              <w:rPr>
                <w:sz w:val="24"/>
                <w:szCs w:val="24"/>
              </w:rPr>
              <w:t>根据《四川省水利厅关于印发四川省行政区域内嘉陵江流域范围划定成果的通知》，本项目位于嘉陵江流域，与《四川省嘉陵江流域生态环境保护条例》符合性分析如下。</w:t>
            </w:r>
          </w:p>
          <w:p w14:paraId="4734278D">
            <w:pPr>
              <w:spacing w:line="360" w:lineRule="auto"/>
              <w:jc w:val="center"/>
              <w:rPr>
                <w:b/>
                <w:sz w:val="24"/>
              </w:rPr>
            </w:pPr>
            <w:r>
              <w:rPr>
                <w:b/>
                <w:sz w:val="24"/>
              </w:rPr>
              <w:t>表1-6 与《四川省嘉陵江流域生态环境保护条例》分析表</w:t>
            </w:r>
          </w:p>
          <w:tbl>
            <w:tblPr>
              <w:tblStyle w:val="44"/>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3665"/>
              <w:gridCol w:w="2629"/>
              <w:gridCol w:w="477"/>
            </w:tblGrid>
            <w:tr w14:paraId="51F6B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12" w:space="0"/>
                    <w:left w:val="single" w:color="auto" w:sz="12" w:space="0"/>
                    <w:bottom w:val="single" w:color="auto" w:sz="4" w:space="0"/>
                    <w:right w:val="single" w:color="auto" w:sz="4" w:space="0"/>
                    <w:tl2br w:val="nil"/>
                    <w:tr2bl w:val="nil"/>
                  </w:tcBorders>
                  <w:vAlign w:val="center"/>
                </w:tcPr>
                <w:p w14:paraId="2ED0ED32">
                  <w:pPr>
                    <w:jc w:val="center"/>
                    <w:rPr>
                      <w:kern w:val="0"/>
                      <w:szCs w:val="21"/>
                      <w:lang w:bidi="ar"/>
                    </w:rPr>
                  </w:pPr>
                  <w:r>
                    <w:rPr>
                      <w:szCs w:val="21"/>
                    </w:rPr>
                    <w:t>序号</w:t>
                  </w:r>
                </w:p>
              </w:tc>
              <w:tc>
                <w:tcPr>
                  <w:tcW w:w="2505" w:type="pct"/>
                  <w:tcBorders>
                    <w:top w:val="single" w:color="auto" w:sz="12" w:space="0"/>
                    <w:left w:val="single" w:color="auto" w:sz="4" w:space="0"/>
                    <w:bottom w:val="single" w:color="auto" w:sz="4" w:space="0"/>
                    <w:right w:val="single" w:color="auto" w:sz="4" w:space="0"/>
                    <w:tl2br w:val="nil"/>
                    <w:tr2bl w:val="nil"/>
                  </w:tcBorders>
                  <w:vAlign w:val="center"/>
                </w:tcPr>
                <w:p w14:paraId="54C37FF7">
                  <w:pPr>
                    <w:jc w:val="center"/>
                    <w:rPr>
                      <w:kern w:val="0"/>
                      <w:szCs w:val="21"/>
                      <w:lang w:bidi="ar"/>
                    </w:rPr>
                  </w:pPr>
                  <w:r>
                    <w:rPr>
                      <w:szCs w:val="21"/>
                    </w:rPr>
                    <w:t>技术政策要求</w:t>
                  </w:r>
                </w:p>
              </w:tc>
              <w:tc>
                <w:tcPr>
                  <w:tcW w:w="1797" w:type="pct"/>
                  <w:tcBorders>
                    <w:top w:val="single" w:color="auto" w:sz="12" w:space="0"/>
                    <w:left w:val="single" w:color="auto" w:sz="4" w:space="0"/>
                    <w:bottom w:val="single" w:color="auto" w:sz="4" w:space="0"/>
                    <w:right w:val="single" w:color="auto" w:sz="4" w:space="0"/>
                    <w:tl2br w:val="nil"/>
                    <w:tr2bl w:val="nil"/>
                  </w:tcBorders>
                  <w:vAlign w:val="center"/>
                </w:tcPr>
                <w:p w14:paraId="290EEAA4">
                  <w:pPr>
                    <w:jc w:val="center"/>
                    <w:rPr>
                      <w:kern w:val="0"/>
                      <w:szCs w:val="21"/>
                      <w:lang w:bidi="ar"/>
                    </w:rPr>
                  </w:pPr>
                  <w:r>
                    <w:rPr>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vAlign w:val="center"/>
                </w:tcPr>
                <w:p w14:paraId="1075E42E">
                  <w:pPr>
                    <w:jc w:val="center"/>
                    <w:rPr>
                      <w:kern w:val="0"/>
                      <w:szCs w:val="21"/>
                      <w:lang w:bidi="ar"/>
                    </w:rPr>
                  </w:pPr>
                  <w:r>
                    <w:rPr>
                      <w:szCs w:val="21"/>
                    </w:rPr>
                    <w:t>符合性</w:t>
                  </w:r>
                </w:p>
              </w:tc>
            </w:tr>
            <w:tr w14:paraId="4171A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5BD6619B">
                  <w:pPr>
                    <w:widowControl/>
                    <w:jc w:val="center"/>
                    <w:rPr>
                      <w:szCs w:val="21"/>
                    </w:rPr>
                  </w:pPr>
                  <w:r>
                    <w:rPr>
                      <w:kern w:val="0"/>
                      <w:szCs w:val="21"/>
                      <w:lang w:bidi="ar"/>
                    </w:rPr>
                    <w:t>1</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4D2A0069">
                  <w:pPr>
                    <w:widowControl/>
                    <w:jc w:val="center"/>
                    <w:rPr>
                      <w:kern w:val="0"/>
                      <w:szCs w:val="21"/>
                    </w:rPr>
                  </w:pPr>
                  <w:r>
                    <w:rPr>
                      <w:kern w:val="0"/>
                      <w:szCs w:val="21"/>
                    </w:rPr>
                    <w:t>禁止在嘉陵江干支流岸线一公里范围内新建、扩建化工园区和化工项目。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63716A0C">
                  <w:pPr>
                    <w:pStyle w:val="26"/>
                    <w:spacing w:line="240" w:lineRule="auto"/>
                    <w:jc w:val="center"/>
                    <w:rPr>
                      <w:sz w:val="21"/>
                      <w:szCs w:val="21"/>
                    </w:rPr>
                  </w:pPr>
                  <w:r>
                    <w:rPr>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4A5F5BC0">
                  <w:pPr>
                    <w:widowControl/>
                    <w:jc w:val="center"/>
                    <w:rPr>
                      <w:szCs w:val="21"/>
                    </w:rPr>
                  </w:pPr>
                  <w:r>
                    <w:rPr>
                      <w:szCs w:val="21"/>
                    </w:rPr>
                    <w:t>符合</w:t>
                  </w:r>
                </w:p>
              </w:tc>
            </w:tr>
            <w:tr w14:paraId="6535D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0226117F">
                  <w:pPr>
                    <w:widowControl/>
                    <w:jc w:val="center"/>
                    <w:rPr>
                      <w:kern w:val="0"/>
                      <w:szCs w:val="21"/>
                      <w:lang w:bidi="ar"/>
                    </w:rPr>
                  </w:pPr>
                  <w:r>
                    <w:rPr>
                      <w:kern w:val="0"/>
                      <w:szCs w:val="21"/>
                      <w:lang w:bidi="ar"/>
                    </w:rPr>
                    <w:t>2</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1892F8B7">
                  <w:pPr>
                    <w:widowControl/>
                    <w:jc w:val="center"/>
                    <w:rPr>
                      <w:kern w:val="0"/>
                      <w:szCs w:val="21"/>
                    </w:rPr>
                  </w:pPr>
                  <w:r>
                    <w:rPr>
                      <w:kern w:val="0"/>
                      <w:szCs w:val="21"/>
                    </w:rPr>
                    <w:t>排污单位排放污染物不得超过国家和省污染物排放标准，不得超过重点水污染物排放总量控制指标。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07E3D512">
                  <w:pPr>
                    <w:pStyle w:val="26"/>
                    <w:spacing w:line="240" w:lineRule="auto"/>
                    <w:jc w:val="center"/>
                    <w:rPr>
                      <w:sz w:val="21"/>
                      <w:szCs w:val="21"/>
                    </w:rPr>
                  </w:pPr>
                  <w:r>
                    <w:rPr>
                      <w:sz w:val="21"/>
                      <w:szCs w:val="21"/>
                    </w:rPr>
                    <w:t>本项目压裂返排液拟交由密闭罐车定期拉运至</w:t>
                  </w:r>
                  <w:r>
                    <w:rPr>
                      <w:rFonts w:hint="eastAsia"/>
                      <w:sz w:val="21"/>
                      <w:szCs w:val="21"/>
                    </w:rPr>
                    <w:t>赵家坝污水处理站</w:t>
                  </w:r>
                  <w:r>
                    <w:rPr>
                      <w:sz w:val="21"/>
                      <w:szCs w:val="21"/>
                    </w:rPr>
                    <w:t>处理达标后</w:t>
                  </w:r>
                  <w:r>
                    <w:rPr>
                      <w:rFonts w:hint="eastAsia"/>
                      <w:sz w:val="21"/>
                      <w:szCs w:val="21"/>
                    </w:rPr>
                    <w:t>由罐车拉运至普光3井等回注站</w:t>
                  </w:r>
                  <w:r>
                    <w:rPr>
                      <w:sz w:val="21"/>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6BD2520B">
                  <w:pPr>
                    <w:widowControl/>
                    <w:jc w:val="center"/>
                    <w:rPr>
                      <w:kern w:val="0"/>
                      <w:szCs w:val="21"/>
                      <w:lang w:bidi="ar"/>
                    </w:rPr>
                  </w:pPr>
                  <w:r>
                    <w:rPr>
                      <w:kern w:val="0"/>
                      <w:szCs w:val="21"/>
                      <w:lang w:bidi="ar"/>
                    </w:rPr>
                    <w:t>符合</w:t>
                  </w:r>
                </w:p>
              </w:tc>
            </w:tr>
            <w:tr w14:paraId="6FADD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4DAD52B8">
                  <w:pPr>
                    <w:widowControl/>
                    <w:jc w:val="center"/>
                    <w:rPr>
                      <w:kern w:val="0"/>
                      <w:szCs w:val="21"/>
                      <w:lang w:bidi="ar"/>
                    </w:rPr>
                  </w:pPr>
                  <w:r>
                    <w:rPr>
                      <w:kern w:val="0"/>
                      <w:szCs w:val="21"/>
                      <w:lang w:bidi="ar"/>
                    </w:rPr>
                    <w:t>3</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1D2BF4FD">
                  <w:pPr>
                    <w:widowControl/>
                    <w:jc w:val="center"/>
                    <w:rPr>
                      <w:kern w:val="0"/>
                      <w:szCs w:val="21"/>
                    </w:rPr>
                  </w:pPr>
                  <w:r>
                    <w:rPr>
                      <w:kern w:val="0"/>
                      <w:szCs w:val="21"/>
                    </w:rPr>
                    <w:t>禁止向农用地排放重金属或者其他有毒有害物质含量超标的污水、污泥，以及可能造成土壤污染的清淤底泥、尾矿、矿渣等</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43ED54BF">
                  <w:pPr>
                    <w:widowControl/>
                    <w:jc w:val="center"/>
                    <w:rPr>
                      <w:kern w:val="0"/>
                      <w:szCs w:val="21"/>
                    </w:rPr>
                  </w:pPr>
                  <w:r>
                    <w:rPr>
                      <w:color w:val="0000FF"/>
                      <w:kern w:val="0"/>
                      <w:szCs w:val="21"/>
                    </w:rPr>
                    <w:t>本项目钻井废水</w:t>
                  </w:r>
                  <w:r>
                    <w:rPr>
                      <w:rFonts w:hint="eastAsia"/>
                      <w:color w:val="0000FF"/>
                      <w:kern w:val="0"/>
                      <w:szCs w:val="21"/>
                    </w:rPr>
                    <w:t>、</w:t>
                  </w:r>
                  <w:r>
                    <w:rPr>
                      <w:color w:val="0000FF"/>
                      <w:kern w:val="0"/>
                      <w:szCs w:val="21"/>
                    </w:rPr>
                    <w:t>压裂返排液不能回用时由密闭罐车定期拉运至</w:t>
                  </w:r>
                  <w:r>
                    <w:rPr>
                      <w:rFonts w:hint="eastAsia"/>
                      <w:color w:val="0000FF"/>
                      <w:kern w:val="0"/>
                      <w:szCs w:val="21"/>
                    </w:rPr>
                    <w:t>赵家坝污水处理站</w:t>
                  </w:r>
                  <w:r>
                    <w:rPr>
                      <w:color w:val="0000FF"/>
                      <w:kern w:val="0"/>
                      <w:szCs w:val="21"/>
                    </w:rPr>
                    <w:t>处理达标后</w:t>
                  </w:r>
                  <w:r>
                    <w:rPr>
                      <w:rFonts w:hint="eastAsia"/>
                      <w:color w:val="0000FF"/>
                      <w:kern w:val="0"/>
                      <w:szCs w:val="21"/>
                    </w:rPr>
                    <w:t>由罐车拉运至普光3井等回注站</w:t>
                  </w:r>
                  <w:r>
                    <w:rPr>
                      <w:color w:val="0000FF"/>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6676F444">
                  <w:pPr>
                    <w:widowControl/>
                    <w:jc w:val="center"/>
                    <w:rPr>
                      <w:kern w:val="0"/>
                      <w:szCs w:val="21"/>
                      <w:lang w:bidi="ar"/>
                    </w:rPr>
                  </w:pPr>
                  <w:r>
                    <w:rPr>
                      <w:kern w:val="0"/>
                      <w:szCs w:val="21"/>
                      <w:lang w:bidi="ar"/>
                    </w:rPr>
                    <w:t>符合</w:t>
                  </w:r>
                </w:p>
              </w:tc>
            </w:tr>
            <w:tr w14:paraId="283DE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2D917A93">
                  <w:pPr>
                    <w:widowControl/>
                    <w:jc w:val="center"/>
                    <w:rPr>
                      <w:kern w:val="0"/>
                      <w:szCs w:val="21"/>
                      <w:lang w:bidi="ar"/>
                    </w:rPr>
                  </w:pPr>
                  <w:r>
                    <w:rPr>
                      <w:kern w:val="0"/>
                      <w:szCs w:val="21"/>
                      <w:lang w:bidi="ar"/>
                    </w:rPr>
                    <w:t>4</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37B66789">
                  <w:pPr>
                    <w:widowControl/>
                    <w:jc w:val="center"/>
                    <w:rPr>
                      <w:kern w:val="0"/>
                      <w:szCs w:val="21"/>
                    </w:rPr>
                  </w:pPr>
                  <w:r>
                    <w:rPr>
                      <w:kern w:val="0"/>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23471E40">
                  <w:pPr>
                    <w:widowControl/>
                    <w:jc w:val="center"/>
                    <w:rPr>
                      <w:kern w:val="0"/>
                      <w:szCs w:val="21"/>
                    </w:rPr>
                  </w:pPr>
                  <w:r>
                    <w:rPr>
                      <w:kern w:val="0"/>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57B5782C">
                  <w:pPr>
                    <w:widowControl/>
                    <w:jc w:val="center"/>
                    <w:rPr>
                      <w:kern w:val="0"/>
                      <w:szCs w:val="21"/>
                      <w:lang w:bidi="ar"/>
                    </w:rPr>
                  </w:pPr>
                  <w:r>
                    <w:rPr>
                      <w:kern w:val="0"/>
                      <w:szCs w:val="21"/>
                      <w:lang w:bidi="ar"/>
                    </w:rPr>
                    <w:t>符合</w:t>
                  </w:r>
                </w:p>
              </w:tc>
            </w:tr>
            <w:tr w14:paraId="1206A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231993C8">
                  <w:pPr>
                    <w:widowControl/>
                    <w:jc w:val="center"/>
                    <w:rPr>
                      <w:kern w:val="0"/>
                      <w:szCs w:val="21"/>
                      <w:lang w:bidi="ar"/>
                    </w:rPr>
                  </w:pPr>
                  <w:r>
                    <w:rPr>
                      <w:kern w:val="0"/>
                      <w:szCs w:val="21"/>
                      <w:lang w:bidi="ar"/>
                    </w:rPr>
                    <w:t>5</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259203B2">
                  <w:pPr>
                    <w:widowControl/>
                    <w:jc w:val="center"/>
                    <w:rPr>
                      <w:kern w:val="0"/>
                      <w:szCs w:val="21"/>
                    </w:rPr>
                  </w:pPr>
                  <w:r>
                    <w:rPr>
                      <w:kern w:val="0"/>
                      <w:szCs w:val="21"/>
                    </w:rPr>
                    <w:t>排污单位对污水进行预处理后向污水集中处理设施排放的，应当符合污水集中处理设施的接纳标准。</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136D5CA9">
                  <w:pPr>
                    <w:widowControl/>
                    <w:jc w:val="center"/>
                    <w:rPr>
                      <w:kern w:val="0"/>
                      <w:szCs w:val="21"/>
                    </w:rPr>
                  </w:pPr>
                  <w:r>
                    <w:rPr>
                      <w:kern w:val="0"/>
                      <w:szCs w:val="21"/>
                    </w:rPr>
                    <w:t>本项目生产废水经现场预处理后由罐车运至密闭罐车定期拉运至</w:t>
                  </w:r>
                  <w:r>
                    <w:rPr>
                      <w:rFonts w:hint="eastAsia"/>
                      <w:kern w:val="0"/>
                      <w:szCs w:val="21"/>
                    </w:rPr>
                    <w:t>赵家坝污水处理站</w:t>
                  </w:r>
                  <w:r>
                    <w:rPr>
                      <w:kern w:val="0"/>
                      <w:szCs w:val="21"/>
                    </w:rPr>
                    <w:t>处理达标后</w:t>
                  </w:r>
                  <w:r>
                    <w:rPr>
                      <w:rFonts w:hint="eastAsia"/>
                      <w:kern w:val="0"/>
                      <w:szCs w:val="21"/>
                    </w:rPr>
                    <w:t>由罐车拉运至普光3井等回注站</w:t>
                  </w:r>
                  <w:r>
                    <w:rPr>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4CB81757">
                  <w:pPr>
                    <w:widowControl/>
                    <w:jc w:val="center"/>
                    <w:rPr>
                      <w:kern w:val="0"/>
                      <w:szCs w:val="21"/>
                      <w:lang w:bidi="ar"/>
                    </w:rPr>
                  </w:pPr>
                  <w:r>
                    <w:rPr>
                      <w:kern w:val="0"/>
                      <w:szCs w:val="21"/>
                      <w:lang w:bidi="ar"/>
                    </w:rPr>
                    <w:t>符合</w:t>
                  </w:r>
                </w:p>
              </w:tc>
            </w:tr>
            <w:tr w14:paraId="6D14E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14:paraId="4DCBFB9D">
                  <w:pPr>
                    <w:widowControl/>
                    <w:jc w:val="center"/>
                    <w:rPr>
                      <w:kern w:val="0"/>
                      <w:szCs w:val="21"/>
                      <w:lang w:bidi="ar"/>
                    </w:rPr>
                  </w:pPr>
                  <w:r>
                    <w:rPr>
                      <w:kern w:val="0"/>
                      <w:szCs w:val="21"/>
                      <w:lang w:bidi="ar"/>
                    </w:rPr>
                    <w:t>6</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14:paraId="3F035F0B">
                  <w:pPr>
                    <w:widowControl/>
                    <w:jc w:val="center"/>
                    <w:rPr>
                      <w:kern w:val="0"/>
                      <w:szCs w:val="21"/>
                    </w:rPr>
                  </w:pPr>
                  <w:r>
                    <w:rPr>
                      <w:kern w:val="0"/>
                      <w:szCs w:val="21"/>
                    </w:rPr>
                    <w:t>鼓励企业事业单位和其他生产经营者配套建设工业用水回收利用设施和中水回用管网设施，采取循环用水、综合利用以及废水处理回用等措施，提高水的重复利用率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14:paraId="652E9C53">
                  <w:pPr>
                    <w:widowControl/>
                    <w:jc w:val="center"/>
                    <w:rPr>
                      <w:kern w:val="0"/>
                      <w:szCs w:val="21"/>
                    </w:rPr>
                  </w:pPr>
                  <w:r>
                    <w:rPr>
                      <w:kern w:val="0"/>
                      <w:szCs w:val="21"/>
                    </w:rPr>
                    <w:t>本项目最终不能回用部分拟交由密闭罐车定期拉运至</w:t>
                  </w:r>
                  <w:r>
                    <w:rPr>
                      <w:rFonts w:hint="eastAsia"/>
                      <w:kern w:val="0"/>
                      <w:szCs w:val="21"/>
                    </w:rPr>
                    <w:t>赵家坝污水处理站</w:t>
                  </w:r>
                  <w:r>
                    <w:rPr>
                      <w:kern w:val="0"/>
                      <w:szCs w:val="21"/>
                    </w:rPr>
                    <w:t>处理达标后</w:t>
                  </w:r>
                  <w:r>
                    <w:rPr>
                      <w:rFonts w:hint="eastAsia"/>
                      <w:kern w:val="0"/>
                      <w:szCs w:val="21"/>
                    </w:rPr>
                    <w:t>由罐车拉运至普光3井等回注站</w:t>
                  </w:r>
                  <w:r>
                    <w:rPr>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14:paraId="2B579EFB">
                  <w:pPr>
                    <w:widowControl/>
                    <w:jc w:val="center"/>
                    <w:rPr>
                      <w:kern w:val="0"/>
                      <w:szCs w:val="21"/>
                      <w:lang w:bidi="ar"/>
                    </w:rPr>
                  </w:pPr>
                  <w:r>
                    <w:rPr>
                      <w:kern w:val="0"/>
                      <w:szCs w:val="21"/>
                      <w:lang w:bidi="ar"/>
                    </w:rPr>
                    <w:t>符合</w:t>
                  </w:r>
                </w:p>
              </w:tc>
            </w:tr>
            <w:tr w14:paraId="4C051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12" w:space="0"/>
                    <w:right w:val="single" w:color="auto" w:sz="4" w:space="0"/>
                    <w:tl2br w:val="nil"/>
                    <w:tr2bl w:val="nil"/>
                  </w:tcBorders>
                  <w:vAlign w:val="center"/>
                </w:tcPr>
                <w:p w14:paraId="1C7C0635">
                  <w:pPr>
                    <w:widowControl/>
                    <w:jc w:val="center"/>
                    <w:rPr>
                      <w:kern w:val="0"/>
                      <w:szCs w:val="21"/>
                      <w:lang w:bidi="ar"/>
                    </w:rPr>
                  </w:pPr>
                  <w:r>
                    <w:rPr>
                      <w:kern w:val="0"/>
                      <w:szCs w:val="21"/>
                      <w:lang w:bidi="ar"/>
                    </w:rPr>
                    <w:t>7</w:t>
                  </w:r>
                </w:p>
              </w:tc>
              <w:tc>
                <w:tcPr>
                  <w:tcW w:w="2505" w:type="pct"/>
                  <w:tcBorders>
                    <w:top w:val="single" w:color="auto" w:sz="4" w:space="0"/>
                    <w:left w:val="single" w:color="auto" w:sz="4" w:space="0"/>
                    <w:bottom w:val="single" w:color="auto" w:sz="12" w:space="0"/>
                    <w:right w:val="single" w:color="auto" w:sz="4" w:space="0"/>
                    <w:tl2br w:val="nil"/>
                    <w:tr2bl w:val="nil"/>
                  </w:tcBorders>
                  <w:vAlign w:val="center"/>
                </w:tcPr>
                <w:p w14:paraId="1BBD072F">
                  <w:pPr>
                    <w:widowControl/>
                    <w:jc w:val="center"/>
                    <w:rPr>
                      <w:kern w:val="0"/>
                      <w:szCs w:val="21"/>
                    </w:rPr>
                  </w:pPr>
                  <w:r>
                    <w:rPr>
                      <w:kern w:val="0"/>
                      <w:szCs w:val="21"/>
                    </w:rPr>
                    <w:t>限期禁止生产、销售、进口、使用、转让严重污染水环境的工艺和设备</w:t>
                  </w:r>
                </w:p>
              </w:tc>
              <w:tc>
                <w:tcPr>
                  <w:tcW w:w="1797" w:type="pct"/>
                  <w:tcBorders>
                    <w:top w:val="single" w:color="auto" w:sz="4" w:space="0"/>
                    <w:left w:val="single" w:color="auto" w:sz="4" w:space="0"/>
                    <w:bottom w:val="single" w:color="auto" w:sz="12" w:space="0"/>
                    <w:right w:val="single" w:color="auto" w:sz="4" w:space="0"/>
                    <w:tl2br w:val="nil"/>
                    <w:tr2bl w:val="nil"/>
                  </w:tcBorders>
                  <w:vAlign w:val="center"/>
                </w:tcPr>
                <w:p w14:paraId="0CCCAA99">
                  <w:pPr>
                    <w:widowControl/>
                    <w:jc w:val="center"/>
                    <w:rPr>
                      <w:kern w:val="0"/>
                      <w:szCs w:val="21"/>
                    </w:rPr>
                  </w:pPr>
                  <w:r>
                    <w:rPr>
                      <w:kern w:val="0"/>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vAlign w:val="center"/>
                </w:tcPr>
                <w:p w14:paraId="50268BD4">
                  <w:pPr>
                    <w:widowControl/>
                    <w:jc w:val="center"/>
                    <w:rPr>
                      <w:kern w:val="0"/>
                      <w:szCs w:val="21"/>
                      <w:lang w:bidi="ar"/>
                    </w:rPr>
                  </w:pPr>
                  <w:r>
                    <w:rPr>
                      <w:kern w:val="0"/>
                      <w:szCs w:val="21"/>
                      <w:lang w:bidi="ar"/>
                    </w:rPr>
                    <w:t>符合</w:t>
                  </w:r>
                </w:p>
              </w:tc>
            </w:tr>
          </w:tbl>
          <w:p w14:paraId="1039F7BD">
            <w:pPr>
              <w:pStyle w:val="341"/>
              <w:ind w:firstLine="480"/>
              <w:rPr>
                <w:sz w:val="24"/>
                <w:szCs w:val="24"/>
              </w:rPr>
            </w:pPr>
            <w:r>
              <w:rPr>
                <w:color w:val="0000FF"/>
                <w:sz w:val="24"/>
                <w:szCs w:val="24"/>
              </w:rPr>
              <w:t>综上所述，本项目为陆地矿产资源地质勘查（含油气资源勘探），项目产生的钻井废水</w:t>
            </w:r>
            <w:r>
              <w:rPr>
                <w:rFonts w:hint="eastAsia"/>
                <w:color w:val="0000FF"/>
                <w:sz w:val="24"/>
                <w:szCs w:val="24"/>
              </w:rPr>
              <w:t>与</w:t>
            </w:r>
            <w:r>
              <w:rPr>
                <w:color w:val="0000FF"/>
                <w:sz w:val="24"/>
                <w:szCs w:val="24"/>
              </w:rPr>
              <w:t>压裂返排液不能回用时由密闭罐车定期拉运至</w:t>
            </w:r>
            <w:r>
              <w:rPr>
                <w:rFonts w:hint="eastAsia"/>
                <w:color w:val="0000FF"/>
                <w:sz w:val="24"/>
                <w:szCs w:val="24"/>
              </w:rPr>
              <w:t>赵家坝污水处理站</w:t>
            </w:r>
            <w:r>
              <w:rPr>
                <w:color w:val="0000FF"/>
                <w:sz w:val="24"/>
                <w:szCs w:val="24"/>
              </w:rPr>
              <w:t>处理达标后</w:t>
            </w:r>
            <w:r>
              <w:rPr>
                <w:rFonts w:hint="eastAsia"/>
                <w:color w:val="0000FF"/>
                <w:sz w:val="24"/>
                <w:szCs w:val="24"/>
              </w:rPr>
              <w:t>由罐车拉运至普光3井等回注站</w:t>
            </w:r>
            <w:r>
              <w:rPr>
                <w:color w:val="0000FF"/>
                <w:sz w:val="24"/>
                <w:szCs w:val="24"/>
              </w:rPr>
              <w:t>回注，不外排；生活污水经生态一体化厕所收集后运至</w:t>
            </w:r>
            <w:r>
              <w:rPr>
                <w:rFonts w:hint="eastAsia"/>
                <w:color w:val="0000FF"/>
                <w:sz w:val="24"/>
                <w:szCs w:val="24"/>
              </w:rPr>
              <w:t>君塘镇</w:t>
            </w:r>
            <w:r>
              <w:rPr>
                <w:color w:val="0000FF"/>
                <w:sz w:val="24"/>
                <w:szCs w:val="24"/>
              </w:rPr>
              <w:t>污水处理厂处置。因此符合《四川省嘉陵江流域生态环境保护条例》政策要求</w:t>
            </w:r>
            <w:r>
              <w:rPr>
                <w:sz w:val="24"/>
                <w:szCs w:val="24"/>
              </w:rPr>
              <w:t>。</w:t>
            </w:r>
          </w:p>
          <w:p w14:paraId="3873E632">
            <w:pPr>
              <w:pStyle w:val="38"/>
              <w:numPr>
                <w:ilvl w:val="1"/>
                <w:numId w:val="3"/>
              </w:numPr>
              <w:spacing w:before="0" w:beforeAutospacing="0" w:after="0" w:afterAutospacing="0" w:line="360" w:lineRule="auto"/>
              <w:ind w:left="0" w:firstLine="0"/>
              <w:rPr>
                <w:rFonts w:ascii="Times New Roman" w:hAnsi="Times New Roman"/>
                <w:b/>
                <w:szCs w:val="32"/>
              </w:rPr>
            </w:pPr>
            <w:r>
              <w:rPr>
                <w:rFonts w:ascii="Times New Roman" w:hAnsi="Times New Roman"/>
                <w:b/>
                <w:szCs w:val="32"/>
              </w:rPr>
              <w:t>与《四川省、</w:t>
            </w:r>
            <w:r>
              <w:rPr>
                <w:rFonts w:ascii="Times New Roman" w:hAnsi="Times New Roman"/>
                <w:b/>
                <w:lang w:bidi="ar"/>
              </w:rPr>
              <w:t>重庆市</w:t>
            </w:r>
            <w:r>
              <w:rPr>
                <w:rFonts w:ascii="Times New Roman" w:hAnsi="Times New Roman"/>
                <w:b/>
                <w:szCs w:val="32"/>
              </w:rPr>
              <w:t>长江经济带发展负面清单实施细则（试行，2022年版）》（川长江办〔2022〕17号）的符合性分析</w:t>
            </w:r>
          </w:p>
          <w:p w14:paraId="20192CEA">
            <w:pPr>
              <w:pStyle w:val="341"/>
              <w:ind w:firstLine="480"/>
              <w:rPr>
                <w:sz w:val="24"/>
                <w:szCs w:val="32"/>
              </w:rPr>
            </w:pPr>
            <w:r>
              <w:rPr>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14:paraId="60BA6725">
            <w:pPr>
              <w:spacing w:line="360" w:lineRule="auto"/>
              <w:jc w:val="center"/>
              <w:rPr>
                <w:b/>
                <w:sz w:val="24"/>
                <w:szCs w:val="32"/>
              </w:rPr>
            </w:pPr>
            <w:r>
              <w:rPr>
                <w:b/>
                <w:sz w:val="24"/>
                <w:szCs w:val="32"/>
              </w:rPr>
              <w:t>表1-6 与《四川省、重庆市长江经济带发展负面清单实施细则（试行，2022年版）》（川长江办〔2022〕17号）分析表</w:t>
            </w:r>
          </w:p>
          <w:tbl>
            <w:tblPr>
              <w:tblStyle w:val="44"/>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30"/>
              <w:gridCol w:w="4257"/>
              <w:gridCol w:w="1797"/>
              <w:gridCol w:w="850"/>
            </w:tblGrid>
            <w:tr w14:paraId="13EF1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12" w:space="0"/>
                    <w:left w:val="single" w:color="auto" w:sz="12" w:space="0"/>
                    <w:bottom w:val="single" w:color="auto" w:sz="6" w:space="0"/>
                    <w:right w:val="single" w:color="auto" w:sz="6" w:space="0"/>
                    <w:tl2br w:val="nil"/>
                    <w:tr2bl w:val="nil"/>
                  </w:tcBorders>
                  <w:vAlign w:val="center"/>
                </w:tcPr>
                <w:p w14:paraId="0798317E">
                  <w:pPr>
                    <w:widowControl/>
                    <w:jc w:val="center"/>
                    <w:rPr>
                      <w:kern w:val="0"/>
                      <w:szCs w:val="21"/>
                    </w:rPr>
                  </w:pPr>
                  <w:r>
                    <w:rPr>
                      <w:kern w:val="0"/>
                      <w:szCs w:val="21"/>
                    </w:rPr>
                    <w:t>序号</w:t>
                  </w:r>
                </w:p>
              </w:tc>
              <w:tc>
                <w:tcPr>
                  <w:tcW w:w="4284" w:type="dxa"/>
                  <w:tcBorders>
                    <w:top w:val="single" w:color="auto" w:sz="12" w:space="0"/>
                    <w:left w:val="single" w:color="auto" w:sz="6" w:space="0"/>
                    <w:bottom w:val="single" w:color="auto" w:sz="6" w:space="0"/>
                    <w:right w:val="single" w:color="auto" w:sz="6" w:space="0"/>
                    <w:tl2br w:val="nil"/>
                    <w:tr2bl w:val="nil"/>
                  </w:tcBorders>
                  <w:vAlign w:val="center"/>
                </w:tcPr>
                <w:p w14:paraId="6F7E7F7C">
                  <w:pPr>
                    <w:widowControl/>
                    <w:jc w:val="center"/>
                    <w:rPr>
                      <w:kern w:val="0"/>
                      <w:szCs w:val="21"/>
                    </w:rPr>
                  </w:pPr>
                  <w:r>
                    <w:rPr>
                      <w:kern w:val="0"/>
                      <w:szCs w:val="21"/>
                    </w:rPr>
                    <w:t>要求</w:t>
                  </w:r>
                </w:p>
              </w:tc>
              <w:tc>
                <w:tcPr>
                  <w:tcW w:w="1809" w:type="dxa"/>
                  <w:tcBorders>
                    <w:top w:val="single" w:color="auto" w:sz="12" w:space="0"/>
                    <w:left w:val="single" w:color="auto" w:sz="6" w:space="0"/>
                    <w:bottom w:val="single" w:color="auto" w:sz="6" w:space="0"/>
                    <w:right w:val="single" w:color="auto" w:sz="6" w:space="0"/>
                    <w:tl2br w:val="nil"/>
                    <w:tr2bl w:val="nil"/>
                  </w:tcBorders>
                  <w:vAlign w:val="center"/>
                </w:tcPr>
                <w:p w14:paraId="4B73C35D">
                  <w:pPr>
                    <w:widowControl/>
                    <w:jc w:val="center"/>
                    <w:rPr>
                      <w:kern w:val="0"/>
                      <w:szCs w:val="21"/>
                    </w:rPr>
                  </w:pPr>
                  <w:r>
                    <w:rPr>
                      <w:kern w:val="0"/>
                      <w:szCs w:val="21"/>
                    </w:rPr>
                    <w:t>本项目</w:t>
                  </w:r>
                </w:p>
              </w:tc>
              <w:tc>
                <w:tcPr>
                  <w:tcW w:w="855" w:type="dxa"/>
                  <w:tcBorders>
                    <w:top w:val="single" w:color="auto" w:sz="12" w:space="0"/>
                    <w:left w:val="single" w:color="auto" w:sz="6" w:space="0"/>
                    <w:bottom w:val="single" w:color="auto" w:sz="6" w:space="0"/>
                    <w:right w:val="single" w:color="auto" w:sz="12" w:space="0"/>
                    <w:tl2br w:val="nil"/>
                    <w:tr2bl w:val="nil"/>
                  </w:tcBorders>
                  <w:vAlign w:val="center"/>
                </w:tcPr>
                <w:p w14:paraId="27CC31B3">
                  <w:pPr>
                    <w:widowControl/>
                    <w:jc w:val="center"/>
                    <w:rPr>
                      <w:kern w:val="0"/>
                      <w:szCs w:val="21"/>
                    </w:rPr>
                  </w:pPr>
                  <w:r>
                    <w:rPr>
                      <w:kern w:val="0"/>
                      <w:szCs w:val="21"/>
                    </w:rPr>
                    <w:t>符合性</w:t>
                  </w:r>
                </w:p>
              </w:tc>
            </w:tr>
            <w:tr w14:paraId="5DF47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6F70C4A9">
                  <w:pPr>
                    <w:widowControl/>
                    <w:jc w:val="center"/>
                    <w:rPr>
                      <w:kern w:val="0"/>
                      <w:szCs w:val="21"/>
                    </w:rPr>
                  </w:pPr>
                  <w:r>
                    <w:rPr>
                      <w:kern w:val="0"/>
                      <w:szCs w:val="21"/>
                    </w:rPr>
                    <w:t>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702DE3F3">
                  <w:pPr>
                    <w:widowControl/>
                    <w:rPr>
                      <w:kern w:val="0"/>
                      <w:szCs w:val="21"/>
                    </w:rPr>
                  </w:pPr>
                  <w:r>
                    <w:rPr>
                      <w:kern w:val="0"/>
                      <w:szCs w:val="21"/>
                    </w:rPr>
                    <w:t>禁止新建、改建和扩建不符合全国港口布局规划以及《四川省内河水运发展规划》《泸州—宜宾—乐山 港口群布局规划》《重庆港总体规划（2035年）》等省级港口布局规划及市级港口总体规划的码头项目。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73A61D0B">
                  <w:pPr>
                    <w:widowControl/>
                    <w:rPr>
                      <w:kern w:val="0"/>
                      <w:szCs w:val="21"/>
                    </w:rPr>
                  </w:pPr>
                  <w:r>
                    <w:rPr>
                      <w:kern w:val="0"/>
                      <w:szCs w:val="21"/>
                    </w:rPr>
                    <w:t>本项目不涉及码头建设。</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03AEC4CB">
                  <w:pPr>
                    <w:widowControl/>
                    <w:jc w:val="center"/>
                    <w:rPr>
                      <w:kern w:val="0"/>
                      <w:szCs w:val="21"/>
                    </w:rPr>
                  </w:pPr>
                  <w:r>
                    <w:rPr>
                      <w:kern w:val="0"/>
                      <w:szCs w:val="21"/>
                    </w:rPr>
                    <w:t>符合</w:t>
                  </w:r>
                </w:p>
              </w:tc>
            </w:tr>
            <w:tr w14:paraId="3DF2A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307FD7D2">
                  <w:pPr>
                    <w:widowControl/>
                    <w:jc w:val="center"/>
                    <w:rPr>
                      <w:kern w:val="0"/>
                      <w:szCs w:val="21"/>
                    </w:rPr>
                  </w:pPr>
                  <w:r>
                    <w:rPr>
                      <w:kern w:val="0"/>
                      <w:szCs w:val="21"/>
                    </w:rPr>
                    <w:t>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F122E35">
                  <w:pPr>
                    <w:widowControl/>
                    <w:rPr>
                      <w:kern w:val="0"/>
                      <w:szCs w:val="21"/>
                    </w:rPr>
                  </w:pPr>
                  <w:r>
                    <w:rPr>
                      <w:kern w:val="0"/>
                      <w:szCs w:val="21"/>
                    </w:rPr>
                    <w:t>禁止新建、改建和扩建不符合《长江干线过江通道布局规划（2020-2035年）》的过长江通道项目（含桥梁、隧道），国家发展改革委同意过长江通道线位调整的除外。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266A882">
                  <w:pPr>
                    <w:widowControl/>
                    <w:rPr>
                      <w:kern w:val="0"/>
                      <w:szCs w:val="21"/>
                    </w:rPr>
                  </w:pPr>
                  <w:r>
                    <w:rPr>
                      <w:kern w:val="0"/>
                      <w:szCs w:val="21"/>
                    </w:rPr>
                    <w:t>本项目不涉及长江干线通道。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6D930DEE">
                  <w:pPr>
                    <w:widowControl/>
                    <w:jc w:val="center"/>
                    <w:rPr>
                      <w:kern w:val="0"/>
                      <w:szCs w:val="21"/>
                    </w:rPr>
                  </w:pPr>
                  <w:r>
                    <w:rPr>
                      <w:kern w:val="0"/>
                      <w:szCs w:val="21"/>
                    </w:rPr>
                    <w:t>符合</w:t>
                  </w:r>
                </w:p>
              </w:tc>
            </w:tr>
            <w:tr w14:paraId="1C187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2636FF69">
                  <w:pPr>
                    <w:widowControl/>
                    <w:jc w:val="center"/>
                    <w:rPr>
                      <w:kern w:val="0"/>
                      <w:szCs w:val="21"/>
                    </w:rPr>
                  </w:pPr>
                  <w:r>
                    <w:rPr>
                      <w:kern w:val="0"/>
                      <w:szCs w:val="21"/>
                    </w:rPr>
                    <w:t>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5D510132">
                  <w:pPr>
                    <w:widowControl/>
                    <w:rPr>
                      <w:kern w:val="0"/>
                      <w:szCs w:val="21"/>
                    </w:rPr>
                  </w:pPr>
                  <w:r>
                    <w:rPr>
                      <w:kern w:val="0"/>
                      <w:szCs w:val="21"/>
                    </w:rPr>
                    <w:t>禁止在自然保护区核心区、缓冲区的岸线和河段范围内投资建设旅游和生产经营项目自然保护区的内部未分区的，依照核心区和缓冲区的规定管控。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7AF26F5D">
                  <w:pPr>
                    <w:widowControl/>
                    <w:rPr>
                      <w:kern w:val="0"/>
                      <w:szCs w:val="21"/>
                    </w:rPr>
                  </w:pPr>
                  <w:r>
                    <w:rPr>
                      <w:kern w:val="0"/>
                      <w:szCs w:val="21"/>
                    </w:rPr>
                    <w:t>不涉及自然保护区、缓冲区的岸线和河道范围。</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6BC115A1">
                  <w:pPr>
                    <w:widowControl/>
                    <w:jc w:val="center"/>
                    <w:rPr>
                      <w:kern w:val="0"/>
                      <w:szCs w:val="21"/>
                    </w:rPr>
                  </w:pPr>
                  <w:r>
                    <w:rPr>
                      <w:kern w:val="0"/>
                      <w:szCs w:val="21"/>
                    </w:rPr>
                    <w:t>符合</w:t>
                  </w:r>
                </w:p>
              </w:tc>
            </w:tr>
            <w:tr w14:paraId="397BE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29518A32">
                  <w:pPr>
                    <w:widowControl/>
                    <w:jc w:val="center"/>
                    <w:rPr>
                      <w:kern w:val="0"/>
                      <w:szCs w:val="21"/>
                    </w:rPr>
                  </w:pPr>
                  <w:r>
                    <w:rPr>
                      <w:kern w:val="0"/>
                      <w:szCs w:val="21"/>
                    </w:rPr>
                    <w:t>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34762729">
                  <w:pPr>
                    <w:widowControl/>
                    <w:rPr>
                      <w:kern w:val="0"/>
                      <w:szCs w:val="21"/>
                    </w:rPr>
                  </w:pPr>
                  <w:r>
                    <w:rPr>
                      <w:kern w:val="0"/>
                      <w:szCs w:val="21"/>
                    </w:rPr>
                    <w:t>禁止违反风景名胜区规划，在风景名胜区内设立各类开发区在风景名胜区核心景区的岸线和河段范围内建设宾馆招待所训中心、疗养院以及与风景名胜资源保护无关的项目。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4A875383">
                  <w:pPr>
                    <w:widowControl/>
                    <w:rPr>
                      <w:kern w:val="0"/>
                      <w:szCs w:val="21"/>
                    </w:rPr>
                  </w:pPr>
                  <w:r>
                    <w:rPr>
                      <w:kern w:val="0"/>
                      <w:szCs w:val="21"/>
                    </w:rPr>
                    <w:t>项目建设不涉及风景名胜区。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43BDE742">
                  <w:pPr>
                    <w:widowControl/>
                    <w:jc w:val="center"/>
                    <w:rPr>
                      <w:kern w:val="0"/>
                      <w:szCs w:val="21"/>
                    </w:rPr>
                  </w:pPr>
                  <w:r>
                    <w:rPr>
                      <w:kern w:val="0"/>
                      <w:szCs w:val="21"/>
                    </w:rPr>
                    <w:t>符合</w:t>
                  </w:r>
                </w:p>
              </w:tc>
            </w:tr>
            <w:tr w14:paraId="34344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5634315A">
                  <w:pPr>
                    <w:widowControl/>
                    <w:jc w:val="center"/>
                    <w:rPr>
                      <w:kern w:val="0"/>
                      <w:szCs w:val="21"/>
                    </w:rPr>
                  </w:pPr>
                  <w:r>
                    <w:rPr>
                      <w:kern w:val="0"/>
                      <w:szCs w:val="21"/>
                    </w:rPr>
                    <w:t>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607F32F">
                  <w:pPr>
                    <w:widowControl/>
                    <w:rPr>
                      <w:kern w:val="0"/>
                      <w:szCs w:val="21"/>
                    </w:rPr>
                  </w:pPr>
                  <w:r>
                    <w:rPr>
                      <w:kern w:val="0"/>
                      <w:szCs w:val="21"/>
                    </w:rPr>
                    <w:t>禁止在饮用水水源准保护区的岸线和河段范围内新建扩建对水体污染严重的建设项目改建增加排污量的建设项目。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5452CC66">
                  <w:pPr>
                    <w:widowControl/>
                    <w:rPr>
                      <w:kern w:val="0"/>
                      <w:szCs w:val="21"/>
                    </w:rPr>
                  </w:pPr>
                  <w:r>
                    <w:rPr>
                      <w:kern w:val="0"/>
                      <w:szCs w:val="21"/>
                    </w:rPr>
                    <w:t>项目建设不涉及饮用水源准保护区的岸线和河段，项目污染物均得到有效处置，不外排。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182311F8">
                  <w:pPr>
                    <w:widowControl/>
                    <w:jc w:val="center"/>
                    <w:rPr>
                      <w:kern w:val="0"/>
                      <w:szCs w:val="21"/>
                    </w:rPr>
                  </w:pPr>
                  <w:r>
                    <w:rPr>
                      <w:kern w:val="0"/>
                      <w:szCs w:val="21"/>
                    </w:rPr>
                    <w:t>符合</w:t>
                  </w:r>
                </w:p>
              </w:tc>
            </w:tr>
            <w:tr w14:paraId="2E8F3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138FC768">
                  <w:pPr>
                    <w:widowControl/>
                    <w:jc w:val="center"/>
                    <w:rPr>
                      <w:kern w:val="0"/>
                      <w:szCs w:val="21"/>
                    </w:rPr>
                  </w:pPr>
                  <w:r>
                    <w:rPr>
                      <w:kern w:val="0"/>
                      <w:szCs w:val="21"/>
                    </w:rPr>
                    <w:t>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B43D6BD">
                  <w:pPr>
                    <w:widowControl/>
                    <w:rPr>
                      <w:kern w:val="0"/>
                      <w:szCs w:val="21"/>
                    </w:rPr>
                  </w:pPr>
                  <w:r>
                    <w:rPr>
                      <w:kern w:val="0"/>
                      <w:szCs w:val="21"/>
                    </w:rPr>
                    <w:t>饮用水水源二级保护区的岸线和河段范围内除遵守准保护区规定外禁止新建、改建、扩建排放污染物的投资建设项目禁止从事对水体有污染的水产养殖等活动。</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1A4FA279">
                  <w:pPr>
                    <w:widowControl/>
                    <w:jc w:val="center"/>
                    <w:rPr>
                      <w:kern w:val="0"/>
                      <w:szCs w:val="21"/>
                    </w:rPr>
                  </w:pPr>
                  <w:r>
                    <w:rPr>
                      <w:kern w:val="0"/>
                      <w:szCs w:val="21"/>
                    </w:rPr>
                    <w:t>本项目建设不涉及饮用水源二级保护区，项目污染物均得到有效处置，现场不外排。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767A485B">
                  <w:pPr>
                    <w:widowControl/>
                    <w:jc w:val="center"/>
                    <w:rPr>
                      <w:kern w:val="0"/>
                      <w:szCs w:val="21"/>
                    </w:rPr>
                  </w:pPr>
                  <w:r>
                    <w:rPr>
                      <w:kern w:val="0"/>
                      <w:szCs w:val="21"/>
                    </w:rPr>
                    <w:t>符合</w:t>
                  </w:r>
                </w:p>
              </w:tc>
            </w:tr>
            <w:tr w14:paraId="215C5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6EF9E329">
                  <w:pPr>
                    <w:widowControl/>
                    <w:jc w:val="center"/>
                    <w:rPr>
                      <w:kern w:val="0"/>
                      <w:szCs w:val="21"/>
                    </w:rPr>
                  </w:pPr>
                  <w:r>
                    <w:rPr>
                      <w:kern w:val="0"/>
                      <w:szCs w:val="21"/>
                    </w:rPr>
                    <w:t>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3E7DF587">
                  <w:pPr>
                    <w:widowControl/>
                    <w:rPr>
                      <w:rFonts w:hint="eastAsia" w:eastAsia="宋体"/>
                      <w:kern w:val="0"/>
                      <w:szCs w:val="21"/>
                      <w:lang w:val="en-US" w:eastAsia="zh-CN"/>
                    </w:rPr>
                  </w:pPr>
                  <w:r>
                    <w:rPr>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r>
                    <w:rPr>
                      <w:rFonts w:hint="eastAsia"/>
                      <w:kern w:val="0"/>
                      <w:szCs w:val="21"/>
                      <w:lang w:val="en-US" w:eastAsia="zh-CN"/>
                    </w:rPr>
                    <w:t xml:space="preserve"> </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2D4A6282">
                  <w:pPr>
                    <w:widowControl/>
                    <w:jc w:val="center"/>
                    <w:rPr>
                      <w:kern w:val="0"/>
                      <w:szCs w:val="21"/>
                    </w:rPr>
                  </w:pPr>
                  <w:r>
                    <w:rPr>
                      <w:rFonts w:hint="eastAsia"/>
                      <w:kern w:val="0"/>
                      <w:szCs w:val="21"/>
                      <w:lang w:val="en-US" w:eastAsia="zh-CN"/>
                    </w:rPr>
                    <w:t>本</w:t>
                  </w:r>
                  <w:r>
                    <w:rPr>
                      <w:kern w:val="0"/>
                      <w:szCs w:val="21"/>
                    </w:rPr>
                    <w:t>项目不涉及饮用水水源一级保护区的岸线和河段范围，项目不涉及养殖类项目。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1723153F">
                  <w:pPr>
                    <w:widowControl/>
                    <w:jc w:val="center"/>
                    <w:rPr>
                      <w:kern w:val="0"/>
                      <w:szCs w:val="21"/>
                    </w:rPr>
                  </w:pPr>
                  <w:r>
                    <w:rPr>
                      <w:kern w:val="0"/>
                      <w:szCs w:val="21"/>
                    </w:rPr>
                    <w:t>符合</w:t>
                  </w:r>
                </w:p>
              </w:tc>
            </w:tr>
            <w:tr w14:paraId="022FB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2865BD2F">
                  <w:pPr>
                    <w:widowControl/>
                    <w:jc w:val="center"/>
                    <w:rPr>
                      <w:kern w:val="0"/>
                      <w:szCs w:val="21"/>
                    </w:rPr>
                  </w:pPr>
                  <w:r>
                    <w:rPr>
                      <w:kern w:val="0"/>
                      <w:szCs w:val="21"/>
                    </w:rPr>
                    <w:t>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524C00AE">
                  <w:pPr>
                    <w:widowControl/>
                    <w:rPr>
                      <w:kern w:val="0"/>
                      <w:szCs w:val="21"/>
                    </w:rPr>
                  </w:pPr>
                  <w:r>
                    <w:rPr>
                      <w:kern w:val="0"/>
                      <w:szCs w:val="21"/>
                    </w:rPr>
                    <w:t>禁止在水产种质资源保护区岸线和河段范围内新建围湖造田、围湖造地或挖沙采石等投资建设项目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21911C05">
                  <w:pPr>
                    <w:widowControl/>
                    <w:jc w:val="center"/>
                    <w:rPr>
                      <w:kern w:val="0"/>
                      <w:szCs w:val="21"/>
                    </w:rPr>
                  </w:pPr>
                  <w:r>
                    <w:rPr>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0637A374">
                  <w:pPr>
                    <w:widowControl/>
                    <w:jc w:val="center"/>
                    <w:rPr>
                      <w:kern w:val="0"/>
                      <w:szCs w:val="21"/>
                    </w:rPr>
                  </w:pPr>
                  <w:r>
                    <w:rPr>
                      <w:kern w:val="0"/>
                      <w:szCs w:val="21"/>
                    </w:rPr>
                    <w:t>符合</w:t>
                  </w:r>
                </w:p>
              </w:tc>
            </w:tr>
            <w:tr w14:paraId="0E97C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533AE17B">
                  <w:pPr>
                    <w:widowControl/>
                    <w:jc w:val="center"/>
                    <w:rPr>
                      <w:kern w:val="0"/>
                      <w:szCs w:val="21"/>
                    </w:rPr>
                  </w:pPr>
                  <w:r>
                    <w:rPr>
                      <w:kern w:val="0"/>
                      <w:szCs w:val="21"/>
                    </w:rPr>
                    <w:t>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25C1C76">
                  <w:pPr>
                    <w:widowControl/>
                    <w:rPr>
                      <w:kern w:val="0"/>
                      <w:szCs w:val="21"/>
                    </w:rPr>
                  </w:pPr>
                  <w:r>
                    <w:rPr>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回游通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3939721F">
                  <w:pPr>
                    <w:widowControl/>
                    <w:jc w:val="center"/>
                    <w:rPr>
                      <w:kern w:val="0"/>
                      <w:szCs w:val="21"/>
                    </w:rPr>
                  </w:pPr>
                  <w:r>
                    <w:rPr>
                      <w:kern w:val="0"/>
                      <w:szCs w:val="21"/>
                    </w:rPr>
                    <w:t>本项目建设不涉及国家湿地公园的岸线和河道范围，且不属于上述项目。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7B57D2D8">
                  <w:pPr>
                    <w:widowControl/>
                    <w:jc w:val="center"/>
                    <w:rPr>
                      <w:kern w:val="0"/>
                      <w:szCs w:val="21"/>
                    </w:rPr>
                  </w:pPr>
                  <w:r>
                    <w:rPr>
                      <w:kern w:val="0"/>
                      <w:szCs w:val="21"/>
                    </w:rPr>
                    <w:t>符合</w:t>
                  </w:r>
                </w:p>
              </w:tc>
            </w:tr>
            <w:tr w14:paraId="40985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044D3060">
                  <w:pPr>
                    <w:widowControl/>
                    <w:jc w:val="center"/>
                    <w:rPr>
                      <w:kern w:val="0"/>
                      <w:szCs w:val="21"/>
                    </w:rPr>
                  </w:pPr>
                  <w:r>
                    <w:rPr>
                      <w:kern w:val="0"/>
                      <w:szCs w:val="21"/>
                    </w:rPr>
                    <w:t>10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7376DF80">
                  <w:pPr>
                    <w:widowControl/>
                    <w:rPr>
                      <w:kern w:val="0"/>
                      <w:szCs w:val="21"/>
                    </w:rPr>
                  </w:pPr>
                  <w:r>
                    <w:rPr>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E033200">
                  <w:pPr>
                    <w:widowControl/>
                    <w:jc w:val="center"/>
                    <w:rPr>
                      <w:kern w:val="0"/>
                      <w:szCs w:val="21"/>
                    </w:rPr>
                  </w:pPr>
                  <w:r>
                    <w:rPr>
                      <w:kern w:val="0"/>
                      <w:szCs w:val="21"/>
                    </w:rPr>
                    <w:t>本项目建设不涉及长江流域河湖岸线。</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69978293">
                  <w:pPr>
                    <w:widowControl/>
                    <w:jc w:val="center"/>
                    <w:rPr>
                      <w:kern w:val="0"/>
                      <w:szCs w:val="21"/>
                    </w:rPr>
                  </w:pPr>
                  <w:r>
                    <w:rPr>
                      <w:kern w:val="0"/>
                      <w:szCs w:val="21"/>
                    </w:rPr>
                    <w:t>符合</w:t>
                  </w:r>
                </w:p>
              </w:tc>
            </w:tr>
            <w:tr w14:paraId="7B12C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035956EF">
                  <w:pPr>
                    <w:widowControl/>
                    <w:jc w:val="center"/>
                    <w:rPr>
                      <w:kern w:val="0"/>
                      <w:szCs w:val="21"/>
                    </w:rPr>
                  </w:pPr>
                  <w:r>
                    <w:rPr>
                      <w:kern w:val="0"/>
                      <w:szCs w:val="21"/>
                    </w:rPr>
                    <w:t>11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15C81D64">
                  <w:pPr>
                    <w:widowControl/>
                    <w:rPr>
                      <w:kern w:val="0"/>
                      <w:szCs w:val="21"/>
                    </w:rPr>
                  </w:pPr>
                  <w:r>
                    <w:rPr>
                      <w:kern w:val="0"/>
                      <w:szCs w:val="21"/>
                    </w:rPr>
                    <w:t>禁止在《全国重要江河湖泊水功能区划》划定的河段及湖泊保护区、保留区内投资建设不利于水资源及自然生态保护的项目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76FD5E94">
                  <w:pPr>
                    <w:widowControl/>
                    <w:jc w:val="center"/>
                    <w:rPr>
                      <w:kern w:val="0"/>
                      <w:szCs w:val="21"/>
                    </w:rPr>
                  </w:pPr>
                  <w:r>
                    <w:rPr>
                      <w:kern w:val="0"/>
                      <w:szCs w:val="21"/>
                    </w:rPr>
                    <w:t>本项目建设不涉及《全国重要江河湖泊水功能区划》划定的河段及湖泊保护区、保留区。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726293A6">
                  <w:pPr>
                    <w:widowControl/>
                    <w:jc w:val="center"/>
                    <w:rPr>
                      <w:kern w:val="0"/>
                      <w:szCs w:val="21"/>
                    </w:rPr>
                  </w:pPr>
                  <w:r>
                    <w:rPr>
                      <w:kern w:val="0"/>
                      <w:szCs w:val="21"/>
                    </w:rPr>
                    <w:t>符合</w:t>
                  </w:r>
                </w:p>
              </w:tc>
            </w:tr>
            <w:tr w14:paraId="04656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22B4EBD2">
                  <w:pPr>
                    <w:widowControl/>
                    <w:jc w:val="center"/>
                    <w:rPr>
                      <w:kern w:val="0"/>
                      <w:szCs w:val="21"/>
                    </w:rPr>
                  </w:pPr>
                  <w:r>
                    <w:rPr>
                      <w:kern w:val="0"/>
                      <w:szCs w:val="21"/>
                    </w:rPr>
                    <w:t>12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727B0FD3">
                  <w:pPr>
                    <w:widowControl/>
                    <w:rPr>
                      <w:kern w:val="0"/>
                      <w:szCs w:val="21"/>
                    </w:rPr>
                  </w:pPr>
                  <w:r>
                    <w:rPr>
                      <w:kern w:val="0"/>
                      <w:szCs w:val="21"/>
                    </w:rPr>
                    <w:t>禁止在长江流域江河、湖泊新设、改设或者扩大排污口经有管辖权的生态环境主管部门或者长江流域生态环境监督管理机构同意的除外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464C6040">
                  <w:pPr>
                    <w:widowControl/>
                    <w:jc w:val="center"/>
                    <w:rPr>
                      <w:kern w:val="0"/>
                      <w:szCs w:val="21"/>
                    </w:rPr>
                  </w:pPr>
                  <w:r>
                    <w:rPr>
                      <w:kern w:val="0"/>
                      <w:szCs w:val="21"/>
                    </w:rPr>
                    <w:t>本项目建设不涉及新增、改设、扩大排污口，产生污染物均得到有效处置，现场不外排。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79D749EB">
                  <w:pPr>
                    <w:widowControl/>
                    <w:jc w:val="center"/>
                    <w:rPr>
                      <w:kern w:val="0"/>
                      <w:szCs w:val="21"/>
                    </w:rPr>
                  </w:pPr>
                  <w:r>
                    <w:rPr>
                      <w:kern w:val="0"/>
                      <w:szCs w:val="21"/>
                    </w:rPr>
                    <w:t>符合</w:t>
                  </w:r>
                </w:p>
              </w:tc>
            </w:tr>
            <w:tr w14:paraId="297E8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309B3516">
                  <w:pPr>
                    <w:widowControl/>
                    <w:jc w:val="center"/>
                    <w:rPr>
                      <w:kern w:val="0"/>
                      <w:szCs w:val="21"/>
                    </w:rPr>
                  </w:pPr>
                  <w:r>
                    <w:rPr>
                      <w:kern w:val="0"/>
                      <w:szCs w:val="21"/>
                    </w:rPr>
                    <w:t>13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025AE8B0">
                  <w:pPr>
                    <w:widowControl/>
                    <w:rPr>
                      <w:kern w:val="0"/>
                      <w:szCs w:val="21"/>
                    </w:rPr>
                  </w:pPr>
                  <w:r>
                    <w:rPr>
                      <w:kern w:val="0"/>
                      <w:szCs w:val="21"/>
                    </w:rPr>
                    <w:t>禁止在长江干流、大渡河、峨江、赤水河、沱江、嘉陵江、乌江、汉江和51个（四川省45个、重庆市6个）水生生物保护区开展生产性捕捞</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DE9FB78">
                  <w:pPr>
                    <w:widowControl/>
                    <w:jc w:val="center"/>
                    <w:rPr>
                      <w:kern w:val="0"/>
                      <w:szCs w:val="21"/>
                    </w:rPr>
                  </w:pPr>
                  <w:r>
                    <w:rPr>
                      <w:kern w:val="0"/>
                      <w:szCs w:val="21"/>
                    </w:rPr>
                    <w:t>本项目不涉及捕捞</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10571BB6">
                  <w:pPr>
                    <w:widowControl/>
                    <w:jc w:val="center"/>
                    <w:rPr>
                      <w:kern w:val="0"/>
                      <w:szCs w:val="21"/>
                    </w:rPr>
                  </w:pPr>
                  <w:r>
                    <w:rPr>
                      <w:kern w:val="0"/>
                      <w:szCs w:val="21"/>
                    </w:rPr>
                    <w:t>符合</w:t>
                  </w:r>
                </w:p>
              </w:tc>
            </w:tr>
            <w:tr w14:paraId="48949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4B3CE237">
                  <w:pPr>
                    <w:widowControl/>
                    <w:jc w:val="center"/>
                    <w:rPr>
                      <w:kern w:val="0"/>
                      <w:szCs w:val="21"/>
                    </w:rPr>
                  </w:pPr>
                  <w:r>
                    <w:rPr>
                      <w:kern w:val="0"/>
                      <w:szCs w:val="21"/>
                    </w:rPr>
                    <w:t>14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600819D">
                  <w:pPr>
                    <w:widowControl/>
                    <w:rPr>
                      <w:kern w:val="0"/>
                      <w:szCs w:val="21"/>
                    </w:rPr>
                  </w:pPr>
                  <w:r>
                    <w:rPr>
                      <w:kern w:val="0"/>
                      <w:szCs w:val="21"/>
                    </w:rPr>
                    <w:t>禁止在长江干支流、重要湖泊岸线一公里范围内新建、扩建化工园区和化工项目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4DEEDA17">
                  <w:pPr>
                    <w:widowControl/>
                    <w:jc w:val="center"/>
                    <w:rPr>
                      <w:kern w:val="0"/>
                      <w:szCs w:val="21"/>
                    </w:rPr>
                  </w:pPr>
                  <w:r>
                    <w:rPr>
                      <w:kern w:val="0"/>
                      <w:szCs w:val="21"/>
                    </w:rPr>
                    <w:t>本项目不属于化工项目。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25D94C9B">
                  <w:pPr>
                    <w:widowControl/>
                    <w:jc w:val="center"/>
                    <w:rPr>
                      <w:kern w:val="0"/>
                      <w:szCs w:val="21"/>
                    </w:rPr>
                  </w:pPr>
                  <w:r>
                    <w:rPr>
                      <w:kern w:val="0"/>
                      <w:szCs w:val="21"/>
                    </w:rPr>
                    <w:t>符合</w:t>
                  </w:r>
                </w:p>
              </w:tc>
            </w:tr>
            <w:tr w14:paraId="64350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0DA003BE">
                  <w:pPr>
                    <w:widowControl/>
                    <w:jc w:val="center"/>
                    <w:rPr>
                      <w:kern w:val="0"/>
                      <w:szCs w:val="21"/>
                    </w:rPr>
                  </w:pPr>
                  <w:r>
                    <w:rPr>
                      <w:kern w:val="0"/>
                      <w:szCs w:val="21"/>
                    </w:rPr>
                    <w:t>15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011EBF10">
                  <w:pPr>
                    <w:widowControl/>
                    <w:rPr>
                      <w:kern w:val="0"/>
                      <w:szCs w:val="21"/>
                    </w:rPr>
                  </w:pPr>
                  <w:r>
                    <w:rPr>
                      <w:kern w:val="0"/>
                      <w:szCs w:val="21"/>
                    </w:rPr>
                    <w:t>禁止在长江干流岸线一公里范围内和重要支流岸线一公里范围内新建、改建扩建尾矿库、冶炼渣库、磷石膏库，以提升安全、生态环境保护水平为目的的改建除外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4D5049B">
                  <w:pPr>
                    <w:widowControl/>
                    <w:jc w:val="center"/>
                    <w:rPr>
                      <w:kern w:val="0"/>
                      <w:szCs w:val="21"/>
                    </w:rPr>
                  </w:pPr>
                  <w:r>
                    <w:rPr>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1064CA6B">
                  <w:pPr>
                    <w:widowControl/>
                    <w:jc w:val="center"/>
                    <w:rPr>
                      <w:kern w:val="0"/>
                      <w:szCs w:val="21"/>
                    </w:rPr>
                  </w:pPr>
                  <w:r>
                    <w:rPr>
                      <w:kern w:val="0"/>
                      <w:szCs w:val="21"/>
                    </w:rPr>
                    <w:t>符合</w:t>
                  </w:r>
                </w:p>
              </w:tc>
            </w:tr>
            <w:tr w14:paraId="445BD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20F4302D">
                  <w:pPr>
                    <w:widowControl/>
                    <w:jc w:val="center"/>
                    <w:rPr>
                      <w:kern w:val="0"/>
                      <w:szCs w:val="21"/>
                    </w:rPr>
                  </w:pPr>
                  <w:r>
                    <w:rPr>
                      <w:kern w:val="0"/>
                      <w:szCs w:val="21"/>
                    </w:rPr>
                    <w:t>16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13899C1B">
                  <w:pPr>
                    <w:widowControl/>
                    <w:rPr>
                      <w:kern w:val="0"/>
                      <w:szCs w:val="21"/>
                    </w:rPr>
                  </w:pPr>
                  <w:r>
                    <w:rPr>
                      <w:kern w:val="0"/>
                      <w:szCs w:val="21"/>
                    </w:rPr>
                    <w:t>禁止在生态保护红线区域、永久基本农田集中区域和其他需要特别保护的区域内选址建设尾矿库、冶炼渣库、磷石膏库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F486C0A">
                  <w:pPr>
                    <w:widowControl/>
                    <w:jc w:val="center"/>
                    <w:rPr>
                      <w:kern w:val="0"/>
                      <w:szCs w:val="21"/>
                    </w:rPr>
                  </w:pPr>
                  <w:r>
                    <w:rPr>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40186525">
                  <w:pPr>
                    <w:widowControl/>
                    <w:jc w:val="center"/>
                    <w:rPr>
                      <w:kern w:val="0"/>
                      <w:szCs w:val="21"/>
                    </w:rPr>
                  </w:pPr>
                  <w:r>
                    <w:rPr>
                      <w:kern w:val="0"/>
                      <w:szCs w:val="21"/>
                    </w:rPr>
                    <w:t>符合</w:t>
                  </w:r>
                </w:p>
              </w:tc>
            </w:tr>
            <w:tr w14:paraId="7A9FB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0EC75B83">
                  <w:pPr>
                    <w:widowControl/>
                    <w:jc w:val="center"/>
                    <w:rPr>
                      <w:kern w:val="0"/>
                      <w:szCs w:val="21"/>
                    </w:rPr>
                  </w:pPr>
                  <w:r>
                    <w:rPr>
                      <w:kern w:val="0"/>
                      <w:szCs w:val="21"/>
                    </w:rPr>
                    <w:t>17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3400BE90">
                  <w:pPr>
                    <w:widowControl/>
                    <w:rPr>
                      <w:kern w:val="0"/>
                      <w:szCs w:val="21"/>
                    </w:rPr>
                  </w:pPr>
                  <w:r>
                    <w:rPr>
                      <w:kern w:val="0"/>
                      <w:szCs w:val="21"/>
                    </w:rPr>
                    <w:t>禁止在合规园区外新建、扩建钢铁、石化、化</w:t>
                  </w:r>
                </w:p>
                <w:p w14:paraId="06750B27">
                  <w:pPr>
                    <w:widowControl/>
                    <w:rPr>
                      <w:kern w:val="0"/>
                      <w:szCs w:val="21"/>
                    </w:rPr>
                  </w:pPr>
                  <w:r>
                    <w:rPr>
                      <w:kern w:val="0"/>
                      <w:szCs w:val="21"/>
                    </w:rPr>
                    <w:t>工、焦化、建材、有色、制浆造纸等高污染项目。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196E5D6A">
                  <w:pPr>
                    <w:widowControl/>
                    <w:jc w:val="center"/>
                    <w:rPr>
                      <w:kern w:val="0"/>
                      <w:szCs w:val="21"/>
                    </w:rPr>
                  </w:pPr>
                  <w:r>
                    <w:rPr>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3FDC5774">
                  <w:pPr>
                    <w:widowControl/>
                    <w:jc w:val="center"/>
                    <w:rPr>
                      <w:kern w:val="0"/>
                      <w:szCs w:val="21"/>
                    </w:rPr>
                  </w:pPr>
                  <w:r>
                    <w:rPr>
                      <w:kern w:val="0"/>
                      <w:szCs w:val="21"/>
                    </w:rPr>
                    <w:t>符合</w:t>
                  </w:r>
                </w:p>
              </w:tc>
            </w:tr>
            <w:tr w14:paraId="43BBE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102227C2">
                  <w:pPr>
                    <w:widowControl/>
                    <w:jc w:val="center"/>
                    <w:rPr>
                      <w:kern w:val="0"/>
                      <w:szCs w:val="21"/>
                    </w:rPr>
                  </w:pPr>
                  <w:r>
                    <w:rPr>
                      <w:kern w:val="0"/>
                      <w:szCs w:val="21"/>
                    </w:rPr>
                    <w:t>18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5CD32C52">
                  <w:pPr>
                    <w:widowControl/>
                    <w:rPr>
                      <w:kern w:val="0"/>
                      <w:szCs w:val="21"/>
                    </w:rPr>
                  </w:pPr>
                  <w:r>
                    <w:rPr>
                      <w:kern w:val="0"/>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657EA227">
                  <w:pPr>
                    <w:widowControl/>
                    <w:jc w:val="center"/>
                    <w:rPr>
                      <w:kern w:val="0"/>
                      <w:szCs w:val="21"/>
                    </w:rPr>
                  </w:pPr>
                  <w:r>
                    <w:rPr>
                      <w:kern w:val="0"/>
                      <w:szCs w:val="21"/>
                    </w:rPr>
                    <w:t>本项目不属于落后产能项目及淘汰类项目。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59F52277">
                  <w:pPr>
                    <w:widowControl/>
                    <w:jc w:val="center"/>
                    <w:rPr>
                      <w:kern w:val="0"/>
                      <w:szCs w:val="21"/>
                    </w:rPr>
                  </w:pPr>
                  <w:r>
                    <w:rPr>
                      <w:kern w:val="0"/>
                      <w:szCs w:val="21"/>
                    </w:rPr>
                    <w:t>符合</w:t>
                  </w:r>
                </w:p>
              </w:tc>
            </w:tr>
            <w:tr w14:paraId="246AC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63F224A4">
                  <w:pPr>
                    <w:widowControl/>
                    <w:jc w:val="center"/>
                    <w:rPr>
                      <w:kern w:val="0"/>
                      <w:szCs w:val="21"/>
                    </w:rPr>
                  </w:pPr>
                  <w:r>
                    <w:rPr>
                      <w:kern w:val="0"/>
                      <w:szCs w:val="21"/>
                    </w:rPr>
                    <w:t>19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42A7A17E">
                  <w:pPr>
                    <w:widowControl/>
                    <w:rPr>
                      <w:kern w:val="0"/>
                      <w:szCs w:val="21"/>
                    </w:rPr>
                  </w:pPr>
                  <w:r>
                    <w:rPr>
                      <w:kern w:val="0"/>
                      <w:szCs w:val="21"/>
                    </w:rPr>
                    <w:t>禁止新建、扩建不符合国家产能置换要求的严重过剩产能行业的项目对于不符合国家产能置换要求的严重过剩产能行业，不得以其他任何名义任何方式备案新增产能项目。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3FD63C5B">
                  <w:pPr>
                    <w:widowControl/>
                    <w:jc w:val="center"/>
                    <w:rPr>
                      <w:kern w:val="0"/>
                      <w:szCs w:val="21"/>
                    </w:rPr>
                  </w:pPr>
                  <w:r>
                    <w:rPr>
                      <w:kern w:val="0"/>
                      <w:szCs w:val="21"/>
                    </w:rPr>
                    <w:t>本项目不属于过剩产能行业的项目。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4F23CFEA">
                  <w:pPr>
                    <w:widowControl/>
                    <w:jc w:val="center"/>
                    <w:rPr>
                      <w:kern w:val="0"/>
                      <w:szCs w:val="21"/>
                    </w:rPr>
                  </w:pPr>
                  <w:r>
                    <w:rPr>
                      <w:kern w:val="0"/>
                      <w:szCs w:val="21"/>
                    </w:rPr>
                    <w:t>符合</w:t>
                  </w:r>
                </w:p>
              </w:tc>
            </w:tr>
            <w:tr w14:paraId="1CC5C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14:paraId="33881B93">
                  <w:pPr>
                    <w:widowControl/>
                    <w:jc w:val="center"/>
                    <w:rPr>
                      <w:kern w:val="0"/>
                      <w:szCs w:val="21"/>
                    </w:rPr>
                  </w:pPr>
                  <w:r>
                    <w:rPr>
                      <w:kern w:val="0"/>
                      <w:szCs w:val="21"/>
                    </w:rPr>
                    <w:t>20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14:paraId="54312578">
                  <w:pPr>
                    <w:widowControl/>
                    <w:rPr>
                      <w:kern w:val="0"/>
                      <w:szCs w:val="21"/>
                    </w:rPr>
                  </w:pPr>
                  <w:r>
                    <w:rPr>
                      <w:kern w:val="0"/>
                      <w:szCs w:val="21"/>
                    </w:rPr>
                    <w:t>禁止建设以燃油汽车投资项目（不在中国境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14:paraId="0D9D2326">
                  <w:pPr>
                    <w:widowControl/>
                    <w:jc w:val="center"/>
                    <w:rPr>
                      <w:kern w:val="0"/>
                      <w:szCs w:val="21"/>
                    </w:rPr>
                  </w:pPr>
                  <w:r>
                    <w:rPr>
                      <w:kern w:val="0"/>
                      <w:szCs w:val="21"/>
                    </w:rPr>
                    <w:t>本项目不属于燃油车项目。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14:paraId="14C5F55D">
                  <w:pPr>
                    <w:widowControl/>
                    <w:jc w:val="center"/>
                    <w:rPr>
                      <w:kern w:val="0"/>
                      <w:szCs w:val="21"/>
                    </w:rPr>
                  </w:pPr>
                  <w:r>
                    <w:rPr>
                      <w:kern w:val="0"/>
                      <w:szCs w:val="21"/>
                    </w:rPr>
                    <w:t>符合</w:t>
                  </w:r>
                </w:p>
              </w:tc>
            </w:tr>
            <w:tr w14:paraId="6ADBB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12" w:space="0"/>
                    <w:right w:val="single" w:color="auto" w:sz="6" w:space="0"/>
                    <w:tl2br w:val="nil"/>
                    <w:tr2bl w:val="nil"/>
                  </w:tcBorders>
                  <w:vAlign w:val="center"/>
                </w:tcPr>
                <w:p w14:paraId="7148EB25">
                  <w:pPr>
                    <w:widowControl/>
                    <w:jc w:val="center"/>
                    <w:rPr>
                      <w:kern w:val="0"/>
                      <w:szCs w:val="21"/>
                    </w:rPr>
                  </w:pPr>
                  <w:r>
                    <w:rPr>
                      <w:kern w:val="0"/>
                      <w:szCs w:val="21"/>
                    </w:rPr>
                    <w:t>21</w:t>
                  </w:r>
                </w:p>
              </w:tc>
              <w:tc>
                <w:tcPr>
                  <w:tcW w:w="4284" w:type="dxa"/>
                  <w:tcBorders>
                    <w:top w:val="single" w:color="auto" w:sz="6" w:space="0"/>
                    <w:left w:val="single" w:color="auto" w:sz="6" w:space="0"/>
                    <w:bottom w:val="single" w:color="auto" w:sz="12" w:space="0"/>
                    <w:right w:val="single" w:color="auto" w:sz="6" w:space="0"/>
                    <w:tl2br w:val="nil"/>
                    <w:tr2bl w:val="nil"/>
                  </w:tcBorders>
                  <w:vAlign w:val="center"/>
                </w:tcPr>
                <w:p w14:paraId="243A64E2">
                  <w:pPr>
                    <w:widowControl/>
                    <w:rPr>
                      <w:kern w:val="0"/>
                      <w:szCs w:val="21"/>
                    </w:rPr>
                  </w:pPr>
                  <w:r>
                    <w:rPr>
                      <w:kern w:val="0"/>
                      <w:szCs w:val="21"/>
                    </w:rPr>
                    <w:t>禁止新建扩建不符合要求的高耗能、高排放、低水平项目</w:t>
                  </w:r>
                </w:p>
              </w:tc>
              <w:tc>
                <w:tcPr>
                  <w:tcW w:w="1809" w:type="dxa"/>
                  <w:tcBorders>
                    <w:top w:val="single" w:color="auto" w:sz="6" w:space="0"/>
                    <w:left w:val="single" w:color="auto" w:sz="6" w:space="0"/>
                    <w:bottom w:val="single" w:color="auto" w:sz="12" w:space="0"/>
                    <w:right w:val="single" w:color="auto" w:sz="6" w:space="0"/>
                    <w:tl2br w:val="nil"/>
                    <w:tr2bl w:val="nil"/>
                  </w:tcBorders>
                  <w:vAlign w:val="center"/>
                </w:tcPr>
                <w:p w14:paraId="280923B0">
                  <w:pPr>
                    <w:widowControl/>
                    <w:jc w:val="center"/>
                    <w:rPr>
                      <w:kern w:val="0"/>
                      <w:szCs w:val="21"/>
                    </w:rPr>
                  </w:pPr>
                  <w:r>
                    <w:rPr>
                      <w:kern w:val="0"/>
                      <w:szCs w:val="21"/>
                    </w:rPr>
                    <w:t>本项目不属于高耗能、高排放、低水平项目。</w:t>
                  </w:r>
                </w:p>
              </w:tc>
              <w:tc>
                <w:tcPr>
                  <w:tcW w:w="855" w:type="dxa"/>
                  <w:tcBorders>
                    <w:top w:val="single" w:color="auto" w:sz="6" w:space="0"/>
                    <w:left w:val="single" w:color="auto" w:sz="6" w:space="0"/>
                    <w:bottom w:val="single" w:color="auto" w:sz="12" w:space="0"/>
                    <w:right w:val="single" w:color="auto" w:sz="12" w:space="0"/>
                    <w:tl2br w:val="nil"/>
                    <w:tr2bl w:val="nil"/>
                  </w:tcBorders>
                  <w:vAlign w:val="center"/>
                </w:tcPr>
                <w:p w14:paraId="444D5629">
                  <w:pPr>
                    <w:widowControl/>
                    <w:jc w:val="center"/>
                    <w:rPr>
                      <w:kern w:val="0"/>
                      <w:szCs w:val="21"/>
                    </w:rPr>
                  </w:pPr>
                  <w:r>
                    <w:rPr>
                      <w:kern w:val="0"/>
                      <w:szCs w:val="21"/>
                    </w:rPr>
                    <w:t>符合</w:t>
                  </w:r>
                </w:p>
              </w:tc>
            </w:tr>
          </w:tbl>
          <w:p w14:paraId="559B73D0">
            <w:pPr>
              <w:pStyle w:val="341"/>
              <w:ind w:firstLine="480"/>
              <w:rPr>
                <w:sz w:val="24"/>
                <w:szCs w:val="32"/>
              </w:rPr>
            </w:pPr>
            <w:r>
              <w:rPr>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14:paraId="311226D9">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与《关于进一步加强石油天然气行业环境影响评价管理的通知》的符合性</w:t>
            </w:r>
          </w:p>
          <w:p w14:paraId="29AC6EAE">
            <w:pPr>
              <w:spacing w:line="360" w:lineRule="auto"/>
              <w:ind w:firstLine="480" w:firstLineChars="200"/>
              <w:rPr>
                <w:sz w:val="24"/>
              </w:rPr>
            </w:pPr>
            <w:r>
              <w:rPr>
                <w:sz w:val="24"/>
              </w:rPr>
              <w:t>（1）与深化项目环评“放管服”改革符合性</w:t>
            </w:r>
          </w:p>
          <w:p w14:paraId="11CCCD60">
            <w:pPr>
              <w:spacing w:line="360" w:lineRule="auto"/>
              <w:ind w:firstLine="480" w:firstLineChars="200"/>
              <w:rPr>
                <w:sz w:val="24"/>
              </w:rPr>
            </w:pPr>
            <w:r>
              <w:rPr>
                <w:sz w:val="24"/>
              </w:rPr>
              <w:t>根据生态环境部印发《关于进一步加强石油天然气行业环境影响评价管理的通知》（环办环评函〔2019〕910号）（以下简称《通知》）及生态环境部环境影响评价与排放管理司有关负责人就《通知》出台的背景、编制思路、环评管理要求等作出的回答，对于区块的属性，可结合实际情况判断是新区块还是老区块，老区块一般指此前已开展过环评、又进行滚动开发、加密打井维持产量的区块。</w:t>
            </w:r>
            <w:r>
              <w:rPr>
                <w:rFonts w:hint="eastAsia"/>
                <w:sz w:val="24"/>
              </w:rPr>
              <w:t>双庙页1HF井</w:t>
            </w:r>
            <w:r>
              <w:rPr>
                <w:sz w:val="24"/>
              </w:rPr>
              <w:t>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14:paraId="151A4A28">
            <w:pPr>
              <w:spacing w:line="360" w:lineRule="auto"/>
              <w:ind w:firstLine="480" w:firstLineChars="200"/>
              <w:rPr>
                <w:sz w:val="24"/>
              </w:rPr>
            </w:pPr>
            <w:r>
              <w:rPr>
                <w:sz w:val="24"/>
              </w:rPr>
              <w:t>（2）强化生态环境保护措施符合性</w:t>
            </w:r>
          </w:p>
          <w:p w14:paraId="00B5D8C6">
            <w:pPr>
              <w:spacing w:line="360" w:lineRule="auto"/>
              <w:ind w:firstLine="480" w:firstLineChars="200"/>
              <w:rPr>
                <w:sz w:val="24"/>
              </w:rPr>
            </w:pPr>
            <w:r>
              <w:rPr>
                <w:sz w:val="24"/>
              </w:rPr>
              <w:t>项目与生态环境保护措施符合性如下表所示。</w:t>
            </w:r>
          </w:p>
          <w:p w14:paraId="386479C5">
            <w:pPr>
              <w:spacing w:line="360" w:lineRule="auto"/>
              <w:jc w:val="center"/>
              <w:rPr>
                <w:b/>
                <w:sz w:val="24"/>
              </w:rPr>
            </w:pPr>
            <w:r>
              <w:rPr>
                <w:b/>
                <w:sz w:val="24"/>
              </w:rPr>
              <w:t>表1-7 与《关于进一步加强石油天然气行业环境影响评价管理的通知》中强化生态环境保护措施对比分析表</w:t>
            </w:r>
          </w:p>
          <w:tbl>
            <w:tblPr>
              <w:tblStyle w:val="44"/>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186"/>
              <w:gridCol w:w="2174"/>
              <w:gridCol w:w="487"/>
            </w:tblGrid>
            <w:tr w14:paraId="3B3AC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vAlign w:val="center"/>
                </w:tcPr>
                <w:p w14:paraId="2597DD73">
                  <w:pPr>
                    <w:jc w:val="center"/>
                    <w:rPr>
                      <w:kern w:val="0"/>
                      <w:szCs w:val="21"/>
                      <w:lang w:bidi="ar"/>
                    </w:rPr>
                  </w:pPr>
                  <w:r>
                    <w:rPr>
                      <w:szCs w:val="21"/>
                    </w:rPr>
                    <w:t>序号</w:t>
                  </w:r>
                </w:p>
              </w:tc>
              <w:tc>
                <w:tcPr>
                  <w:tcW w:w="4186" w:type="dxa"/>
                  <w:tcBorders>
                    <w:top w:val="single" w:color="auto" w:sz="12" w:space="0"/>
                    <w:left w:val="single" w:color="auto" w:sz="4" w:space="0"/>
                    <w:bottom w:val="single" w:color="auto" w:sz="4" w:space="0"/>
                    <w:right w:val="single" w:color="auto" w:sz="4" w:space="0"/>
                    <w:tl2br w:val="nil"/>
                    <w:tr2bl w:val="nil"/>
                  </w:tcBorders>
                  <w:vAlign w:val="center"/>
                </w:tcPr>
                <w:p w14:paraId="56E983D4">
                  <w:pPr>
                    <w:jc w:val="center"/>
                    <w:rPr>
                      <w:kern w:val="0"/>
                      <w:szCs w:val="21"/>
                      <w:lang w:bidi="ar"/>
                    </w:rPr>
                  </w:pPr>
                  <w:r>
                    <w:rPr>
                      <w:szCs w:val="21"/>
                    </w:rPr>
                    <w:t>技术政策要求</w:t>
                  </w:r>
                </w:p>
              </w:tc>
              <w:tc>
                <w:tcPr>
                  <w:tcW w:w="2174" w:type="dxa"/>
                  <w:tcBorders>
                    <w:top w:val="single" w:color="auto" w:sz="12" w:space="0"/>
                    <w:left w:val="single" w:color="auto" w:sz="4" w:space="0"/>
                    <w:bottom w:val="single" w:color="auto" w:sz="4" w:space="0"/>
                    <w:right w:val="single" w:color="auto" w:sz="4" w:space="0"/>
                    <w:tl2br w:val="nil"/>
                    <w:tr2bl w:val="nil"/>
                  </w:tcBorders>
                  <w:vAlign w:val="center"/>
                </w:tcPr>
                <w:p w14:paraId="0A2CB9AA">
                  <w:pPr>
                    <w:jc w:val="center"/>
                    <w:rPr>
                      <w:kern w:val="0"/>
                      <w:szCs w:val="21"/>
                      <w:lang w:bidi="ar"/>
                    </w:rPr>
                  </w:pPr>
                  <w:r>
                    <w:rPr>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vAlign w:val="center"/>
                </w:tcPr>
                <w:p w14:paraId="74E2BB41">
                  <w:pPr>
                    <w:jc w:val="center"/>
                    <w:rPr>
                      <w:kern w:val="0"/>
                      <w:szCs w:val="21"/>
                      <w:lang w:bidi="ar"/>
                    </w:rPr>
                  </w:pPr>
                  <w:r>
                    <w:rPr>
                      <w:szCs w:val="21"/>
                    </w:rPr>
                    <w:t>符合性</w:t>
                  </w:r>
                </w:p>
              </w:tc>
            </w:tr>
            <w:tr w14:paraId="523B7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4D0483DF">
                  <w:pPr>
                    <w:widowControl/>
                    <w:jc w:val="center"/>
                    <w:rPr>
                      <w:szCs w:val="21"/>
                    </w:rPr>
                  </w:pPr>
                  <w:r>
                    <w:rPr>
                      <w:kern w:val="0"/>
                      <w:szCs w:val="21"/>
                      <w:lang w:bidi="ar"/>
                    </w:rPr>
                    <w:t>1</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54128A39">
                  <w:pPr>
                    <w:widowControl/>
                    <w:rPr>
                      <w:kern w:val="0"/>
                      <w:szCs w:val="21"/>
                    </w:rPr>
                  </w:pPr>
                  <w:r>
                    <w:rPr>
                      <w:kern w:val="0"/>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569FE59A">
                  <w:pPr>
                    <w:pStyle w:val="26"/>
                    <w:spacing w:line="240" w:lineRule="auto"/>
                    <w:rPr>
                      <w:color w:val="0000FF"/>
                      <w:sz w:val="21"/>
                      <w:szCs w:val="21"/>
                    </w:rPr>
                  </w:pPr>
                  <w:r>
                    <w:rPr>
                      <w:color w:val="0000FF"/>
                      <w:kern w:val="0"/>
                      <w:sz w:val="21"/>
                      <w:szCs w:val="21"/>
                    </w:rPr>
                    <w:t>本项目钻井废水</w:t>
                  </w:r>
                  <w:r>
                    <w:rPr>
                      <w:rFonts w:hint="eastAsia"/>
                      <w:color w:val="0000FF"/>
                      <w:kern w:val="0"/>
                      <w:sz w:val="21"/>
                      <w:szCs w:val="21"/>
                    </w:rPr>
                    <w:t>不能回用时</w:t>
                  </w:r>
                  <w:r>
                    <w:rPr>
                      <w:color w:val="0000FF"/>
                      <w:kern w:val="0"/>
                      <w:sz w:val="21"/>
                      <w:szCs w:val="21"/>
                    </w:rPr>
                    <w:t>由密闭罐车定期拉运至</w:t>
                  </w:r>
                  <w:r>
                    <w:rPr>
                      <w:rFonts w:hint="eastAsia"/>
                      <w:color w:val="0000FF"/>
                      <w:kern w:val="0"/>
                      <w:sz w:val="21"/>
                      <w:szCs w:val="21"/>
                    </w:rPr>
                    <w:t>赵家坝污水处理站</w:t>
                  </w:r>
                  <w:r>
                    <w:rPr>
                      <w:color w:val="0000FF"/>
                      <w:kern w:val="0"/>
                      <w:sz w:val="21"/>
                      <w:szCs w:val="21"/>
                    </w:rPr>
                    <w:t>处理达标后</w:t>
                  </w:r>
                  <w:r>
                    <w:rPr>
                      <w:rFonts w:hint="eastAsia"/>
                      <w:color w:val="0000FF"/>
                      <w:kern w:val="0"/>
                      <w:sz w:val="21"/>
                      <w:szCs w:val="21"/>
                    </w:rPr>
                    <w:t>由罐车拉运至普光3井等回注站</w:t>
                  </w:r>
                  <w:r>
                    <w:rPr>
                      <w:color w:val="0000FF"/>
                      <w:kern w:val="0"/>
                      <w:sz w:val="21"/>
                      <w:szCs w:val="21"/>
                    </w:rPr>
                    <w:t>回注。</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2DAE66CD">
                  <w:pPr>
                    <w:widowControl/>
                    <w:jc w:val="center"/>
                    <w:rPr>
                      <w:szCs w:val="21"/>
                    </w:rPr>
                  </w:pPr>
                  <w:r>
                    <w:rPr>
                      <w:kern w:val="0"/>
                      <w:szCs w:val="21"/>
                      <w:lang w:bidi="ar"/>
                    </w:rPr>
                    <w:t>符合</w:t>
                  </w:r>
                </w:p>
              </w:tc>
            </w:tr>
            <w:tr w14:paraId="491F5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vAlign w:val="center"/>
                </w:tcPr>
                <w:p w14:paraId="6FFEA6ED">
                  <w:pPr>
                    <w:widowControl/>
                    <w:jc w:val="center"/>
                    <w:rPr>
                      <w:kern w:val="0"/>
                      <w:szCs w:val="21"/>
                      <w:lang w:bidi="ar"/>
                    </w:rPr>
                  </w:pPr>
                  <w:r>
                    <w:rPr>
                      <w:kern w:val="0"/>
                      <w:szCs w:val="21"/>
                      <w:lang w:bidi="ar"/>
                    </w:rPr>
                    <w:t>2</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7B4B78D6">
                  <w:pPr>
                    <w:widowControl/>
                    <w:rPr>
                      <w:kern w:val="0"/>
                      <w:szCs w:val="21"/>
                    </w:rPr>
                  </w:pPr>
                  <w:r>
                    <w:rPr>
                      <w:kern w:val="0"/>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217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7BC7E1C">
                  <w:pPr>
                    <w:pStyle w:val="26"/>
                    <w:spacing w:line="240" w:lineRule="auto"/>
                    <w:rPr>
                      <w:color w:val="0000FF"/>
                      <w:kern w:val="0"/>
                      <w:sz w:val="21"/>
                      <w:szCs w:val="21"/>
                    </w:rPr>
                  </w:pPr>
                  <w:r>
                    <w:rPr>
                      <w:color w:val="0000FF"/>
                      <w:kern w:val="0"/>
                      <w:sz w:val="21"/>
                      <w:szCs w:val="21"/>
                    </w:rPr>
                    <w:t>本项目属于气田的陆地矿产资源地质勘查（含油气资源勘探），本项目属于天然气勘探工程，不涉及天然气开采。钻井废水</w:t>
                  </w:r>
                  <w:r>
                    <w:rPr>
                      <w:rFonts w:hint="eastAsia"/>
                      <w:color w:val="0000FF"/>
                      <w:kern w:val="0"/>
                      <w:sz w:val="21"/>
                      <w:szCs w:val="21"/>
                    </w:rPr>
                    <w:t>不能回用时</w:t>
                  </w:r>
                  <w:r>
                    <w:rPr>
                      <w:color w:val="0000FF"/>
                      <w:kern w:val="0"/>
                      <w:sz w:val="21"/>
                      <w:szCs w:val="21"/>
                    </w:rPr>
                    <w:t>由密闭罐车定期拉运至</w:t>
                  </w:r>
                  <w:r>
                    <w:rPr>
                      <w:rFonts w:hint="eastAsia"/>
                      <w:color w:val="0000FF"/>
                      <w:kern w:val="0"/>
                      <w:sz w:val="21"/>
                      <w:szCs w:val="21"/>
                    </w:rPr>
                    <w:t>赵家坝污水处理站</w:t>
                  </w:r>
                  <w:r>
                    <w:rPr>
                      <w:color w:val="0000FF"/>
                      <w:kern w:val="0"/>
                      <w:sz w:val="21"/>
                      <w:szCs w:val="21"/>
                    </w:rPr>
                    <w:t>处理达标后由罐车拉运至普光3井等回注站回注；压裂废水暂存于放喷池及清水池，装车定期拉运至</w:t>
                  </w:r>
                  <w:r>
                    <w:rPr>
                      <w:rFonts w:hint="eastAsia"/>
                      <w:color w:val="0000FF"/>
                      <w:kern w:val="0"/>
                      <w:sz w:val="21"/>
                      <w:szCs w:val="21"/>
                    </w:rPr>
                    <w:t>赵家坝污水处理站</w:t>
                  </w:r>
                  <w:r>
                    <w:rPr>
                      <w:color w:val="0000FF"/>
                      <w:kern w:val="0"/>
                      <w:sz w:val="21"/>
                      <w:szCs w:val="21"/>
                    </w:rPr>
                    <w:t>处理达标后</w:t>
                  </w:r>
                  <w:r>
                    <w:rPr>
                      <w:rFonts w:hint="eastAsia"/>
                      <w:color w:val="0000FF"/>
                      <w:kern w:val="0"/>
                      <w:sz w:val="21"/>
                      <w:szCs w:val="21"/>
                    </w:rPr>
                    <w:t>由罐车拉运至普光3井等回注站</w:t>
                  </w:r>
                  <w:r>
                    <w:rPr>
                      <w:color w:val="0000FF"/>
                      <w:kern w:val="0"/>
                      <w:sz w:val="21"/>
                      <w:szCs w:val="21"/>
                    </w:rPr>
                    <w:t>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vAlign w:val="center"/>
                </w:tcPr>
                <w:p w14:paraId="5A32586C">
                  <w:pPr>
                    <w:widowControl/>
                    <w:jc w:val="center"/>
                    <w:rPr>
                      <w:kern w:val="0"/>
                      <w:szCs w:val="21"/>
                      <w:lang w:bidi="ar"/>
                    </w:rPr>
                  </w:pPr>
                  <w:r>
                    <w:rPr>
                      <w:kern w:val="0"/>
                      <w:szCs w:val="21"/>
                      <w:lang w:bidi="ar"/>
                    </w:rPr>
                    <w:t>符合</w:t>
                  </w:r>
                </w:p>
              </w:tc>
            </w:tr>
            <w:tr w14:paraId="7EDF5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2D84DEFB">
                  <w:pPr>
                    <w:widowControl/>
                    <w:jc w:val="center"/>
                    <w:rPr>
                      <w:kern w:val="0"/>
                      <w:szCs w:val="21"/>
                      <w:lang w:bidi="ar"/>
                    </w:rPr>
                  </w:pP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5264205A">
                  <w:pPr>
                    <w:widowControl/>
                    <w:rPr>
                      <w:kern w:val="0"/>
                      <w:szCs w:val="21"/>
                    </w:rPr>
                  </w:pPr>
                  <w:r>
                    <w:rPr>
                      <w:kern w:val="0"/>
                      <w:szCs w:val="21"/>
                    </w:rPr>
                    <w:t>从源头到末端的全过程生态环境保护及风险防控措施、监控要求。建设项目环评文件中应当包含钻井液、压裂液中重金属等有毒有害物质的相关信息，涉及商业秘 密、技术秘 密等情形的除外。</w:t>
                  </w:r>
                </w:p>
              </w:tc>
              <w:tc>
                <w:tcPr>
                  <w:tcW w:w="217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721176D">
                  <w:pPr>
                    <w:widowControl/>
                    <w:rPr>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vAlign w:val="center"/>
                </w:tcPr>
                <w:p w14:paraId="2F838220">
                  <w:pPr>
                    <w:widowControl/>
                    <w:jc w:val="center"/>
                    <w:rPr>
                      <w:szCs w:val="21"/>
                    </w:rPr>
                  </w:pPr>
                </w:p>
              </w:tc>
            </w:tr>
            <w:tr w14:paraId="10E99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206C3EAB">
                  <w:pPr>
                    <w:widowControl/>
                    <w:jc w:val="center"/>
                    <w:rPr>
                      <w:kern w:val="0"/>
                      <w:szCs w:val="21"/>
                      <w:lang w:bidi="ar"/>
                    </w:rPr>
                  </w:pPr>
                  <w:r>
                    <w:rPr>
                      <w:kern w:val="0"/>
                      <w:szCs w:val="21"/>
                      <w:lang w:bidi="ar"/>
                    </w:rPr>
                    <w:t>3</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5C4ED030">
                  <w:pPr>
                    <w:widowControl/>
                    <w:rPr>
                      <w:kern w:val="0"/>
                      <w:szCs w:val="21"/>
                    </w:rPr>
                  </w:pPr>
                  <w:r>
                    <w:rPr>
                      <w:kern w:val="0"/>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458508DE">
                  <w:pPr>
                    <w:widowControl/>
                    <w:rPr>
                      <w:color w:val="0070C0"/>
                      <w:kern w:val="0"/>
                      <w:szCs w:val="21"/>
                    </w:rPr>
                  </w:pPr>
                  <w:r>
                    <w:rPr>
                      <w:kern w:val="0"/>
                      <w:szCs w:val="21"/>
                    </w:rPr>
                    <w:t>本项目导管段采用清水井，一开、二开</w:t>
                  </w:r>
                  <w:r>
                    <w:rPr>
                      <w:rFonts w:hint="eastAsia"/>
                      <w:kern w:val="0"/>
                      <w:szCs w:val="21"/>
                    </w:rPr>
                    <w:t>、三开、四开导眼</w:t>
                  </w:r>
                  <w:r>
                    <w:rPr>
                      <w:kern w:val="0"/>
                      <w:szCs w:val="21"/>
                    </w:rPr>
                    <w:t>段</w:t>
                  </w:r>
                  <w:r>
                    <w:rPr>
                      <w:rFonts w:hint="eastAsia"/>
                      <w:kern w:val="0"/>
                      <w:szCs w:val="21"/>
                    </w:rPr>
                    <w:t>采用</w:t>
                  </w:r>
                  <w:r>
                    <w:rPr>
                      <w:kern w:val="0"/>
                      <w:szCs w:val="21"/>
                    </w:rPr>
                    <w:t>水基钻井液钻井，</w:t>
                  </w:r>
                  <w:r>
                    <w:rPr>
                      <w:rFonts w:hint="eastAsia"/>
                      <w:kern w:val="0"/>
                      <w:szCs w:val="21"/>
                    </w:rPr>
                    <w:t>四开侧钻水平段采用油基钻井液</w:t>
                  </w:r>
                  <w:r>
                    <w:rPr>
                      <w:color w:val="0070C0"/>
                      <w:kern w:val="0"/>
                      <w:szCs w:val="21"/>
                    </w:rPr>
                    <w:t>，产生的固体废物均按照国家和地方有关固体废物的管理规定进行处置。</w:t>
                  </w:r>
                </w:p>
                <w:p w14:paraId="2B3DD5DB">
                  <w:pPr>
                    <w:widowControl/>
                    <w:rPr>
                      <w:kern w:val="0"/>
                      <w:szCs w:val="21"/>
                    </w:rPr>
                  </w:pPr>
                  <w:r>
                    <w:rPr>
                      <w:rFonts w:hint="eastAsia"/>
                      <w:color w:val="0070C0"/>
                      <w:kern w:val="0"/>
                      <w:szCs w:val="21"/>
                    </w:rPr>
                    <w:t>四开侧钻水平段采用油基钻井液钻井时，产生的油基岩屑、废油基泥浆收集后交由有资质单位处置。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2B5D8C4C">
                  <w:pPr>
                    <w:widowControl/>
                    <w:jc w:val="center"/>
                    <w:rPr>
                      <w:kern w:val="0"/>
                      <w:szCs w:val="21"/>
                      <w:lang w:bidi="ar"/>
                    </w:rPr>
                  </w:pPr>
                  <w:r>
                    <w:rPr>
                      <w:kern w:val="0"/>
                      <w:szCs w:val="21"/>
                      <w:lang w:bidi="ar"/>
                    </w:rPr>
                    <w:t>符合</w:t>
                  </w:r>
                </w:p>
              </w:tc>
            </w:tr>
            <w:tr w14:paraId="1143E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058B2B8F">
                  <w:pPr>
                    <w:widowControl/>
                    <w:jc w:val="center"/>
                    <w:rPr>
                      <w:kern w:val="0"/>
                      <w:szCs w:val="21"/>
                      <w:lang w:bidi="ar"/>
                    </w:rPr>
                  </w:pPr>
                  <w:r>
                    <w:rPr>
                      <w:kern w:val="0"/>
                      <w:szCs w:val="21"/>
                      <w:lang w:bidi="ar"/>
                    </w:rPr>
                    <w:t>4</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7F54CA8A">
                  <w:pPr>
                    <w:widowControl/>
                    <w:rPr>
                      <w:kern w:val="0"/>
                      <w:szCs w:val="21"/>
                    </w:rPr>
                  </w:pPr>
                  <w:r>
                    <w:rPr>
                      <w:kern w:val="0"/>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4888AD50">
                  <w:pPr>
                    <w:widowControl/>
                    <w:rPr>
                      <w:kern w:val="0"/>
                      <w:szCs w:val="21"/>
                    </w:rPr>
                  </w:pPr>
                  <w:r>
                    <w:rPr>
                      <w:rFonts w:hint="eastAsia"/>
                      <w:color w:val="0000FF"/>
                      <w:kern w:val="0"/>
                      <w:szCs w:val="21"/>
                    </w:rPr>
                    <w:t>项目柴油罐采用密闭储罐承装，储罐下方采取重点防渗处置。柴油在密闭的储罐内暂存，使用时经管道输送，挥发的有机废气极少，对周边环境影响较小。</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72C2D587">
                  <w:pPr>
                    <w:widowControl/>
                    <w:jc w:val="center"/>
                    <w:rPr>
                      <w:kern w:val="0"/>
                      <w:szCs w:val="21"/>
                      <w:lang w:bidi="ar"/>
                    </w:rPr>
                  </w:pPr>
                  <w:r>
                    <w:rPr>
                      <w:kern w:val="0"/>
                      <w:szCs w:val="21"/>
                      <w:lang w:bidi="ar"/>
                    </w:rPr>
                    <w:t>符合</w:t>
                  </w:r>
                </w:p>
              </w:tc>
            </w:tr>
            <w:tr w14:paraId="4FA51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18F263AF">
                  <w:pPr>
                    <w:widowControl/>
                    <w:jc w:val="center"/>
                    <w:rPr>
                      <w:kern w:val="0"/>
                      <w:szCs w:val="21"/>
                      <w:lang w:bidi="ar"/>
                    </w:rPr>
                  </w:pPr>
                  <w:r>
                    <w:rPr>
                      <w:kern w:val="0"/>
                      <w:szCs w:val="21"/>
                      <w:lang w:bidi="ar"/>
                    </w:rPr>
                    <w:t>5</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604BDB7C">
                  <w:pPr>
                    <w:widowControl/>
                    <w:rPr>
                      <w:kern w:val="0"/>
                      <w:szCs w:val="21"/>
                    </w:rPr>
                  </w:pPr>
                  <w:r>
                    <w:rPr>
                      <w:kern w:val="0"/>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41724961">
                  <w:pPr>
                    <w:widowControl/>
                    <w:rPr>
                      <w:kern w:val="0"/>
                      <w:szCs w:val="21"/>
                    </w:rPr>
                  </w:pPr>
                  <w:r>
                    <w:rPr>
                      <w:kern w:val="0"/>
                      <w:szCs w:val="21"/>
                    </w:rPr>
                    <w:t>本项目钻井过程优先使用网电进行钻井，压裂设备动力来源于柴油发电机，使用优质柴油，废气满足排放标准。选用低噪声设备，避免噪声扰民。施工结束后，及时落实环评提出的生态保护措施。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32E261FD">
                  <w:pPr>
                    <w:widowControl/>
                    <w:jc w:val="center"/>
                    <w:rPr>
                      <w:kern w:val="0"/>
                      <w:szCs w:val="21"/>
                      <w:lang w:bidi="ar"/>
                    </w:rPr>
                  </w:pPr>
                  <w:r>
                    <w:rPr>
                      <w:kern w:val="0"/>
                      <w:szCs w:val="21"/>
                      <w:lang w:bidi="ar"/>
                    </w:rPr>
                    <w:t>符合</w:t>
                  </w:r>
                </w:p>
              </w:tc>
            </w:tr>
            <w:tr w14:paraId="65199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3351C640">
                  <w:pPr>
                    <w:widowControl/>
                    <w:jc w:val="center"/>
                    <w:rPr>
                      <w:kern w:val="0"/>
                      <w:szCs w:val="21"/>
                      <w:lang w:bidi="ar"/>
                    </w:rPr>
                  </w:pPr>
                  <w:r>
                    <w:rPr>
                      <w:kern w:val="0"/>
                      <w:szCs w:val="21"/>
                      <w:lang w:bidi="ar"/>
                    </w:rPr>
                    <w:t>6</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17D8B394">
                  <w:pPr>
                    <w:widowControl/>
                    <w:rPr>
                      <w:kern w:val="0"/>
                      <w:szCs w:val="21"/>
                    </w:rPr>
                  </w:pPr>
                  <w:r>
                    <w:rPr>
                      <w:kern w:val="0"/>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590BE06E">
                  <w:pPr>
                    <w:widowControl/>
                    <w:rPr>
                      <w:kern w:val="0"/>
                      <w:szCs w:val="21"/>
                    </w:rPr>
                  </w:pPr>
                  <w:r>
                    <w:rPr>
                      <w:kern w:val="0"/>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6D43E4F1">
                  <w:pPr>
                    <w:widowControl/>
                    <w:jc w:val="center"/>
                    <w:rPr>
                      <w:kern w:val="0"/>
                      <w:szCs w:val="21"/>
                      <w:lang w:bidi="ar"/>
                    </w:rPr>
                  </w:pPr>
                  <w:r>
                    <w:rPr>
                      <w:kern w:val="0"/>
                      <w:szCs w:val="21"/>
                      <w:lang w:bidi="ar"/>
                    </w:rPr>
                    <w:t>符合</w:t>
                  </w:r>
                </w:p>
              </w:tc>
            </w:tr>
            <w:tr w14:paraId="09287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14:paraId="569D1BF2">
                  <w:pPr>
                    <w:widowControl/>
                    <w:jc w:val="center"/>
                    <w:rPr>
                      <w:kern w:val="0"/>
                      <w:szCs w:val="21"/>
                      <w:lang w:bidi="ar"/>
                    </w:rPr>
                  </w:pPr>
                  <w:r>
                    <w:rPr>
                      <w:kern w:val="0"/>
                      <w:szCs w:val="21"/>
                      <w:lang w:bidi="ar"/>
                    </w:rPr>
                    <w:t>7</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14:paraId="2D874C80">
                  <w:pPr>
                    <w:widowControl/>
                    <w:rPr>
                      <w:kern w:val="0"/>
                      <w:szCs w:val="21"/>
                    </w:rPr>
                  </w:pPr>
                  <w:r>
                    <w:rPr>
                      <w:kern w:val="0"/>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14:paraId="4F6E9045">
                  <w:pPr>
                    <w:widowControl/>
                    <w:rPr>
                      <w:kern w:val="0"/>
                      <w:szCs w:val="21"/>
                    </w:rPr>
                  </w:pPr>
                  <w:r>
                    <w:rPr>
                      <w:kern w:val="0"/>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14:paraId="7C0F1E90">
                  <w:pPr>
                    <w:widowControl/>
                    <w:jc w:val="center"/>
                    <w:rPr>
                      <w:kern w:val="0"/>
                      <w:szCs w:val="21"/>
                      <w:lang w:bidi="ar"/>
                    </w:rPr>
                  </w:pPr>
                  <w:r>
                    <w:rPr>
                      <w:kern w:val="0"/>
                      <w:szCs w:val="21"/>
                      <w:lang w:bidi="ar"/>
                    </w:rPr>
                    <w:t>符合</w:t>
                  </w:r>
                </w:p>
              </w:tc>
            </w:tr>
            <w:tr w14:paraId="61A2A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vAlign w:val="center"/>
                </w:tcPr>
                <w:p w14:paraId="2EA2751E">
                  <w:pPr>
                    <w:widowControl/>
                    <w:jc w:val="center"/>
                    <w:rPr>
                      <w:kern w:val="0"/>
                      <w:szCs w:val="21"/>
                      <w:lang w:bidi="ar"/>
                    </w:rPr>
                  </w:pPr>
                  <w:r>
                    <w:rPr>
                      <w:kern w:val="0"/>
                      <w:szCs w:val="21"/>
                      <w:lang w:bidi="ar"/>
                    </w:rPr>
                    <w:t>8</w:t>
                  </w:r>
                </w:p>
              </w:tc>
              <w:tc>
                <w:tcPr>
                  <w:tcW w:w="4186" w:type="dxa"/>
                  <w:tcBorders>
                    <w:top w:val="single" w:color="auto" w:sz="4" w:space="0"/>
                    <w:left w:val="single" w:color="auto" w:sz="4" w:space="0"/>
                    <w:bottom w:val="single" w:color="auto" w:sz="12" w:space="0"/>
                    <w:right w:val="single" w:color="auto" w:sz="4" w:space="0"/>
                    <w:tl2br w:val="nil"/>
                    <w:tr2bl w:val="nil"/>
                  </w:tcBorders>
                  <w:vAlign w:val="center"/>
                </w:tcPr>
                <w:p w14:paraId="341472A0">
                  <w:pPr>
                    <w:widowControl/>
                    <w:rPr>
                      <w:kern w:val="0"/>
                      <w:szCs w:val="21"/>
                    </w:rPr>
                  </w:pPr>
                  <w:r>
                    <w:rPr>
                      <w:kern w:val="0"/>
                      <w:szCs w:val="21"/>
                    </w:rPr>
                    <w:t>油气企业应当加强风险防控，按规定编制突发环境事件应急预案，报所在地生态环境主管部门备案。海洋油气勘探开发溢油应急计划报相关海域生态环境监督管理局备案。</w:t>
                  </w:r>
                </w:p>
              </w:tc>
              <w:tc>
                <w:tcPr>
                  <w:tcW w:w="2174" w:type="dxa"/>
                  <w:tcBorders>
                    <w:top w:val="single" w:color="auto" w:sz="4" w:space="0"/>
                    <w:left w:val="single" w:color="auto" w:sz="4" w:space="0"/>
                    <w:bottom w:val="single" w:color="auto" w:sz="12" w:space="0"/>
                    <w:right w:val="single" w:color="auto" w:sz="4" w:space="0"/>
                    <w:tl2br w:val="nil"/>
                    <w:tr2bl w:val="nil"/>
                  </w:tcBorders>
                  <w:vAlign w:val="center"/>
                </w:tcPr>
                <w:p w14:paraId="14E7ADB4">
                  <w:pPr>
                    <w:widowControl/>
                    <w:rPr>
                      <w:kern w:val="0"/>
                      <w:szCs w:val="21"/>
                    </w:rPr>
                  </w:pPr>
                  <w:r>
                    <w:rPr>
                      <w:kern w:val="0"/>
                      <w:szCs w:val="21"/>
                    </w:rPr>
                    <w:t>建设单位</w:t>
                  </w:r>
                  <w:r>
                    <w:rPr>
                      <w:rFonts w:hint="eastAsia"/>
                      <w:kern w:val="0"/>
                      <w:szCs w:val="21"/>
                    </w:rPr>
                    <w:t>正</w:t>
                  </w:r>
                  <w:r>
                    <w:rPr>
                      <w:kern w:val="0"/>
                      <w:szCs w:val="21"/>
                    </w:rPr>
                    <w:t>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vAlign w:val="center"/>
                </w:tcPr>
                <w:p w14:paraId="56849C3C">
                  <w:pPr>
                    <w:widowControl/>
                    <w:jc w:val="center"/>
                    <w:rPr>
                      <w:kern w:val="0"/>
                      <w:szCs w:val="21"/>
                      <w:lang w:bidi="ar"/>
                    </w:rPr>
                  </w:pPr>
                  <w:r>
                    <w:rPr>
                      <w:kern w:val="0"/>
                      <w:szCs w:val="21"/>
                      <w:lang w:bidi="ar"/>
                    </w:rPr>
                    <w:t>符合</w:t>
                  </w:r>
                </w:p>
              </w:tc>
            </w:tr>
          </w:tbl>
          <w:p w14:paraId="69FB1865">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《陆上石油天然气开采水基钻井废弃物处理处置及资源化利用技术规范》（SY/T 7466-2020）符合性分析</w:t>
            </w:r>
          </w:p>
          <w:p w14:paraId="1FAD1AFF">
            <w:pPr>
              <w:pStyle w:val="345"/>
              <w:ind w:firstLine="480"/>
              <w:rPr>
                <w:szCs w:val="24"/>
              </w:rPr>
            </w:pPr>
            <w:r>
              <w:rPr>
                <w:szCs w:val="24"/>
              </w:rPr>
              <w:t>本项目</w:t>
            </w:r>
            <w:r>
              <w:rPr>
                <w:rFonts w:hint="eastAsia"/>
                <w:szCs w:val="24"/>
              </w:rPr>
              <w:t>属于陆地矿产资源地质勘查（含油气资源勘探），钻井过程与陆上石油天然气开采类似，因此参考</w:t>
            </w:r>
            <w:r>
              <w:rPr>
                <w:szCs w:val="24"/>
              </w:rPr>
              <w:t>《陆上石油天然气开采水基钻井废弃物处理处置及资源化利用技术规范》（SY/T 7466-2020）</w:t>
            </w:r>
            <w:r>
              <w:rPr>
                <w:rFonts w:hint="eastAsia"/>
                <w:szCs w:val="24"/>
              </w:rPr>
              <w:t>中相关要求进行管理</w:t>
            </w:r>
            <w:r>
              <w:rPr>
                <w:szCs w:val="24"/>
              </w:rPr>
              <w:t>。</w:t>
            </w:r>
          </w:p>
          <w:p w14:paraId="7B3138E8">
            <w:pPr>
              <w:spacing w:line="360" w:lineRule="auto"/>
              <w:jc w:val="center"/>
              <w:rPr>
                <w:b/>
                <w:sz w:val="24"/>
              </w:rPr>
            </w:pPr>
            <w:r>
              <w:rPr>
                <w:b/>
                <w:sz w:val="24"/>
              </w:rPr>
              <w:t>表1-8 与《陆上石油天然气开采水基钻井废弃物处理处置及资源化利用技术规范》（SY/T 7466-2020）对比分析表（摘录）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477"/>
              <w:gridCol w:w="2468"/>
              <w:gridCol w:w="841"/>
            </w:tblGrid>
            <w:tr w14:paraId="27CC5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vAlign w:val="center"/>
                </w:tcPr>
                <w:p w14:paraId="4564FF54">
                  <w:pPr>
                    <w:pStyle w:val="345"/>
                    <w:spacing w:line="240" w:lineRule="auto"/>
                    <w:ind w:firstLine="0" w:firstLineChars="0"/>
                    <w:jc w:val="center"/>
                    <w:rPr>
                      <w:sz w:val="21"/>
                      <w:szCs w:val="21"/>
                    </w:rPr>
                  </w:pPr>
                  <w:r>
                    <w:rPr>
                      <w:sz w:val="21"/>
                      <w:szCs w:val="21"/>
                    </w:rPr>
                    <w:t>序号</w:t>
                  </w:r>
                </w:p>
              </w:tc>
              <w:tc>
                <w:tcPr>
                  <w:tcW w:w="3477" w:type="dxa"/>
                  <w:tcBorders>
                    <w:top w:val="single" w:color="auto" w:sz="12" w:space="0"/>
                    <w:left w:val="single" w:color="auto" w:sz="4" w:space="0"/>
                    <w:bottom w:val="single" w:color="auto" w:sz="4" w:space="0"/>
                    <w:right w:val="single" w:color="auto" w:sz="4" w:space="0"/>
                    <w:tl2br w:val="nil"/>
                    <w:tr2bl w:val="nil"/>
                  </w:tcBorders>
                  <w:vAlign w:val="center"/>
                </w:tcPr>
                <w:p w14:paraId="129F3285">
                  <w:pPr>
                    <w:pStyle w:val="345"/>
                    <w:spacing w:line="240" w:lineRule="auto"/>
                    <w:ind w:firstLine="0" w:firstLineChars="0"/>
                    <w:jc w:val="center"/>
                    <w:rPr>
                      <w:sz w:val="21"/>
                      <w:szCs w:val="21"/>
                    </w:rPr>
                  </w:pPr>
                  <w:r>
                    <w:rPr>
                      <w:sz w:val="21"/>
                      <w:szCs w:val="21"/>
                    </w:rPr>
                    <w:t>技术规范要求</w:t>
                  </w:r>
                </w:p>
              </w:tc>
              <w:tc>
                <w:tcPr>
                  <w:tcW w:w="2468" w:type="dxa"/>
                  <w:tcBorders>
                    <w:top w:val="single" w:color="auto" w:sz="12" w:space="0"/>
                    <w:left w:val="single" w:color="auto" w:sz="4" w:space="0"/>
                    <w:bottom w:val="single" w:color="auto" w:sz="4" w:space="0"/>
                    <w:right w:val="single" w:color="auto" w:sz="4" w:space="0"/>
                    <w:tl2br w:val="nil"/>
                    <w:tr2bl w:val="nil"/>
                  </w:tcBorders>
                  <w:vAlign w:val="center"/>
                </w:tcPr>
                <w:p w14:paraId="0B3C9BE1">
                  <w:pPr>
                    <w:pStyle w:val="345"/>
                    <w:spacing w:line="240" w:lineRule="auto"/>
                    <w:ind w:firstLine="0" w:firstLineChars="0"/>
                    <w:jc w:val="center"/>
                    <w:rPr>
                      <w:sz w:val="21"/>
                      <w:szCs w:val="21"/>
                    </w:rPr>
                  </w:pPr>
                  <w:r>
                    <w:rPr>
                      <w:sz w:val="21"/>
                      <w:szCs w:val="21"/>
                    </w:rPr>
                    <w:t>本工程内容</w:t>
                  </w:r>
                </w:p>
              </w:tc>
              <w:tc>
                <w:tcPr>
                  <w:tcW w:w="841" w:type="dxa"/>
                  <w:tcBorders>
                    <w:top w:val="single" w:color="auto" w:sz="12" w:space="0"/>
                    <w:left w:val="single" w:color="auto" w:sz="4" w:space="0"/>
                    <w:bottom w:val="single" w:color="auto" w:sz="4" w:space="0"/>
                    <w:right w:val="single" w:color="auto" w:sz="12" w:space="0"/>
                    <w:tl2br w:val="nil"/>
                    <w:tr2bl w:val="nil"/>
                  </w:tcBorders>
                  <w:vAlign w:val="center"/>
                </w:tcPr>
                <w:p w14:paraId="7E6D47AA">
                  <w:pPr>
                    <w:pStyle w:val="345"/>
                    <w:spacing w:line="240" w:lineRule="auto"/>
                    <w:ind w:firstLine="0" w:firstLineChars="0"/>
                    <w:jc w:val="center"/>
                    <w:rPr>
                      <w:sz w:val="21"/>
                      <w:szCs w:val="21"/>
                    </w:rPr>
                  </w:pPr>
                  <w:r>
                    <w:rPr>
                      <w:sz w:val="21"/>
                      <w:szCs w:val="21"/>
                    </w:rPr>
                    <w:t>符合性</w:t>
                  </w:r>
                </w:p>
              </w:tc>
            </w:tr>
            <w:tr w14:paraId="1073B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6CB099E7">
                  <w:pPr>
                    <w:pStyle w:val="345"/>
                    <w:spacing w:line="240" w:lineRule="auto"/>
                    <w:ind w:firstLine="0" w:firstLineChars="0"/>
                    <w:jc w:val="center"/>
                    <w:rPr>
                      <w:sz w:val="21"/>
                      <w:szCs w:val="21"/>
                    </w:rPr>
                  </w:pPr>
                  <w:r>
                    <w:rPr>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076F9AB1">
                  <w:pPr>
                    <w:pStyle w:val="345"/>
                    <w:spacing w:line="240" w:lineRule="auto"/>
                    <w:ind w:firstLine="0" w:firstLineChars="0"/>
                    <w:jc w:val="center"/>
                    <w:rPr>
                      <w:sz w:val="21"/>
                      <w:szCs w:val="21"/>
                    </w:rPr>
                  </w:pPr>
                  <w:r>
                    <w:rPr>
                      <w:sz w:val="21"/>
                      <w:szCs w:val="21"/>
                    </w:rPr>
                    <w:t>一般要求</w:t>
                  </w:r>
                </w:p>
              </w:tc>
            </w:tr>
            <w:tr w14:paraId="1C00B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247B3070">
                  <w:pPr>
                    <w:pStyle w:val="345"/>
                    <w:spacing w:line="240" w:lineRule="auto"/>
                    <w:ind w:firstLine="0" w:firstLineChars="0"/>
                    <w:jc w:val="center"/>
                    <w:rPr>
                      <w:sz w:val="21"/>
                      <w:szCs w:val="21"/>
                    </w:rPr>
                  </w:pPr>
                  <w:r>
                    <w:rPr>
                      <w:sz w:val="21"/>
                      <w:szCs w:val="21"/>
                    </w:rPr>
                    <w:t>4.1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49AB66FB">
                  <w:pPr>
                    <w:pStyle w:val="345"/>
                    <w:spacing w:line="240" w:lineRule="auto"/>
                    <w:ind w:firstLine="0" w:firstLineChars="0"/>
                    <w:rPr>
                      <w:sz w:val="21"/>
                      <w:szCs w:val="21"/>
                    </w:rPr>
                  </w:pPr>
                  <w:r>
                    <w:rPr>
                      <w:sz w:val="21"/>
                      <w:szCs w:val="21"/>
                    </w:rPr>
                    <w:t>根据井位分布、井区地貌等条件确定随钻处理模式、集中建站处理模式或随钻一集中相结合模式，对水基钻井废弃物进行不落地收集、处理、处置。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6484DE4B">
                  <w:pPr>
                    <w:pStyle w:val="345"/>
                    <w:spacing w:line="240" w:lineRule="auto"/>
                    <w:ind w:firstLine="0" w:firstLineChars="0"/>
                    <w:jc w:val="center"/>
                    <w:rPr>
                      <w:sz w:val="21"/>
                      <w:szCs w:val="21"/>
                    </w:rPr>
                  </w:pPr>
                  <w:r>
                    <w:rPr>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23FE8A5A">
                  <w:pPr>
                    <w:pStyle w:val="345"/>
                    <w:spacing w:line="240" w:lineRule="auto"/>
                    <w:ind w:firstLine="0" w:firstLineChars="0"/>
                    <w:jc w:val="center"/>
                    <w:rPr>
                      <w:sz w:val="21"/>
                      <w:szCs w:val="21"/>
                    </w:rPr>
                  </w:pPr>
                  <w:r>
                    <w:rPr>
                      <w:sz w:val="21"/>
                      <w:szCs w:val="21"/>
                    </w:rPr>
                    <w:t>符合</w:t>
                  </w:r>
                </w:p>
              </w:tc>
            </w:tr>
            <w:tr w14:paraId="6A4C2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621F208B">
                  <w:pPr>
                    <w:pStyle w:val="345"/>
                    <w:spacing w:line="240" w:lineRule="auto"/>
                    <w:ind w:firstLine="0" w:firstLineChars="0"/>
                    <w:jc w:val="center"/>
                    <w:rPr>
                      <w:sz w:val="21"/>
                      <w:szCs w:val="21"/>
                    </w:rPr>
                  </w:pPr>
                  <w:r>
                    <w:rPr>
                      <w:sz w:val="21"/>
                      <w:szCs w:val="21"/>
                    </w:rPr>
                    <w:t>4.2</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1FA75DEC">
                  <w:pPr>
                    <w:pStyle w:val="345"/>
                    <w:spacing w:line="240" w:lineRule="auto"/>
                    <w:ind w:firstLine="0" w:firstLineChars="0"/>
                    <w:rPr>
                      <w:sz w:val="21"/>
                      <w:szCs w:val="21"/>
                    </w:rPr>
                  </w:pPr>
                  <w:r>
                    <w:rPr>
                      <w:sz w:val="21"/>
                      <w:szCs w:val="21"/>
                    </w:rPr>
                    <w:t>对收集的水基钻井废弃物采用固液分离以实现钻井废弃物减量化。水基钻井废弃物进行固液分离或无害化处理后，进一步资源化处理或安全处置。资源化处理符合6.1的要求。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5CBF76B5">
                  <w:pPr>
                    <w:pStyle w:val="345"/>
                    <w:spacing w:line="240" w:lineRule="auto"/>
                    <w:ind w:firstLine="0" w:firstLineChars="0"/>
                    <w:jc w:val="center"/>
                    <w:rPr>
                      <w:sz w:val="21"/>
                      <w:szCs w:val="21"/>
                    </w:rPr>
                  </w:pPr>
                  <w:r>
                    <w:rPr>
                      <w:sz w:val="21"/>
                      <w:szCs w:val="21"/>
                    </w:rPr>
                    <w:t>本工程产生的水基岩屑、废水基泥浆选择振动筛、离心机等设备进行减量化处理，并拟做资源化利用。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180AF273">
                  <w:pPr>
                    <w:pStyle w:val="345"/>
                    <w:spacing w:line="240" w:lineRule="auto"/>
                    <w:ind w:firstLine="0" w:firstLineChars="0"/>
                    <w:jc w:val="center"/>
                    <w:rPr>
                      <w:sz w:val="21"/>
                      <w:szCs w:val="21"/>
                    </w:rPr>
                  </w:pPr>
                  <w:r>
                    <w:rPr>
                      <w:sz w:val="21"/>
                      <w:szCs w:val="21"/>
                    </w:rPr>
                    <w:t>符合</w:t>
                  </w:r>
                </w:p>
              </w:tc>
            </w:tr>
            <w:tr w14:paraId="14D53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0B520799">
                  <w:pPr>
                    <w:pStyle w:val="345"/>
                    <w:spacing w:line="240" w:lineRule="auto"/>
                    <w:ind w:firstLine="0" w:firstLineChars="0"/>
                    <w:jc w:val="center"/>
                    <w:rPr>
                      <w:sz w:val="21"/>
                      <w:szCs w:val="21"/>
                    </w:rPr>
                  </w:pPr>
                  <w:r>
                    <w:rPr>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5F8E5A79">
                  <w:pPr>
                    <w:pStyle w:val="345"/>
                    <w:spacing w:line="240" w:lineRule="auto"/>
                    <w:ind w:firstLine="0" w:firstLineChars="0"/>
                    <w:jc w:val="center"/>
                    <w:rPr>
                      <w:sz w:val="21"/>
                      <w:szCs w:val="21"/>
                    </w:rPr>
                  </w:pPr>
                  <w:r>
                    <w:rPr>
                      <w:sz w:val="21"/>
                      <w:szCs w:val="21"/>
                    </w:rPr>
                    <w:t>固液分离技术要求</w:t>
                  </w:r>
                </w:p>
              </w:tc>
            </w:tr>
            <w:tr w14:paraId="15C3F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76D283E1">
                  <w:pPr>
                    <w:pStyle w:val="345"/>
                    <w:spacing w:line="240" w:lineRule="auto"/>
                    <w:ind w:firstLine="0" w:firstLineChars="0"/>
                    <w:jc w:val="center"/>
                    <w:rPr>
                      <w:sz w:val="21"/>
                      <w:szCs w:val="21"/>
                    </w:rPr>
                  </w:pPr>
                  <w:r>
                    <w:rPr>
                      <w:sz w:val="21"/>
                      <w:szCs w:val="21"/>
                    </w:rPr>
                    <w:t>5.2.1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77BB6A7E">
                  <w:pPr>
                    <w:pStyle w:val="345"/>
                    <w:spacing w:line="240" w:lineRule="auto"/>
                    <w:ind w:firstLine="0" w:firstLineChars="0"/>
                    <w:rPr>
                      <w:sz w:val="21"/>
                      <w:szCs w:val="21"/>
                    </w:rPr>
                  </w:pPr>
                  <w:r>
                    <w:rPr>
                      <w:sz w:val="21"/>
                      <w:szCs w:val="21"/>
                    </w:rPr>
                    <w:t>水基钻井废弃物根据其现场要求选择化-机械固液分离技术进行减量化处置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04F86313">
                  <w:pPr>
                    <w:pStyle w:val="345"/>
                    <w:spacing w:line="240" w:lineRule="auto"/>
                    <w:ind w:firstLine="0" w:firstLineChars="0"/>
                    <w:jc w:val="center"/>
                    <w:rPr>
                      <w:sz w:val="21"/>
                      <w:szCs w:val="21"/>
                    </w:rPr>
                  </w:pPr>
                  <w:r>
                    <w:rPr>
                      <w:sz w:val="21"/>
                      <w:szCs w:val="21"/>
                    </w:rPr>
                    <w:t>本工程产生的水基岩屑、废水基泥浆选择振动筛、离心机等设备进行减量化处理后资源化利用。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1B957950">
                  <w:pPr>
                    <w:pStyle w:val="345"/>
                    <w:spacing w:line="240" w:lineRule="auto"/>
                    <w:ind w:firstLine="0" w:firstLineChars="0"/>
                    <w:jc w:val="center"/>
                    <w:rPr>
                      <w:sz w:val="21"/>
                      <w:szCs w:val="21"/>
                    </w:rPr>
                  </w:pPr>
                  <w:r>
                    <w:rPr>
                      <w:sz w:val="21"/>
                      <w:szCs w:val="21"/>
                    </w:rPr>
                    <w:t>符合</w:t>
                  </w:r>
                </w:p>
              </w:tc>
            </w:tr>
            <w:tr w14:paraId="67CF9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782C3779">
                  <w:pPr>
                    <w:pStyle w:val="345"/>
                    <w:spacing w:line="240" w:lineRule="auto"/>
                    <w:ind w:firstLine="0" w:firstLineChars="0"/>
                    <w:jc w:val="center"/>
                    <w:rPr>
                      <w:sz w:val="21"/>
                      <w:szCs w:val="21"/>
                    </w:rPr>
                  </w:pP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79B33B1E">
                  <w:pPr>
                    <w:pStyle w:val="345"/>
                    <w:spacing w:line="240" w:lineRule="auto"/>
                    <w:ind w:firstLine="0" w:firstLineChars="0"/>
                    <w:rPr>
                      <w:sz w:val="21"/>
                      <w:szCs w:val="21"/>
                    </w:rPr>
                  </w:pPr>
                  <w:r>
                    <w:rPr>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0211C1B3">
                  <w:pPr>
                    <w:pStyle w:val="345"/>
                    <w:spacing w:line="240" w:lineRule="auto"/>
                    <w:ind w:firstLine="0" w:firstLineChars="0"/>
                    <w:jc w:val="center"/>
                    <w:rPr>
                      <w:sz w:val="21"/>
                      <w:szCs w:val="21"/>
                    </w:rPr>
                  </w:pPr>
                  <w:r>
                    <w:rPr>
                      <w:sz w:val="21"/>
                      <w:szCs w:val="21"/>
                    </w:rPr>
                    <w:t>本工程产生的水基岩屑、废水基泥浆经固液分离至含水率小于60%后，外运资源化利用。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77072151">
                  <w:pPr>
                    <w:pStyle w:val="345"/>
                    <w:spacing w:line="240" w:lineRule="auto"/>
                    <w:ind w:firstLine="0" w:firstLineChars="0"/>
                    <w:jc w:val="center"/>
                    <w:rPr>
                      <w:sz w:val="21"/>
                      <w:szCs w:val="21"/>
                    </w:rPr>
                  </w:pPr>
                  <w:r>
                    <w:rPr>
                      <w:sz w:val="21"/>
                      <w:szCs w:val="21"/>
                    </w:rPr>
                    <w:t>符合</w:t>
                  </w:r>
                </w:p>
              </w:tc>
            </w:tr>
            <w:tr w14:paraId="72A51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7DE6B74F">
                  <w:pPr>
                    <w:pStyle w:val="345"/>
                    <w:spacing w:line="240" w:lineRule="auto"/>
                    <w:ind w:firstLine="0" w:firstLineChars="0"/>
                    <w:jc w:val="center"/>
                    <w:rPr>
                      <w:sz w:val="21"/>
                      <w:szCs w:val="21"/>
                    </w:rPr>
                  </w:pPr>
                  <w:r>
                    <w:rPr>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46A6E141">
                  <w:pPr>
                    <w:pStyle w:val="345"/>
                    <w:spacing w:line="240" w:lineRule="auto"/>
                    <w:ind w:firstLine="0" w:firstLineChars="0"/>
                    <w:jc w:val="center"/>
                    <w:rPr>
                      <w:sz w:val="21"/>
                      <w:szCs w:val="21"/>
                    </w:rPr>
                  </w:pPr>
                  <w:r>
                    <w:rPr>
                      <w:sz w:val="21"/>
                      <w:szCs w:val="21"/>
                    </w:rPr>
                    <w:t>液相资源化利用要求</w:t>
                  </w:r>
                </w:p>
              </w:tc>
            </w:tr>
            <w:tr w14:paraId="18A71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6EA988F5">
                  <w:pPr>
                    <w:pStyle w:val="345"/>
                    <w:spacing w:line="240" w:lineRule="auto"/>
                    <w:ind w:firstLine="0" w:firstLineChars="0"/>
                    <w:jc w:val="center"/>
                    <w:rPr>
                      <w:sz w:val="21"/>
                      <w:szCs w:val="21"/>
                    </w:rPr>
                  </w:pPr>
                  <w:r>
                    <w:rPr>
                      <w:sz w:val="21"/>
                      <w:szCs w:val="21"/>
                    </w:rPr>
                    <w:t>6.1.1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048DB980">
                  <w:pPr>
                    <w:pStyle w:val="345"/>
                    <w:spacing w:line="240" w:lineRule="auto"/>
                    <w:ind w:firstLine="0" w:firstLineChars="0"/>
                    <w:jc w:val="center"/>
                    <w:rPr>
                      <w:sz w:val="21"/>
                      <w:szCs w:val="21"/>
                    </w:rPr>
                  </w:pPr>
                  <w:r>
                    <w:rPr>
                      <w:sz w:val="21"/>
                      <w:szCs w:val="21"/>
                    </w:rPr>
                    <w:t>固液分离技术分离后的液相 相关指标达到井队钻井液配浆要求，宜首先考虑钻井液配浆。</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790C491A">
                  <w:pPr>
                    <w:pStyle w:val="345"/>
                    <w:spacing w:line="240" w:lineRule="auto"/>
                    <w:ind w:firstLine="0" w:firstLineChars="0"/>
                    <w:jc w:val="center"/>
                    <w:rPr>
                      <w:sz w:val="21"/>
                      <w:szCs w:val="21"/>
                    </w:rPr>
                  </w:pPr>
                  <w:r>
                    <w:rPr>
                      <w:color w:val="0000FF"/>
                      <w:sz w:val="21"/>
                      <w:szCs w:val="21"/>
                    </w:rPr>
                    <w:t>本工程固液分离后的钻井废水</w:t>
                  </w:r>
                  <w:r>
                    <w:rPr>
                      <w:rFonts w:hint="eastAsia"/>
                      <w:color w:val="0000FF"/>
                      <w:sz w:val="21"/>
                      <w:szCs w:val="21"/>
                    </w:rPr>
                    <w:t>优先回用于钻井过程，不能回用时由密闭罐车定期拉运至赵家坝污水处理站处理达标后由罐车拉运至普光3井等回注站回注</w:t>
                  </w:r>
                  <w:r>
                    <w:rPr>
                      <w:color w:val="0000FF"/>
                      <w:sz w:val="21"/>
                      <w:szCs w:val="21"/>
                    </w:rPr>
                    <w:t>。</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38F655B6">
                  <w:pPr>
                    <w:pStyle w:val="345"/>
                    <w:spacing w:line="240" w:lineRule="auto"/>
                    <w:ind w:firstLine="0" w:firstLineChars="0"/>
                    <w:jc w:val="center"/>
                    <w:rPr>
                      <w:sz w:val="21"/>
                      <w:szCs w:val="21"/>
                    </w:rPr>
                  </w:pPr>
                  <w:r>
                    <w:rPr>
                      <w:sz w:val="21"/>
                      <w:szCs w:val="21"/>
                    </w:rPr>
                    <w:t>符合</w:t>
                  </w:r>
                </w:p>
              </w:tc>
            </w:tr>
            <w:tr w14:paraId="73D7F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4E2033D9">
                  <w:pPr>
                    <w:pStyle w:val="345"/>
                    <w:spacing w:line="240" w:lineRule="auto"/>
                    <w:ind w:firstLine="0" w:firstLineChars="0"/>
                    <w:jc w:val="center"/>
                    <w:rPr>
                      <w:sz w:val="21"/>
                      <w:szCs w:val="21"/>
                    </w:rPr>
                  </w:pPr>
                  <w:r>
                    <w:rPr>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2091991B">
                  <w:pPr>
                    <w:pStyle w:val="345"/>
                    <w:spacing w:line="240" w:lineRule="auto"/>
                    <w:ind w:firstLine="0" w:firstLineChars="0"/>
                    <w:jc w:val="center"/>
                    <w:rPr>
                      <w:sz w:val="21"/>
                      <w:szCs w:val="21"/>
                    </w:rPr>
                  </w:pPr>
                  <w:r>
                    <w:rPr>
                      <w:sz w:val="21"/>
                      <w:szCs w:val="21"/>
                    </w:rPr>
                    <w:t>固相资源化利用要求</w:t>
                  </w:r>
                </w:p>
              </w:tc>
            </w:tr>
            <w:tr w14:paraId="4ACA0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14:paraId="7E8AE195">
                  <w:pPr>
                    <w:pStyle w:val="345"/>
                    <w:spacing w:line="240" w:lineRule="auto"/>
                    <w:ind w:firstLine="0" w:firstLineChars="0"/>
                    <w:jc w:val="center"/>
                    <w:rPr>
                      <w:sz w:val="21"/>
                      <w:szCs w:val="21"/>
                    </w:rPr>
                  </w:pPr>
                  <w:r>
                    <w:rPr>
                      <w:sz w:val="21"/>
                      <w:szCs w:val="21"/>
                    </w:rPr>
                    <w:t>6.2.1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14:paraId="06A97A8A">
                  <w:pPr>
                    <w:pStyle w:val="345"/>
                    <w:spacing w:line="240" w:lineRule="auto"/>
                    <w:ind w:firstLine="0" w:firstLineChars="0"/>
                    <w:rPr>
                      <w:sz w:val="21"/>
                      <w:szCs w:val="21"/>
                    </w:rPr>
                  </w:pPr>
                  <w:r>
                    <w:rPr>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14:paraId="7996CDA4">
                  <w:pPr>
                    <w:pStyle w:val="345"/>
                    <w:spacing w:line="240" w:lineRule="auto"/>
                    <w:ind w:firstLine="0" w:firstLineChars="0"/>
                    <w:jc w:val="center"/>
                    <w:rPr>
                      <w:sz w:val="21"/>
                      <w:szCs w:val="21"/>
                    </w:rPr>
                  </w:pPr>
                  <w:r>
                    <w:rPr>
                      <w:sz w:val="21"/>
                      <w:szCs w:val="21"/>
                    </w:rPr>
                    <w:t>本工程产生的水基岩屑、废水基泥浆外运资源化利用。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14:paraId="0AC253B0">
                  <w:pPr>
                    <w:pStyle w:val="345"/>
                    <w:spacing w:line="240" w:lineRule="auto"/>
                    <w:ind w:firstLine="0" w:firstLineChars="0"/>
                    <w:jc w:val="center"/>
                    <w:rPr>
                      <w:sz w:val="21"/>
                      <w:szCs w:val="21"/>
                    </w:rPr>
                  </w:pPr>
                  <w:r>
                    <w:rPr>
                      <w:sz w:val="21"/>
                      <w:szCs w:val="21"/>
                    </w:rPr>
                    <w:t>符合</w:t>
                  </w:r>
                </w:p>
              </w:tc>
            </w:tr>
            <w:tr w14:paraId="75C92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vAlign w:val="center"/>
                </w:tcPr>
                <w:p w14:paraId="6ED0AC9A">
                  <w:pPr>
                    <w:pStyle w:val="345"/>
                    <w:spacing w:line="240" w:lineRule="auto"/>
                    <w:ind w:firstLine="0" w:firstLineChars="0"/>
                    <w:jc w:val="center"/>
                    <w:rPr>
                      <w:sz w:val="21"/>
                      <w:szCs w:val="21"/>
                    </w:rPr>
                  </w:pPr>
                  <w:r>
                    <w:rPr>
                      <w:sz w:val="21"/>
                      <w:szCs w:val="21"/>
                    </w:rPr>
                    <w:t>6.2.2</w:t>
                  </w:r>
                </w:p>
              </w:tc>
              <w:tc>
                <w:tcPr>
                  <w:tcW w:w="3477" w:type="dxa"/>
                  <w:tcBorders>
                    <w:top w:val="single" w:color="auto" w:sz="4" w:space="0"/>
                    <w:left w:val="single" w:color="auto" w:sz="4" w:space="0"/>
                    <w:bottom w:val="single" w:color="auto" w:sz="12" w:space="0"/>
                    <w:right w:val="single" w:color="auto" w:sz="4" w:space="0"/>
                    <w:tl2br w:val="nil"/>
                    <w:tr2bl w:val="nil"/>
                  </w:tcBorders>
                  <w:vAlign w:val="center"/>
                </w:tcPr>
                <w:p w14:paraId="4BF861C3">
                  <w:pPr>
                    <w:pStyle w:val="345"/>
                    <w:spacing w:line="240" w:lineRule="auto"/>
                    <w:ind w:firstLine="0" w:firstLineChars="0"/>
                    <w:rPr>
                      <w:sz w:val="21"/>
                      <w:szCs w:val="21"/>
                    </w:rPr>
                  </w:pPr>
                  <w:r>
                    <w:rPr>
                      <w:sz w:val="21"/>
                      <w:szCs w:val="21"/>
                    </w:rPr>
                    <w:t>水基钻井废弃物经固液分离后，可作为水泥窑协同处置的原料。</w:t>
                  </w:r>
                </w:p>
              </w:tc>
              <w:tc>
                <w:tcPr>
                  <w:tcW w:w="2468" w:type="dxa"/>
                  <w:tcBorders>
                    <w:top w:val="single" w:color="auto" w:sz="4" w:space="0"/>
                    <w:left w:val="single" w:color="auto" w:sz="4" w:space="0"/>
                    <w:bottom w:val="single" w:color="auto" w:sz="12" w:space="0"/>
                    <w:right w:val="single" w:color="auto" w:sz="4" w:space="0"/>
                    <w:tl2br w:val="nil"/>
                    <w:tr2bl w:val="nil"/>
                  </w:tcBorders>
                  <w:vAlign w:val="center"/>
                </w:tcPr>
                <w:p w14:paraId="2606B1D8">
                  <w:pPr>
                    <w:pStyle w:val="345"/>
                    <w:spacing w:line="240" w:lineRule="auto"/>
                    <w:ind w:firstLine="0" w:firstLineChars="0"/>
                    <w:jc w:val="center"/>
                    <w:rPr>
                      <w:sz w:val="21"/>
                      <w:szCs w:val="21"/>
                    </w:rPr>
                  </w:pPr>
                  <w:r>
                    <w:rPr>
                      <w:sz w:val="21"/>
                      <w:szCs w:val="21"/>
                    </w:rPr>
                    <w:t>本工程产生的水基岩屑、废水基泥浆外运资源化利用。</w:t>
                  </w:r>
                </w:p>
              </w:tc>
              <w:tc>
                <w:tcPr>
                  <w:tcW w:w="841" w:type="dxa"/>
                  <w:tcBorders>
                    <w:top w:val="single" w:color="auto" w:sz="4" w:space="0"/>
                    <w:left w:val="single" w:color="auto" w:sz="4" w:space="0"/>
                    <w:bottom w:val="single" w:color="auto" w:sz="12" w:space="0"/>
                    <w:right w:val="single" w:color="auto" w:sz="12" w:space="0"/>
                    <w:tl2br w:val="nil"/>
                    <w:tr2bl w:val="nil"/>
                  </w:tcBorders>
                  <w:vAlign w:val="center"/>
                </w:tcPr>
                <w:p w14:paraId="1AAD9E73">
                  <w:pPr>
                    <w:pStyle w:val="345"/>
                    <w:spacing w:line="240" w:lineRule="auto"/>
                    <w:ind w:firstLine="0" w:firstLineChars="0"/>
                    <w:jc w:val="center"/>
                    <w:rPr>
                      <w:sz w:val="21"/>
                      <w:szCs w:val="21"/>
                    </w:rPr>
                  </w:pPr>
                  <w:r>
                    <w:rPr>
                      <w:sz w:val="21"/>
                      <w:szCs w:val="21"/>
                    </w:rPr>
                    <w:t>符合</w:t>
                  </w:r>
                </w:p>
              </w:tc>
            </w:tr>
          </w:tbl>
          <w:p w14:paraId="02426CE8">
            <w:pPr>
              <w:pStyle w:val="345"/>
              <w:ind w:firstLine="480"/>
              <w:rPr>
                <w:szCs w:val="24"/>
              </w:rPr>
            </w:pPr>
            <w:r>
              <w:rPr>
                <w:szCs w:val="24"/>
              </w:rPr>
              <w:t>由上表可知，本项目建设符合《陆上石油天然气开采水基钻井废弃物处理处置及资源化利用技术规范》（SY/T 7466-2020）要求。</w:t>
            </w:r>
          </w:p>
          <w:p w14:paraId="6E352C18">
            <w:pPr>
              <w:pStyle w:val="38"/>
              <w:numPr>
                <w:ilvl w:val="1"/>
                <w:numId w:val="3"/>
              </w:numPr>
              <w:spacing w:before="0" w:beforeAutospacing="0" w:after="0" w:afterAutospacing="0" w:line="360" w:lineRule="auto"/>
              <w:ind w:left="0" w:firstLine="0"/>
              <w:rPr>
                <w:rFonts w:ascii="Times New Roman" w:hAnsi="Times New Roman"/>
                <w:b/>
                <w:color w:val="0000FF"/>
              </w:rPr>
            </w:pPr>
            <w:r>
              <w:rPr>
                <w:rFonts w:ascii="Times New Roman" w:hAnsi="Times New Roman"/>
                <w:b/>
                <w:color w:val="0000FF"/>
              </w:rPr>
              <w:t>与《</w:t>
            </w:r>
            <w:r>
              <w:rPr>
                <w:rFonts w:hint="eastAsia" w:ascii="Times New Roman" w:hAnsi="Times New Roman"/>
                <w:b/>
                <w:color w:val="0000FF"/>
              </w:rPr>
              <w:t>空气质量持续改善行动计划</w:t>
            </w:r>
            <w:r>
              <w:rPr>
                <w:rFonts w:ascii="Times New Roman" w:hAnsi="Times New Roman"/>
                <w:b/>
                <w:color w:val="0000FF"/>
              </w:rPr>
              <w:t>》（国发〔20</w:t>
            </w:r>
            <w:r>
              <w:rPr>
                <w:rFonts w:hint="eastAsia" w:ascii="Times New Roman" w:hAnsi="Times New Roman"/>
                <w:b/>
                <w:color w:val="0000FF"/>
              </w:rPr>
              <w:t>23</w:t>
            </w:r>
            <w:r>
              <w:rPr>
                <w:rFonts w:ascii="Times New Roman" w:hAnsi="Times New Roman"/>
                <w:b/>
                <w:color w:val="0000FF"/>
              </w:rPr>
              <w:t>〕</w:t>
            </w:r>
            <w:r>
              <w:rPr>
                <w:rFonts w:hint="eastAsia" w:ascii="Times New Roman" w:hAnsi="Times New Roman"/>
                <w:b/>
                <w:color w:val="0000FF"/>
              </w:rPr>
              <w:t>24</w:t>
            </w:r>
            <w:r>
              <w:rPr>
                <w:rFonts w:ascii="Times New Roman" w:hAnsi="Times New Roman"/>
                <w:b/>
                <w:color w:val="0000FF"/>
              </w:rPr>
              <w:t>号）符合性分析</w:t>
            </w:r>
          </w:p>
          <w:p w14:paraId="32027778">
            <w:pPr>
              <w:pStyle w:val="345"/>
              <w:ind w:firstLine="480"/>
              <w:rPr>
                <w:color w:val="0000FF"/>
                <w:szCs w:val="24"/>
              </w:rPr>
            </w:pPr>
            <w:r>
              <w:rPr>
                <w:rFonts w:hint="eastAsia"/>
                <w:color w:val="0000FF"/>
                <w:szCs w:val="24"/>
              </w:rPr>
              <w:t>根据国务院关于印发《空气质量持续改善行动计划》（国发〔2023〕24号），大力发展新能源和清洁能源。到2025年，非化石能源消费比重达20%左右，电能占终端能源消费比重达30%左右。持续增加天然气生产供应，新增天然气优先保障居民生活和清洁取暖需求。</w:t>
            </w:r>
          </w:p>
          <w:p w14:paraId="28F7DFF7">
            <w:pPr>
              <w:pStyle w:val="345"/>
              <w:ind w:firstLine="480"/>
              <w:rPr>
                <w:color w:val="0000FF"/>
                <w:szCs w:val="24"/>
              </w:rPr>
            </w:pPr>
            <w:r>
              <w:rPr>
                <w:rFonts w:hint="eastAsia"/>
                <w:color w:val="0000FF"/>
                <w:szCs w:val="24"/>
              </w:rPr>
              <w:t>项目属于陆地矿产资源地质勘查（含油气资源勘探），勘查对象为天然气，项目实施有利于区域天然气勘察及后续开发。</w:t>
            </w:r>
          </w:p>
          <w:p w14:paraId="444EEFC6">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与《四川省空气质量持续改善行动计划实施方案》（川府发〔2024〕15号）符合性分析</w:t>
            </w:r>
          </w:p>
          <w:p w14:paraId="1E7F0B40">
            <w:pPr>
              <w:pStyle w:val="345"/>
              <w:ind w:firstLine="480"/>
              <w:rPr>
                <w:szCs w:val="24"/>
              </w:rPr>
            </w:pPr>
            <w:r>
              <w:rPr>
                <w:szCs w:val="24"/>
              </w:rPr>
              <w:t>根据《四川省空气质量持续改善行动计划实施方案》（川府发〔2024〕15号）提出：</w:t>
            </w:r>
            <w:r>
              <w:rPr>
                <w:rFonts w:hint="eastAsia"/>
                <w:szCs w:val="24"/>
              </w:rPr>
              <w:t>（</w:t>
            </w:r>
            <w:r>
              <w:rPr>
                <w:szCs w:val="24"/>
              </w:rPr>
              <w:t>六</w:t>
            </w:r>
            <w:r>
              <w:rPr>
                <w:rFonts w:hint="eastAsia"/>
                <w:szCs w:val="24"/>
              </w:rPr>
              <w:t>）</w:t>
            </w:r>
            <w:r>
              <w:rPr>
                <w:szCs w:val="24"/>
              </w:rPr>
              <w:t>大力发展清洁能源。持续加大非化石能源供给，促进水风光氢</w:t>
            </w:r>
            <w:r>
              <w:rPr>
                <w:b/>
                <w:bCs/>
                <w:szCs w:val="24"/>
              </w:rPr>
              <w:t>天然气</w:t>
            </w:r>
            <w:r>
              <w:rPr>
                <w:szCs w:val="24"/>
              </w:rPr>
              <w:t>等多能互补发展。加快推进工业、农业、建筑、交通、生活服务５大领域电能替代。到</w:t>
            </w:r>
            <w:r>
              <w:rPr>
                <w:rFonts w:hint="eastAsia"/>
                <w:szCs w:val="24"/>
              </w:rPr>
              <w:t>2025</w:t>
            </w:r>
            <w:r>
              <w:rPr>
                <w:szCs w:val="24"/>
              </w:rPr>
              <w:t>年，全省非化石能源电力装机比重达</w:t>
            </w:r>
            <w:r>
              <w:rPr>
                <w:rFonts w:hint="eastAsia"/>
                <w:szCs w:val="24"/>
              </w:rPr>
              <w:t>83.3</w:t>
            </w:r>
            <w:r>
              <w:rPr>
                <w:szCs w:val="24"/>
              </w:rPr>
              <w:t>％，非化石能源消费比重达</w:t>
            </w:r>
            <w:r>
              <w:rPr>
                <w:rFonts w:hint="eastAsia"/>
                <w:szCs w:val="24"/>
              </w:rPr>
              <w:t>41.5</w:t>
            </w:r>
            <w:r>
              <w:rPr>
                <w:szCs w:val="24"/>
              </w:rPr>
              <w:t>％左右，电能占终端能源消费比重达</w:t>
            </w:r>
            <w:r>
              <w:rPr>
                <w:rFonts w:hint="eastAsia"/>
                <w:szCs w:val="24"/>
              </w:rPr>
              <w:t>30</w:t>
            </w:r>
            <w:r>
              <w:rPr>
                <w:szCs w:val="24"/>
              </w:rPr>
              <w:t>％左右。持续增加天然气生产供应，推进“国家天然气</w:t>
            </w:r>
            <w:r>
              <w:rPr>
                <w:rFonts w:hint="eastAsia"/>
                <w:szCs w:val="24"/>
              </w:rPr>
              <w:t>（</w:t>
            </w:r>
            <w:r>
              <w:rPr>
                <w:szCs w:val="24"/>
              </w:rPr>
              <w:t>页岩气</w:t>
            </w:r>
            <w:r>
              <w:rPr>
                <w:rFonts w:hint="eastAsia"/>
                <w:szCs w:val="24"/>
              </w:rPr>
              <w:t>）</w:t>
            </w:r>
            <w:r>
              <w:rPr>
                <w:szCs w:val="24"/>
              </w:rPr>
              <w:t>千亿立方米级产能基地”建设。</w:t>
            </w:r>
          </w:p>
          <w:p w14:paraId="0C26E63F">
            <w:pPr>
              <w:pStyle w:val="345"/>
              <w:ind w:firstLine="480"/>
              <w:rPr>
                <w:szCs w:val="24"/>
              </w:rPr>
            </w:pPr>
            <w:r>
              <w:rPr>
                <w:szCs w:val="24"/>
              </w:rPr>
              <w:t>项目属于陆地矿产资源地质勘查（含油气资源勘探），勘查对象为天然气，符合行动方案中提出促进天然气发展。</w:t>
            </w:r>
          </w:p>
          <w:p w14:paraId="7A5E7DB8">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与《土壤污染防治行动计划》符合性分析</w:t>
            </w:r>
          </w:p>
          <w:p w14:paraId="46A5833A">
            <w:pPr>
              <w:pStyle w:val="345"/>
              <w:ind w:firstLine="480"/>
              <w:rPr>
                <w:szCs w:val="24"/>
              </w:rPr>
            </w:pPr>
            <w:r>
              <w:rPr>
                <w:rFonts w:hint="eastAsia"/>
                <w:szCs w:val="24"/>
              </w:rPr>
              <w:t>根据国务院印发《土壤污染防治行动计划》（国发〔2016〕31号）提出，严防矿产资源开发污染土壤。自2017年起，内蒙古、江西、河南、湖北、湖南、广东、广西、四川、贵州、云南、陕西、甘肃、新疆等省（区）矿产资源开发活动集中的区域，执行重点污染物特别排放限值。全面整治历史遗留尾矿库，完善覆膜、压土、排洪、堤坝加固等隐患治理和闭库措施。有重点监管尾矿库的企业要开展环境风险评估，完善污染治理设施，储备应急物资。加强对矿产资源开发利用活动的辐射安全监管，有关企业每年要对本矿区土壤进行辐射环境监测。</w:t>
            </w:r>
          </w:p>
          <w:p w14:paraId="7B8F1D60">
            <w:pPr>
              <w:pStyle w:val="345"/>
              <w:ind w:firstLine="480"/>
              <w:rPr>
                <w:szCs w:val="24"/>
              </w:rPr>
            </w:pPr>
            <w:r>
              <w:rPr>
                <w:rFonts w:hint="eastAsia"/>
                <w:szCs w:val="24"/>
              </w:rPr>
              <w:t>本项目属于陆地矿产资源地质勘查（含油气资源勘探），勘查对象为天然气，钻井过程中产生的污染物均得到有效处置，钻井废水、压裂返排液收集后交由赵家坝产出水处理站处理后拉运至普光3井等回注站处理，现场不外排，水基岩屑按要求就近交给依法取得生态环境部门关于利用和处置相关工业固体废物项目环评批复、具有处理处置相应固体废物能力并配套建设有废气、废水、固废等污染物治理设施的单位进行资源化利用（四川光隆环保科技有限公司等），油基岩屑、油基泥浆交由有资质单位处置。评价要求项目实施完成后根据《排污单位自行监测技术指南 总则》（HJ819-2017）、参照《排污单位自行监测技术指南 陆上石油天然气开采工业》（HJ1248-2022）要求和相关地下水、土壤导则要求开展相关监测。</w:t>
            </w:r>
          </w:p>
          <w:p w14:paraId="56F04CA7">
            <w:pPr>
              <w:pStyle w:val="38"/>
              <w:numPr>
                <w:ilvl w:val="1"/>
                <w:numId w:val="3"/>
              </w:numPr>
              <w:spacing w:before="0" w:beforeAutospacing="0" w:after="0" w:afterAutospacing="0" w:line="360" w:lineRule="auto"/>
              <w:ind w:left="0" w:firstLine="0"/>
              <w:rPr>
                <w:rFonts w:ascii="Times New Roman" w:hAnsi="Times New Roman"/>
                <w:b/>
              </w:rPr>
            </w:pPr>
            <w:r>
              <w:rPr>
                <w:rFonts w:ascii="Times New Roman" w:hAnsi="Times New Roman"/>
                <w:b/>
              </w:rPr>
              <w:t>与《四川省土壤污染防治条例》符合性分析</w:t>
            </w:r>
          </w:p>
          <w:p w14:paraId="4F37813D">
            <w:pPr>
              <w:pStyle w:val="345"/>
              <w:ind w:firstLine="480"/>
              <w:rPr>
                <w:szCs w:val="24"/>
              </w:rPr>
            </w:pPr>
            <w:r>
              <w:rPr>
                <w:szCs w:val="24"/>
              </w:rPr>
              <w:t>根据《四川省土壤污染防治条例》提出：页岩气勘探开发单位应当采用先进清洁生产技术，减少勘探、开采、封井、回注等环节中污染物的产生和排放；开展页岩气开发区域土壤及地表水、地下水污染状况监测，对产生的废弃钻井液、废水、岩屑、污油等污染物进行无害化处置和资源化利用，防止有毒有害物质污染土壤及地表水、地下水。</w:t>
            </w:r>
          </w:p>
          <w:p w14:paraId="0AAF80AC">
            <w:pPr>
              <w:pStyle w:val="345"/>
              <w:ind w:firstLine="480"/>
              <w:rPr>
                <w:szCs w:val="24"/>
              </w:rPr>
            </w:pPr>
            <w:r>
              <w:rPr>
                <w:rFonts w:hint="eastAsia"/>
                <w:szCs w:val="24"/>
              </w:rPr>
              <w:t>项目实施过程中导管段采用清水钻井，一、二开、三开、四开导眼段采用水基钻井液钻井，四开侧钻水平段采用油基钻井液进行钻井，钻井过程中水基岩屑、水基泥浆经泥浆不落地平台收集，最终交由四川光隆环保科技有限公司等具备处理资质的单位进行处理，产生的油基泥浆、油基岩屑收集后交由有资质单位处置；钻井废水优先回用于钻井过程，不能回用时由罐车拉运至赵家坝污水处理站处理后运至普光3井等回注站回注处理；压裂返排液收集后由罐车拉运至赵家坝污水处理站处理后运至普光3井等回注站回注处理。以上污染物处理措施符合条例中提出对污染物进行无害化处置和资源化利用。因此项目的实施符合《四川省土壤污染防治条例》。</w:t>
            </w:r>
          </w:p>
        </w:tc>
      </w:tr>
    </w:tbl>
    <w:p w14:paraId="6586BD9F">
      <w:pPr>
        <w:pStyle w:val="38"/>
        <w:spacing w:before="0" w:beforeAutospacing="0" w:after="0" w:afterAutospacing="0"/>
        <w:jc w:val="center"/>
        <w:rPr>
          <w:rFonts w:ascii="Times New Roman" w:hAnsi="Times New Roman" w:eastAsia="黑体"/>
          <w:snapToGrid w:val="0"/>
          <w:sz w:val="21"/>
          <w:szCs w:val="21"/>
        </w:rPr>
      </w:pPr>
    </w:p>
    <w:p w14:paraId="2DF8E2FB">
      <w:pPr>
        <w:pStyle w:val="38"/>
        <w:jc w:val="center"/>
        <w:rPr>
          <w:rFonts w:ascii="Times New Roman" w:hAnsi="Times New Roman" w:eastAsia="黑体"/>
          <w:snapToGrid w:val="0"/>
          <w:sz w:val="21"/>
          <w:szCs w:val="21"/>
        </w:rPr>
        <w:sectPr>
          <w:pgSz w:w="11906" w:h="16838"/>
          <w:pgMar w:top="1417" w:right="1417" w:bottom="1417" w:left="1701" w:header="851" w:footer="1077" w:gutter="0"/>
          <w:cols w:space="720" w:num="1"/>
          <w:docGrid w:linePitch="312" w:charSpace="0"/>
        </w:sectPr>
      </w:pPr>
    </w:p>
    <w:p w14:paraId="6BB23289">
      <w:pPr>
        <w:pStyle w:val="3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44"/>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07"/>
      </w:tblGrid>
      <w:tr w14:paraId="732F1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080" w:type="dxa"/>
            <w:vAlign w:val="center"/>
          </w:tcPr>
          <w:p w14:paraId="1D7758D9">
            <w:pPr>
              <w:adjustRightInd w:val="0"/>
              <w:snapToGrid w:val="0"/>
              <w:jc w:val="center"/>
              <w:rPr>
                <w:kern w:val="0"/>
                <w:szCs w:val="21"/>
              </w:rPr>
            </w:pPr>
            <w:r>
              <w:rPr>
                <w:kern w:val="0"/>
                <w:szCs w:val="21"/>
              </w:rPr>
              <w:t>地理位置</w:t>
            </w:r>
          </w:p>
        </w:tc>
        <w:tc>
          <w:tcPr>
            <w:tcW w:w="7707" w:type="dxa"/>
            <w:vAlign w:val="center"/>
          </w:tcPr>
          <w:p w14:paraId="3929838B">
            <w:pPr>
              <w:adjustRightInd w:val="0"/>
              <w:snapToGrid w:val="0"/>
              <w:spacing w:line="360" w:lineRule="auto"/>
              <w:ind w:firstLine="480" w:firstLineChars="200"/>
              <w:rPr>
                <w:kern w:val="0"/>
                <w:szCs w:val="21"/>
              </w:rPr>
            </w:pPr>
            <w:r>
              <w:rPr>
                <w:kern w:val="0"/>
                <w:sz w:val="24"/>
              </w:rPr>
              <w:t>项目位于四川省达州市宣汉县</w:t>
            </w:r>
            <w:r>
              <w:rPr>
                <w:rFonts w:hint="eastAsia"/>
                <w:kern w:val="0"/>
                <w:sz w:val="24"/>
              </w:rPr>
              <w:t>君塘镇界湾村</w:t>
            </w:r>
            <w:r>
              <w:rPr>
                <w:kern w:val="0"/>
                <w:sz w:val="24"/>
              </w:rPr>
              <w:t>，距达州市区直线距离约</w:t>
            </w:r>
            <w:r>
              <w:rPr>
                <w:rFonts w:hint="eastAsia"/>
                <w:kern w:val="0"/>
                <w:sz w:val="24"/>
              </w:rPr>
              <w:t>10</w:t>
            </w:r>
            <w:r>
              <w:rPr>
                <w:kern w:val="0"/>
                <w:sz w:val="24"/>
              </w:rPr>
              <w:t>km，距宣汉城区直线距离约1</w:t>
            </w:r>
            <w:r>
              <w:rPr>
                <w:rFonts w:hint="eastAsia"/>
                <w:kern w:val="0"/>
                <w:sz w:val="24"/>
              </w:rPr>
              <w:t>0</w:t>
            </w:r>
            <w:r>
              <w:rPr>
                <w:kern w:val="0"/>
                <w:sz w:val="24"/>
              </w:rPr>
              <w:t>km，项目所在地交通较为方便。项目地理位置示意图见附图1。</w:t>
            </w:r>
          </w:p>
        </w:tc>
      </w:tr>
      <w:tr w14:paraId="603C2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D528086">
            <w:pPr>
              <w:adjustRightInd w:val="0"/>
              <w:snapToGrid w:val="0"/>
              <w:jc w:val="center"/>
              <w:rPr>
                <w:kern w:val="0"/>
                <w:szCs w:val="21"/>
              </w:rPr>
            </w:pPr>
            <w:r>
              <w:rPr>
                <w:kern w:val="0"/>
                <w:szCs w:val="21"/>
              </w:rPr>
              <w:t>项目组成及规模</w:t>
            </w:r>
          </w:p>
        </w:tc>
        <w:tc>
          <w:tcPr>
            <w:tcW w:w="7707" w:type="dxa"/>
            <w:vAlign w:val="center"/>
          </w:tcPr>
          <w:p w14:paraId="533F469A">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项目由来</w:t>
            </w:r>
          </w:p>
          <w:p w14:paraId="387D6408">
            <w:pPr>
              <w:spacing w:line="360" w:lineRule="auto"/>
              <w:ind w:firstLine="480" w:firstLineChars="200"/>
              <w:rPr>
                <w:sz w:val="24"/>
                <w:lang w:val="zh-CN"/>
              </w:rPr>
            </w:pPr>
            <w:r>
              <w:rPr>
                <w:rFonts w:hint="eastAsia"/>
                <w:sz w:val="24"/>
              </w:rPr>
              <w:t>建设单位</w:t>
            </w:r>
            <w:r>
              <w:rPr>
                <w:sz w:val="24"/>
                <w:lang w:val="zh-CN"/>
              </w:rPr>
              <w:t>实施了雷页1HF井，在大隆组取得勘探突破后，</w:t>
            </w:r>
            <w:r>
              <w:rPr>
                <w:rFonts w:hint="eastAsia"/>
                <w:sz w:val="24"/>
              </w:rPr>
              <w:t>经过</w:t>
            </w:r>
            <w:r>
              <w:rPr>
                <w:sz w:val="24"/>
                <w:lang w:val="zh-CN"/>
              </w:rPr>
              <w:t>连续试采356天，平均日产气</w:t>
            </w:r>
            <w:r>
              <w:rPr>
                <w:rFonts w:hint="eastAsia"/>
                <w:sz w:val="24"/>
                <w:lang w:val="en-US" w:eastAsia="zh-CN"/>
              </w:rPr>
              <w:t>***</w:t>
            </w:r>
            <w:r>
              <w:rPr>
                <w:sz w:val="24"/>
                <w:lang w:val="zh-CN"/>
              </w:rPr>
              <w:t>m</w:t>
            </w:r>
            <w:r>
              <w:rPr>
                <w:sz w:val="24"/>
                <w:vertAlign w:val="superscript"/>
                <w:lang w:val="zh-CN"/>
              </w:rPr>
              <w:t>3</w:t>
            </w:r>
            <w:r>
              <w:rPr>
                <w:sz w:val="24"/>
                <w:lang w:val="zh-CN"/>
              </w:rPr>
              <w:t>，累产气</w:t>
            </w:r>
            <w:r>
              <w:rPr>
                <w:rFonts w:hint="eastAsia"/>
                <w:sz w:val="24"/>
                <w:lang w:val="en-US" w:eastAsia="zh-CN"/>
              </w:rPr>
              <w:t>***</w:t>
            </w:r>
            <w:r>
              <w:rPr>
                <w:sz w:val="24"/>
                <w:lang w:val="zh-CN"/>
              </w:rPr>
              <w:t>m</w:t>
            </w:r>
            <w:r>
              <w:rPr>
                <w:sz w:val="24"/>
                <w:vertAlign w:val="superscript"/>
                <w:lang w:val="zh-CN"/>
              </w:rPr>
              <w:t>3</w:t>
            </w:r>
            <w:r>
              <w:rPr>
                <w:sz w:val="24"/>
                <w:lang w:val="zh-CN"/>
              </w:rPr>
              <w:t>，证实大隆组具备稳定生产能力；明1侧井在二叠系超深层短水平段试气获</w:t>
            </w:r>
            <w:r>
              <w:rPr>
                <w:rFonts w:hint="eastAsia"/>
                <w:sz w:val="24"/>
                <w:lang w:val="en-US" w:eastAsia="zh-CN"/>
              </w:rPr>
              <w:t>***</w:t>
            </w:r>
            <w:r>
              <w:rPr>
                <w:sz w:val="24"/>
                <w:lang w:val="zh-CN"/>
              </w:rPr>
              <w:t>m</w:t>
            </w:r>
            <w:r>
              <w:rPr>
                <w:sz w:val="24"/>
                <w:vertAlign w:val="superscript"/>
                <w:lang w:val="zh-CN"/>
              </w:rPr>
              <w:t>3</w:t>
            </w:r>
            <w:r>
              <w:rPr>
                <w:sz w:val="24"/>
                <w:lang w:val="zh-CN"/>
              </w:rPr>
              <w:t>/d，实现</w:t>
            </w:r>
            <w:r>
              <w:rPr>
                <w:rFonts w:hint="eastAsia"/>
                <w:sz w:val="24"/>
                <w:lang w:val="en-US" w:eastAsia="zh-CN"/>
              </w:rPr>
              <w:t>***</w:t>
            </w:r>
            <w:r>
              <w:rPr>
                <w:sz w:val="24"/>
                <w:lang w:val="zh-CN"/>
              </w:rPr>
              <w:t>m</w:t>
            </w:r>
            <w:r>
              <w:rPr>
                <w:sz w:val="24"/>
                <w:vertAlign w:val="superscript"/>
                <w:lang w:val="zh-CN"/>
              </w:rPr>
              <w:t>3</w:t>
            </w:r>
            <w:r>
              <w:rPr>
                <w:sz w:val="24"/>
                <w:lang w:val="zh-CN"/>
              </w:rPr>
              <w:t>/d稳定产能；铁北1侧HF井在大隆组超深层长水平段页岩钻遇率100%，油气显示好，证实了普光探区二叠系大隆组页岩气的勘探潜力。因此，</w:t>
            </w:r>
            <w:r>
              <w:rPr>
                <w:rFonts w:hint="eastAsia"/>
                <w:sz w:val="24"/>
              </w:rPr>
              <w:t>建设单位决定</w:t>
            </w:r>
            <w:r>
              <w:rPr>
                <w:sz w:val="24"/>
                <w:lang w:val="zh-CN"/>
              </w:rPr>
              <w:t>围绕大隆组</w:t>
            </w:r>
            <w:r>
              <w:rPr>
                <w:rFonts w:hint="eastAsia"/>
                <w:sz w:val="24"/>
              </w:rPr>
              <w:t>开展</w:t>
            </w:r>
            <w:r>
              <w:rPr>
                <w:sz w:val="24"/>
                <w:lang w:val="zh-CN"/>
              </w:rPr>
              <w:t>一体化部署，培育千亿方增储阵地，在普光探区南部双庙场构造部署预探井双庙页1HF井</w:t>
            </w:r>
            <w:r>
              <w:rPr>
                <w:rFonts w:hint="eastAsia"/>
                <w:sz w:val="24"/>
                <w:lang w:val="zh-CN"/>
              </w:rPr>
              <w:t>。</w:t>
            </w:r>
          </w:p>
          <w:p w14:paraId="6EBB85EF">
            <w:pPr>
              <w:spacing w:line="360" w:lineRule="auto"/>
              <w:ind w:firstLine="480" w:firstLineChars="200"/>
              <w:rPr>
                <w:sz w:val="24"/>
              </w:rPr>
            </w:pPr>
            <w:r>
              <w:rPr>
                <w:rFonts w:hint="eastAsia"/>
                <w:sz w:val="24"/>
              </w:rPr>
              <w:t>本项目属于预探井，根据《国民经济行业分类》（GB/T 4754—2017），属于7471能源矿产地质勘察，根据《石油天然气勘探规范》（GB/T39537-2020），确定油气藏类型，特征与储量规模属于天然气勘察的工作任务，不属于天然气开发。因此，结合《建设项目环境影响评价分类管理名录》（2021版），本项目属于陆地矿产资源地质勘查（含油气资源勘探），应编制环境影响报告表。</w:t>
            </w:r>
          </w:p>
          <w:p w14:paraId="5233B4EB">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建设内容</w:t>
            </w:r>
          </w:p>
          <w:p w14:paraId="53185764">
            <w:pPr>
              <w:pStyle w:val="19"/>
              <w:tabs>
                <w:tab w:val="left" w:pos="0"/>
                <w:tab w:val="left" w:pos="833"/>
              </w:tabs>
              <w:spacing w:before="0" w:after="0" w:line="360" w:lineRule="auto"/>
              <w:ind w:right="0" w:firstLine="480" w:firstLineChars="200"/>
              <w:rPr>
                <w:bCs/>
                <w:sz w:val="24"/>
                <w:szCs w:val="24"/>
              </w:rPr>
            </w:pPr>
            <w:bookmarkStart w:id="6" w:name="_Hlk86168201"/>
            <w:bookmarkStart w:id="7" w:name="_Hlk80690965"/>
            <w:r>
              <w:rPr>
                <w:bCs/>
                <w:sz w:val="24"/>
                <w:szCs w:val="24"/>
              </w:rPr>
              <w:t>项目名称：</w:t>
            </w:r>
            <w:r>
              <w:rPr>
                <w:rFonts w:hint="eastAsia"/>
                <w:bCs/>
                <w:sz w:val="24"/>
                <w:szCs w:val="24"/>
              </w:rPr>
              <w:t>双庙页1HF预探井工程</w:t>
            </w:r>
          </w:p>
          <w:p w14:paraId="16919B60">
            <w:pPr>
              <w:pStyle w:val="19"/>
              <w:tabs>
                <w:tab w:val="left" w:pos="0"/>
                <w:tab w:val="left" w:pos="833"/>
              </w:tabs>
              <w:spacing w:before="0" w:after="0" w:line="360" w:lineRule="auto"/>
              <w:ind w:right="0" w:firstLine="480" w:firstLineChars="200"/>
              <w:rPr>
                <w:bCs/>
                <w:sz w:val="24"/>
                <w:szCs w:val="24"/>
              </w:rPr>
            </w:pPr>
            <w:r>
              <w:rPr>
                <w:bCs/>
                <w:sz w:val="24"/>
                <w:szCs w:val="24"/>
              </w:rPr>
              <w:t>建设单位：中国石油化工股份有限公司中原油田普光分公司</w:t>
            </w:r>
          </w:p>
          <w:p w14:paraId="1E6A82FF">
            <w:pPr>
              <w:pStyle w:val="19"/>
              <w:tabs>
                <w:tab w:val="left" w:pos="0"/>
                <w:tab w:val="left" w:pos="833"/>
              </w:tabs>
              <w:spacing w:before="0" w:after="0" w:line="360" w:lineRule="auto"/>
              <w:ind w:right="0" w:firstLine="480" w:firstLineChars="200"/>
              <w:rPr>
                <w:bCs/>
                <w:sz w:val="24"/>
                <w:szCs w:val="24"/>
              </w:rPr>
            </w:pPr>
            <w:r>
              <w:rPr>
                <w:bCs/>
                <w:sz w:val="24"/>
                <w:szCs w:val="24"/>
              </w:rPr>
              <w:t>建设性质：新建</w:t>
            </w:r>
          </w:p>
          <w:p w14:paraId="61B859A7">
            <w:pPr>
              <w:pStyle w:val="19"/>
              <w:tabs>
                <w:tab w:val="left" w:pos="0"/>
                <w:tab w:val="left" w:pos="833"/>
              </w:tabs>
              <w:spacing w:before="0" w:after="0" w:line="360" w:lineRule="auto"/>
              <w:ind w:right="0" w:firstLine="480" w:firstLineChars="200"/>
              <w:rPr>
                <w:bCs/>
                <w:sz w:val="24"/>
                <w:szCs w:val="24"/>
              </w:rPr>
            </w:pPr>
            <w:r>
              <w:rPr>
                <w:bCs/>
                <w:sz w:val="24"/>
                <w:szCs w:val="24"/>
              </w:rPr>
              <w:t>项目总投资：</w:t>
            </w:r>
            <w:r>
              <w:rPr>
                <w:rFonts w:hint="eastAsia"/>
                <w:bCs/>
                <w:sz w:val="24"/>
                <w:szCs w:val="24"/>
                <w:lang w:val="en-US" w:eastAsia="zh-CN"/>
              </w:rPr>
              <w:t>**</w:t>
            </w:r>
            <w:r>
              <w:rPr>
                <w:bCs/>
                <w:sz w:val="24"/>
                <w:szCs w:val="24"/>
              </w:rPr>
              <w:t>万元，环保投资</w:t>
            </w:r>
            <w:r>
              <w:rPr>
                <w:rFonts w:hint="eastAsia"/>
                <w:bCs/>
                <w:sz w:val="24"/>
                <w:szCs w:val="24"/>
                <w:lang w:val="en-US" w:eastAsia="zh-CN"/>
              </w:rPr>
              <w:t>**</w:t>
            </w:r>
            <w:r>
              <w:rPr>
                <w:bCs/>
                <w:sz w:val="24"/>
                <w:szCs w:val="24"/>
              </w:rPr>
              <w:t>万元，占比</w:t>
            </w:r>
            <w:r>
              <w:rPr>
                <w:rFonts w:hint="eastAsia"/>
                <w:bCs/>
                <w:sz w:val="24"/>
                <w:szCs w:val="24"/>
                <w:lang w:val="en-US" w:eastAsia="zh-CN"/>
              </w:rPr>
              <w:t>**</w:t>
            </w:r>
            <w:r>
              <w:rPr>
                <w:bCs/>
                <w:sz w:val="24"/>
                <w:szCs w:val="24"/>
              </w:rPr>
              <w:t>%。</w:t>
            </w:r>
          </w:p>
          <w:p w14:paraId="4A31FF74">
            <w:pPr>
              <w:pStyle w:val="19"/>
              <w:tabs>
                <w:tab w:val="left" w:pos="0"/>
                <w:tab w:val="left" w:pos="833"/>
              </w:tabs>
              <w:spacing w:before="0" w:after="0" w:line="360" w:lineRule="auto"/>
              <w:ind w:right="0" w:firstLine="480" w:firstLineChars="200"/>
              <w:rPr>
                <w:bCs/>
                <w:sz w:val="24"/>
                <w:szCs w:val="24"/>
              </w:rPr>
            </w:pPr>
            <w:r>
              <w:rPr>
                <w:bCs/>
                <w:sz w:val="24"/>
                <w:szCs w:val="24"/>
              </w:rPr>
              <w:t>建设内容</w:t>
            </w:r>
            <w:bookmarkStart w:id="8" w:name="_Hlk98357504"/>
            <w:bookmarkStart w:id="9" w:name="_Hlk79354512"/>
            <w:r>
              <w:rPr>
                <w:bCs/>
                <w:sz w:val="24"/>
                <w:szCs w:val="24"/>
              </w:rPr>
              <w:t>：新建</w:t>
            </w:r>
            <w:r>
              <w:rPr>
                <w:rFonts w:hint="eastAsia"/>
                <w:bCs/>
                <w:sz w:val="24"/>
                <w:szCs w:val="24"/>
              </w:rPr>
              <w:t>双庙页1HF井</w:t>
            </w:r>
            <w:r>
              <w:rPr>
                <w:bCs/>
                <w:sz w:val="24"/>
                <w:szCs w:val="24"/>
              </w:rPr>
              <w:t>井场，井场总体呈规格矩形，大小为1</w:t>
            </w:r>
            <w:r>
              <w:rPr>
                <w:rFonts w:hint="eastAsia"/>
                <w:bCs/>
                <w:sz w:val="24"/>
                <w:szCs w:val="24"/>
              </w:rPr>
              <w:t>26</w:t>
            </w:r>
            <w:r>
              <w:rPr>
                <w:bCs/>
                <w:sz w:val="24"/>
                <w:szCs w:val="24"/>
              </w:rPr>
              <w:t>*</w:t>
            </w:r>
            <w:r>
              <w:rPr>
                <w:rFonts w:hint="eastAsia"/>
                <w:bCs/>
                <w:sz w:val="24"/>
                <w:szCs w:val="24"/>
              </w:rPr>
              <w:t>6</w:t>
            </w:r>
            <w:r>
              <w:rPr>
                <w:bCs/>
                <w:sz w:val="24"/>
                <w:szCs w:val="24"/>
              </w:rPr>
              <w:t>0m，井型为</w:t>
            </w:r>
            <w:r>
              <w:rPr>
                <w:rFonts w:hint="eastAsia"/>
                <w:bCs/>
                <w:sz w:val="24"/>
                <w:szCs w:val="24"/>
              </w:rPr>
              <w:t>预探井</w:t>
            </w:r>
            <w:r>
              <w:rPr>
                <w:bCs/>
                <w:sz w:val="24"/>
                <w:szCs w:val="24"/>
              </w:rPr>
              <w:t>，</w:t>
            </w:r>
            <w:r>
              <w:rPr>
                <w:rFonts w:hint="eastAsia"/>
                <w:bCs/>
                <w:sz w:val="24"/>
                <w:szCs w:val="24"/>
              </w:rPr>
              <w:t>根据设计资料，导眼井井深</w:t>
            </w:r>
            <w:r>
              <w:rPr>
                <w:bCs/>
                <w:sz w:val="24"/>
                <w:szCs w:val="24"/>
              </w:rPr>
              <w:t>为</w:t>
            </w:r>
            <w:r>
              <w:rPr>
                <w:rFonts w:hint="eastAsia"/>
                <w:bCs/>
                <w:sz w:val="24"/>
                <w:szCs w:val="24"/>
                <w:lang w:val="en-US" w:eastAsia="zh-CN"/>
              </w:rPr>
              <w:t>**</w:t>
            </w:r>
            <w:r>
              <w:rPr>
                <w:bCs/>
                <w:sz w:val="24"/>
                <w:szCs w:val="24"/>
              </w:rPr>
              <w:t>m</w:t>
            </w:r>
            <w:r>
              <w:rPr>
                <w:rFonts w:hint="eastAsia"/>
                <w:bCs/>
                <w:sz w:val="24"/>
                <w:szCs w:val="24"/>
              </w:rPr>
              <w:t>，水平井井深为</w:t>
            </w:r>
            <w:r>
              <w:rPr>
                <w:rFonts w:hint="eastAsia"/>
                <w:bCs/>
                <w:sz w:val="24"/>
                <w:szCs w:val="24"/>
                <w:lang w:val="en-US" w:eastAsia="zh-CN"/>
              </w:rPr>
              <w:t>**</w:t>
            </w:r>
            <w:r>
              <w:rPr>
                <w:rFonts w:hint="eastAsia"/>
                <w:bCs/>
                <w:sz w:val="24"/>
                <w:szCs w:val="24"/>
              </w:rPr>
              <w:t>m</w:t>
            </w:r>
            <w:r>
              <w:rPr>
                <w:bCs/>
                <w:sz w:val="24"/>
                <w:szCs w:val="24"/>
              </w:rPr>
              <w:t>。采用导管+</w:t>
            </w:r>
            <w:r>
              <w:rPr>
                <w:rFonts w:hint="eastAsia"/>
                <w:bCs/>
                <w:sz w:val="24"/>
                <w:szCs w:val="24"/>
              </w:rPr>
              <w:t>四</w:t>
            </w:r>
            <w:r>
              <w:rPr>
                <w:bCs/>
                <w:sz w:val="24"/>
                <w:szCs w:val="24"/>
              </w:rPr>
              <w:t>开井身结构。目的层位为</w:t>
            </w:r>
            <w:r>
              <w:rPr>
                <w:rFonts w:hint="eastAsia"/>
                <w:bCs/>
                <w:sz w:val="24"/>
                <w:szCs w:val="24"/>
                <w:lang w:val="en-US" w:eastAsia="zh-CN"/>
              </w:rPr>
              <w:t>**</w:t>
            </w:r>
            <w:r>
              <w:rPr>
                <w:bCs/>
                <w:sz w:val="24"/>
                <w:szCs w:val="24"/>
              </w:rPr>
              <w:t>，导眼井</w:t>
            </w:r>
            <w:r>
              <w:rPr>
                <w:rFonts w:hint="eastAsia"/>
                <w:bCs/>
                <w:sz w:val="24"/>
                <w:szCs w:val="24"/>
              </w:rPr>
              <w:t>钻井目的为</w:t>
            </w:r>
            <w:r>
              <w:rPr>
                <w:rFonts w:hint="eastAsia"/>
                <w:bCs/>
                <w:sz w:val="24"/>
                <w:szCs w:val="24"/>
                <w:lang w:val="en-US" w:eastAsia="zh-CN"/>
              </w:rPr>
              <w:t>**</w:t>
            </w:r>
            <w:r>
              <w:rPr>
                <w:bCs/>
                <w:sz w:val="24"/>
                <w:szCs w:val="24"/>
              </w:rPr>
              <w:t>。水平井</w:t>
            </w:r>
            <w:r>
              <w:rPr>
                <w:rFonts w:hint="eastAsia"/>
                <w:bCs/>
                <w:sz w:val="24"/>
                <w:szCs w:val="24"/>
              </w:rPr>
              <w:t>钻井目的为</w:t>
            </w:r>
            <w:r>
              <w:rPr>
                <w:rFonts w:hint="eastAsia"/>
                <w:bCs/>
                <w:sz w:val="24"/>
                <w:szCs w:val="24"/>
                <w:lang w:val="en-US" w:eastAsia="zh-CN"/>
              </w:rPr>
              <w:t>***</w:t>
            </w:r>
            <w:r>
              <w:rPr>
                <w:bCs/>
                <w:sz w:val="24"/>
                <w:szCs w:val="24"/>
              </w:rPr>
              <w:t>。</w:t>
            </w:r>
            <w:bookmarkEnd w:id="8"/>
            <w:bookmarkEnd w:id="9"/>
          </w:p>
          <w:p w14:paraId="2F7CE499">
            <w:pPr>
              <w:pStyle w:val="19"/>
              <w:tabs>
                <w:tab w:val="left" w:pos="0"/>
                <w:tab w:val="left" w:pos="833"/>
              </w:tabs>
              <w:spacing w:before="0" w:after="0" w:line="360" w:lineRule="auto"/>
              <w:ind w:right="0" w:firstLine="480" w:firstLineChars="200"/>
              <w:rPr>
                <w:bCs/>
                <w:sz w:val="24"/>
                <w:szCs w:val="24"/>
              </w:rPr>
            </w:pPr>
            <w:r>
              <w:rPr>
                <w:bCs/>
                <w:sz w:val="24"/>
                <w:szCs w:val="24"/>
              </w:rPr>
              <w:t>根据项目的工程特点，可将项目实施分为三个阶段：钻前工程、钻井工程、试气工程。工程为评价井项目，本次评价不涉及工程的运营期；如项目勘探完成后有工业开采价值，则需要另行评价。</w:t>
            </w:r>
          </w:p>
          <w:p w14:paraId="69E9FFF0">
            <w:pPr>
              <w:pStyle w:val="19"/>
              <w:tabs>
                <w:tab w:val="left" w:pos="0"/>
                <w:tab w:val="left" w:pos="833"/>
              </w:tabs>
              <w:spacing w:before="0" w:after="0" w:line="360" w:lineRule="auto"/>
              <w:ind w:right="0" w:firstLine="480" w:firstLineChars="200"/>
              <w:rPr>
                <w:bCs/>
                <w:sz w:val="24"/>
                <w:szCs w:val="24"/>
              </w:rPr>
            </w:pPr>
            <w:r>
              <w:rPr>
                <w:bCs/>
                <w:sz w:val="24"/>
                <w:szCs w:val="24"/>
              </w:rPr>
              <w:t>（1）钻前工程</w:t>
            </w:r>
          </w:p>
          <w:p w14:paraId="28754CD7">
            <w:pPr>
              <w:pStyle w:val="19"/>
              <w:tabs>
                <w:tab w:val="left" w:pos="0"/>
                <w:tab w:val="left" w:pos="833"/>
              </w:tabs>
              <w:spacing w:before="0" w:after="0" w:line="360" w:lineRule="auto"/>
              <w:ind w:right="0" w:firstLine="480" w:firstLineChars="200"/>
              <w:rPr>
                <w:bCs/>
                <w:sz w:val="24"/>
                <w:szCs w:val="24"/>
              </w:rPr>
            </w:pPr>
            <w:r>
              <w:rPr>
                <w:bCs/>
                <w:sz w:val="24"/>
                <w:szCs w:val="24"/>
              </w:rPr>
              <w:t>项目</w:t>
            </w:r>
            <w:r>
              <w:rPr>
                <w:rFonts w:hint="eastAsia"/>
                <w:bCs/>
                <w:sz w:val="24"/>
                <w:szCs w:val="24"/>
              </w:rPr>
              <w:t>位于</w:t>
            </w:r>
            <w:r>
              <w:rPr>
                <w:bCs/>
                <w:sz w:val="24"/>
                <w:szCs w:val="24"/>
              </w:rPr>
              <w:t>达州市宣汉县</w:t>
            </w:r>
            <w:r>
              <w:rPr>
                <w:rFonts w:hint="eastAsia"/>
                <w:bCs/>
                <w:sz w:val="24"/>
                <w:szCs w:val="24"/>
              </w:rPr>
              <w:t>君塘镇界湾村</w:t>
            </w:r>
            <w:r>
              <w:rPr>
                <w:bCs/>
                <w:sz w:val="24"/>
                <w:szCs w:val="24"/>
              </w:rPr>
              <w:t>1组，新增临时占地面积为</w:t>
            </w:r>
            <w:r>
              <w:rPr>
                <w:rFonts w:hint="eastAsia"/>
                <w:bCs/>
                <w:sz w:val="24"/>
                <w:szCs w:val="24"/>
              </w:rPr>
              <w:t>21867</w:t>
            </w:r>
            <w:r>
              <w:rPr>
                <w:bCs/>
                <w:sz w:val="24"/>
                <w:szCs w:val="24"/>
              </w:rPr>
              <w:t>m</w:t>
            </w:r>
            <w:r>
              <w:rPr>
                <w:bCs/>
                <w:sz w:val="24"/>
                <w:szCs w:val="24"/>
                <w:vertAlign w:val="superscript"/>
              </w:rPr>
              <w:t>2</w:t>
            </w:r>
            <w:r>
              <w:rPr>
                <w:bCs/>
                <w:sz w:val="24"/>
                <w:szCs w:val="24"/>
              </w:rPr>
              <w:t>，井场</w:t>
            </w:r>
            <w:r>
              <w:rPr>
                <w:rFonts w:hint="eastAsia"/>
                <w:bCs/>
                <w:sz w:val="24"/>
                <w:szCs w:val="24"/>
              </w:rPr>
              <w:t>南侧</w:t>
            </w:r>
            <w:r>
              <w:rPr>
                <w:bCs/>
                <w:sz w:val="24"/>
                <w:szCs w:val="24"/>
              </w:rPr>
              <w:t>新建清水池，清水池容积为500m</w:t>
            </w:r>
            <w:r>
              <w:rPr>
                <w:bCs/>
                <w:sz w:val="24"/>
                <w:szCs w:val="24"/>
                <w:vertAlign w:val="superscript"/>
              </w:rPr>
              <w:t>3</w:t>
            </w:r>
            <w:r>
              <w:rPr>
                <w:bCs/>
                <w:sz w:val="24"/>
                <w:szCs w:val="24"/>
              </w:rPr>
              <w:t>，新建</w:t>
            </w:r>
            <w:r>
              <w:rPr>
                <w:rFonts w:hint="eastAsia"/>
                <w:bCs/>
                <w:sz w:val="24"/>
                <w:szCs w:val="24"/>
              </w:rPr>
              <w:t>2</w:t>
            </w:r>
            <w:r>
              <w:rPr>
                <w:bCs/>
                <w:sz w:val="24"/>
                <w:szCs w:val="24"/>
              </w:rPr>
              <w:t>座放喷池，位于井场</w:t>
            </w:r>
            <w:r>
              <w:rPr>
                <w:rFonts w:hint="eastAsia"/>
                <w:bCs/>
                <w:sz w:val="24"/>
                <w:szCs w:val="24"/>
              </w:rPr>
              <w:t>南侧</w:t>
            </w:r>
            <w:r>
              <w:rPr>
                <w:bCs/>
                <w:sz w:val="24"/>
                <w:szCs w:val="24"/>
              </w:rPr>
              <w:t>，容积为300m</w:t>
            </w:r>
            <w:r>
              <w:rPr>
                <w:bCs/>
                <w:sz w:val="24"/>
                <w:szCs w:val="24"/>
                <w:vertAlign w:val="superscript"/>
              </w:rPr>
              <w:t>3</w:t>
            </w:r>
            <w:r>
              <w:rPr>
                <w:bCs/>
                <w:sz w:val="24"/>
                <w:szCs w:val="24"/>
              </w:rPr>
              <w:t>，新建井队临时板房生活区1套，生态一体化厕所1座以及钻井临时房屋、钻井设备基础、给排水、供配电等辅助工程。</w:t>
            </w:r>
          </w:p>
          <w:p w14:paraId="1F1B006C">
            <w:pPr>
              <w:pStyle w:val="38"/>
              <w:snapToGrid w:val="0"/>
              <w:spacing w:before="0" w:beforeAutospacing="0" w:after="0" w:afterAutospacing="0" w:line="360" w:lineRule="auto"/>
              <w:ind w:firstLine="480" w:firstLineChars="200"/>
              <w:jc w:val="both"/>
              <w:rPr>
                <w:rFonts w:ascii="Times New Roman" w:hAnsi="Times New Roman"/>
                <w:bCs/>
              </w:rPr>
            </w:pPr>
            <w:r>
              <w:rPr>
                <w:rFonts w:ascii="Times New Roman" w:hAnsi="Times New Roman"/>
                <w:bCs/>
                <w:lang w:bidi="ar"/>
              </w:rPr>
              <w:t>钻前工程主要工程内容及工程量见下表。</w:t>
            </w:r>
          </w:p>
          <w:p w14:paraId="38629C70">
            <w:pPr>
              <w:pStyle w:val="38"/>
              <w:numPr>
                <w:ilvl w:val="0"/>
                <w:numId w:val="5"/>
              </w:numPr>
              <w:snapToGrid w:val="0"/>
              <w:spacing w:before="0" w:beforeAutospacing="0" w:after="0" w:afterAutospacing="0" w:line="360" w:lineRule="auto"/>
              <w:ind w:left="0" w:firstLine="0"/>
              <w:jc w:val="center"/>
              <w:rPr>
                <w:rFonts w:ascii="Times New Roman" w:hAnsi="Times New Roman"/>
                <w:b/>
                <w:bCs/>
              </w:rPr>
            </w:pPr>
            <w:r>
              <w:rPr>
                <w:rFonts w:ascii="Times New Roman" w:hAnsi="Times New Roman"/>
                <w:b/>
                <w:bCs/>
                <w:lang w:bidi="ar"/>
              </w:rPr>
              <w:t xml:space="preserve">  项目钻前工程主要建设内容和工程量表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57"/>
              <w:gridCol w:w="812"/>
              <w:gridCol w:w="1623"/>
              <w:gridCol w:w="781"/>
              <w:gridCol w:w="921"/>
              <w:gridCol w:w="2767"/>
            </w:tblGrid>
            <w:tr w14:paraId="7C348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558" w:type="dxa"/>
                  <w:tcBorders>
                    <w:tl2br w:val="nil"/>
                    <w:tr2bl w:val="nil"/>
                  </w:tcBorders>
                  <w:shd w:val="clear" w:color="auto" w:fill="auto"/>
                  <w:vAlign w:val="center"/>
                </w:tcPr>
                <w:p w14:paraId="085D4551">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序号</w:t>
                  </w:r>
                </w:p>
              </w:tc>
              <w:tc>
                <w:tcPr>
                  <w:tcW w:w="2435" w:type="dxa"/>
                  <w:gridSpan w:val="2"/>
                  <w:tcBorders>
                    <w:tl2br w:val="nil"/>
                    <w:tr2bl w:val="nil"/>
                  </w:tcBorders>
                  <w:shd w:val="clear" w:color="auto" w:fill="auto"/>
                  <w:vAlign w:val="center"/>
                </w:tcPr>
                <w:p w14:paraId="594DC232">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名称</w:t>
                  </w:r>
                </w:p>
              </w:tc>
              <w:tc>
                <w:tcPr>
                  <w:tcW w:w="781" w:type="dxa"/>
                  <w:tcBorders>
                    <w:tl2br w:val="nil"/>
                    <w:tr2bl w:val="nil"/>
                  </w:tcBorders>
                  <w:shd w:val="clear" w:color="auto" w:fill="auto"/>
                  <w:vAlign w:val="center"/>
                </w:tcPr>
                <w:p w14:paraId="563948EC">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单位</w:t>
                  </w:r>
                </w:p>
              </w:tc>
              <w:tc>
                <w:tcPr>
                  <w:tcW w:w="921" w:type="dxa"/>
                  <w:tcBorders>
                    <w:tl2br w:val="nil"/>
                    <w:tr2bl w:val="nil"/>
                  </w:tcBorders>
                  <w:shd w:val="clear" w:color="auto" w:fill="auto"/>
                  <w:vAlign w:val="center"/>
                </w:tcPr>
                <w:p w14:paraId="025A0BC5">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数量</w:t>
                  </w:r>
                </w:p>
              </w:tc>
              <w:tc>
                <w:tcPr>
                  <w:tcW w:w="2767" w:type="dxa"/>
                  <w:tcBorders>
                    <w:tl2br w:val="nil"/>
                    <w:tr2bl w:val="nil"/>
                  </w:tcBorders>
                  <w:shd w:val="clear" w:color="auto" w:fill="auto"/>
                  <w:vAlign w:val="center"/>
                </w:tcPr>
                <w:p w14:paraId="3484E40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备注</w:t>
                  </w:r>
                </w:p>
              </w:tc>
            </w:tr>
            <w:tr w14:paraId="24FE4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tcBorders>
                    <w:tl2br w:val="nil"/>
                    <w:tr2bl w:val="nil"/>
                  </w:tcBorders>
                  <w:shd w:val="clear" w:color="auto" w:fill="auto"/>
                  <w:vAlign w:val="center"/>
                </w:tcPr>
                <w:p w14:paraId="4838F094">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1</w:t>
                  </w:r>
                </w:p>
              </w:tc>
              <w:tc>
                <w:tcPr>
                  <w:tcW w:w="812" w:type="dxa"/>
                  <w:tcBorders>
                    <w:tl2br w:val="nil"/>
                    <w:tr2bl w:val="nil"/>
                  </w:tcBorders>
                  <w:shd w:val="clear" w:color="auto" w:fill="auto"/>
                  <w:vAlign w:val="center"/>
                </w:tcPr>
                <w:p w14:paraId="7668EABD">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道路工程</w:t>
                  </w:r>
                </w:p>
              </w:tc>
              <w:tc>
                <w:tcPr>
                  <w:tcW w:w="1623" w:type="dxa"/>
                  <w:tcBorders>
                    <w:tl2br w:val="nil"/>
                    <w:tr2bl w:val="nil"/>
                  </w:tcBorders>
                  <w:shd w:val="clear" w:color="auto" w:fill="auto"/>
                  <w:vAlign w:val="center"/>
                </w:tcPr>
                <w:p w14:paraId="2872087F">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新建道路</w:t>
                  </w:r>
                </w:p>
              </w:tc>
              <w:tc>
                <w:tcPr>
                  <w:tcW w:w="781" w:type="dxa"/>
                  <w:tcBorders>
                    <w:tl2br w:val="nil"/>
                    <w:tr2bl w:val="nil"/>
                  </w:tcBorders>
                  <w:shd w:val="clear" w:color="auto" w:fill="auto"/>
                  <w:vAlign w:val="center"/>
                </w:tcPr>
                <w:p w14:paraId="374E8A9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km</w:t>
                  </w:r>
                </w:p>
              </w:tc>
              <w:tc>
                <w:tcPr>
                  <w:tcW w:w="921" w:type="dxa"/>
                  <w:tcBorders>
                    <w:tl2br w:val="nil"/>
                    <w:tr2bl w:val="nil"/>
                  </w:tcBorders>
                  <w:shd w:val="clear" w:color="auto" w:fill="auto"/>
                  <w:vAlign w:val="center"/>
                </w:tcPr>
                <w:p w14:paraId="71E0C72E">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0.</w:t>
                  </w:r>
                  <w:r>
                    <w:rPr>
                      <w:rFonts w:hint="eastAsia" w:ascii="Times New Roman" w:hAnsi="Times New Roman"/>
                      <w:bCs/>
                      <w:sz w:val="21"/>
                      <w:szCs w:val="21"/>
                      <w:lang w:bidi="ar"/>
                    </w:rPr>
                    <w:t>05</w:t>
                  </w:r>
                </w:p>
              </w:tc>
              <w:tc>
                <w:tcPr>
                  <w:tcW w:w="2767" w:type="dxa"/>
                  <w:tcBorders>
                    <w:tl2br w:val="nil"/>
                    <w:tr2bl w:val="nil"/>
                  </w:tcBorders>
                  <w:shd w:val="clear" w:color="auto" w:fill="auto"/>
                  <w:vAlign w:val="center"/>
                </w:tcPr>
                <w:p w14:paraId="640873AB">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路基宽度4m，路面结构为：20cm级配碎石+20cm厚6%水泥稳定碎石+20cmC30混凝土。</w:t>
                  </w:r>
                </w:p>
              </w:tc>
            </w:tr>
            <w:tr w14:paraId="5B759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14:paraId="3028AF3D">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2</w:t>
                  </w:r>
                </w:p>
              </w:tc>
              <w:tc>
                <w:tcPr>
                  <w:tcW w:w="812" w:type="dxa"/>
                  <w:vMerge w:val="restart"/>
                  <w:tcBorders>
                    <w:tl2br w:val="nil"/>
                    <w:tr2bl w:val="nil"/>
                  </w:tcBorders>
                  <w:shd w:val="clear" w:color="auto" w:fill="auto"/>
                  <w:vAlign w:val="center"/>
                </w:tcPr>
                <w:p w14:paraId="59040CFC">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井场工程</w:t>
                  </w:r>
                </w:p>
              </w:tc>
              <w:tc>
                <w:tcPr>
                  <w:tcW w:w="1623" w:type="dxa"/>
                  <w:tcBorders>
                    <w:tl2br w:val="nil"/>
                    <w:tr2bl w:val="nil"/>
                  </w:tcBorders>
                  <w:shd w:val="clear" w:color="auto" w:fill="auto"/>
                  <w:vAlign w:val="center"/>
                </w:tcPr>
                <w:p w14:paraId="410667D4">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平整井场</w:t>
                  </w:r>
                </w:p>
              </w:tc>
              <w:tc>
                <w:tcPr>
                  <w:tcW w:w="781" w:type="dxa"/>
                  <w:tcBorders>
                    <w:tl2br w:val="nil"/>
                    <w:tr2bl w:val="nil"/>
                  </w:tcBorders>
                  <w:shd w:val="clear" w:color="auto" w:fill="auto"/>
                  <w:vAlign w:val="center"/>
                </w:tcPr>
                <w:p w14:paraId="038D493F">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m</w:t>
                  </w:r>
                  <w:r>
                    <w:rPr>
                      <w:rFonts w:ascii="Times New Roman" w:hAnsi="Times New Roman"/>
                      <w:bCs/>
                      <w:sz w:val="21"/>
                      <w:szCs w:val="21"/>
                      <w:vertAlign w:val="superscript"/>
                      <w:lang w:bidi="ar"/>
                    </w:rPr>
                    <w:t>2</w:t>
                  </w:r>
                </w:p>
              </w:tc>
              <w:tc>
                <w:tcPr>
                  <w:tcW w:w="921" w:type="dxa"/>
                  <w:tcBorders>
                    <w:tl2br w:val="nil"/>
                    <w:tr2bl w:val="nil"/>
                  </w:tcBorders>
                  <w:shd w:val="clear" w:color="auto" w:fill="auto"/>
                  <w:vAlign w:val="center"/>
                </w:tcPr>
                <w:p w14:paraId="44C22260">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rPr>
                    <w:t>6300</w:t>
                  </w:r>
                </w:p>
              </w:tc>
              <w:tc>
                <w:tcPr>
                  <w:tcW w:w="2767" w:type="dxa"/>
                  <w:tcBorders>
                    <w:tl2br w:val="nil"/>
                    <w:tr2bl w:val="nil"/>
                  </w:tcBorders>
                  <w:shd w:val="clear" w:color="auto" w:fill="auto"/>
                  <w:vAlign w:val="center"/>
                </w:tcPr>
                <w:p w14:paraId="130AD6E9">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井场规格为1</w:t>
                  </w:r>
                  <w:r>
                    <w:rPr>
                      <w:rFonts w:hint="eastAsia" w:ascii="Times New Roman" w:hAnsi="Times New Roman"/>
                      <w:bCs/>
                      <w:sz w:val="21"/>
                      <w:szCs w:val="21"/>
                      <w:lang w:bidi="ar"/>
                    </w:rPr>
                    <w:t>26</w:t>
                  </w:r>
                  <w:r>
                    <w:rPr>
                      <w:rFonts w:ascii="Times New Roman" w:hAnsi="Times New Roman"/>
                      <w:bCs/>
                      <w:sz w:val="21"/>
                      <w:szCs w:val="21"/>
                      <w:lang w:bidi="ar"/>
                    </w:rPr>
                    <w:t>m×</w:t>
                  </w:r>
                  <w:r>
                    <w:rPr>
                      <w:rFonts w:hint="eastAsia" w:ascii="Times New Roman" w:hAnsi="Times New Roman"/>
                      <w:bCs/>
                      <w:sz w:val="21"/>
                      <w:szCs w:val="21"/>
                      <w:lang w:bidi="ar"/>
                    </w:rPr>
                    <w:t>6</w:t>
                  </w:r>
                  <w:r>
                    <w:rPr>
                      <w:rFonts w:ascii="Times New Roman" w:hAnsi="Times New Roman"/>
                      <w:bCs/>
                      <w:sz w:val="21"/>
                      <w:szCs w:val="21"/>
                      <w:lang w:bidi="ar"/>
                    </w:rPr>
                    <w:t>0m</w:t>
                  </w:r>
                </w:p>
              </w:tc>
            </w:tr>
            <w:tr w14:paraId="0326A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22A70DB3">
                  <w:pPr>
                    <w:rPr>
                      <w:sz w:val="20"/>
                      <w:szCs w:val="20"/>
                    </w:rPr>
                  </w:pPr>
                </w:p>
              </w:tc>
              <w:tc>
                <w:tcPr>
                  <w:tcW w:w="812" w:type="dxa"/>
                  <w:vMerge w:val="continue"/>
                  <w:tcBorders>
                    <w:tl2br w:val="nil"/>
                    <w:tr2bl w:val="nil"/>
                  </w:tcBorders>
                  <w:shd w:val="clear" w:color="auto" w:fill="auto"/>
                  <w:vAlign w:val="center"/>
                </w:tcPr>
                <w:p w14:paraId="6630FFC8">
                  <w:pPr>
                    <w:rPr>
                      <w:sz w:val="20"/>
                      <w:szCs w:val="20"/>
                    </w:rPr>
                  </w:pPr>
                </w:p>
              </w:tc>
              <w:tc>
                <w:tcPr>
                  <w:tcW w:w="1623" w:type="dxa"/>
                  <w:tcBorders>
                    <w:tl2br w:val="nil"/>
                    <w:tr2bl w:val="nil"/>
                  </w:tcBorders>
                  <w:shd w:val="clear" w:color="auto" w:fill="auto"/>
                  <w:vAlign w:val="center"/>
                </w:tcPr>
                <w:p w14:paraId="170B12D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泥浆储备罐基础</w:t>
                  </w:r>
                </w:p>
              </w:tc>
              <w:tc>
                <w:tcPr>
                  <w:tcW w:w="781" w:type="dxa"/>
                  <w:tcBorders>
                    <w:tl2br w:val="nil"/>
                    <w:tr2bl w:val="nil"/>
                  </w:tcBorders>
                  <w:shd w:val="clear" w:color="auto" w:fill="auto"/>
                  <w:vAlign w:val="center"/>
                </w:tcPr>
                <w:p w14:paraId="2D681631">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个</w:t>
                  </w:r>
                </w:p>
              </w:tc>
              <w:tc>
                <w:tcPr>
                  <w:tcW w:w="921" w:type="dxa"/>
                  <w:tcBorders>
                    <w:tl2br w:val="nil"/>
                    <w:tr2bl w:val="nil"/>
                  </w:tcBorders>
                  <w:shd w:val="clear" w:color="auto" w:fill="auto"/>
                  <w:vAlign w:val="center"/>
                </w:tcPr>
                <w:p w14:paraId="097471D8">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1</w:t>
                  </w:r>
                </w:p>
              </w:tc>
              <w:tc>
                <w:tcPr>
                  <w:tcW w:w="2767" w:type="dxa"/>
                  <w:tcBorders>
                    <w:tl2br w:val="nil"/>
                    <w:tr2bl w:val="nil"/>
                  </w:tcBorders>
                  <w:shd w:val="clear" w:color="auto" w:fill="auto"/>
                  <w:vAlign w:val="center"/>
                </w:tcPr>
                <w:p w14:paraId="00302DD8">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共6个储备罐，</w:t>
                  </w:r>
                  <w:r>
                    <w:rPr>
                      <w:rFonts w:ascii="Times New Roman" w:hAnsi="Times New Roman"/>
                      <w:bCs/>
                      <w:sz w:val="21"/>
                      <w:szCs w:val="21"/>
                      <w:lang w:bidi="ar"/>
                    </w:rPr>
                    <w:t>每个储备罐容积为</w:t>
                  </w:r>
                  <w:r>
                    <w:rPr>
                      <w:rFonts w:hint="eastAsia" w:ascii="Times New Roman" w:hAnsi="Times New Roman"/>
                      <w:bCs/>
                      <w:sz w:val="21"/>
                      <w:szCs w:val="21"/>
                      <w:lang w:bidi="ar"/>
                    </w:rPr>
                    <w:t>2</w:t>
                  </w:r>
                  <w:r>
                    <w:rPr>
                      <w:rFonts w:ascii="Times New Roman" w:hAnsi="Times New Roman"/>
                      <w:bCs/>
                      <w:sz w:val="21"/>
                      <w:szCs w:val="21"/>
                      <w:lang w:bidi="ar"/>
                    </w:rPr>
                    <w:t>0m</w:t>
                  </w:r>
                  <w:r>
                    <w:rPr>
                      <w:rFonts w:ascii="Times New Roman" w:hAnsi="Times New Roman"/>
                      <w:bCs/>
                      <w:sz w:val="21"/>
                      <w:szCs w:val="21"/>
                      <w:vertAlign w:val="superscript"/>
                      <w:lang w:bidi="ar"/>
                    </w:rPr>
                    <w:t>3</w:t>
                  </w:r>
                </w:p>
              </w:tc>
            </w:tr>
            <w:tr w14:paraId="61D3F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133A9DB1">
                  <w:pPr>
                    <w:rPr>
                      <w:sz w:val="20"/>
                      <w:szCs w:val="20"/>
                    </w:rPr>
                  </w:pPr>
                </w:p>
              </w:tc>
              <w:tc>
                <w:tcPr>
                  <w:tcW w:w="812" w:type="dxa"/>
                  <w:vMerge w:val="continue"/>
                  <w:tcBorders>
                    <w:tl2br w:val="nil"/>
                    <w:tr2bl w:val="nil"/>
                  </w:tcBorders>
                  <w:shd w:val="clear" w:color="auto" w:fill="auto"/>
                  <w:vAlign w:val="center"/>
                </w:tcPr>
                <w:p w14:paraId="115B0429">
                  <w:pPr>
                    <w:rPr>
                      <w:sz w:val="20"/>
                      <w:szCs w:val="20"/>
                    </w:rPr>
                  </w:pPr>
                </w:p>
              </w:tc>
              <w:tc>
                <w:tcPr>
                  <w:tcW w:w="1623" w:type="dxa"/>
                  <w:tcBorders>
                    <w:tl2br w:val="nil"/>
                    <w:tr2bl w:val="nil"/>
                  </w:tcBorders>
                  <w:shd w:val="clear" w:color="auto" w:fill="auto"/>
                  <w:vAlign w:val="center"/>
                </w:tcPr>
                <w:p w14:paraId="034A4E3D">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钻机基础</w:t>
                  </w:r>
                </w:p>
              </w:tc>
              <w:tc>
                <w:tcPr>
                  <w:tcW w:w="781" w:type="dxa"/>
                  <w:tcBorders>
                    <w:tl2br w:val="nil"/>
                    <w:tr2bl w:val="nil"/>
                  </w:tcBorders>
                  <w:shd w:val="clear" w:color="auto" w:fill="auto"/>
                  <w:vAlign w:val="center"/>
                </w:tcPr>
                <w:p w14:paraId="09CED7AA">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套</w:t>
                  </w:r>
                </w:p>
              </w:tc>
              <w:tc>
                <w:tcPr>
                  <w:tcW w:w="921" w:type="dxa"/>
                  <w:tcBorders>
                    <w:tl2br w:val="nil"/>
                    <w:tr2bl w:val="nil"/>
                  </w:tcBorders>
                  <w:shd w:val="clear" w:color="auto" w:fill="auto"/>
                  <w:vAlign w:val="center"/>
                </w:tcPr>
                <w:p w14:paraId="3B2A70F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1</w:t>
                  </w:r>
                </w:p>
              </w:tc>
              <w:tc>
                <w:tcPr>
                  <w:tcW w:w="2767" w:type="dxa"/>
                  <w:tcBorders>
                    <w:tl2br w:val="nil"/>
                    <w:tr2bl w:val="nil"/>
                  </w:tcBorders>
                  <w:shd w:val="clear" w:color="auto" w:fill="auto"/>
                  <w:vAlign w:val="center"/>
                </w:tcPr>
                <w:p w14:paraId="456A07A2">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ZJ</w:t>
                  </w:r>
                  <w:r>
                    <w:rPr>
                      <w:rFonts w:hint="eastAsia" w:ascii="Times New Roman" w:hAnsi="Times New Roman"/>
                      <w:bCs/>
                      <w:sz w:val="21"/>
                      <w:szCs w:val="21"/>
                      <w:lang w:bidi="ar"/>
                    </w:rPr>
                    <w:t>70</w:t>
                  </w:r>
                  <w:r>
                    <w:rPr>
                      <w:rFonts w:ascii="Times New Roman" w:hAnsi="Times New Roman"/>
                      <w:bCs/>
                      <w:sz w:val="21"/>
                      <w:szCs w:val="21"/>
                      <w:lang w:bidi="ar"/>
                    </w:rPr>
                    <w:t>型钻机基础</w:t>
                  </w:r>
                </w:p>
              </w:tc>
            </w:tr>
            <w:tr w14:paraId="736A3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0F2C0D36">
                  <w:pPr>
                    <w:rPr>
                      <w:sz w:val="20"/>
                      <w:szCs w:val="20"/>
                    </w:rPr>
                  </w:pPr>
                </w:p>
              </w:tc>
              <w:tc>
                <w:tcPr>
                  <w:tcW w:w="812" w:type="dxa"/>
                  <w:vMerge w:val="continue"/>
                  <w:tcBorders>
                    <w:tl2br w:val="nil"/>
                    <w:tr2bl w:val="nil"/>
                  </w:tcBorders>
                  <w:shd w:val="clear" w:color="auto" w:fill="auto"/>
                  <w:vAlign w:val="center"/>
                </w:tcPr>
                <w:p w14:paraId="72815685">
                  <w:pPr>
                    <w:rPr>
                      <w:sz w:val="20"/>
                      <w:szCs w:val="20"/>
                    </w:rPr>
                  </w:pPr>
                </w:p>
              </w:tc>
              <w:tc>
                <w:tcPr>
                  <w:tcW w:w="1623" w:type="dxa"/>
                  <w:tcBorders>
                    <w:tl2br w:val="nil"/>
                    <w:tr2bl w:val="nil"/>
                  </w:tcBorders>
                  <w:shd w:val="clear" w:color="auto" w:fill="auto"/>
                  <w:vAlign w:val="center"/>
                </w:tcPr>
                <w:p w14:paraId="1E70D00A">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rPr>
                    <w:t>泥浆不落地平台</w:t>
                  </w:r>
                </w:p>
              </w:tc>
              <w:tc>
                <w:tcPr>
                  <w:tcW w:w="781" w:type="dxa"/>
                  <w:tcBorders>
                    <w:tl2br w:val="nil"/>
                    <w:tr2bl w:val="nil"/>
                  </w:tcBorders>
                  <w:shd w:val="clear" w:color="auto" w:fill="auto"/>
                  <w:vAlign w:val="center"/>
                </w:tcPr>
                <w:p w14:paraId="0E6B669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m</w:t>
                  </w:r>
                  <w:r>
                    <w:rPr>
                      <w:rFonts w:ascii="Times New Roman" w:hAnsi="Times New Roman"/>
                      <w:bCs/>
                      <w:sz w:val="21"/>
                      <w:szCs w:val="21"/>
                      <w:vertAlign w:val="superscript"/>
                      <w:lang w:bidi="ar"/>
                    </w:rPr>
                    <w:t>2</w:t>
                  </w:r>
                </w:p>
              </w:tc>
              <w:tc>
                <w:tcPr>
                  <w:tcW w:w="921" w:type="dxa"/>
                  <w:tcBorders>
                    <w:tl2br w:val="nil"/>
                    <w:tr2bl w:val="nil"/>
                  </w:tcBorders>
                  <w:shd w:val="clear" w:color="auto" w:fill="auto"/>
                  <w:vAlign w:val="center"/>
                </w:tcPr>
                <w:p w14:paraId="0FA41636">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450</w:t>
                  </w:r>
                </w:p>
              </w:tc>
              <w:tc>
                <w:tcPr>
                  <w:tcW w:w="2767" w:type="dxa"/>
                  <w:tcBorders>
                    <w:tl2br w:val="nil"/>
                    <w:tr2bl w:val="nil"/>
                  </w:tcBorders>
                  <w:shd w:val="clear" w:color="auto" w:fill="auto"/>
                  <w:vAlign w:val="center"/>
                </w:tcPr>
                <w:p w14:paraId="7678451A">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按标准配置，操作平台上设置危废贮存点</w:t>
                  </w:r>
                </w:p>
              </w:tc>
            </w:tr>
            <w:tr w14:paraId="10194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642773B4">
                  <w:pPr>
                    <w:rPr>
                      <w:sz w:val="20"/>
                      <w:szCs w:val="20"/>
                    </w:rPr>
                  </w:pPr>
                </w:p>
              </w:tc>
              <w:tc>
                <w:tcPr>
                  <w:tcW w:w="812" w:type="dxa"/>
                  <w:vMerge w:val="continue"/>
                  <w:tcBorders>
                    <w:tl2br w:val="nil"/>
                    <w:tr2bl w:val="nil"/>
                  </w:tcBorders>
                  <w:shd w:val="clear" w:color="auto" w:fill="auto"/>
                  <w:vAlign w:val="center"/>
                </w:tcPr>
                <w:p w14:paraId="3665F519">
                  <w:pPr>
                    <w:rPr>
                      <w:sz w:val="20"/>
                      <w:szCs w:val="20"/>
                    </w:rPr>
                  </w:pPr>
                </w:p>
              </w:tc>
              <w:tc>
                <w:tcPr>
                  <w:tcW w:w="1623" w:type="dxa"/>
                  <w:tcBorders>
                    <w:tl2br w:val="nil"/>
                    <w:tr2bl w:val="nil"/>
                  </w:tcBorders>
                  <w:shd w:val="clear" w:color="auto" w:fill="auto"/>
                  <w:vAlign w:val="center"/>
                </w:tcPr>
                <w:p w14:paraId="73694B8B">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油水罐基础</w:t>
                  </w:r>
                </w:p>
              </w:tc>
              <w:tc>
                <w:tcPr>
                  <w:tcW w:w="781" w:type="dxa"/>
                  <w:tcBorders>
                    <w:tl2br w:val="nil"/>
                    <w:tr2bl w:val="nil"/>
                  </w:tcBorders>
                  <w:shd w:val="clear" w:color="auto" w:fill="auto"/>
                  <w:vAlign w:val="center"/>
                </w:tcPr>
                <w:p w14:paraId="0A50B26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个</w:t>
                  </w:r>
                </w:p>
              </w:tc>
              <w:tc>
                <w:tcPr>
                  <w:tcW w:w="921" w:type="dxa"/>
                  <w:tcBorders>
                    <w:tl2br w:val="nil"/>
                    <w:tr2bl w:val="nil"/>
                  </w:tcBorders>
                  <w:shd w:val="clear" w:color="auto" w:fill="auto"/>
                  <w:vAlign w:val="center"/>
                </w:tcPr>
                <w:p w14:paraId="1F6EAA75">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1</w:t>
                  </w:r>
                </w:p>
              </w:tc>
              <w:tc>
                <w:tcPr>
                  <w:tcW w:w="2767" w:type="dxa"/>
                  <w:tcBorders>
                    <w:tl2br w:val="nil"/>
                    <w:tr2bl w:val="nil"/>
                  </w:tcBorders>
                  <w:shd w:val="clear" w:color="auto" w:fill="auto"/>
                  <w:vAlign w:val="center"/>
                </w:tcPr>
                <w:p w14:paraId="2F556363">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按标准配置</w:t>
                  </w:r>
                </w:p>
              </w:tc>
            </w:tr>
            <w:tr w14:paraId="45294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14:paraId="5737DBD6">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3</w:t>
                  </w:r>
                </w:p>
              </w:tc>
              <w:tc>
                <w:tcPr>
                  <w:tcW w:w="812" w:type="dxa"/>
                  <w:vMerge w:val="restart"/>
                  <w:tcBorders>
                    <w:tl2br w:val="nil"/>
                    <w:tr2bl w:val="nil"/>
                  </w:tcBorders>
                  <w:shd w:val="clear" w:color="auto" w:fill="auto"/>
                  <w:vAlign w:val="center"/>
                </w:tcPr>
                <w:p w14:paraId="000C41F2">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池体工程</w:t>
                  </w:r>
                </w:p>
              </w:tc>
              <w:tc>
                <w:tcPr>
                  <w:tcW w:w="1623" w:type="dxa"/>
                  <w:tcBorders>
                    <w:tl2br w:val="nil"/>
                    <w:tr2bl w:val="nil"/>
                  </w:tcBorders>
                  <w:shd w:val="clear" w:color="auto" w:fill="auto"/>
                  <w:vAlign w:val="center"/>
                </w:tcPr>
                <w:p w14:paraId="613D0830">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清水池</w:t>
                  </w:r>
                </w:p>
              </w:tc>
              <w:tc>
                <w:tcPr>
                  <w:tcW w:w="781" w:type="dxa"/>
                  <w:tcBorders>
                    <w:tl2br w:val="nil"/>
                    <w:tr2bl w:val="nil"/>
                  </w:tcBorders>
                  <w:shd w:val="clear" w:color="auto" w:fill="auto"/>
                  <w:vAlign w:val="center"/>
                </w:tcPr>
                <w:p w14:paraId="471EE782">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m</w:t>
                  </w:r>
                  <w:r>
                    <w:rPr>
                      <w:rFonts w:ascii="Times New Roman" w:hAnsi="Times New Roman"/>
                      <w:bCs/>
                      <w:sz w:val="21"/>
                      <w:szCs w:val="21"/>
                      <w:vertAlign w:val="superscript"/>
                      <w:lang w:bidi="ar"/>
                    </w:rPr>
                    <w:t>3</w:t>
                  </w:r>
                </w:p>
              </w:tc>
              <w:tc>
                <w:tcPr>
                  <w:tcW w:w="921" w:type="dxa"/>
                  <w:tcBorders>
                    <w:tl2br w:val="nil"/>
                    <w:tr2bl w:val="nil"/>
                  </w:tcBorders>
                  <w:shd w:val="clear" w:color="auto" w:fill="auto"/>
                  <w:vAlign w:val="center"/>
                </w:tcPr>
                <w:p w14:paraId="69D02D6E">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10</w:t>
                  </w:r>
                  <w:r>
                    <w:rPr>
                      <w:rFonts w:ascii="Times New Roman" w:hAnsi="Times New Roman"/>
                      <w:bCs/>
                      <w:sz w:val="21"/>
                      <w:szCs w:val="21"/>
                      <w:lang w:bidi="ar"/>
                    </w:rPr>
                    <w:t>00</w:t>
                  </w:r>
                </w:p>
              </w:tc>
              <w:tc>
                <w:tcPr>
                  <w:tcW w:w="2767" w:type="dxa"/>
                  <w:tcBorders>
                    <w:tl2br w:val="nil"/>
                    <w:tr2bl w:val="nil"/>
                  </w:tcBorders>
                  <w:shd w:val="clear" w:color="auto" w:fill="auto"/>
                  <w:vAlign w:val="center"/>
                </w:tcPr>
                <w:p w14:paraId="180DF3D6">
                  <w:pPr>
                    <w:pStyle w:val="38"/>
                    <w:snapToGrid w:val="0"/>
                    <w:spacing w:before="0" w:beforeAutospacing="0" w:after="0" w:afterAutospacing="0" w:line="256" w:lineRule="auto"/>
                    <w:jc w:val="both"/>
                    <w:rPr>
                      <w:rFonts w:ascii="Times New Roman" w:hAnsi="Times New Roman"/>
                      <w:bCs/>
                      <w:sz w:val="21"/>
                      <w:szCs w:val="21"/>
                    </w:rPr>
                  </w:pPr>
                  <w:r>
                    <w:rPr>
                      <w:rFonts w:hint="eastAsia" w:ascii="Times New Roman" w:hAnsi="Times New Roman"/>
                      <w:bCs/>
                      <w:sz w:val="21"/>
                      <w:szCs w:val="21"/>
                      <w:lang w:bidi="ar"/>
                    </w:rPr>
                    <w:t>共2格，</w:t>
                  </w:r>
                  <w:r>
                    <w:rPr>
                      <w:rFonts w:ascii="Times New Roman" w:hAnsi="Times New Roman"/>
                      <w:bCs/>
                      <w:sz w:val="21"/>
                      <w:szCs w:val="21"/>
                      <w:lang w:bidi="ar"/>
                    </w:rPr>
                    <w:t>钻井阶段作为钻井液配置用水暂存池，试气工程作为压裂液配置清水暂存池。</w:t>
                  </w:r>
                </w:p>
              </w:tc>
            </w:tr>
            <w:tr w14:paraId="1E91C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70B1A2B5">
                  <w:pPr>
                    <w:rPr>
                      <w:sz w:val="20"/>
                      <w:szCs w:val="20"/>
                    </w:rPr>
                  </w:pPr>
                </w:p>
              </w:tc>
              <w:tc>
                <w:tcPr>
                  <w:tcW w:w="812" w:type="dxa"/>
                  <w:vMerge w:val="continue"/>
                  <w:tcBorders>
                    <w:tl2br w:val="nil"/>
                    <w:tr2bl w:val="nil"/>
                  </w:tcBorders>
                  <w:shd w:val="clear" w:color="auto" w:fill="auto"/>
                  <w:vAlign w:val="center"/>
                </w:tcPr>
                <w:p w14:paraId="1EE4B341">
                  <w:pPr>
                    <w:rPr>
                      <w:sz w:val="20"/>
                      <w:szCs w:val="20"/>
                    </w:rPr>
                  </w:pPr>
                </w:p>
              </w:tc>
              <w:tc>
                <w:tcPr>
                  <w:tcW w:w="1623" w:type="dxa"/>
                  <w:tcBorders>
                    <w:tl2br w:val="nil"/>
                    <w:tr2bl w:val="nil"/>
                  </w:tcBorders>
                  <w:shd w:val="clear" w:color="auto" w:fill="auto"/>
                  <w:vAlign w:val="center"/>
                </w:tcPr>
                <w:p w14:paraId="19020157">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放喷池</w:t>
                  </w:r>
                </w:p>
              </w:tc>
              <w:tc>
                <w:tcPr>
                  <w:tcW w:w="781" w:type="dxa"/>
                  <w:tcBorders>
                    <w:tl2br w:val="nil"/>
                    <w:tr2bl w:val="nil"/>
                  </w:tcBorders>
                  <w:shd w:val="clear" w:color="auto" w:fill="auto"/>
                  <w:vAlign w:val="center"/>
                </w:tcPr>
                <w:p w14:paraId="4018C023">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座</w:t>
                  </w:r>
                </w:p>
              </w:tc>
              <w:tc>
                <w:tcPr>
                  <w:tcW w:w="921" w:type="dxa"/>
                  <w:tcBorders>
                    <w:tl2br w:val="nil"/>
                    <w:tr2bl w:val="nil"/>
                  </w:tcBorders>
                  <w:shd w:val="clear" w:color="auto" w:fill="auto"/>
                  <w:vAlign w:val="center"/>
                </w:tcPr>
                <w:p w14:paraId="6F9DCBDD">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2</w:t>
                  </w:r>
                </w:p>
              </w:tc>
              <w:tc>
                <w:tcPr>
                  <w:tcW w:w="2767" w:type="dxa"/>
                  <w:tcBorders>
                    <w:tl2br w:val="nil"/>
                    <w:tr2bl w:val="nil"/>
                  </w:tcBorders>
                  <w:shd w:val="clear" w:color="auto" w:fill="auto"/>
                  <w:vAlign w:val="center"/>
                </w:tcPr>
                <w:p w14:paraId="5D366EDE">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修建A类放喷池</w:t>
                  </w:r>
                  <w:r>
                    <w:rPr>
                      <w:rFonts w:hint="eastAsia" w:ascii="Times New Roman" w:hAnsi="Times New Roman"/>
                      <w:bCs/>
                      <w:sz w:val="21"/>
                      <w:szCs w:val="21"/>
                      <w:lang w:bidi="ar"/>
                    </w:rPr>
                    <w:t>2</w:t>
                  </w:r>
                  <w:r>
                    <w:rPr>
                      <w:rFonts w:ascii="Times New Roman" w:hAnsi="Times New Roman"/>
                      <w:bCs/>
                      <w:sz w:val="21"/>
                      <w:szCs w:val="21"/>
                      <w:lang w:bidi="ar"/>
                    </w:rPr>
                    <w:t>座，</w:t>
                  </w:r>
                  <w:r>
                    <w:rPr>
                      <w:rFonts w:hint="eastAsia" w:ascii="Times New Roman" w:hAnsi="Times New Roman"/>
                      <w:bCs/>
                      <w:sz w:val="21"/>
                      <w:szCs w:val="21"/>
                      <w:lang w:bidi="ar"/>
                    </w:rPr>
                    <w:t>分别位于井场东北侧及西南侧，</w:t>
                  </w:r>
                  <w:r>
                    <w:rPr>
                      <w:rFonts w:ascii="Times New Roman" w:hAnsi="Times New Roman"/>
                      <w:bCs/>
                      <w:sz w:val="21"/>
                      <w:szCs w:val="21"/>
                      <w:lang w:bidi="ar"/>
                    </w:rPr>
                    <w:t>规格为</w:t>
                  </w:r>
                  <w:r>
                    <w:rPr>
                      <w:rFonts w:hint="eastAsia" w:ascii="Times New Roman" w:hAnsi="Times New Roman"/>
                      <w:bCs/>
                      <w:sz w:val="21"/>
                      <w:szCs w:val="21"/>
                      <w:lang w:bidi="ar"/>
                    </w:rPr>
                    <w:t>20</w:t>
                  </w:r>
                  <w:r>
                    <w:rPr>
                      <w:rFonts w:ascii="Times New Roman" w:hAnsi="Times New Roman"/>
                      <w:bCs/>
                      <w:sz w:val="21"/>
                      <w:szCs w:val="21"/>
                      <w:lang w:bidi="ar"/>
                    </w:rPr>
                    <w:t>m×</w:t>
                  </w:r>
                  <w:r>
                    <w:rPr>
                      <w:rFonts w:hint="eastAsia" w:ascii="Times New Roman" w:hAnsi="Times New Roman"/>
                      <w:bCs/>
                      <w:sz w:val="21"/>
                      <w:szCs w:val="21"/>
                      <w:lang w:bidi="ar"/>
                    </w:rPr>
                    <w:t>10</w:t>
                  </w:r>
                  <w:r>
                    <w:rPr>
                      <w:rFonts w:ascii="Times New Roman" w:hAnsi="Times New Roman"/>
                      <w:bCs/>
                      <w:sz w:val="21"/>
                      <w:szCs w:val="21"/>
                      <w:lang w:bidi="ar"/>
                    </w:rPr>
                    <w:t>m×</w:t>
                  </w:r>
                  <w:r>
                    <w:rPr>
                      <w:rFonts w:hint="eastAsia" w:ascii="Times New Roman" w:hAnsi="Times New Roman"/>
                      <w:bCs/>
                      <w:sz w:val="21"/>
                      <w:szCs w:val="21"/>
                      <w:lang w:bidi="ar"/>
                    </w:rPr>
                    <w:t>1</w:t>
                  </w:r>
                  <w:r>
                    <w:rPr>
                      <w:rFonts w:ascii="Times New Roman" w:hAnsi="Times New Roman"/>
                      <w:bCs/>
                      <w:sz w:val="21"/>
                      <w:szCs w:val="21"/>
                      <w:lang w:bidi="ar"/>
                    </w:rPr>
                    <w:t>.5m</w:t>
                  </w:r>
                </w:p>
              </w:tc>
            </w:tr>
            <w:tr w14:paraId="1D2C9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65110379">
                  <w:pPr>
                    <w:rPr>
                      <w:sz w:val="20"/>
                      <w:szCs w:val="20"/>
                    </w:rPr>
                  </w:pPr>
                </w:p>
              </w:tc>
              <w:tc>
                <w:tcPr>
                  <w:tcW w:w="812" w:type="dxa"/>
                  <w:vMerge w:val="continue"/>
                  <w:tcBorders>
                    <w:tl2br w:val="nil"/>
                    <w:tr2bl w:val="nil"/>
                  </w:tcBorders>
                  <w:shd w:val="clear" w:color="auto" w:fill="auto"/>
                  <w:vAlign w:val="center"/>
                </w:tcPr>
                <w:p w14:paraId="27979BA9">
                  <w:pPr>
                    <w:rPr>
                      <w:sz w:val="20"/>
                      <w:szCs w:val="20"/>
                    </w:rPr>
                  </w:pPr>
                </w:p>
              </w:tc>
              <w:tc>
                <w:tcPr>
                  <w:tcW w:w="1623" w:type="dxa"/>
                  <w:tcBorders>
                    <w:tl2br w:val="nil"/>
                    <w:tr2bl w:val="nil"/>
                  </w:tcBorders>
                  <w:shd w:val="clear" w:color="auto" w:fill="auto"/>
                  <w:vAlign w:val="center"/>
                </w:tcPr>
                <w:p w14:paraId="417E9C5A">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环境监测池</w:t>
                  </w:r>
                </w:p>
              </w:tc>
              <w:tc>
                <w:tcPr>
                  <w:tcW w:w="781" w:type="dxa"/>
                  <w:tcBorders>
                    <w:tl2br w:val="nil"/>
                    <w:tr2bl w:val="nil"/>
                  </w:tcBorders>
                  <w:shd w:val="clear" w:color="auto" w:fill="auto"/>
                  <w:vAlign w:val="center"/>
                </w:tcPr>
                <w:p w14:paraId="78F4B55C">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个</w:t>
                  </w:r>
                </w:p>
              </w:tc>
              <w:tc>
                <w:tcPr>
                  <w:tcW w:w="921" w:type="dxa"/>
                  <w:tcBorders>
                    <w:tl2br w:val="nil"/>
                    <w:tr2bl w:val="nil"/>
                  </w:tcBorders>
                  <w:shd w:val="clear" w:color="auto" w:fill="auto"/>
                  <w:vAlign w:val="center"/>
                </w:tcPr>
                <w:p w14:paraId="5326FCE2">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1</w:t>
                  </w:r>
                </w:p>
              </w:tc>
              <w:tc>
                <w:tcPr>
                  <w:tcW w:w="2767" w:type="dxa"/>
                  <w:tcBorders>
                    <w:tl2br w:val="nil"/>
                    <w:tr2bl w:val="nil"/>
                  </w:tcBorders>
                  <w:shd w:val="clear" w:color="auto" w:fill="auto"/>
                  <w:vAlign w:val="center"/>
                </w:tcPr>
                <w:p w14:paraId="6B62E0C4">
                  <w:pPr>
                    <w:pStyle w:val="38"/>
                    <w:snapToGrid w:val="0"/>
                    <w:spacing w:before="0" w:beforeAutospacing="0" w:after="0" w:afterAutospacing="0" w:line="256" w:lineRule="auto"/>
                    <w:jc w:val="center"/>
                    <w:rPr>
                      <w:rFonts w:ascii="Times New Roman" w:hAnsi="Times New Roman"/>
                      <w:bCs/>
                      <w:sz w:val="21"/>
                      <w:szCs w:val="21"/>
                    </w:rPr>
                  </w:pPr>
                  <w:r>
                    <w:rPr>
                      <w:rFonts w:hint="eastAsia" w:ascii="Times New Roman" w:hAnsi="Times New Roman"/>
                      <w:bCs/>
                      <w:sz w:val="21"/>
                      <w:szCs w:val="21"/>
                      <w:lang w:bidi="ar"/>
                    </w:rPr>
                    <w:t>容积为</w:t>
                  </w:r>
                  <w:r>
                    <w:rPr>
                      <w:rFonts w:ascii="Times New Roman" w:hAnsi="Times New Roman"/>
                      <w:bCs/>
                      <w:sz w:val="21"/>
                      <w:szCs w:val="21"/>
                      <w:lang w:bidi="ar"/>
                    </w:rPr>
                    <w:t>5m</w:t>
                  </w:r>
                  <w:r>
                    <w:rPr>
                      <w:rFonts w:ascii="Times New Roman" w:hAnsi="Times New Roman"/>
                      <w:bCs/>
                      <w:sz w:val="21"/>
                      <w:szCs w:val="21"/>
                      <w:vertAlign w:val="superscript"/>
                      <w:lang w:bidi="ar"/>
                    </w:rPr>
                    <w:t>3</w:t>
                  </w:r>
                  <w:r>
                    <w:rPr>
                      <w:rFonts w:ascii="Times New Roman" w:hAnsi="Times New Roman"/>
                      <w:bCs/>
                      <w:sz w:val="21"/>
                      <w:szCs w:val="21"/>
                      <w:lang w:bidi="ar"/>
                    </w:rPr>
                    <w:t>，环境监测池共三格，分别为隔油池、沉淀池、排水池，于井场南侧</w:t>
                  </w:r>
                </w:p>
              </w:tc>
            </w:tr>
            <w:tr w14:paraId="1649F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14:paraId="6AE3FA46">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4</w:t>
                  </w:r>
                </w:p>
              </w:tc>
              <w:tc>
                <w:tcPr>
                  <w:tcW w:w="812" w:type="dxa"/>
                  <w:vMerge w:val="restart"/>
                  <w:tcBorders>
                    <w:tl2br w:val="nil"/>
                    <w:tr2bl w:val="nil"/>
                  </w:tcBorders>
                  <w:shd w:val="clear" w:color="auto" w:fill="auto"/>
                  <w:vAlign w:val="center"/>
                </w:tcPr>
                <w:p w14:paraId="3E66C7AB">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公用工程</w:t>
                  </w:r>
                </w:p>
              </w:tc>
              <w:tc>
                <w:tcPr>
                  <w:tcW w:w="1623" w:type="dxa"/>
                  <w:tcBorders>
                    <w:tl2br w:val="nil"/>
                    <w:tr2bl w:val="nil"/>
                  </w:tcBorders>
                  <w:shd w:val="clear" w:color="auto" w:fill="auto"/>
                  <w:vAlign w:val="center"/>
                </w:tcPr>
                <w:p w14:paraId="5D95F73B">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活动房基础</w:t>
                  </w:r>
                </w:p>
              </w:tc>
              <w:tc>
                <w:tcPr>
                  <w:tcW w:w="781" w:type="dxa"/>
                  <w:tcBorders>
                    <w:tl2br w:val="nil"/>
                    <w:tr2bl w:val="nil"/>
                  </w:tcBorders>
                  <w:shd w:val="clear" w:color="auto" w:fill="auto"/>
                  <w:vAlign w:val="center"/>
                </w:tcPr>
                <w:p w14:paraId="7B1419D6">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座</w:t>
                  </w:r>
                </w:p>
              </w:tc>
              <w:tc>
                <w:tcPr>
                  <w:tcW w:w="921" w:type="dxa"/>
                  <w:tcBorders>
                    <w:tl2br w:val="nil"/>
                    <w:tr2bl w:val="nil"/>
                  </w:tcBorders>
                  <w:shd w:val="clear" w:color="auto" w:fill="auto"/>
                  <w:vAlign w:val="center"/>
                </w:tcPr>
                <w:p w14:paraId="2F5EF7BF">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21</w:t>
                  </w:r>
                </w:p>
              </w:tc>
              <w:tc>
                <w:tcPr>
                  <w:tcW w:w="2767" w:type="dxa"/>
                  <w:tcBorders>
                    <w:tl2br w:val="nil"/>
                    <w:tr2bl w:val="nil"/>
                  </w:tcBorders>
                  <w:shd w:val="clear" w:color="auto" w:fill="auto"/>
                  <w:vAlign w:val="center"/>
                </w:tcPr>
                <w:p w14:paraId="39B83AB8">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1个钻井队，含厨房、食堂</w:t>
                  </w:r>
                </w:p>
              </w:tc>
            </w:tr>
            <w:tr w14:paraId="40496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14:paraId="1D9220E8">
                  <w:pPr>
                    <w:rPr>
                      <w:sz w:val="20"/>
                      <w:szCs w:val="20"/>
                    </w:rPr>
                  </w:pPr>
                </w:p>
              </w:tc>
              <w:tc>
                <w:tcPr>
                  <w:tcW w:w="812" w:type="dxa"/>
                  <w:vMerge w:val="continue"/>
                  <w:tcBorders>
                    <w:tl2br w:val="nil"/>
                    <w:tr2bl w:val="nil"/>
                  </w:tcBorders>
                  <w:shd w:val="clear" w:color="auto" w:fill="auto"/>
                  <w:vAlign w:val="center"/>
                </w:tcPr>
                <w:p w14:paraId="58FFDDF1">
                  <w:pPr>
                    <w:rPr>
                      <w:sz w:val="20"/>
                      <w:szCs w:val="20"/>
                    </w:rPr>
                  </w:pPr>
                </w:p>
              </w:tc>
              <w:tc>
                <w:tcPr>
                  <w:tcW w:w="1623" w:type="dxa"/>
                  <w:tcBorders>
                    <w:tl2br w:val="nil"/>
                    <w:tr2bl w:val="nil"/>
                  </w:tcBorders>
                  <w:shd w:val="clear" w:color="auto" w:fill="auto"/>
                  <w:vAlign w:val="center"/>
                </w:tcPr>
                <w:p w14:paraId="0695F149">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环保厕所</w:t>
                  </w:r>
                </w:p>
              </w:tc>
              <w:tc>
                <w:tcPr>
                  <w:tcW w:w="781" w:type="dxa"/>
                  <w:tcBorders>
                    <w:tl2br w:val="nil"/>
                    <w:tr2bl w:val="nil"/>
                  </w:tcBorders>
                  <w:shd w:val="clear" w:color="auto" w:fill="auto"/>
                  <w:vAlign w:val="center"/>
                </w:tcPr>
                <w:p w14:paraId="13BB66F6">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套</w:t>
                  </w:r>
                </w:p>
              </w:tc>
              <w:tc>
                <w:tcPr>
                  <w:tcW w:w="921" w:type="dxa"/>
                  <w:tcBorders>
                    <w:tl2br w:val="nil"/>
                    <w:tr2bl w:val="nil"/>
                  </w:tcBorders>
                  <w:shd w:val="clear" w:color="auto" w:fill="auto"/>
                  <w:vAlign w:val="center"/>
                </w:tcPr>
                <w:p w14:paraId="041FA970">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2</w:t>
                  </w:r>
                </w:p>
              </w:tc>
              <w:tc>
                <w:tcPr>
                  <w:tcW w:w="2767" w:type="dxa"/>
                  <w:tcBorders>
                    <w:tl2br w:val="nil"/>
                    <w:tr2bl w:val="nil"/>
                  </w:tcBorders>
                  <w:shd w:val="clear" w:color="auto" w:fill="auto"/>
                  <w:vAlign w:val="center"/>
                </w:tcPr>
                <w:p w14:paraId="619FA05D">
                  <w:pPr>
                    <w:pStyle w:val="38"/>
                    <w:snapToGrid w:val="0"/>
                    <w:spacing w:before="0" w:beforeAutospacing="0" w:after="0" w:afterAutospacing="0" w:line="256" w:lineRule="auto"/>
                    <w:jc w:val="center"/>
                    <w:rPr>
                      <w:rFonts w:ascii="Times New Roman" w:hAnsi="Times New Roman"/>
                      <w:bCs/>
                      <w:sz w:val="21"/>
                      <w:szCs w:val="21"/>
                    </w:rPr>
                  </w:pPr>
                  <w:r>
                    <w:rPr>
                      <w:rFonts w:ascii="Times New Roman" w:hAnsi="Times New Roman"/>
                      <w:bCs/>
                      <w:sz w:val="21"/>
                      <w:szCs w:val="21"/>
                      <w:lang w:bidi="ar"/>
                    </w:rPr>
                    <w:t>/</w:t>
                  </w:r>
                </w:p>
              </w:tc>
            </w:tr>
          </w:tbl>
          <w:p w14:paraId="48EFB0EB">
            <w:pPr>
              <w:pStyle w:val="19"/>
              <w:tabs>
                <w:tab w:val="left" w:pos="0"/>
                <w:tab w:val="left" w:pos="833"/>
              </w:tabs>
              <w:spacing w:before="0" w:after="0" w:line="360" w:lineRule="auto"/>
              <w:ind w:right="0" w:firstLine="480" w:firstLineChars="200"/>
              <w:rPr>
                <w:bCs/>
                <w:sz w:val="24"/>
                <w:szCs w:val="24"/>
              </w:rPr>
            </w:pPr>
            <w:r>
              <w:rPr>
                <w:bCs/>
                <w:sz w:val="24"/>
                <w:szCs w:val="24"/>
              </w:rPr>
              <w:t>（2）钻井工程</w:t>
            </w:r>
          </w:p>
          <w:p w14:paraId="4D3B2770">
            <w:pPr>
              <w:pStyle w:val="19"/>
              <w:tabs>
                <w:tab w:val="left" w:pos="0"/>
                <w:tab w:val="left" w:pos="833"/>
              </w:tabs>
              <w:spacing w:before="0" w:after="0" w:line="360" w:lineRule="auto"/>
              <w:ind w:right="0" w:firstLine="480" w:firstLineChars="200"/>
              <w:rPr>
                <w:bCs/>
                <w:sz w:val="24"/>
                <w:szCs w:val="24"/>
              </w:rPr>
            </w:pPr>
            <w:r>
              <w:rPr>
                <w:rFonts w:hint="eastAsia"/>
                <w:bCs/>
                <w:sz w:val="24"/>
                <w:szCs w:val="24"/>
              </w:rPr>
              <w:t>双庙页1HF井</w:t>
            </w:r>
            <w:r>
              <w:rPr>
                <w:bCs/>
                <w:sz w:val="24"/>
                <w:szCs w:val="24"/>
              </w:rPr>
              <w:t>井别参数如下表所示：</w:t>
            </w:r>
          </w:p>
          <w:p w14:paraId="4FC32A1F">
            <w:pPr>
              <w:pStyle w:val="19"/>
              <w:tabs>
                <w:tab w:val="left" w:pos="0"/>
                <w:tab w:val="left" w:pos="833"/>
              </w:tabs>
              <w:spacing w:before="0" w:after="0" w:line="360" w:lineRule="auto"/>
              <w:ind w:right="0" w:firstLine="480" w:firstLineChars="200"/>
              <w:rPr>
                <w:bCs/>
                <w:sz w:val="24"/>
                <w:szCs w:val="24"/>
              </w:rPr>
            </w:pPr>
          </w:p>
          <w:p w14:paraId="4D4C1712">
            <w:pPr>
              <w:pStyle w:val="19"/>
              <w:numPr>
                <w:ilvl w:val="0"/>
                <w:numId w:val="6"/>
              </w:numPr>
              <w:tabs>
                <w:tab w:val="left" w:pos="0"/>
                <w:tab w:val="left" w:pos="833"/>
              </w:tabs>
              <w:spacing w:before="0" w:after="0" w:line="360" w:lineRule="auto"/>
              <w:ind w:left="0" w:right="0" w:firstLine="0"/>
              <w:jc w:val="center"/>
              <w:rPr>
                <w:bCs/>
                <w:sz w:val="24"/>
                <w:szCs w:val="24"/>
              </w:rPr>
            </w:pPr>
            <w:r>
              <w:rPr>
                <w:rFonts w:hint="eastAsia"/>
                <w:b/>
                <w:bCs/>
                <w:sz w:val="24"/>
                <w:szCs w:val="24"/>
              </w:rPr>
              <w:t>双庙页1HF预探井工程</w:t>
            </w:r>
            <w:r>
              <w:rPr>
                <w:b/>
                <w:bCs/>
                <w:sz w:val="24"/>
                <w:szCs w:val="24"/>
              </w:rPr>
              <w:t>井型一览表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819"/>
              <w:gridCol w:w="769"/>
              <w:gridCol w:w="1229"/>
              <w:gridCol w:w="707"/>
              <w:gridCol w:w="654"/>
              <w:gridCol w:w="889"/>
              <w:gridCol w:w="1638"/>
            </w:tblGrid>
            <w:tr w14:paraId="05D29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restart"/>
                  <w:vAlign w:val="center"/>
                </w:tcPr>
                <w:p w14:paraId="10F42A1C">
                  <w:pPr>
                    <w:pStyle w:val="19"/>
                    <w:tabs>
                      <w:tab w:val="left" w:pos="0"/>
                      <w:tab w:val="left" w:pos="833"/>
                    </w:tabs>
                    <w:spacing w:before="0" w:after="0" w:line="240" w:lineRule="auto"/>
                    <w:ind w:right="0"/>
                    <w:jc w:val="center"/>
                    <w:rPr>
                      <w:bCs/>
                      <w:sz w:val="21"/>
                      <w:szCs w:val="21"/>
                    </w:rPr>
                  </w:pPr>
                  <w:r>
                    <w:rPr>
                      <w:bCs/>
                      <w:sz w:val="21"/>
                      <w:szCs w:val="21"/>
                    </w:rPr>
                    <w:t>井位名称</w:t>
                  </w:r>
                </w:p>
              </w:tc>
              <w:tc>
                <w:tcPr>
                  <w:tcW w:w="1588" w:type="dxa"/>
                  <w:gridSpan w:val="2"/>
                  <w:vAlign w:val="center"/>
                </w:tcPr>
                <w:p w14:paraId="1DD4659A">
                  <w:pPr>
                    <w:pStyle w:val="19"/>
                    <w:tabs>
                      <w:tab w:val="left" w:pos="0"/>
                      <w:tab w:val="left" w:pos="833"/>
                    </w:tabs>
                    <w:spacing w:before="0" w:after="0" w:line="240" w:lineRule="auto"/>
                    <w:ind w:right="0"/>
                    <w:jc w:val="center"/>
                    <w:rPr>
                      <w:bCs/>
                      <w:sz w:val="21"/>
                      <w:szCs w:val="21"/>
                    </w:rPr>
                  </w:pPr>
                  <w:r>
                    <w:rPr>
                      <w:bCs/>
                      <w:sz w:val="21"/>
                      <w:szCs w:val="21"/>
                    </w:rPr>
                    <w:t>井位坐标</w:t>
                  </w:r>
                </w:p>
              </w:tc>
              <w:tc>
                <w:tcPr>
                  <w:tcW w:w="1229" w:type="dxa"/>
                  <w:vMerge w:val="restart"/>
                  <w:vAlign w:val="center"/>
                </w:tcPr>
                <w:p w14:paraId="4B7BECFA">
                  <w:pPr>
                    <w:pStyle w:val="19"/>
                    <w:tabs>
                      <w:tab w:val="left" w:pos="0"/>
                      <w:tab w:val="left" w:pos="833"/>
                    </w:tabs>
                    <w:spacing w:before="0" w:after="0" w:line="240" w:lineRule="auto"/>
                    <w:ind w:right="0"/>
                    <w:jc w:val="center"/>
                    <w:rPr>
                      <w:bCs/>
                      <w:sz w:val="21"/>
                      <w:szCs w:val="21"/>
                    </w:rPr>
                  </w:pPr>
                  <w:r>
                    <w:rPr>
                      <w:bCs/>
                      <w:sz w:val="21"/>
                      <w:szCs w:val="21"/>
                    </w:rPr>
                    <w:t>设计井深</w:t>
                  </w:r>
                </w:p>
              </w:tc>
              <w:tc>
                <w:tcPr>
                  <w:tcW w:w="707" w:type="dxa"/>
                  <w:vMerge w:val="restart"/>
                  <w:vAlign w:val="center"/>
                </w:tcPr>
                <w:p w14:paraId="5C2BE060">
                  <w:pPr>
                    <w:pStyle w:val="19"/>
                    <w:tabs>
                      <w:tab w:val="left" w:pos="0"/>
                      <w:tab w:val="left" w:pos="833"/>
                    </w:tabs>
                    <w:spacing w:before="0" w:after="0" w:line="240" w:lineRule="auto"/>
                    <w:ind w:right="0"/>
                    <w:jc w:val="center"/>
                    <w:rPr>
                      <w:bCs/>
                      <w:sz w:val="21"/>
                      <w:szCs w:val="21"/>
                    </w:rPr>
                  </w:pPr>
                  <w:r>
                    <w:rPr>
                      <w:bCs/>
                      <w:sz w:val="21"/>
                      <w:szCs w:val="21"/>
                    </w:rPr>
                    <w:t>井型</w:t>
                  </w:r>
                </w:p>
              </w:tc>
              <w:tc>
                <w:tcPr>
                  <w:tcW w:w="654" w:type="dxa"/>
                  <w:vMerge w:val="restart"/>
                  <w:vAlign w:val="center"/>
                </w:tcPr>
                <w:p w14:paraId="5E6AF51A">
                  <w:pPr>
                    <w:pStyle w:val="19"/>
                    <w:tabs>
                      <w:tab w:val="left" w:pos="0"/>
                      <w:tab w:val="left" w:pos="833"/>
                    </w:tabs>
                    <w:spacing w:before="0" w:after="0" w:line="240" w:lineRule="auto"/>
                    <w:ind w:right="0"/>
                    <w:jc w:val="center"/>
                    <w:rPr>
                      <w:bCs/>
                      <w:sz w:val="21"/>
                      <w:szCs w:val="21"/>
                    </w:rPr>
                  </w:pPr>
                  <w:r>
                    <w:rPr>
                      <w:bCs/>
                      <w:sz w:val="21"/>
                      <w:szCs w:val="21"/>
                    </w:rPr>
                    <w:t>井别</w:t>
                  </w:r>
                </w:p>
              </w:tc>
              <w:tc>
                <w:tcPr>
                  <w:tcW w:w="889" w:type="dxa"/>
                  <w:vMerge w:val="restart"/>
                  <w:vAlign w:val="center"/>
                </w:tcPr>
                <w:p w14:paraId="5BD55B85">
                  <w:pPr>
                    <w:pStyle w:val="19"/>
                    <w:tabs>
                      <w:tab w:val="left" w:pos="0"/>
                      <w:tab w:val="left" w:pos="833"/>
                    </w:tabs>
                    <w:spacing w:before="0" w:after="0" w:line="240" w:lineRule="auto"/>
                    <w:ind w:right="0"/>
                    <w:jc w:val="center"/>
                    <w:rPr>
                      <w:bCs/>
                      <w:sz w:val="21"/>
                      <w:szCs w:val="21"/>
                    </w:rPr>
                  </w:pPr>
                  <w:r>
                    <w:rPr>
                      <w:bCs/>
                      <w:sz w:val="21"/>
                      <w:szCs w:val="21"/>
                    </w:rPr>
                    <w:t>目的层</w:t>
                  </w:r>
                </w:p>
              </w:tc>
              <w:tc>
                <w:tcPr>
                  <w:tcW w:w="1638" w:type="dxa"/>
                  <w:vMerge w:val="restart"/>
                  <w:vAlign w:val="center"/>
                </w:tcPr>
                <w:p w14:paraId="0BFD3FCD">
                  <w:pPr>
                    <w:pStyle w:val="19"/>
                    <w:tabs>
                      <w:tab w:val="left" w:pos="0"/>
                      <w:tab w:val="left" w:pos="833"/>
                    </w:tabs>
                    <w:spacing w:before="0" w:after="0" w:line="240" w:lineRule="auto"/>
                    <w:ind w:right="0"/>
                    <w:jc w:val="center"/>
                    <w:rPr>
                      <w:bCs/>
                      <w:sz w:val="21"/>
                      <w:szCs w:val="21"/>
                    </w:rPr>
                  </w:pPr>
                  <w:r>
                    <w:rPr>
                      <w:bCs/>
                      <w:sz w:val="21"/>
                      <w:szCs w:val="21"/>
                    </w:rPr>
                    <w:t>完井方法</w:t>
                  </w:r>
                </w:p>
              </w:tc>
            </w:tr>
            <w:tr w14:paraId="08828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continue"/>
                  <w:vAlign w:val="center"/>
                </w:tcPr>
                <w:p w14:paraId="77758EF9">
                  <w:pPr>
                    <w:pStyle w:val="19"/>
                    <w:tabs>
                      <w:tab w:val="left" w:pos="0"/>
                      <w:tab w:val="left" w:pos="833"/>
                    </w:tabs>
                    <w:spacing w:before="0" w:after="0" w:line="240" w:lineRule="auto"/>
                    <w:ind w:right="0"/>
                    <w:jc w:val="center"/>
                  </w:pPr>
                </w:p>
              </w:tc>
              <w:tc>
                <w:tcPr>
                  <w:tcW w:w="819" w:type="dxa"/>
                  <w:vAlign w:val="center"/>
                </w:tcPr>
                <w:p w14:paraId="1B71F38B">
                  <w:pPr>
                    <w:pStyle w:val="19"/>
                    <w:tabs>
                      <w:tab w:val="left" w:pos="0"/>
                      <w:tab w:val="left" w:pos="833"/>
                    </w:tabs>
                    <w:spacing w:before="0" w:after="0" w:line="240" w:lineRule="auto"/>
                    <w:ind w:right="0"/>
                    <w:jc w:val="center"/>
                    <w:rPr>
                      <w:bCs/>
                      <w:sz w:val="21"/>
                      <w:szCs w:val="21"/>
                    </w:rPr>
                  </w:pPr>
                  <w:r>
                    <w:rPr>
                      <w:bCs/>
                      <w:sz w:val="21"/>
                      <w:szCs w:val="21"/>
                    </w:rPr>
                    <w:t>X坐标</w:t>
                  </w:r>
                </w:p>
              </w:tc>
              <w:tc>
                <w:tcPr>
                  <w:tcW w:w="769" w:type="dxa"/>
                  <w:vAlign w:val="center"/>
                </w:tcPr>
                <w:p w14:paraId="079FE588">
                  <w:pPr>
                    <w:pStyle w:val="19"/>
                    <w:tabs>
                      <w:tab w:val="left" w:pos="0"/>
                      <w:tab w:val="left" w:pos="833"/>
                    </w:tabs>
                    <w:spacing w:before="0" w:after="0" w:line="240" w:lineRule="auto"/>
                    <w:ind w:right="0"/>
                    <w:jc w:val="center"/>
                    <w:rPr>
                      <w:bCs/>
                      <w:sz w:val="21"/>
                      <w:szCs w:val="21"/>
                    </w:rPr>
                  </w:pPr>
                  <w:r>
                    <w:rPr>
                      <w:bCs/>
                      <w:sz w:val="21"/>
                      <w:szCs w:val="21"/>
                    </w:rPr>
                    <w:t>Y坐标</w:t>
                  </w:r>
                </w:p>
              </w:tc>
              <w:tc>
                <w:tcPr>
                  <w:tcW w:w="1229" w:type="dxa"/>
                  <w:vMerge w:val="continue"/>
                  <w:vAlign w:val="center"/>
                </w:tcPr>
                <w:p w14:paraId="42E53AF7">
                  <w:pPr>
                    <w:pStyle w:val="19"/>
                    <w:tabs>
                      <w:tab w:val="left" w:pos="0"/>
                      <w:tab w:val="left" w:pos="833"/>
                    </w:tabs>
                    <w:spacing w:before="0" w:after="0" w:line="240" w:lineRule="auto"/>
                    <w:ind w:right="0"/>
                    <w:jc w:val="center"/>
                    <w:rPr>
                      <w:bCs/>
                      <w:sz w:val="21"/>
                      <w:szCs w:val="21"/>
                    </w:rPr>
                  </w:pPr>
                </w:p>
              </w:tc>
              <w:tc>
                <w:tcPr>
                  <w:tcW w:w="707" w:type="dxa"/>
                  <w:vMerge w:val="continue"/>
                  <w:vAlign w:val="center"/>
                </w:tcPr>
                <w:p w14:paraId="39D8E158">
                  <w:pPr>
                    <w:pStyle w:val="19"/>
                    <w:tabs>
                      <w:tab w:val="left" w:pos="0"/>
                      <w:tab w:val="left" w:pos="833"/>
                    </w:tabs>
                    <w:spacing w:before="0" w:after="0" w:line="240" w:lineRule="auto"/>
                    <w:ind w:right="0"/>
                    <w:jc w:val="center"/>
                    <w:rPr>
                      <w:bCs/>
                      <w:sz w:val="21"/>
                      <w:szCs w:val="21"/>
                    </w:rPr>
                  </w:pPr>
                </w:p>
              </w:tc>
              <w:tc>
                <w:tcPr>
                  <w:tcW w:w="654" w:type="dxa"/>
                  <w:vMerge w:val="continue"/>
                  <w:vAlign w:val="center"/>
                </w:tcPr>
                <w:p w14:paraId="232FBAE7">
                  <w:pPr>
                    <w:pStyle w:val="19"/>
                    <w:tabs>
                      <w:tab w:val="left" w:pos="0"/>
                      <w:tab w:val="left" w:pos="833"/>
                    </w:tabs>
                    <w:spacing w:before="0" w:after="0" w:line="240" w:lineRule="auto"/>
                    <w:ind w:right="0"/>
                    <w:jc w:val="center"/>
                    <w:rPr>
                      <w:bCs/>
                      <w:sz w:val="21"/>
                      <w:szCs w:val="21"/>
                    </w:rPr>
                  </w:pPr>
                </w:p>
              </w:tc>
              <w:tc>
                <w:tcPr>
                  <w:tcW w:w="889" w:type="dxa"/>
                  <w:vMerge w:val="continue"/>
                  <w:vAlign w:val="center"/>
                </w:tcPr>
                <w:p w14:paraId="5A48B142">
                  <w:pPr>
                    <w:pStyle w:val="19"/>
                    <w:tabs>
                      <w:tab w:val="left" w:pos="0"/>
                      <w:tab w:val="left" w:pos="833"/>
                    </w:tabs>
                    <w:spacing w:before="0" w:after="0" w:line="240" w:lineRule="auto"/>
                    <w:ind w:right="0"/>
                    <w:jc w:val="center"/>
                    <w:rPr>
                      <w:bCs/>
                      <w:sz w:val="21"/>
                      <w:szCs w:val="21"/>
                    </w:rPr>
                  </w:pPr>
                </w:p>
              </w:tc>
              <w:tc>
                <w:tcPr>
                  <w:tcW w:w="1638" w:type="dxa"/>
                  <w:vMerge w:val="continue"/>
                  <w:vAlign w:val="center"/>
                </w:tcPr>
                <w:p w14:paraId="2B959A1A">
                  <w:pPr>
                    <w:pStyle w:val="19"/>
                    <w:tabs>
                      <w:tab w:val="left" w:pos="0"/>
                      <w:tab w:val="left" w:pos="833"/>
                    </w:tabs>
                    <w:spacing w:before="0" w:after="0" w:line="240" w:lineRule="auto"/>
                    <w:ind w:right="0"/>
                    <w:jc w:val="center"/>
                    <w:rPr>
                      <w:bCs/>
                      <w:sz w:val="21"/>
                      <w:szCs w:val="21"/>
                    </w:rPr>
                  </w:pPr>
                </w:p>
              </w:tc>
            </w:tr>
            <w:tr w14:paraId="2A4E6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Align w:val="center"/>
                </w:tcPr>
                <w:p w14:paraId="5EB106FA">
                  <w:pPr>
                    <w:pStyle w:val="19"/>
                    <w:tabs>
                      <w:tab w:val="left" w:pos="0"/>
                      <w:tab w:val="left" w:pos="833"/>
                    </w:tabs>
                    <w:spacing w:before="0" w:after="0" w:line="240" w:lineRule="auto"/>
                    <w:ind w:right="0"/>
                    <w:jc w:val="center"/>
                    <w:rPr>
                      <w:bCs/>
                      <w:sz w:val="21"/>
                      <w:szCs w:val="21"/>
                    </w:rPr>
                  </w:pPr>
                  <w:r>
                    <w:rPr>
                      <w:rFonts w:hint="eastAsia"/>
                      <w:bCs/>
                      <w:sz w:val="21"/>
                      <w:szCs w:val="21"/>
                    </w:rPr>
                    <w:t>双庙页1HF井</w:t>
                  </w:r>
                </w:p>
              </w:tc>
              <w:tc>
                <w:tcPr>
                  <w:tcW w:w="819" w:type="dxa"/>
                  <w:vAlign w:val="center"/>
                </w:tcPr>
                <w:p w14:paraId="7F6706F2">
                  <w:pPr>
                    <w:pStyle w:val="19"/>
                    <w:tabs>
                      <w:tab w:val="left" w:pos="0"/>
                      <w:tab w:val="left" w:pos="833"/>
                    </w:tabs>
                    <w:spacing w:before="0" w:after="0" w:line="240" w:lineRule="auto"/>
                    <w:ind w:right="0"/>
                    <w:jc w:val="center"/>
                    <w:rPr>
                      <w:rFonts w:hint="eastAsia" w:eastAsia="宋体"/>
                      <w:bCs/>
                      <w:sz w:val="21"/>
                      <w:szCs w:val="21"/>
                      <w:lang w:val="en-US" w:eastAsia="zh-CN"/>
                    </w:rPr>
                  </w:pPr>
                  <w:r>
                    <w:rPr>
                      <w:rFonts w:hint="eastAsia"/>
                      <w:bCs/>
                      <w:sz w:val="21"/>
                      <w:szCs w:val="21"/>
                      <w:lang w:val="en-US" w:eastAsia="zh-CN"/>
                    </w:rPr>
                    <w:t>*</w:t>
                  </w:r>
                </w:p>
              </w:tc>
              <w:tc>
                <w:tcPr>
                  <w:tcW w:w="769" w:type="dxa"/>
                  <w:vAlign w:val="center"/>
                </w:tcPr>
                <w:p w14:paraId="3890E420">
                  <w:pPr>
                    <w:spacing w:before="0" w:after="0" w:line="240" w:lineRule="auto"/>
                    <w:ind w:right="0"/>
                    <w:jc w:val="center"/>
                    <w:rPr>
                      <w:rFonts w:hint="default"/>
                      <w:bCs/>
                      <w:sz w:val="21"/>
                      <w:szCs w:val="21"/>
                      <w:lang w:val="en-US"/>
                    </w:rPr>
                  </w:pPr>
                  <w:r>
                    <w:rPr>
                      <w:rFonts w:hint="eastAsia"/>
                      <w:bCs/>
                      <w:sz w:val="21"/>
                      <w:szCs w:val="21"/>
                      <w:lang w:val="en-US" w:eastAsia="zh-CN"/>
                    </w:rPr>
                    <w:t>*</w:t>
                  </w:r>
                </w:p>
              </w:tc>
              <w:tc>
                <w:tcPr>
                  <w:tcW w:w="1229" w:type="dxa"/>
                  <w:vAlign w:val="center"/>
                </w:tcPr>
                <w:p w14:paraId="7D24FF2E">
                  <w:pPr>
                    <w:spacing w:before="0" w:after="0" w:line="240" w:lineRule="auto"/>
                    <w:ind w:right="0"/>
                    <w:jc w:val="center"/>
                    <w:rPr>
                      <w:rFonts w:hint="default"/>
                      <w:bCs/>
                      <w:sz w:val="21"/>
                      <w:szCs w:val="21"/>
                      <w:lang w:val="en-US"/>
                    </w:rPr>
                  </w:pPr>
                  <w:r>
                    <w:rPr>
                      <w:rFonts w:hint="eastAsia"/>
                      <w:bCs/>
                      <w:sz w:val="21"/>
                      <w:szCs w:val="21"/>
                      <w:lang w:val="en-US" w:eastAsia="zh-CN"/>
                    </w:rPr>
                    <w:t>*</w:t>
                  </w:r>
                </w:p>
              </w:tc>
              <w:tc>
                <w:tcPr>
                  <w:tcW w:w="707" w:type="dxa"/>
                  <w:vAlign w:val="center"/>
                </w:tcPr>
                <w:p w14:paraId="484E3A23">
                  <w:pPr>
                    <w:spacing w:before="0" w:after="0" w:line="240" w:lineRule="auto"/>
                    <w:ind w:right="0"/>
                    <w:jc w:val="center"/>
                    <w:rPr>
                      <w:rFonts w:hint="default"/>
                      <w:bCs/>
                      <w:sz w:val="21"/>
                      <w:szCs w:val="21"/>
                      <w:lang w:val="en-US"/>
                    </w:rPr>
                  </w:pPr>
                  <w:r>
                    <w:rPr>
                      <w:rFonts w:hint="eastAsia"/>
                      <w:bCs/>
                      <w:sz w:val="21"/>
                      <w:szCs w:val="21"/>
                      <w:lang w:val="en-US" w:eastAsia="zh-CN"/>
                    </w:rPr>
                    <w:t>*</w:t>
                  </w:r>
                </w:p>
              </w:tc>
              <w:tc>
                <w:tcPr>
                  <w:tcW w:w="654" w:type="dxa"/>
                  <w:vAlign w:val="center"/>
                </w:tcPr>
                <w:p w14:paraId="305F3AB7">
                  <w:pPr>
                    <w:spacing w:before="0" w:after="0" w:line="240" w:lineRule="auto"/>
                    <w:ind w:right="0"/>
                    <w:jc w:val="center"/>
                    <w:rPr>
                      <w:rFonts w:hint="default"/>
                      <w:bCs/>
                      <w:sz w:val="21"/>
                      <w:szCs w:val="21"/>
                      <w:lang w:val="en-US"/>
                    </w:rPr>
                  </w:pPr>
                  <w:r>
                    <w:rPr>
                      <w:rFonts w:hint="eastAsia"/>
                      <w:bCs/>
                      <w:sz w:val="21"/>
                      <w:szCs w:val="21"/>
                      <w:lang w:val="en-US" w:eastAsia="zh-CN"/>
                    </w:rPr>
                    <w:t>*</w:t>
                  </w:r>
                </w:p>
              </w:tc>
              <w:tc>
                <w:tcPr>
                  <w:tcW w:w="889" w:type="dxa"/>
                  <w:vAlign w:val="center"/>
                </w:tcPr>
                <w:p w14:paraId="27E6A8DF">
                  <w:pPr>
                    <w:spacing w:before="0" w:after="0" w:line="240" w:lineRule="auto"/>
                    <w:ind w:right="0"/>
                    <w:jc w:val="center"/>
                    <w:rPr>
                      <w:rFonts w:hint="default"/>
                      <w:bCs/>
                      <w:sz w:val="21"/>
                      <w:szCs w:val="21"/>
                      <w:lang w:val="en-US"/>
                    </w:rPr>
                  </w:pPr>
                  <w:r>
                    <w:rPr>
                      <w:rFonts w:hint="eastAsia"/>
                      <w:bCs/>
                      <w:sz w:val="21"/>
                      <w:szCs w:val="21"/>
                      <w:lang w:val="en-US" w:eastAsia="zh-CN"/>
                    </w:rPr>
                    <w:t>*</w:t>
                  </w:r>
                </w:p>
              </w:tc>
              <w:tc>
                <w:tcPr>
                  <w:tcW w:w="1638" w:type="dxa"/>
                  <w:vAlign w:val="center"/>
                </w:tcPr>
                <w:p w14:paraId="06FC122A">
                  <w:pPr>
                    <w:spacing w:before="0" w:after="0" w:line="240" w:lineRule="auto"/>
                    <w:ind w:right="0"/>
                    <w:jc w:val="center"/>
                    <w:rPr>
                      <w:rFonts w:hint="default"/>
                      <w:bCs/>
                      <w:sz w:val="21"/>
                      <w:szCs w:val="21"/>
                      <w:lang w:val="en-US"/>
                    </w:rPr>
                  </w:pPr>
                  <w:r>
                    <w:rPr>
                      <w:rFonts w:hint="eastAsia"/>
                      <w:bCs/>
                      <w:sz w:val="21"/>
                      <w:szCs w:val="21"/>
                      <w:lang w:val="en-US" w:eastAsia="zh-CN"/>
                    </w:rPr>
                    <w:t>*</w:t>
                  </w:r>
                </w:p>
              </w:tc>
            </w:tr>
          </w:tbl>
          <w:p w14:paraId="1BA649BC">
            <w:pPr>
              <w:spacing w:line="360" w:lineRule="auto"/>
              <w:ind w:firstLine="480" w:firstLineChars="200"/>
              <w:rPr>
                <w:sz w:val="24"/>
                <w:szCs w:val="32"/>
              </w:rPr>
            </w:pPr>
            <w:r>
              <w:rPr>
                <w:sz w:val="24"/>
                <w:szCs w:val="32"/>
              </w:rPr>
              <w:t>（3）试气工程</w:t>
            </w:r>
          </w:p>
          <w:p w14:paraId="3DB57E7C">
            <w:pPr>
              <w:spacing w:line="360" w:lineRule="auto"/>
              <w:ind w:firstLine="480" w:firstLineChars="200"/>
              <w:rPr>
                <w:sz w:val="24"/>
                <w:szCs w:val="32"/>
              </w:rPr>
            </w:pPr>
            <w:r>
              <w:rPr>
                <w:sz w:val="24"/>
                <w:szCs w:val="32"/>
              </w:rPr>
              <w:t>试气工程主要包括洗井、射孔、压裂、测试及设备搬迁。采用桥塞分段、套管注入体积压裂工艺，对</w:t>
            </w:r>
            <w:r>
              <w:rPr>
                <w:rFonts w:hint="eastAsia"/>
                <w:sz w:val="24"/>
                <w:szCs w:val="32"/>
                <w:lang w:val="en-US" w:eastAsia="zh-CN"/>
              </w:rPr>
              <w:t>***</w:t>
            </w:r>
            <w:r>
              <w:rPr>
                <w:sz w:val="24"/>
                <w:szCs w:val="32"/>
              </w:rPr>
              <w:t>试气。</w:t>
            </w:r>
          </w:p>
          <w:p w14:paraId="0C80FAA7">
            <w:pPr>
              <w:pStyle w:val="19"/>
              <w:tabs>
                <w:tab w:val="left" w:pos="0"/>
                <w:tab w:val="left" w:pos="833"/>
              </w:tabs>
              <w:spacing w:before="0" w:after="0" w:line="360" w:lineRule="auto"/>
              <w:ind w:right="0" w:firstLine="480" w:firstLineChars="200"/>
              <w:rPr>
                <w:rStyle w:val="47"/>
                <w:b w:val="0"/>
                <w:sz w:val="24"/>
                <w:szCs w:val="24"/>
              </w:rPr>
            </w:pPr>
            <w:r>
              <w:rPr>
                <w:rStyle w:val="47"/>
                <w:b w:val="0"/>
                <w:sz w:val="24"/>
                <w:szCs w:val="24"/>
              </w:rPr>
              <w:t>（4）组织定员及工程投资</w:t>
            </w:r>
          </w:p>
          <w:p w14:paraId="78BB2726">
            <w:pPr>
              <w:pStyle w:val="19"/>
              <w:tabs>
                <w:tab w:val="left" w:pos="0"/>
                <w:tab w:val="left" w:pos="833"/>
              </w:tabs>
              <w:spacing w:before="0" w:after="0" w:line="360" w:lineRule="auto"/>
              <w:ind w:right="0" w:firstLine="480" w:firstLineChars="200"/>
              <w:rPr>
                <w:rStyle w:val="47"/>
                <w:b w:val="0"/>
                <w:sz w:val="24"/>
                <w:szCs w:val="24"/>
              </w:rPr>
            </w:pPr>
            <w:r>
              <w:rPr>
                <w:rStyle w:val="47"/>
                <w:b w:val="0"/>
                <w:sz w:val="24"/>
                <w:szCs w:val="24"/>
              </w:rPr>
              <w:t>工程投资：</w:t>
            </w:r>
            <w:r>
              <w:rPr>
                <w:rStyle w:val="47"/>
                <w:rFonts w:hint="eastAsia"/>
                <w:b w:val="0"/>
                <w:sz w:val="24"/>
                <w:szCs w:val="24"/>
                <w:lang w:val="en-US" w:eastAsia="zh-CN"/>
              </w:rPr>
              <w:t>***</w:t>
            </w:r>
            <w:r>
              <w:rPr>
                <w:rStyle w:val="47"/>
                <w:b w:val="0"/>
                <w:sz w:val="24"/>
                <w:szCs w:val="24"/>
              </w:rPr>
              <w:t>万元</w:t>
            </w:r>
            <w:r>
              <w:rPr>
                <w:bCs/>
                <w:sz w:val="24"/>
                <w:szCs w:val="24"/>
              </w:rPr>
              <w:t>，</w:t>
            </w:r>
            <w:r>
              <w:rPr>
                <w:rStyle w:val="47"/>
                <w:b w:val="0"/>
                <w:sz w:val="24"/>
                <w:szCs w:val="24"/>
              </w:rPr>
              <w:t>环保投资</w:t>
            </w:r>
            <w:r>
              <w:rPr>
                <w:rStyle w:val="47"/>
                <w:rFonts w:hint="eastAsia"/>
                <w:b w:val="0"/>
                <w:sz w:val="24"/>
                <w:szCs w:val="24"/>
                <w:lang w:val="en-US" w:eastAsia="zh-CN"/>
              </w:rPr>
              <w:t>***</w:t>
            </w:r>
            <w:r>
              <w:rPr>
                <w:rStyle w:val="47"/>
                <w:b w:val="0"/>
                <w:sz w:val="24"/>
                <w:szCs w:val="24"/>
              </w:rPr>
              <w:t>万元，占总投资</w:t>
            </w:r>
            <w:bookmarkEnd w:id="6"/>
            <w:r>
              <w:rPr>
                <w:rStyle w:val="47"/>
                <w:rFonts w:hint="eastAsia"/>
                <w:b w:val="0"/>
                <w:sz w:val="24"/>
                <w:szCs w:val="24"/>
                <w:lang w:val="en-US" w:eastAsia="zh-CN"/>
              </w:rPr>
              <w:t>***</w:t>
            </w:r>
            <w:r>
              <w:rPr>
                <w:rStyle w:val="47"/>
                <w:b w:val="0"/>
                <w:sz w:val="24"/>
                <w:szCs w:val="24"/>
              </w:rPr>
              <w:t>%。</w:t>
            </w:r>
          </w:p>
          <w:p w14:paraId="781F23D0">
            <w:pPr>
              <w:spacing w:line="360" w:lineRule="auto"/>
              <w:ind w:firstLine="480" w:firstLineChars="200"/>
              <w:rPr>
                <w:bCs/>
                <w:sz w:val="24"/>
              </w:rPr>
            </w:pPr>
            <w:r>
              <w:rPr>
                <w:bCs/>
                <w:sz w:val="24"/>
              </w:rPr>
              <w:t>组织机构及定员、进度：</w:t>
            </w:r>
          </w:p>
          <w:p w14:paraId="337EFF25">
            <w:pPr>
              <w:spacing w:line="360" w:lineRule="auto"/>
              <w:ind w:firstLine="480" w:firstLineChars="200"/>
              <w:rPr>
                <w:bCs/>
                <w:sz w:val="24"/>
              </w:rPr>
            </w:pPr>
            <w:r>
              <w:rPr>
                <w:bCs/>
                <w:sz w:val="24"/>
              </w:rPr>
              <w:t>钻井工程共1个钻井队，钻井队编制约40人，钻井工程</w:t>
            </w:r>
            <w:r>
              <w:rPr>
                <w:rFonts w:hint="eastAsia"/>
                <w:bCs/>
                <w:sz w:val="24"/>
              </w:rPr>
              <w:t>周期为180天</w:t>
            </w:r>
            <w:r>
              <w:rPr>
                <w:bCs/>
                <w:sz w:val="24"/>
              </w:rPr>
              <w:t>，钻井井队为24h连续工作。</w:t>
            </w:r>
          </w:p>
          <w:p w14:paraId="787DE589">
            <w:pPr>
              <w:spacing w:line="360" w:lineRule="auto"/>
              <w:ind w:firstLine="480" w:firstLineChars="200"/>
              <w:rPr>
                <w:bCs/>
                <w:sz w:val="24"/>
              </w:rPr>
            </w:pPr>
            <w:r>
              <w:rPr>
                <w:bCs/>
                <w:sz w:val="24"/>
              </w:rPr>
              <w:t>试气工程施工人数约45人，施工周期</w:t>
            </w:r>
            <w:r>
              <w:rPr>
                <w:rFonts w:hint="eastAsia"/>
                <w:bCs/>
                <w:sz w:val="24"/>
              </w:rPr>
              <w:t>为101天</w:t>
            </w:r>
            <w:r>
              <w:rPr>
                <w:bCs/>
                <w:sz w:val="24"/>
              </w:rPr>
              <w:t>。</w:t>
            </w:r>
          </w:p>
          <w:p w14:paraId="56B12FB5">
            <w:pPr>
              <w:spacing w:line="360" w:lineRule="auto"/>
              <w:ind w:firstLine="480" w:firstLineChars="200"/>
              <w:rPr>
                <w:bCs/>
                <w:sz w:val="24"/>
              </w:rPr>
            </w:pPr>
            <w:r>
              <w:rPr>
                <w:bCs/>
                <w:sz w:val="24"/>
              </w:rPr>
              <w:t>设备搬迁、场地清理时间约1个月。</w:t>
            </w:r>
            <w:bookmarkEnd w:id="7"/>
          </w:p>
          <w:p w14:paraId="6092DCBA">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项目组成</w:t>
            </w:r>
          </w:p>
          <w:p w14:paraId="6E0E0C90">
            <w:pPr>
              <w:spacing w:line="360" w:lineRule="auto"/>
              <w:ind w:firstLine="480" w:firstLineChars="200"/>
              <w:rPr>
                <w:bCs/>
                <w:sz w:val="24"/>
              </w:rPr>
            </w:pPr>
            <w:r>
              <w:rPr>
                <w:kern w:val="0"/>
                <w:sz w:val="24"/>
                <w:lang w:bidi="ar"/>
              </w:rPr>
              <w:t>本项目实施分为钻前工程、钻井工程以及试气工程。工程不涉及运营期进行油气的采输</w:t>
            </w:r>
            <w:r>
              <w:rPr>
                <w:rFonts w:hint="eastAsia"/>
                <w:kern w:val="0"/>
                <w:sz w:val="24"/>
                <w:lang w:bidi="ar"/>
              </w:rPr>
              <w:t>以及</w:t>
            </w:r>
            <w:r>
              <w:rPr>
                <w:kern w:val="0"/>
                <w:sz w:val="24"/>
                <w:lang w:bidi="ar"/>
              </w:rPr>
              <w:t>生产问题，因此不对运营期工程进行分析。</w:t>
            </w:r>
            <w:bookmarkStart w:id="10" w:name="_Hlk80691108"/>
            <w:r>
              <w:rPr>
                <w:rFonts w:hint="eastAsia"/>
                <w:kern w:val="0"/>
                <w:sz w:val="24"/>
                <w:lang w:bidi="ar"/>
              </w:rPr>
              <w:t>本</w:t>
            </w:r>
            <w:r>
              <w:rPr>
                <w:kern w:val="0"/>
                <w:sz w:val="24"/>
                <w:lang w:bidi="ar"/>
              </w:rPr>
              <w:t>项目</w:t>
            </w:r>
            <w:r>
              <w:rPr>
                <w:bCs/>
                <w:sz w:val="24"/>
              </w:rPr>
              <w:t>主要工程内容见下表。</w:t>
            </w:r>
          </w:p>
          <w:p w14:paraId="348DE7E7">
            <w:pPr>
              <w:pStyle w:val="19"/>
              <w:numPr>
                <w:ilvl w:val="0"/>
                <w:numId w:val="6"/>
              </w:numPr>
              <w:tabs>
                <w:tab w:val="left" w:pos="0"/>
                <w:tab w:val="left" w:pos="833"/>
              </w:tabs>
              <w:spacing w:before="0" w:after="0" w:line="360" w:lineRule="auto"/>
              <w:ind w:left="0" w:right="0" w:firstLine="0"/>
              <w:jc w:val="center"/>
              <w:rPr>
                <w:b/>
                <w:bCs/>
                <w:sz w:val="24"/>
                <w:szCs w:val="24"/>
              </w:rPr>
            </w:pPr>
            <w:r>
              <w:rPr>
                <w:b/>
                <w:bCs/>
                <w:sz w:val="24"/>
                <w:szCs w:val="24"/>
              </w:rPr>
              <w:t>项目组成及主要环境影响</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22"/>
              <w:gridCol w:w="732"/>
              <w:gridCol w:w="4110"/>
              <w:gridCol w:w="648"/>
              <w:gridCol w:w="1051"/>
            </w:tblGrid>
            <w:tr w14:paraId="53B1D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98" w:type="dxa"/>
                  <w:vAlign w:val="center"/>
                </w:tcPr>
                <w:p w14:paraId="57DAE874">
                  <w:pPr>
                    <w:jc w:val="center"/>
                    <w:rPr>
                      <w:kern w:val="28"/>
                      <w:szCs w:val="21"/>
                    </w:rPr>
                  </w:pPr>
                  <w:bookmarkStart w:id="11" w:name="_Hlk69130929"/>
                  <w:r>
                    <w:rPr>
                      <w:kern w:val="28"/>
                      <w:szCs w:val="21"/>
                    </w:rPr>
                    <w:t>名称</w:t>
                  </w:r>
                </w:p>
              </w:tc>
              <w:tc>
                <w:tcPr>
                  <w:tcW w:w="1154" w:type="dxa"/>
                  <w:gridSpan w:val="2"/>
                  <w:vAlign w:val="center"/>
                </w:tcPr>
                <w:p w14:paraId="35353195">
                  <w:pPr>
                    <w:jc w:val="center"/>
                    <w:rPr>
                      <w:kern w:val="28"/>
                      <w:szCs w:val="21"/>
                    </w:rPr>
                  </w:pPr>
                  <w:r>
                    <w:rPr>
                      <w:kern w:val="28"/>
                      <w:szCs w:val="21"/>
                    </w:rPr>
                    <w:t>建设内容</w:t>
                  </w:r>
                </w:p>
              </w:tc>
              <w:tc>
                <w:tcPr>
                  <w:tcW w:w="4110" w:type="dxa"/>
                  <w:vAlign w:val="center"/>
                </w:tcPr>
                <w:p w14:paraId="6311E975">
                  <w:pPr>
                    <w:jc w:val="center"/>
                    <w:rPr>
                      <w:kern w:val="28"/>
                      <w:szCs w:val="21"/>
                    </w:rPr>
                  </w:pPr>
                  <w:r>
                    <w:rPr>
                      <w:kern w:val="28"/>
                      <w:szCs w:val="21"/>
                    </w:rPr>
                    <w:t>建设规模</w:t>
                  </w:r>
                </w:p>
              </w:tc>
              <w:tc>
                <w:tcPr>
                  <w:tcW w:w="648" w:type="dxa"/>
                  <w:vAlign w:val="center"/>
                </w:tcPr>
                <w:p w14:paraId="3281D1DB">
                  <w:pPr>
                    <w:jc w:val="center"/>
                    <w:rPr>
                      <w:kern w:val="28"/>
                      <w:szCs w:val="21"/>
                    </w:rPr>
                  </w:pPr>
                  <w:r>
                    <w:rPr>
                      <w:kern w:val="28"/>
                      <w:szCs w:val="21"/>
                    </w:rPr>
                    <w:t>建设性质</w:t>
                  </w:r>
                </w:p>
              </w:tc>
              <w:tc>
                <w:tcPr>
                  <w:tcW w:w="1051" w:type="dxa"/>
                  <w:vAlign w:val="center"/>
                </w:tcPr>
                <w:p w14:paraId="4C477382">
                  <w:pPr>
                    <w:jc w:val="center"/>
                    <w:rPr>
                      <w:kern w:val="28"/>
                      <w:szCs w:val="21"/>
                    </w:rPr>
                  </w:pPr>
                  <w:r>
                    <w:rPr>
                      <w:kern w:val="28"/>
                      <w:szCs w:val="21"/>
                    </w:rPr>
                    <w:t>可能产生的环境影响</w:t>
                  </w:r>
                </w:p>
              </w:tc>
            </w:tr>
            <w:tr w14:paraId="56A83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14:paraId="4434D89C">
                  <w:pPr>
                    <w:jc w:val="center"/>
                    <w:rPr>
                      <w:kern w:val="28"/>
                      <w:szCs w:val="21"/>
                    </w:rPr>
                  </w:pPr>
                  <w:r>
                    <w:rPr>
                      <w:kern w:val="28"/>
                      <w:szCs w:val="21"/>
                    </w:rPr>
                    <w:t>主体工程</w:t>
                  </w:r>
                </w:p>
              </w:tc>
              <w:tc>
                <w:tcPr>
                  <w:tcW w:w="422" w:type="dxa"/>
                  <w:vAlign w:val="center"/>
                </w:tcPr>
                <w:p w14:paraId="330835E5">
                  <w:pPr>
                    <w:pStyle w:val="26"/>
                    <w:tabs>
                      <w:tab w:val="left" w:pos="2321"/>
                    </w:tabs>
                    <w:overflowPunct w:val="0"/>
                    <w:autoSpaceDE w:val="0"/>
                    <w:spacing w:line="240" w:lineRule="auto"/>
                    <w:jc w:val="center"/>
                    <w:rPr>
                      <w:kern w:val="28"/>
                      <w:sz w:val="21"/>
                      <w:szCs w:val="21"/>
                    </w:rPr>
                  </w:pPr>
                  <w:r>
                    <w:rPr>
                      <w:kern w:val="28"/>
                      <w:sz w:val="21"/>
                      <w:szCs w:val="21"/>
                    </w:rPr>
                    <w:t>钻前工程</w:t>
                  </w:r>
                </w:p>
              </w:tc>
              <w:tc>
                <w:tcPr>
                  <w:tcW w:w="732" w:type="dxa"/>
                  <w:tcBorders>
                    <w:bottom w:val="single" w:color="auto" w:sz="4" w:space="0"/>
                  </w:tcBorders>
                  <w:vAlign w:val="center"/>
                </w:tcPr>
                <w:p w14:paraId="65751E43">
                  <w:pPr>
                    <w:pStyle w:val="26"/>
                    <w:tabs>
                      <w:tab w:val="left" w:pos="2321"/>
                    </w:tabs>
                    <w:overflowPunct w:val="0"/>
                    <w:autoSpaceDE w:val="0"/>
                    <w:spacing w:line="240" w:lineRule="auto"/>
                    <w:jc w:val="center"/>
                    <w:rPr>
                      <w:kern w:val="28"/>
                      <w:sz w:val="21"/>
                      <w:szCs w:val="21"/>
                    </w:rPr>
                  </w:pPr>
                  <w:r>
                    <w:rPr>
                      <w:kern w:val="28"/>
                      <w:sz w:val="21"/>
                      <w:szCs w:val="21"/>
                    </w:rPr>
                    <w:t>井场</w:t>
                  </w:r>
                </w:p>
              </w:tc>
              <w:tc>
                <w:tcPr>
                  <w:tcW w:w="4110" w:type="dxa"/>
                  <w:vAlign w:val="center"/>
                </w:tcPr>
                <w:p w14:paraId="1E839B51">
                  <w:pPr>
                    <w:pStyle w:val="26"/>
                    <w:tabs>
                      <w:tab w:val="left" w:pos="2321"/>
                    </w:tabs>
                    <w:overflowPunct w:val="0"/>
                    <w:autoSpaceDE w:val="0"/>
                    <w:spacing w:line="240" w:lineRule="auto"/>
                    <w:jc w:val="left"/>
                    <w:rPr>
                      <w:kern w:val="28"/>
                      <w:sz w:val="21"/>
                      <w:szCs w:val="21"/>
                    </w:rPr>
                  </w:pPr>
                  <w:r>
                    <w:rPr>
                      <w:kern w:val="28"/>
                      <w:sz w:val="21"/>
                      <w:szCs w:val="21"/>
                    </w:rPr>
                    <w:t>新建</w:t>
                  </w:r>
                  <w:r>
                    <w:rPr>
                      <w:rFonts w:hint="eastAsia"/>
                      <w:kern w:val="28"/>
                      <w:sz w:val="21"/>
                      <w:szCs w:val="21"/>
                    </w:rPr>
                    <w:t>双庙页1HF井</w:t>
                  </w:r>
                  <w:r>
                    <w:rPr>
                      <w:kern w:val="28"/>
                      <w:sz w:val="21"/>
                      <w:szCs w:val="21"/>
                    </w:rPr>
                    <w:t>平台，井场大小为1</w:t>
                  </w:r>
                  <w:r>
                    <w:rPr>
                      <w:rFonts w:hint="eastAsia"/>
                      <w:kern w:val="28"/>
                      <w:sz w:val="21"/>
                      <w:szCs w:val="21"/>
                    </w:rPr>
                    <w:t>26</w:t>
                  </w:r>
                  <w:r>
                    <w:rPr>
                      <w:kern w:val="28"/>
                      <w:sz w:val="21"/>
                      <w:szCs w:val="21"/>
                    </w:rPr>
                    <w:t>m×</w:t>
                  </w:r>
                  <w:r>
                    <w:rPr>
                      <w:rFonts w:hint="eastAsia"/>
                      <w:kern w:val="28"/>
                      <w:sz w:val="21"/>
                      <w:szCs w:val="21"/>
                    </w:rPr>
                    <w:t>6</w:t>
                  </w:r>
                  <w:r>
                    <w:rPr>
                      <w:kern w:val="28"/>
                      <w:sz w:val="21"/>
                      <w:szCs w:val="21"/>
                    </w:rPr>
                    <w:t>0m，新建井场内排污沟495m、场外排水沟3</w:t>
                  </w:r>
                  <w:r>
                    <w:rPr>
                      <w:rFonts w:hint="eastAsia"/>
                      <w:kern w:val="28"/>
                      <w:sz w:val="21"/>
                      <w:szCs w:val="21"/>
                    </w:rPr>
                    <w:t>96</w:t>
                  </w:r>
                  <w:r>
                    <w:rPr>
                      <w:kern w:val="28"/>
                      <w:sz w:val="21"/>
                      <w:szCs w:val="21"/>
                    </w:rPr>
                    <w:t>m、新建1.5m宽坡顶截水沟</w:t>
                  </w:r>
                  <w:r>
                    <w:rPr>
                      <w:rFonts w:hint="eastAsia"/>
                      <w:kern w:val="28"/>
                      <w:sz w:val="21"/>
                      <w:szCs w:val="21"/>
                    </w:rPr>
                    <w:t>21</w:t>
                  </w:r>
                  <w:r>
                    <w:rPr>
                      <w:kern w:val="28"/>
                      <w:sz w:val="21"/>
                      <w:szCs w:val="21"/>
                    </w:rPr>
                    <w:t>0m，设置450m</w:t>
                  </w:r>
                  <w:r>
                    <w:rPr>
                      <w:kern w:val="28"/>
                      <w:sz w:val="21"/>
                      <w:szCs w:val="21"/>
                      <w:vertAlign w:val="superscript"/>
                    </w:rPr>
                    <w:t>2</w:t>
                  </w:r>
                  <w:r>
                    <w:rPr>
                      <w:kern w:val="28"/>
                      <w:sz w:val="21"/>
                      <w:szCs w:val="21"/>
                    </w:rPr>
                    <w:t>泥浆不落地平台、配套完善生活营区、钻井设备基础、给排水、供配电等辅助工程。</w:t>
                  </w:r>
                </w:p>
              </w:tc>
              <w:tc>
                <w:tcPr>
                  <w:tcW w:w="648" w:type="dxa"/>
                  <w:vAlign w:val="center"/>
                </w:tcPr>
                <w:p w14:paraId="1557153D">
                  <w:pPr>
                    <w:pStyle w:val="26"/>
                    <w:tabs>
                      <w:tab w:val="left" w:pos="2321"/>
                    </w:tabs>
                    <w:overflowPunct w:val="0"/>
                    <w:autoSpaceDE w:val="0"/>
                    <w:spacing w:line="240" w:lineRule="auto"/>
                    <w:rPr>
                      <w:sz w:val="21"/>
                      <w:szCs w:val="21"/>
                    </w:rPr>
                  </w:pPr>
                  <w:r>
                    <w:rPr>
                      <w:sz w:val="21"/>
                      <w:szCs w:val="21"/>
                    </w:rPr>
                    <w:t>新建</w:t>
                  </w:r>
                </w:p>
              </w:tc>
              <w:tc>
                <w:tcPr>
                  <w:tcW w:w="1051" w:type="dxa"/>
                  <w:vAlign w:val="center"/>
                </w:tcPr>
                <w:p w14:paraId="001AEC8A">
                  <w:pPr>
                    <w:pStyle w:val="26"/>
                    <w:tabs>
                      <w:tab w:val="left" w:pos="2321"/>
                    </w:tabs>
                    <w:overflowPunct w:val="0"/>
                    <w:autoSpaceDE w:val="0"/>
                    <w:spacing w:line="240" w:lineRule="auto"/>
                    <w:jc w:val="center"/>
                    <w:rPr>
                      <w:kern w:val="28"/>
                      <w:sz w:val="21"/>
                      <w:szCs w:val="21"/>
                    </w:rPr>
                  </w:pPr>
                  <w:r>
                    <w:rPr>
                      <w:kern w:val="28"/>
                      <w:sz w:val="21"/>
                      <w:szCs w:val="21"/>
                    </w:rPr>
                    <w:t>/</w:t>
                  </w:r>
                </w:p>
              </w:tc>
            </w:tr>
            <w:tr w14:paraId="77760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3A2A5A2C">
                  <w:pPr>
                    <w:jc w:val="center"/>
                    <w:rPr>
                      <w:kern w:val="28"/>
                      <w:szCs w:val="21"/>
                    </w:rPr>
                  </w:pPr>
                </w:p>
              </w:tc>
              <w:tc>
                <w:tcPr>
                  <w:tcW w:w="422" w:type="dxa"/>
                  <w:vMerge w:val="restart"/>
                  <w:vAlign w:val="center"/>
                </w:tcPr>
                <w:p w14:paraId="48FC1D60">
                  <w:pPr>
                    <w:pStyle w:val="26"/>
                    <w:tabs>
                      <w:tab w:val="left" w:pos="2321"/>
                    </w:tabs>
                    <w:overflowPunct w:val="0"/>
                    <w:autoSpaceDE w:val="0"/>
                    <w:spacing w:line="240" w:lineRule="auto"/>
                    <w:jc w:val="center"/>
                    <w:rPr>
                      <w:kern w:val="28"/>
                      <w:sz w:val="21"/>
                      <w:szCs w:val="21"/>
                    </w:rPr>
                  </w:pPr>
                  <w:r>
                    <w:rPr>
                      <w:kern w:val="28"/>
                      <w:sz w:val="21"/>
                      <w:szCs w:val="21"/>
                    </w:rPr>
                    <w:t>钻井工程</w:t>
                  </w:r>
                </w:p>
              </w:tc>
              <w:tc>
                <w:tcPr>
                  <w:tcW w:w="732" w:type="dxa"/>
                  <w:tcBorders>
                    <w:bottom w:val="single" w:color="auto" w:sz="4" w:space="0"/>
                  </w:tcBorders>
                  <w:vAlign w:val="center"/>
                </w:tcPr>
                <w:p w14:paraId="215F1020">
                  <w:pPr>
                    <w:pStyle w:val="26"/>
                    <w:tabs>
                      <w:tab w:val="left" w:pos="2321"/>
                    </w:tabs>
                    <w:overflowPunct w:val="0"/>
                    <w:autoSpaceDE w:val="0"/>
                    <w:spacing w:line="240" w:lineRule="auto"/>
                    <w:jc w:val="center"/>
                    <w:rPr>
                      <w:kern w:val="28"/>
                      <w:sz w:val="21"/>
                      <w:szCs w:val="21"/>
                    </w:rPr>
                  </w:pPr>
                  <w:r>
                    <w:rPr>
                      <w:kern w:val="28"/>
                      <w:sz w:val="21"/>
                      <w:szCs w:val="21"/>
                    </w:rPr>
                    <w:t>钻井</w:t>
                  </w:r>
                </w:p>
              </w:tc>
              <w:tc>
                <w:tcPr>
                  <w:tcW w:w="4110" w:type="dxa"/>
                  <w:vAlign w:val="center"/>
                </w:tcPr>
                <w:p w14:paraId="6F8C4E80">
                  <w:pPr>
                    <w:pStyle w:val="26"/>
                    <w:tabs>
                      <w:tab w:val="left" w:pos="2321"/>
                    </w:tabs>
                    <w:overflowPunct w:val="0"/>
                    <w:autoSpaceDE w:val="0"/>
                    <w:spacing w:line="240" w:lineRule="auto"/>
                    <w:jc w:val="left"/>
                    <w:rPr>
                      <w:sz w:val="21"/>
                      <w:szCs w:val="21"/>
                    </w:rPr>
                  </w:pPr>
                  <w:r>
                    <w:rPr>
                      <w:rFonts w:hint="eastAsia"/>
                      <w:kern w:val="28"/>
                      <w:sz w:val="21"/>
                      <w:szCs w:val="21"/>
                    </w:rPr>
                    <w:t>双庙页1HF井</w:t>
                  </w:r>
                  <w:r>
                    <w:rPr>
                      <w:kern w:val="28"/>
                      <w:sz w:val="21"/>
                      <w:szCs w:val="21"/>
                    </w:rPr>
                    <w:t>为</w:t>
                  </w:r>
                  <w:r>
                    <w:rPr>
                      <w:rFonts w:hint="eastAsia"/>
                      <w:kern w:val="28"/>
                      <w:sz w:val="21"/>
                      <w:szCs w:val="21"/>
                    </w:rPr>
                    <w:t>预探井</w:t>
                  </w:r>
                  <w:r>
                    <w:rPr>
                      <w:kern w:val="28"/>
                      <w:sz w:val="21"/>
                      <w:szCs w:val="21"/>
                    </w:rPr>
                    <w:t>，目的层位为</w:t>
                  </w:r>
                  <w:r>
                    <w:rPr>
                      <w:rFonts w:hint="eastAsia"/>
                      <w:kern w:val="28"/>
                      <w:sz w:val="21"/>
                      <w:szCs w:val="21"/>
                      <w:lang w:val="en-US" w:eastAsia="zh-CN"/>
                    </w:rPr>
                    <w:t>***</w:t>
                  </w:r>
                  <w:r>
                    <w:rPr>
                      <w:kern w:val="28"/>
                      <w:sz w:val="21"/>
                      <w:szCs w:val="21"/>
                    </w:rPr>
                    <w:t>。采用导管+</w:t>
                  </w:r>
                  <w:r>
                    <w:rPr>
                      <w:rFonts w:hint="eastAsia"/>
                      <w:kern w:val="28"/>
                      <w:sz w:val="21"/>
                      <w:szCs w:val="21"/>
                    </w:rPr>
                    <w:t>四</w:t>
                  </w:r>
                  <w:r>
                    <w:rPr>
                      <w:kern w:val="28"/>
                      <w:sz w:val="21"/>
                      <w:szCs w:val="21"/>
                    </w:rPr>
                    <w:t>开井身结构钻井，导管段采用清水钻井；一开、二开</w:t>
                  </w:r>
                  <w:r>
                    <w:rPr>
                      <w:rFonts w:hint="eastAsia"/>
                      <w:kern w:val="28"/>
                      <w:sz w:val="21"/>
                      <w:szCs w:val="21"/>
                    </w:rPr>
                    <w:t>、三开、四开导眼</w:t>
                  </w:r>
                  <w:r>
                    <w:rPr>
                      <w:kern w:val="28"/>
                      <w:sz w:val="21"/>
                      <w:szCs w:val="21"/>
                    </w:rPr>
                    <w:t>段采用</w:t>
                  </w:r>
                  <w:r>
                    <w:rPr>
                      <w:rFonts w:hint="eastAsia"/>
                      <w:kern w:val="28"/>
                      <w:sz w:val="21"/>
                      <w:szCs w:val="21"/>
                    </w:rPr>
                    <w:t>常规水基钻井液</w:t>
                  </w:r>
                  <w:r>
                    <w:rPr>
                      <w:kern w:val="28"/>
                      <w:sz w:val="21"/>
                      <w:szCs w:val="21"/>
                    </w:rPr>
                    <w:t>钻井，</w:t>
                  </w:r>
                  <w:r>
                    <w:rPr>
                      <w:rFonts w:hint="eastAsia"/>
                      <w:kern w:val="28"/>
                      <w:sz w:val="21"/>
                      <w:szCs w:val="21"/>
                    </w:rPr>
                    <w:t>四开水平段采用</w:t>
                  </w:r>
                  <w:r>
                    <w:rPr>
                      <w:kern w:val="28"/>
                      <w:sz w:val="21"/>
                      <w:szCs w:val="21"/>
                    </w:rPr>
                    <w:t>油基钻井液钻井。</w:t>
                  </w:r>
                </w:p>
              </w:tc>
              <w:tc>
                <w:tcPr>
                  <w:tcW w:w="648" w:type="dxa"/>
                  <w:vAlign w:val="center"/>
                </w:tcPr>
                <w:p w14:paraId="15E231CA">
                  <w:pPr>
                    <w:pStyle w:val="26"/>
                    <w:tabs>
                      <w:tab w:val="left" w:pos="2321"/>
                    </w:tabs>
                    <w:overflowPunct w:val="0"/>
                    <w:autoSpaceDE w:val="0"/>
                    <w:spacing w:line="240" w:lineRule="auto"/>
                    <w:rPr>
                      <w:kern w:val="28"/>
                      <w:sz w:val="21"/>
                      <w:szCs w:val="21"/>
                    </w:rPr>
                  </w:pPr>
                  <w:r>
                    <w:rPr>
                      <w:kern w:val="28"/>
                      <w:sz w:val="21"/>
                      <w:szCs w:val="21"/>
                    </w:rPr>
                    <w:t>新建</w:t>
                  </w:r>
                </w:p>
              </w:tc>
              <w:tc>
                <w:tcPr>
                  <w:tcW w:w="1051" w:type="dxa"/>
                  <w:vAlign w:val="center"/>
                </w:tcPr>
                <w:p w14:paraId="463067A7">
                  <w:pPr>
                    <w:pStyle w:val="26"/>
                    <w:tabs>
                      <w:tab w:val="left" w:pos="2321"/>
                    </w:tabs>
                    <w:overflowPunct w:val="0"/>
                    <w:autoSpaceDE w:val="0"/>
                    <w:spacing w:line="240" w:lineRule="auto"/>
                    <w:jc w:val="center"/>
                    <w:rPr>
                      <w:kern w:val="28"/>
                      <w:sz w:val="21"/>
                      <w:szCs w:val="21"/>
                    </w:rPr>
                  </w:pPr>
                  <w:r>
                    <w:rPr>
                      <w:kern w:val="28"/>
                      <w:sz w:val="21"/>
                      <w:szCs w:val="21"/>
                    </w:rPr>
                    <w:t>废水、固废、设备噪声、废气</w:t>
                  </w:r>
                </w:p>
              </w:tc>
            </w:tr>
            <w:tr w14:paraId="424D9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3211F032">
                  <w:pPr>
                    <w:widowControl/>
                    <w:jc w:val="center"/>
                    <w:rPr>
                      <w:kern w:val="28"/>
                      <w:szCs w:val="21"/>
                    </w:rPr>
                  </w:pPr>
                </w:p>
              </w:tc>
              <w:tc>
                <w:tcPr>
                  <w:tcW w:w="422" w:type="dxa"/>
                  <w:vMerge w:val="continue"/>
                  <w:vAlign w:val="center"/>
                </w:tcPr>
                <w:p w14:paraId="35E6F760">
                  <w:pPr>
                    <w:jc w:val="center"/>
                    <w:rPr>
                      <w:kern w:val="28"/>
                      <w:szCs w:val="21"/>
                    </w:rPr>
                  </w:pPr>
                </w:p>
              </w:tc>
              <w:tc>
                <w:tcPr>
                  <w:tcW w:w="732" w:type="dxa"/>
                  <w:vAlign w:val="center"/>
                </w:tcPr>
                <w:p w14:paraId="1F3AB231">
                  <w:pPr>
                    <w:jc w:val="center"/>
                    <w:rPr>
                      <w:kern w:val="28"/>
                      <w:szCs w:val="21"/>
                    </w:rPr>
                  </w:pPr>
                  <w:r>
                    <w:rPr>
                      <w:kern w:val="28"/>
                      <w:szCs w:val="21"/>
                    </w:rPr>
                    <w:t>测井、取心、录井</w:t>
                  </w:r>
                </w:p>
              </w:tc>
              <w:tc>
                <w:tcPr>
                  <w:tcW w:w="4110" w:type="dxa"/>
                  <w:vAlign w:val="center"/>
                </w:tcPr>
                <w:p w14:paraId="26FE546F">
                  <w:pPr>
                    <w:pStyle w:val="26"/>
                    <w:tabs>
                      <w:tab w:val="left" w:pos="2321"/>
                    </w:tabs>
                    <w:overflowPunct w:val="0"/>
                    <w:autoSpaceDE w:val="0"/>
                    <w:spacing w:line="240" w:lineRule="auto"/>
                    <w:jc w:val="left"/>
                    <w:rPr>
                      <w:kern w:val="28"/>
                      <w:sz w:val="21"/>
                      <w:szCs w:val="21"/>
                    </w:rPr>
                  </w:pPr>
                  <w:r>
                    <w:rPr>
                      <w:kern w:val="28"/>
                      <w:sz w:val="21"/>
                      <w:szCs w:val="21"/>
                    </w:rPr>
                    <w:t>测井、取心、录井主要为取样分析地质等情况，对可能的油、气层进行的中途测试。</w:t>
                  </w:r>
                </w:p>
              </w:tc>
              <w:tc>
                <w:tcPr>
                  <w:tcW w:w="648" w:type="dxa"/>
                  <w:vAlign w:val="center"/>
                </w:tcPr>
                <w:p w14:paraId="218AB4CF">
                  <w:pPr>
                    <w:pStyle w:val="26"/>
                    <w:tabs>
                      <w:tab w:val="left" w:pos="2321"/>
                    </w:tabs>
                    <w:overflowPunct w:val="0"/>
                    <w:autoSpaceDE w:val="0"/>
                    <w:spacing w:line="240" w:lineRule="auto"/>
                    <w:rPr>
                      <w:kern w:val="28"/>
                      <w:sz w:val="21"/>
                      <w:szCs w:val="21"/>
                    </w:rPr>
                  </w:pPr>
                  <w:r>
                    <w:rPr>
                      <w:kern w:val="28"/>
                      <w:sz w:val="21"/>
                      <w:szCs w:val="21"/>
                    </w:rPr>
                    <w:t>新建</w:t>
                  </w:r>
                </w:p>
              </w:tc>
              <w:tc>
                <w:tcPr>
                  <w:tcW w:w="1051" w:type="dxa"/>
                  <w:vAlign w:val="center"/>
                </w:tcPr>
                <w:p w14:paraId="23C4D59D">
                  <w:pPr>
                    <w:jc w:val="center"/>
                    <w:rPr>
                      <w:kern w:val="28"/>
                      <w:szCs w:val="21"/>
                    </w:rPr>
                  </w:pPr>
                  <w:r>
                    <w:rPr>
                      <w:kern w:val="28"/>
                      <w:szCs w:val="21"/>
                    </w:rPr>
                    <w:t>/</w:t>
                  </w:r>
                </w:p>
              </w:tc>
            </w:tr>
            <w:tr w14:paraId="333C5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766B4E94">
                  <w:pPr>
                    <w:widowControl/>
                    <w:jc w:val="center"/>
                    <w:rPr>
                      <w:kern w:val="28"/>
                      <w:szCs w:val="21"/>
                    </w:rPr>
                  </w:pPr>
                </w:p>
              </w:tc>
              <w:tc>
                <w:tcPr>
                  <w:tcW w:w="422" w:type="dxa"/>
                  <w:vMerge w:val="continue"/>
                  <w:vAlign w:val="center"/>
                </w:tcPr>
                <w:p w14:paraId="7259AE1D">
                  <w:pPr>
                    <w:jc w:val="center"/>
                    <w:rPr>
                      <w:kern w:val="28"/>
                      <w:szCs w:val="21"/>
                    </w:rPr>
                  </w:pPr>
                </w:p>
              </w:tc>
              <w:tc>
                <w:tcPr>
                  <w:tcW w:w="732" w:type="dxa"/>
                  <w:vAlign w:val="center"/>
                </w:tcPr>
                <w:p w14:paraId="745108D5">
                  <w:pPr>
                    <w:jc w:val="center"/>
                    <w:rPr>
                      <w:kern w:val="28"/>
                      <w:szCs w:val="21"/>
                    </w:rPr>
                  </w:pPr>
                  <w:r>
                    <w:rPr>
                      <w:kern w:val="28"/>
                      <w:szCs w:val="21"/>
                    </w:rPr>
                    <w:t>固井作业</w:t>
                  </w:r>
                </w:p>
              </w:tc>
              <w:tc>
                <w:tcPr>
                  <w:tcW w:w="4110" w:type="dxa"/>
                  <w:vAlign w:val="center"/>
                </w:tcPr>
                <w:p w14:paraId="392349FA">
                  <w:pPr>
                    <w:pStyle w:val="26"/>
                    <w:tabs>
                      <w:tab w:val="left" w:pos="2321"/>
                    </w:tabs>
                    <w:overflowPunct w:val="0"/>
                    <w:autoSpaceDE w:val="0"/>
                    <w:spacing w:line="240" w:lineRule="auto"/>
                    <w:jc w:val="left"/>
                    <w:rPr>
                      <w:kern w:val="28"/>
                      <w:sz w:val="21"/>
                      <w:szCs w:val="21"/>
                    </w:rPr>
                  </w:pPr>
                  <w:r>
                    <w:rPr>
                      <w:kern w:val="28"/>
                      <w:sz w:val="21"/>
                      <w:szCs w:val="21"/>
                    </w:rPr>
                    <w:t>全井段施套管保护+水泥固井。</w:t>
                  </w:r>
                </w:p>
              </w:tc>
              <w:tc>
                <w:tcPr>
                  <w:tcW w:w="648" w:type="dxa"/>
                  <w:vAlign w:val="center"/>
                </w:tcPr>
                <w:p w14:paraId="23295A78">
                  <w:pPr>
                    <w:pStyle w:val="26"/>
                    <w:tabs>
                      <w:tab w:val="left" w:pos="2321"/>
                    </w:tabs>
                    <w:overflowPunct w:val="0"/>
                    <w:autoSpaceDE w:val="0"/>
                    <w:spacing w:line="240" w:lineRule="auto"/>
                    <w:rPr>
                      <w:kern w:val="28"/>
                      <w:sz w:val="21"/>
                      <w:szCs w:val="21"/>
                    </w:rPr>
                  </w:pPr>
                  <w:r>
                    <w:rPr>
                      <w:kern w:val="28"/>
                      <w:sz w:val="21"/>
                      <w:szCs w:val="21"/>
                    </w:rPr>
                    <w:t>新建</w:t>
                  </w:r>
                </w:p>
              </w:tc>
              <w:tc>
                <w:tcPr>
                  <w:tcW w:w="1051" w:type="dxa"/>
                  <w:vAlign w:val="center"/>
                </w:tcPr>
                <w:p w14:paraId="672790F2">
                  <w:pPr>
                    <w:jc w:val="center"/>
                    <w:rPr>
                      <w:kern w:val="28"/>
                      <w:szCs w:val="21"/>
                    </w:rPr>
                  </w:pPr>
                  <w:r>
                    <w:rPr>
                      <w:kern w:val="28"/>
                      <w:szCs w:val="21"/>
                    </w:rPr>
                    <w:t>/</w:t>
                  </w:r>
                </w:p>
              </w:tc>
            </w:tr>
            <w:tr w14:paraId="0D3A3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74ADF034">
                  <w:pPr>
                    <w:widowControl/>
                    <w:jc w:val="center"/>
                    <w:rPr>
                      <w:kern w:val="28"/>
                      <w:szCs w:val="21"/>
                    </w:rPr>
                  </w:pPr>
                </w:p>
              </w:tc>
              <w:tc>
                <w:tcPr>
                  <w:tcW w:w="422" w:type="dxa"/>
                  <w:vMerge w:val="restart"/>
                  <w:vAlign w:val="center"/>
                </w:tcPr>
                <w:p w14:paraId="6A0D5278">
                  <w:pPr>
                    <w:jc w:val="center"/>
                    <w:rPr>
                      <w:kern w:val="28"/>
                      <w:szCs w:val="21"/>
                    </w:rPr>
                  </w:pPr>
                  <w:r>
                    <w:rPr>
                      <w:kern w:val="28"/>
                      <w:szCs w:val="21"/>
                    </w:rPr>
                    <w:t>试气工程</w:t>
                  </w:r>
                </w:p>
              </w:tc>
              <w:tc>
                <w:tcPr>
                  <w:tcW w:w="732" w:type="dxa"/>
                  <w:vAlign w:val="center"/>
                </w:tcPr>
                <w:p w14:paraId="147B3DD6">
                  <w:pPr>
                    <w:jc w:val="center"/>
                    <w:rPr>
                      <w:kern w:val="28"/>
                      <w:szCs w:val="21"/>
                    </w:rPr>
                  </w:pPr>
                  <w:r>
                    <w:rPr>
                      <w:kern w:val="28"/>
                      <w:szCs w:val="21"/>
                    </w:rPr>
                    <w:t>储层改造</w:t>
                  </w:r>
                </w:p>
              </w:tc>
              <w:tc>
                <w:tcPr>
                  <w:tcW w:w="4110" w:type="dxa"/>
                  <w:vAlign w:val="center"/>
                </w:tcPr>
                <w:p w14:paraId="46847FC6">
                  <w:pPr>
                    <w:pStyle w:val="26"/>
                    <w:tabs>
                      <w:tab w:val="left" w:pos="2321"/>
                    </w:tabs>
                    <w:overflowPunct w:val="0"/>
                    <w:autoSpaceDE w:val="0"/>
                    <w:spacing w:line="240" w:lineRule="auto"/>
                    <w:jc w:val="left"/>
                    <w:rPr>
                      <w:kern w:val="28"/>
                      <w:sz w:val="21"/>
                      <w:szCs w:val="21"/>
                    </w:rPr>
                  </w:pPr>
                  <w:r>
                    <w:rPr>
                      <w:rFonts w:hint="eastAsia"/>
                      <w:kern w:val="28"/>
                      <w:sz w:val="21"/>
                      <w:szCs w:val="21"/>
                    </w:rPr>
                    <w:t>双庙页1HF井</w:t>
                  </w:r>
                  <w:r>
                    <w:rPr>
                      <w:kern w:val="28"/>
                      <w:sz w:val="21"/>
                      <w:szCs w:val="21"/>
                    </w:rPr>
                    <w:t>采用分段射孔，分段酸化压裂，每段之间采用电缆可钻桥塞分层对压裂段进行分段暂闭；</w:t>
                  </w:r>
                </w:p>
              </w:tc>
              <w:tc>
                <w:tcPr>
                  <w:tcW w:w="648" w:type="dxa"/>
                  <w:vAlign w:val="center"/>
                </w:tcPr>
                <w:p w14:paraId="2E92817E">
                  <w:pPr>
                    <w:pStyle w:val="26"/>
                    <w:tabs>
                      <w:tab w:val="left" w:pos="2321"/>
                    </w:tabs>
                    <w:overflowPunct w:val="0"/>
                    <w:autoSpaceDE w:val="0"/>
                    <w:spacing w:line="240" w:lineRule="auto"/>
                    <w:rPr>
                      <w:kern w:val="28"/>
                      <w:sz w:val="21"/>
                      <w:szCs w:val="21"/>
                    </w:rPr>
                  </w:pPr>
                  <w:r>
                    <w:rPr>
                      <w:kern w:val="28"/>
                      <w:sz w:val="21"/>
                      <w:szCs w:val="21"/>
                    </w:rPr>
                    <w:t>新建</w:t>
                  </w:r>
                </w:p>
              </w:tc>
              <w:tc>
                <w:tcPr>
                  <w:tcW w:w="1051" w:type="dxa"/>
                  <w:vAlign w:val="center"/>
                </w:tcPr>
                <w:p w14:paraId="146F460B">
                  <w:pPr>
                    <w:jc w:val="center"/>
                    <w:rPr>
                      <w:kern w:val="28"/>
                      <w:szCs w:val="21"/>
                    </w:rPr>
                  </w:pPr>
                  <w:r>
                    <w:rPr>
                      <w:kern w:val="28"/>
                      <w:szCs w:val="21"/>
                    </w:rPr>
                    <w:t>/</w:t>
                  </w:r>
                </w:p>
              </w:tc>
            </w:tr>
            <w:tr w14:paraId="587A8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5E3ED1D4">
                  <w:pPr>
                    <w:widowControl/>
                    <w:jc w:val="center"/>
                    <w:rPr>
                      <w:kern w:val="28"/>
                      <w:szCs w:val="21"/>
                    </w:rPr>
                  </w:pPr>
                </w:p>
              </w:tc>
              <w:tc>
                <w:tcPr>
                  <w:tcW w:w="422" w:type="dxa"/>
                  <w:vMerge w:val="continue"/>
                  <w:vAlign w:val="center"/>
                </w:tcPr>
                <w:p w14:paraId="046DA47B">
                  <w:pPr>
                    <w:jc w:val="center"/>
                    <w:rPr>
                      <w:kern w:val="28"/>
                      <w:szCs w:val="21"/>
                    </w:rPr>
                  </w:pPr>
                </w:p>
              </w:tc>
              <w:tc>
                <w:tcPr>
                  <w:tcW w:w="732" w:type="dxa"/>
                  <w:vAlign w:val="center"/>
                </w:tcPr>
                <w:p w14:paraId="40EDC16B">
                  <w:pPr>
                    <w:jc w:val="center"/>
                    <w:rPr>
                      <w:kern w:val="28"/>
                      <w:szCs w:val="21"/>
                    </w:rPr>
                  </w:pPr>
                  <w:r>
                    <w:rPr>
                      <w:kern w:val="28"/>
                      <w:szCs w:val="21"/>
                    </w:rPr>
                    <w:t>试气作业</w:t>
                  </w:r>
                </w:p>
              </w:tc>
              <w:tc>
                <w:tcPr>
                  <w:tcW w:w="4110" w:type="dxa"/>
                  <w:vAlign w:val="center"/>
                </w:tcPr>
                <w:p w14:paraId="105DF70D">
                  <w:pPr>
                    <w:pStyle w:val="26"/>
                    <w:tabs>
                      <w:tab w:val="left" w:pos="2321"/>
                    </w:tabs>
                    <w:overflowPunct w:val="0"/>
                    <w:autoSpaceDE w:val="0"/>
                    <w:spacing w:line="240" w:lineRule="auto"/>
                    <w:jc w:val="left"/>
                    <w:rPr>
                      <w:kern w:val="28"/>
                      <w:sz w:val="21"/>
                      <w:szCs w:val="21"/>
                    </w:rPr>
                  </w:pPr>
                  <w:r>
                    <w:rPr>
                      <w:kern w:val="28"/>
                      <w:sz w:val="21"/>
                      <w:szCs w:val="21"/>
                    </w:rPr>
                    <w:t>对目的层的气量、气性质进行测试。</w:t>
                  </w:r>
                </w:p>
              </w:tc>
              <w:tc>
                <w:tcPr>
                  <w:tcW w:w="648" w:type="dxa"/>
                  <w:vAlign w:val="center"/>
                </w:tcPr>
                <w:p w14:paraId="7B879DC8">
                  <w:pPr>
                    <w:pStyle w:val="26"/>
                    <w:tabs>
                      <w:tab w:val="left" w:pos="2321"/>
                    </w:tabs>
                    <w:overflowPunct w:val="0"/>
                    <w:autoSpaceDE w:val="0"/>
                    <w:spacing w:line="240" w:lineRule="auto"/>
                    <w:rPr>
                      <w:kern w:val="28"/>
                      <w:sz w:val="21"/>
                      <w:szCs w:val="21"/>
                    </w:rPr>
                  </w:pPr>
                  <w:r>
                    <w:rPr>
                      <w:kern w:val="28"/>
                      <w:sz w:val="21"/>
                      <w:szCs w:val="21"/>
                    </w:rPr>
                    <w:t>新建</w:t>
                  </w:r>
                </w:p>
              </w:tc>
              <w:tc>
                <w:tcPr>
                  <w:tcW w:w="1051" w:type="dxa"/>
                  <w:vAlign w:val="center"/>
                </w:tcPr>
                <w:p w14:paraId="354B83E9">
                  <w:pPr>
                    <w:jc w:val="center"/>
                    <w:rPr>
                      <w:kern w:val="28"/>
                      <w:szCs w:val="21"/>
                    </w:rPr>
                  </w:pPr>
                  <w:r>
                    <w:rPr>
                      <w:rFonts w:hint="eastAsia"/>
                      <w:kern w:val="28"/>
                      <w:szCs w:val="21"/>
                    </w:rPr>
                    <w:t>废气</w:t>
                  </w:r>
                </w:p>
              </w:tc>
            </w:tr>
            <w:tr w14:paraId="1D48B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C291888">
                  <w:pPr>
                    <w:widowControl/>
                    <w:jc w:val="center"/>
                    <w:rPr>
                      <w:kern w:val="28"/>
                      <w:szCs w:val="21"/>
                    </w:rPr>
                  </w:pPr>
                </w:p>
              </w:tc>
              <w:tc>
                <w:tcPr>
                  <w:tcW w:w="422" w:type="dxa"/>
                  <w:vMerge w:val="continue"/>
                  <w:vAlign w:val="center"/>
                </w:tcPr>
                <w:p w14:paraId="10A39B33">
                  <w:pPr>
                    <w:jc w:val="center"/>
                    <w:rPr>
                      <w:kern w:val="28"/>
                      <w:szCs w:val="21"/>
                    </w:rPr>
                  </w:pPr>
                </w:p>
              </w:tc>
              <w:tc>
                <w:tcPr>
                  <w:tcW w:w="732" w:type="dxa"/>
                  <w:vAlign w:val="center"/>
                </w:tcPr>
                <w:p w14:paraId="0A5D2E4C">
                  <w:pPr>
                    <w:jc w:val="center"/>
                    <w:rPr>
                      <w:kern w:val="28"/>
                      <w:szCs w:val="21"/>
                    </w:rPr>
                  </w:pPr>
                  <w:r>
                    <w:rPr>
                      <w:kern w:val="28"/>
                      <w:szCs w:val="21"/>
                    </w:rPr>
                    <w:t>设备搬迁</w:t>
                  </w:r>
                </w:p>
              </w:tc>
              <w:tc>
                <w:tcPr>
                  <w:tcW w:w="4110" w:type="dxa"/>
                  <w:vAlign w:val="center"/>
                </w:tcPr>
                <w:p w14:paraId="4B682743">
                  <w:pPr>
                    <w:pStyle w:val="26"/>
                    <w:tabs>
                      <w:tab w:val="left" w:pos="2321"/>
                    </w:tabs>
                    <w:overflowPunct w:val="0"/>
                    <w:autoSpaceDE w:val="0"/>
                    <w:spacing w:line="240" w:lineRule="auto"/>
                    <w:jc w:val="left"/>
                    <w:rPr>
                      <w:kern w:val="28"/>
                      <w:sz w:val="21"/>
                      <w:szCs w:val="21"/>
                    </w:rPr>
                  </w:pPr>
                  <w:r>
                    <w:rPr>
                      <w:kern w:val="28"/>
                      <w:sz w:val="21"/>
                      <w:szCs w:val="21"/>
                    </w:rPr>
                    <w:t>测试结束后，井队撤离现场，井场内设施设备搬迁，按井场占地类型进行迹地恢复。</w:t>
                  </w:r>
                </w:p>
              </w:tc>
              <w:tc>
                <w:tcPr>
                  <w:tcW w:w="648" w:type="dxa"/>
                  <w:vAlign w:val="center"/>
                </w:tcPr>
                <w:p w14:paraId="2A4E0C5E">
                  <w:pPr>
                    <w:pStyle w:val="26"/>
                    <w:tabs>
                      <w:tab w:val="left" w:pos="2321"/>
                    </w:tabs>
                    <w:overflowPunct w:val="0"/>
                    <w:autoSpaceDE w:val="0"/>
                    <w:spacing w:line="240" w:lineRule="auto"/>
                    <w:rPr>
                      <w:kern w:val="28"/>
                      <w:sz w:val="21"/>
                      <w:szCs w:val="21"/>
                    </w:rPr>
                  </w:pPr>
                  <w:r>
                    <w:rPr>
                      <w:kern w:val="28"/>
                      <w:sz w:val="21"/>
                      <w:szCs w:val="21"/>
                    </w:rPr>
                    <w:t>/</w:t>
                  </w:r>
                </w:p>
              </w:tc>
              <w:tc>
                <w:tcPr>
                  <w:tcW w:w="1051" w:type="dxa"/>
                  <w:vAlign w:val="center"/>
                </w:tcPr>
                <w:p w14:paraId="4626D62D">
                  <w:pPr>
                    <w:jc w:val="center"/>
                    <w:rPr>
                      <w:kern w:val="28"/>
                      <w:szCs w:val="21"/>
                    </w:rPr>
                  </w:pPr>
                  <w:r>
                    <w:rPr>
                      <w:kern w:val="28"/>
                      <w:szCs w:val="21"/>
                    </w:rPr>
                    <w:t>/</w:t>
                  </w:r>
                </w:p>
              </w:tc>
            </w:tr>
            <w:tr w14:paraId="3DD79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14:paraId="234B37F1">
                  <w:pPr>
                    <w:jc w:val="center"/>
                    <w:rPr>
                      <w:kern w:val="28"/>
                      <w:szCs w:val="21"/>
                    </w:rPr>
                  </w:pPr>
                  <w:r>
                    <w:rPr>
                      <w:kern w:val="28"/>
                      <w:szCs w:val="21"/>
                    </w:rPr>
                    <w:t>临时工程</w:t>
                  </w:r>
                </w:p>
              </w:tc>
              <w:tc>
                <w:tcPr>
                  <w:tcW w:w="1154" w:type="dxa"/>
                  <w:gridSpan w:val="2"/>
                  <w:vAlign w:val="center"/>
                </w:tcPr>
                <w:p w14:paraId="76E8B88B">
                  <w:pPr>
                    <w:jc w:val="center"/>
                    <w:rPr>
                      <w:kern w:val="0"/>
                      <w:szCs w:val="21"/>
                    </w:rPr>
                  </w:pPr>
                  <w:r>
                    <w:rPr>
                      <w:kern w:val="0"/>
                      <w:szCs w:val="21"/>
                    </w:rPr>
                    <w:t>循环罐基础</w:t>
                  </w:r>
                </w:p>
              </w:tc>
              <w:tc>
                <w:tcPr>
                  <w:tcW w:w="4110" w:type="dxa"/>
                  <w:vAlign w:val="center"/>
                </w:tcPr>
                <w:p w14:paraId="7659AB55">
                  <w:pPr>
                    <w:jc w:val="left"/>
                    <w:rPr>
                      <w:kern w:val="0"/>
                      <w:szCs w:val="21"/>
                    </w:rPr>
                  </w:pPr>
                  <w:r>
                    <w:rPr>
                      <w:rFonts w:hint="eastAsia"/>
                      <w:kern w:val="0"/>
                      <w:szCs w:val="21"/>
                    </w:rPr>
                    <w:t>平台设置</w:t>
                  </w:r>
                  <w:r>
                    <w:rPr>
                      <w:kern w:val="0"/>
                      <w:szCs w:val="21"/>
                    </w:rPr>
                    <w:t>1套泥浆循环系统，含振动筛、除砂器、离心机、液气分离器、除泥除砂一体机、除气器等装置及循环罐组成。</w:t>
                  </w:r>
                </w:p>
              </w:tc>
              <w:tc>
                <w:tcPr>
                  <w:tcW w:w="648" w:type="dxa"/>
                  <w:vAlign w:val="center"/>
                </w:tcPr>
                <w:p w14:paraId="0F4FC97F">
                  <w:pPr>
                    <w:rPr>
                      <w:kern w:val="0"/>
                      <w:szCs w:val="21"/>
                    </w:rPr>
                  </w:pPr>
                  <w:r>
                    <w:rPr>
                      <w:kern w:val="0"/>
                      <w:szCs w:val="21"/>
                    </w:rPr>
                    <w:t>新建</w:t>
                  </w:r>
                </w:p>
              </w:tc>
              <w:tc>
                <w:tcPr>
                  <w:tcW w:w="1051" w:type="dxa"/>
                  <w:vAlign w:val="center"/>
                </w:tcPr>
                <w:p w14:paraId="03B2E557">
                  <w:pPr>
                    <w:jc w:val="center"/>
                    <w:rPr>
                      <w:kern w:val="28"/>
                      <w:szCs w:val="21"/>
                    </w:rPr>
                  </w:pPr>
                  <w:r>
                    <w:rPr>
                      <w:kern w:val="28"/>
                      <w:szCs w:val="21"/>
                    </w:rPr>
                    <w:t>污染土壤、地下水</w:t>
                  </w:r>
                  <w:r>
                    <w:rPr>
                      <w:rFonts w:hint="eastAsia"/>
                      <w:kern w:val="28"/>
                      <w:szCs w:val="21"/>
                    </w:rPr>
                    <w:t>环境</w:t>
                  </w:r>
                </w:p>
              </w:tc>
            </w:tr>
            <w:tr w14:paraId="197D2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5532B83">
                  <w:pPr>
                    <w:jc w:val="center"/>
                    <w:rPr>
                      <w:kern w:val="28"/>
                      <w:szCs w:val="21"/>
                    </w:rPr>
                  </w:pPr>
                </w:p>
              </w:tc>
              <w:tc>
                <w:tcPr>
                  <w:tcW w:w="1154" w:type="dxa"/>
                  <w:gridSpan w:val="2"/>
                  <w:vMerge w:val="restart"/>
                  <w:vAlign w:val="center"/>
                </w:tcPr>
                <w:p w14:paraId="56F9E69A">
                  <w:pPr>
                    <w:jc w:val="center"/>
                    <w:rPr>
                      <w:kern w:val="28"/>
                      <w:szCs w:val="21"/>
                    </w:rPr>
                  </w:pPr>
                  <w:r>
                    <w:rPr>
                      <w:kern w:val="28"/>
                      <w:szCs w:val="21"/>
                    </w:rPr>
                    <w:t>泥浆不落地平台基础</w:t>
                  </w:r>
                </w:p>
              </w:tc>
              <w:tc>
                <w:tcPr>
                  <w:tcW w:w="4110" w:type="dxa"/>
                  <w:vAlign w:val="center"/>
                </w:tcPr>
                <w:p w14:paraId="4D64E337">
                  <w:pPr>
                    <w:jc w:val="left"/>
                    <w:rPr>
                      <w:kern w:val="0"/>
                      <w:szCs w:val="21"/>
                    </w:rPr>
                  </w:pPr>
                  <w:r>
                    <w:rPr>
                      <w:rFonts w:hint="eastAsia"/>
                      <w:kern w:val="0"/>
                      <w:szCs w:val="21"/>
                    </w:rPr>
                    <w:t>包含</w:t>
                  </w:r>
                  <w:r>
                    <w:rPr>
                      <w:kern w:val="0"/>
                      <w:szCs w:val="21"/>
                    </w:rPr>
                    <w:t>50m</w:t>
                  </w:r>
                  <w:r>
                    <w:rPr>
                      <w:kern w:val="0"/>
                      <w:szCs w:val="21"/>
                      <w:vertAlign w:val="superscript"/>
                    </w:rPr>
                    <w:t>3</w:t>
                  </w:r>
                  <w:r>
                    <w:rPr>
                      <w:kern w:val="0"/>
                      <w:szCs w:val="21"/>
                    </w:rPr>
                    <w:t>废水罐4个（</w:t>
                  </w:r>
                  <w:r>
                    <w:rPr>
                      <w:rFonts w:hint="eastAsia"/>
                      <w:kern w:val="0"/>
                      <w:szCs w:val="21"/>
                    </w:rPr>
                    <w:t>其中</w:t>
                  </w:r>
                  <w:r>
                    <w:rPr>
                      <w:kern w:val="0"/>
                      <w:szCs w:val="21"/>
                    </w:rPr>
                    <w:t>1个隔油罐、2个沉淀罐、1个回用罐）。</w:t>
                  </w:r>
                </w:p>
              </w:tc>
              <w:tc>
                <w:tcPr>
                  <w:tcW w:w="648" w:type="dxa"/>
                  <w:vAlign w:val="center"/>
                </w:tcPr>
                <w:p w14:paraId="29287F75">
                  <w:pPr>
                    <w:jc w:val="left"/>
                    <w:rPr>
                      <w:kern w:val="0"/>
                      <w:szCs w:val="21"/>
                    </w:rPr>
                  </w:pPr>
                  <w:r>
                    <w:rPr>
                      <w:kern w:val="0"/>
                      <w:szCs w:val="21"/>
                    </w:rPr>
                    <w:t>新建</w:t>
                  </w:r>
                </w:p>
              </w:tc>
              <w:tc>
                <w:tcPr>
                  <w:tcW w:w="1051" w:type="dxa"/>
                  <w:vMerge w:val="restart"/>
                  <w:vAlign w:val="center"/>
                </w:tcPr>
                <w:p w14:paraId="01E24C76">
                  <w:pPr>
                    <w:jc w:val="center"/>
                    <w:rPr>
                      <w:kern w:val="0"/>
                      <w:szCs w:val="21"/>
                    </w:rPr>
                  </w:pPr>
                  <w:r>
                    <w:rPr>
                      <w:kern w:val="0"/>
                      <w:szCs w:val="21"/>
                    </w:rPr>
                    <w:t>泄漏污染土壤、地下水</w:t>
                  </w:r>
                </w:p>
              </w:tc>
            </w:tr>
            <w:tr w14:paraId="5BEE9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0B40E1D3">
                  <w:pPr>
                    <w:jc w:val="center"/>
                    <w:rPr>
                      <w:kern w:val="28"/>
                      <w:szCs w:val="21"/>
                    </w:rPr>
                  </w:pPr>
                </w:p>
              </w:tc>
              <w:tc>
                <w:tcPr>
                  <w:tcW w:w="1154" w:type="dxa"/>
                  <w:gridSpan w:val="2"/>
                  <w:vMerge w:val="continue"/>
                  <w:vAlign w:val="center"/>
                </w:tcPr>
                <w:p w14:paraId="43DAA28E">
                  <w:pPr>
                    <w:widowControl/>
                    <w:jc w:val="center"/>
                    <w:rPr>
                      <w:kern w:val="28"/>
                      <w:szCs w:val="21"/>
                    </w:rPr>
                  </w:pPr>
                </w:p>
              </w:tc>
              <w:tc>
                <w:tcPr>
                  <w:tcW w:w="4110" w:type="dxa"/>
                  <w:vAlign w:val="center"/>
                </w:tcPr>
                <w:p w14:paraId="2E3FADBC">
                  <w:pPr>
                    <w:jc w:val="left"/>
                    <w:rPr>
                      <w:kern w:val="0"/>
                      <w:szCs w:val="21"/>
                    </w:rPr>
                  </w:pPr>
                  <w:r>
                    <w:rPr>
                      <w:kern w:val="0"/>
                      <w:szCs w:val="21"/>
                    </w:rPr>
                    <w:t>40m</w:t>
                  </w:r>
                  <w:r>
                    <w:rPr>
                      <w:kern w:val="0"/>
                      <w:szCs w:val="21"/>
                      <w:vertAlign w:val="superscript"/>
                    </w:rPr>
                    <w:t>3</w:t>
                  </w:r>
                  <w:r>
                    <w:rPr>
                      <w:kern w:val="0"/>
                      <w:szCs w:val="21"/>
                    </w:rPr>
                    <w:t>岩屑收集罐4个，脱稳罐2个，其中1个可用作应急暂存罐</w:t>
                  </w:r>
                </w:p>
              </w:tc>
              <w:tc>
                <w:tcPr>
                  <w:tcW w:w="648" w:type="dxa"/>
                  <w:vAlign w:val="center"/>
                </w:tcPr>
                <w:p w14:paraId="54519940">
                  <w:pPr>
                    <w:jc w:val="left"/>
                    <w:rPr>
                      <w:kern w:val="0"/>
                      <w:szCs w:val="21"/>
                    </w:rPr>
                  </w:pPr>
                  <w:r>
                    <w:rPr>
                      <w:kern w:val="0"/>
                      <w:szCs w:val="21"/>
                    </w:rPr>
                    <w:t>新建</w:t>
                  </w:r>
                </w:p>
              </w:tc>
              <w:tc>
                <w:tcPr>
                  <w:tcW w:w="1051" w:type="dxa"/>
                  <w:vMerge w:val="continue"/>
                  <w:vAlign w:val="center"/>
                </w:tcPr>
                <w:p w14:paraId="78042344">
                  <w:pPr>
                    <w:widowControl/>
                    <w:jc w:val="center"/>
                    <w:rPr>
                      <w:kern w:val="0"/>
                      <w:szCs w:val="21"/>
                    </w:rPr>
                  </w:pPr>
                </w:p>
              </w:tc>
            </w:tr>
            <w:tr w14:paraId="193EADD3">
              <w:tblPrEx>
                <w:tblCellMar>
                  <w:top w:w="0" w:type="dxa"/>
                  <w:left w:w="108" w:type="dxa"/>
                  <w:bottom w:w="0" w:type="dxa"/>
                  <w:right w:w="108" w:type="dxa"/>
                </w:tblCellMar>
              </w:tblPrEx>
              <w:trPr>
                <w:trHeight w:val="369" w:hRule="atLeast"/>
                <w:jc w:val="center"/>
              </w:trPr>
              <w:tc>
                <w:tcPr>
                  <w:tcW w:w="498" w:type="dxa"/>
                  <w:vMerge w:val="continue"/>
                  <w:vAlign w:val="center"/>
                </w:tcPr>
                <w:p w14:paraId="4D9F9289">
                  <w:pPr>
                    <w:jc w:val="center"/>
                    <w:rPr>
                      <w:kern w:val="28"/>
                      <w:szCs w:val="21"/>
                    </w:rPr>
                  </w:pPr>
                </w:p>
              </w:tc>
              <w:tc>
                <w:tcPr>
                  <w:tcW w:w="1154" w:type="dxa"/>
                  <w:gridSpan w:val="2"/>
                  <w:vMerge w:val="continue"/>
                  <w:vAlign w:val="center"/>
                </w:tcPr>
                <w:p w14:paraId="0D1CC517">
                  <w:pPr>
                    <w:widowControl/>
                    <w:jc w:val="center"/>
                    <w:rPr>
                      <w:kern w:val="28"/>
                      <w:szCs w:val="21"/>
                    </w:rPr>
                  </w:pPr>
                </w:p>
              </w:tc>
              <w:tc>
                <w:tcPr>
                  <w:tcW w:w="4110" w:type="dxa"/>
                  <w:vAlign w:val="center"/>
                </w:tcPr>
                <w:p w14:paraId="5213BA0C">
                  <w:pPr>
                    <w:jc w:val="left"/>
                    <w:rPr>
                      <w:kern w:val="0"/>
                      <w:szCs w:val="21"/>
                    </w:rPr>
                  </w:pPr>
                  <w:r>
                    <w:rPr>
                      <w:rFonts w:hint="eastAsia"/>
                      <w:kern w:val="0"/>
                      <w:szCs w:val="21"/>
                    </w:rPr>
                    <w:t>泥浆储备罐6</w:t>
                  </w:r>
                  <w:r>
                    <w:rPr>
                      <w:kern w:val="0"/>
                      <w:szCs w:val="21"/>
                    </w:rPr>
                    <w:t>个，每个容积</w:t>
                  </w:r>
                  <w:r>
                    <w:rPr>
                      <w:rFonts w:hint="eastAsia"/>
                      <w:kern w:val="0"/>
                      <w:szCs w:val="21"/>
                    </w:rPr>
                    <w:t>2</w:t>
                  </w:r>
                  <w:r>
                    <w:rPr>
                      <w:kern w:val="0"/>
                      <w:szCs w:val="21"/>
                    </w:rPr>
                    <w:t>0m</w:t>
                  </w:r>
                  <w:r>
                    <w:rPr>
                      <w:kern w:val="0"/>
                      <w:szCs w:val="21"/>
                      <w:vertAlign w:val="superscript"/>
                    </w:rPr>
                    <w:t>3</w:t>
                  </w:r>
                  <w:r>
                    <w:rPr>
                      <w:kern w:val="0"/>
                      <w:szCs w:val="21"/>
                    </w:rPr>
                    <w:t>。总容积为120m</w:t>
                  </w:r>
                  <w:r>
                    <w:rPr>
                      <w:kern w:val="0"/>
                      <w:szCs w:val="21"/>
                      <w:vertAlign w:val="superscript"/>
                    </w:rPr>
                    <w:t>3</w:t>
                  </w:r>
                  <w:r>
                    <w:rPr>
                      <w:rFonts w:hint="eastAsia"/>
                      <w:kern w:val="0"/>
                      <w:szCs w:val="21"/>
                    </w:rPr>
                    <w:t>。</w:t>
                  </w:r>
                </w:p>
              </w:tc>
              <w:tc>
                <w:tcPr>
                  <w:tcW w:w="648" w:type="dxa"/>
                  <w:vAlign w:val="center"/>
                </w:tcPr>
                <w:p w14:paraId="388356CC">
                  <w:pPr>
                    <w:jc w:val="left"/>
                    <w:rPr>
                      <w:kern w:val="0"/>
                      <w:szCs w:val="21"/>
                    </w:rPr>
                  </w:pPr>
                </w:p>
              </w:tc>
              <w:tc>
                <w:tcPr>
                  <w:tcW w:w="1051" w:type="dxa"/>
                  <w:vMerge w:val="continue"/>
                  <w:vAlign w:val="center"/>
                </w:tcPr>
                <w:p w14:paraId="4E3102FD">
                  <w:pPr>
                    <w:widowControl/>
                    <w:jc w:val="center"/>
                    <w:rPr>
                      <w:kern w:val="0"/>
                      <w:szCs w:val="21"/>
                    </w:rPr>
                  </w:pPr>
                </w:p>
              </w:tc>
            </w:tr>
            <w:tr w14:paraId="32C9A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0627BE7C">
                  <w:pPr>
                    <w:jc w:val="center"/>
                    <w:rPr>
                      <w:kern w:val="28"/>
                      <w:szCs w:val="21"/>
                    </w:rPr>
                  </w:pPr>
                </w:p>
              </w:tc>
              <w:tc>
                <w:tcPr>
                  <w:tcW w:w="1154" w:type="dxa"/>
                  <w:gridSpan w:val="2"/>
                  <w:vMerge w:val="continue"/>
                  <w:vAlign w:val="center"/>
                </w:tcPr>
                <w:p w14:paraId="62507EE9">
                  <w:pPr>
                    <w:widowControl/>
                    <w:jc w:val="center"/>
                    <w:rPr>
                      <w:kern w:val="28"/>
                      <w:szCs w:val="21"/>
                    </w:rPr>
                  </w:pPr>
                </w:p>
              </w:tc>
              <w:tc>
                <w:tcPr>
                  <w:tcW w:w="4110" w:type="dxa"/>
                  <w:vAlign w:val="center"/>
                </w:tcPr>
                <w:p w14:paraId="4729DDC6">
                  <w:pPr>
                    <w:jc w:val="left"/>
                    <w:rPr>
                      <w:kern w:val="0"/>
                      <w:szCs w:val="21"/>
                    </w:rPr>
                  </w:pPr>
                  <w:r>
                    <w:rPr>
                      <w:kern w:val="0"/>
                      <w:szCs w:val="21"/>
                    </w:rPr>
                    <w:t>化学品存放区：固化材料堆放棚（位于材料区），</w:t>
                  </w:r>
                  <w:r>
                    <w:rPr>
                      <w:szCs w:val="21"/>
                    </w:rPr>
                    <w:t>主要摆放固化材料、水处理药剂等。</w:t>
                  </w:r>
                </w:p>
              </w:tc>
              <w:tc>
                <w:tcPr>
                  <w:tcW w:w="648" w:type="dxa"/>
                  <w:vAlign w:val="center"/>
                </w:tcPr>
                <w:p w14:paraId="779FB6BC">
                  <w:pPr>
                    <w:jc w:val="left"/>
                    <w:rPr>
                      <w:kern w:val="0"/>
                      <w:szCs w:val="21"/>
                    </w:rPr>
                  </w:pPr>
                  <w:r>
                    <w:rPr>
                      <w:kern w:val="0"/>
                      <w:szCs w:val="21"/>
                    </w:rPr>
                    <w:t>新建</w:t>
                  </w:r>
                </w:p>
              </w:tc>
              <w:tc>
                <w:tcPr>
                  <w:tcW w:w="1051" w:type="dxa"/>
                  <w:vMerge w:val="continue"/>
                  <w:vAlign w:val="center"/>
                </w:tcPr>
                <w:p w14:paraId="74045D8C">
                  <w:pPr>
                    <w:widowControl/>
                    <w:jc w:val="center"/>
                    <w:rPr>
                      <w:kern w:val="0"/>
                      <w:szCs w:val="21"/>
                    </w:rPr>
                  </w:pPr>
                </w:p>
              </w:tc>
            </w:tr>
            <w:tr w14:paraId="696FB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78FD562A">
                  <w:pPr>
                    <w:widowControl/>
                    <w:jc w:val="center"/>
                    <w:rPr>
                      <w:kern w:val="28"/>
                      <w:szCs w:val="21"/>
                    </w:rPr>
                  </w:pPr>
                </w:p>
              </w:tc>
              <w:tc>
                <w:tcPr>
                  <w:tcW w:w="1154" w:type="dxa"/>
                  <w:gridSpan w:val="2"/>
                  <w:vAlign w:val="center"/>
                </w:tcPr>
                <w:p w14:paraId="0AB2A269">
                  <w:pPr>
                    <w:jc w:val="center"/>
                    <w:rPr>
                      <w:kern w:val="0"/>
                      <w:szCs w:val="21"/>
                    </w:rPr>
                  </w:pPr>
                  <w:r>
                    <w:rPr>
                      <w:kern w:val="0"/>
                      <w:szCs w:val="21"/>
                    </w:rPr>
                    <w:t>放喷点火系统</w:t>
                  </w:r>
                </w:p>
              </w:tc>
              <w:tc>
                <w:tcPr>
                  <w:tcW w:w="4110" w:type="dxa"/>
                  <w:vAlign w:val="center"/>
                </w:tcPr>
                <w:p w14:paraId="0803DB09">
                  <w:pPr>
                    <w:jc w:val="left"/>
                    <w:rPr>
                      <w:kern w:val="0"/>
                      <w:szCs w:val="21"/>
                    </w:rPr>
                  </w:pPr>
                  <w:r>
                    <w:rPr>
                      <w:kern w:val="0"/>
                      <w:szCs w:val="21"/>
                    </w:rPr>
                    <w:t>配备自动、手动点火装置各1套。</w:t>
                  </w:r>
                </w:p>
              </w:tc>
              <w:tc>
                <w:tcPr>
                  <w:tcW w:w="648" w:type="dxa"/>
                  <w:vAlign w:val="center"/>
                </w:tcPr>
                <w:p w14:paraId="59ACF289">
                  <w:pPr>
                    <w:rPr>
                      <w:kern w:val="0"/>
                      <w:szCs w:val="21"/>
                    </w:rPr>
                  </w:pPr>
                  <w:r>
                    <w:rPr>
                      <w:kern w:val="0"/>
                      <w:szCs w:val="21"/>
                    </w:rPr>
                    <w:t>新建</w:t>
                  </w:r>
                </w:p>
              </w:tc>
              <w:tc>
                <w:tcPr>
                  <w:tcW w:w="1051" w:type="dxa"/>
                  <w:vAlign w:val="center"/>
                </w:tcPr>
                <w:p w14:paraId="5D780F1B">
                  <w:pPr>
                    <w:jc w:val="center"/>
                    <w:rPr>
                      <w:kern w:val="28"/>
                      <w:szCs w:val="21"/>
                    </w:rPr>
                  </w:pPr>
                  <w:r>
                    <w:rPr>
                      <w:kern w:val="28"/>
                      <w:szCs w:val="21"/>
                    </w:rPr>
                    <w:t>/</w:t>
                  </w:r>
                </w:p>
              </w:tc>
            </w:tr>
            <w:tr w14:paraId="729A6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5A175BF5">
                  <w:pPr>
                    <w:widowControl/>
                    <w:jc w:val="center"/>
                    <w:rPr>
                      <w:kern w:val="28"/>
                      <w:szCs w:val="21"/>
                    </w:rPr>
                  </w:pPr>
                </w:p>
              </w:tc>
              <w:tc>
                <w:tcPr>
                  <w:tcW w:w="1154" w:type="dxa"/>
                  <w:gridSpan w:val="2"/>
                  <w:vAlign w:val="center"/>
                </w:tcPr>
                <w:p w14:paraId="6B6B4911">
                  <w:pPr>
                    <w:jc w:val="center"/>
                    <w:rPr>
                      <w:szCs w:val="21"/>
                      <w:lang w:bidi="ar"/>
                    </w:rPr>
                  </w:pPr>
                  <w:r>
                    <w:rPr>
                      <w:kern w:val="0"/>
                      <w:szCs w:val="21"/>
                      <w:lang w:bidi="ar"/>
                    </w:rPr>
                    <w:t>生活垃圾箱</w:t>
                  </w:r>
                </w:p>
              </w:tc>
              <w:tc>
                <w:tcPr>
                  <w:tcW w:w="4110" w:type="dxa"/>
                  <w:vAlign w:val="center"/>
                </w:tcPr>
                <w:p w14:paraId="5D6C81EA">
                  <w:pPr>
                    <w:jc w:val="left"/>
                    <w:rPr>
                      <w:kern w:val="0"/>
                      <w:szCs w:val="21"/>
                    </w:rPr>
                  </w:pPr>
                  <w:r>
                    <w:rPr>
                      <w:szCs w:val="21"/>
                      <w:lang w:bidi="ar"/>
                    </w:rPr>
                    <w:t>井场区域和生活区各设1个。</w:t>
                  </w:r>
                </w:p>
              </w:tc>
              <w:tc>
                <w:tcPr>
                  <w:tcW w:w="648" w:type="dxa"/>
                  <w:vAlign w:val="center"/>
                </w:tcPr>
                <w:p w14:paraId="38FA42CC">
                  <w:pPr>
                    <w:rPr>
                      <w:szCs w:val="21"/>
                      <w:lang w:bidi="ar"/>
                    </w:rPr>
                  </w:pPr>
                  <w:r>
                    <w:rPr>
                      <w:szCs w:val="21"/>
                      <w:lang w:bidi="ar"/>
                    </w:rPr>
                    <w:t>新建</w:t>
                  </w:r>
                </w:p>
              </w:tc>
              <w:tc>
                <w:tcPr>
                  <w:tcW w:w="1051" w:type="dxa"/>
                  <w:vMerge w:val="restart"/>
                  <w:vAlign w:val="center"/>
                </w:tcPr>
                <w:p w14:paraId="67F5CB35">
                  <w:pPr>
                    <w:jc w:val="center"/>
                    <w:rPr>
                      <w:kern w:val="0"/>
                      <w:szCs w:val="21"/>
                    </w:rPr>
                  </w:pPr>
                  <w:r>
                    <w:rPr>
                      <w:kern w:val="0"/>
                      <w:szCs w:val="21"/>
                    </w:rPr>
                    <w:t>渗漏污染土壤、地下水环境。</w:t>
                  </w:r>
                </w:p>
              </w:tc>
            </w:tr>
            <w:tr w14:paraId="57B1D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846B517">
                  <w:pPr>
                    <w:widowControl/>
                    <w:jc w:val="center"/>
                    <w:rPr>
                      <w:kern w:val="28"/>
                      <w:szCs w:val="21"/>
                    </w:rPr>
                  </w:pPr>
                </w:p>
              </w:tc>
              <w:tc>
                <w:tcPr>
                  <w:tcW w:w="1154" w:type="dxa"/>
                  <w:gridSpan w:val="2"/>
                  <w:vAlign w:val="center"/>
                </w:tcPr>
                <w:p w14:paraId="7935EF18">
                  <w:pPr>
                    <w:widowControl/>
                    <w:jc w:val="center"/>
                    <w:rPr>
                      <w:kern w:val="0"/>
                      <w:szCs w:val="21"/>
                      <w:lang w:bidi="ar"/>
                    </w:rPr>
                  </w:pPr>
                  <w:r>
                    <w:rPr>
                      <w:kern w:val="0"/>
                      <w:szCs w:val="21"/>
                      <w:lang w:bidi="ar"/>
                    </w:rPr>
                    <w:t>生活区隔油池</w:t>
                  </w:r>
                </w:p>
              </w:tc>
              <w:tc>
                <w:tcPr>
                  <w:tcW w:w="4110" w:type="dxa"/>
                  <w:vAlign w:val="center"/>
                </w:tcPr>
                <w:p w14:paraId="1D51E35D">
                  <w:pPr>
                    <w:jc w:val="left"/>
                    <w:rPr>
                      <w:szCs w:val="21"/>
                      <w:lang w:bidi="ar"/>
                    </w:rPr>
                  </w:pPr>
                  <w:r>
                    <w:rPr>
                      <w:kern w:val="0"/>
                      <w:szCs w:val="21"/>
                    </w:rPr>
                    <w:t>厨房废水经污水隔油池处理后同生活污水处置。</w:t>
                  </w:r>
                </w:p>
              </w:tc>
              <w:tc>
                <w:tcPr>
                  <w:tcW w:w="648" w:type="dxa"/>
                  <w:vAlign w:val="center"/>
                </w:tcPr>
                <w:p w14:paraId="1BEB8090">
                  <w:pPr>
                    <w:rPr>
                      <w:kern w:val="0"/>
                      <w:szCs w:val="21"/>
                    </w:rPr>
                  </w:pPr>
                  <w:r>
                    <w:rPr>
                      <w:kern w:val="0"/>
                      <w:szCs w:val="21"/>
                    </w:rPr>
                    <w:t>新建</w:t>
                  </w:r>
                </w:p>
              </w:tc>
              <w:tc>
                <w:tcPr>
                  <w:tcW w:w="1051" w:type="dxa"/>
                  <w:vMerge w:val="continue"/>
                  <w:vAlign w:val="center"/>
                </w:tcPr>
                <w:p w14:paraId="03F5A442">
                  <w:pPr>
                    <w:jc w:val="center"/>
                    <w:rPr>
                      <w:kern w:val="0"/>
                      <w:szCs w:val="21"/>
                    </w:rPr>
                  </w:pPr>
                </w:p>
              </w:tc>
            </w:tr>
            <w:tr w14:paraId="5F7D6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Align w:val="center"/>
                </w:tcPr>
                <w:p w14:paraId="0332B778">
                  <w:pPr>
                    <w:widowControl/>
                    <w:jc w:val="center"/>
                    <w:rPr>
                      <w:rFonts w:hint="eastAsia" w:eastAsia="宋体"/>
                      <w:kern w:val="28"/>
                      <w:szCs w:val="21"/>
                      <w:lang w:val="en-US" w:eastAsia="zh-CN"/>
                    </w:rPr>
                  </w:pPr>
                  <w:r>
                    <w:rPr>
                      <w:kern w:val="28"/>
                      <w:szCs w:val="21"/>
                    </w:rPr>
                    <w:t>办公及生活</w:t>
                  </w:r>
                  <w:r>
                    <w:rPr>
                      <w:rFonts w:hint="eastAsia"/>
                      <w:kern w:val="28"/>
                      <w:szCs w:val="21"/>
                      <w:lang w:val="en-US" w:eastAsia="zh-CN"/>
                    </w:rPr>
                    <w:t xml:space="preserve"> </w:t>
                  </w:r>
                </w:p>
              </w:tc>
              <w:tc>
                <w:tcPr>
                  <w:tcW w:w="1154" w:type="dxa"/>
                  <w:gridSpan w:val="2"/>
                  <w:vAlign w:val="center"/>
                </w:tcPr>
                <w:p w14:paraId="76DC19A1">
                  <w:pPr>
                    <w:widowControl/>
                    <w:jc w:val="center"/>
                    <w:rPr>
                      <w:kern w:val="0"/>
                      <w:szCs w:val="21"/>
                      <w:lang w:bidi="ar"/>
                    </w:rPr>
                  </w:pPr>
                  <w:r>
                    <w:rPr>
                      <w:kern w:val="28"/>
                      <w:szCs w:val="21"/>
                    </w:rPr>
                    <w:t>生活区活动板房</w:t>
                  </w:r>
                  <w:r>
                    <w:rPr>
                      <w:rFonts w:hint="eastAsia"/>
                      <w:kern w:val="28"/>
                      <w:szCs w:val="21"/>
                    </w:rPr>
                    <w:t xml:space="preserve"> </w:t>
                  </w:r>
                </w:p>
              </w:tc>
              <w:tc>
                <w:tcPr>
                  <w:tcW w:w="4110" w:type="dxa"/>
                  <w:vAlign w:val="center"/>
                </w:tcPr>
                <w:p w14:paraId="5531268B">
                  <w:pPr>
                    <w:jc w:val="left"/>
                    <w:rPr>
                      <w:kern w:val="0"/>
                      <w:szCs w:val="21"/>
                    </w:rPr>
                  </w:pPr>
                  <w:r>
                    <w:rPr>
                      <w:szCs w:val="21"/>
                    </w:rPr>
                    <w:t>板房现场吊装。共新建1套生活区，占地面积为1400m</w:t>
                  </w:r>
                  <w:r>
                    <w:rPr>
                      <w:szCs w:val="21"/>
                      <w:vertAlign w:val="superscript"/>
                    </w:rPr>
                    <w:t>2</w:t>
                  </w:r>
                  <w:r>
                    <w:rPr>
                      <w:szCs w:val="21"/>
                    </w:rPr>
                    <w:t>，位于井场</w:t>
                  </w:r>
                  <w:r>
                    <w:rPr>
                      <w:rFonts w:hint="eastAsia"/>
                      <w:szCs w:val="21"/>
                    </w:rPr>
                    <w:t>南</w:t>
                  </w:r>
                  <w:r>
                    <w:rPr>
                      <w:szCs w:val="21"/>
                    </w:rPr>
                    <w:t>侧，生活区设置1座生态一体化厕所。</w:t>
                  </w:r>
                </w:p>
              </w:tc>
              <w:tc>
                <w:tcPr>
                  <w:tcW w:w="648" w:type="dxa"/>
                  <w:vAlign w:val="center"/>
                </w:tcPr>
                <w:p w14:paraId="5E12A219">
                  <w:pPr>
                    <w:rPr>
                      <w:szCs w:val="21"/>
                    </w:rPr>
                  </w:pPr>
                  <w:r>
                    <w:rPr>
                      <w:szCs w:val="21"/>
                    </w:rPr>
                    <w:t>新建</w:t>
                  </w:r>
                </w:p>
              </w:tc>
              <w:tc>
                <w:tcPr>
                  <w:tcW w:w="1051" w:type="dxa"/>
                  <w:vAlign w:val="center"/>
                </w:tcPr>
                <w:p w14:paraId="45B1C7DB">
                  <w:pPr>
                    <w:jc w:val="center"/>
                    <w:rPr>
                      <w:kern w:val="0"/>
                      <w:szCs w:val="21"/>
                    </w:rPr>
                  </w:pPr>
                </w:p>
              </w:tc>
            </w:tr>
            <w:tr w14:paraId="2719A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14:paraId="7D696F4D">
                  <w:pPr>
                    <w:jc w:val="center"/>
                    <w:rPr>
                      <w:kern w:val="28"/>
                      <w:szCs w:val="21"/>
                    </w:rPr>
                  </w:pPr>
                  <w:r>
                    <w:rPr>
                      <w:kern w:val="28"/>
                      <w:szCs w:val="21"/>
                    </w:rPr>
                    <w:t>公用工程</w:t>
                  </w:r>
                </w:p>
              </w:tc>
              <w:tc>
                <w:tcPr>
                  <w:tcW w:w="1154" w:type="dxa"/>
                  <w:gridSpan w:val="2"/>
                  <w:vAlign w:val="center"/>
                </w:tcPr>
                <w:p w14:paraId="1BEE2514">
                  <w:pPr>
                    <w:jc w:val="center"/>
                    <w:rPr>
                      <w:kern w:val="28"/>
                      <w:szCs w:val="21"/>
                    </w:rPr>
                  </w:pPr>
                  <w:r>
                    <w:rPr>
                      <w:kern w:val="28"/>
                      <w:szCs w:val="21"/>
                    </w:rPr>
                    <w:t>给水</w:t>
                  </w:r>
                </w:p>
              </w:tc>
              <w:tc>
                <w:tcPr>
                  <w:tcW w:w="4110" w:type="dxa"/>
                  <w:vAlign w:val="center"/>
                </w:tcPr>
                <w:p w14:paraId="2209AFDA">
                  <w:pPr>
                    <w:jc w:val="left"/>
                    <w:rPr>
                      <w:kern w:val="28"/>
                      <w:szCs w:val="21"/>
                    </w:rPr>
                  </w:pPr>
                  <w:r>
                    <w:rPr>
                      <w:kern w:val="28"/>
                      <w:szCs w:val="21"/>
                    </w:rPr>
                    <w:t>①生产用水：采用清洁化生产方案，采取自井场附近的河流，然后通过罐车拉运至井场；本评价建议建设单位或施工单位在项目施工前办理相关取水许可，并节约用水。</w:t>
                  </w:r>
                </w:p>
                <w:p w14:paraId="30D14A82">
                  <w:pPr>
                    <w:jc w:val="left"/>
                    <w:rPr>
                      <w:kern w:val="28"/>
                      <w:szCs w:val="21"/>
                    </w:rPr>
                  </w:pPr>
                  <w:r>
                    <w:rPr>
                      <w:kern w:val="28"/>
                      <w:szCs w:val="21"/>
                    </w:rPr>
                    <w:t>②生活用水：车辆拉运桶装水至场地。</w:t>
                  </w:r>
                </w:p>
              </w:tc>
              <w:tc>
                <w:tcPr>
                  <w:tcW w:w="648" w:type="dxa"/>
                  <w:vAlign w:val="center"/>
                </w:tcPr>
                <w:p w14:paraId="1251648A">
                  <w:pPr>
                    <w:rPr>
                      <w:kern w:val="28"/>
                      <w:szCs w:val="21"/>
                    </w:rPr>
                  </w:pPr>
                  <w:r>
                    <w:rPr>
                      <w:kern w:val="28"/>
                      <w:szCs w:val="21"/>
                    </w:rPr>
                    <w:t>/</w:t>
                  </w:r>
                </w:p>
              </w:tc>
              <w:tc>
                <w:tcPr>
                  <w:tcW w:w="1051" w:type="dxa"/>
                  <w:vAlign w:val="center"/>
                </w:tcPr>
                <w:p w14:paraId="5ACFCE8C">
                  <w:pPr>
                    <w:jc w:val="center"/>
                    <w:rPr>
                      <w:kern w:val="28"/>
                      <w:szCs w:val="21"/>
                    </w:rPr>
                  </w:pPr>
                  <w:r>
                    <w:rPr>
                      <w:kern w:val="28"/>
                      <w:szCs w:val="21"/>
                    </w:rPr>
                    <w:t>/</w:t>
                  </w:r>
                </w:p>
              </w:tc>
            </w:tr>
            <w:tr w14:paraId="1E8F6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5FA6D562">
                  <w:pPr>
                    <w:jc w:val="center"/>
                    <w:rPr>
                      <w:kern w:val="28"/>
                      <w:szCs w:val="21"/>
                    </w:rPr>
                  </w:pPr>
                </w:p>
              </w:tc>
              <w:tc>
                <w:tcPr>
                  <w:tcW w:w="1154" w:type="dxa"/>
                  <w:gridSpan w:val="2"/>
                  <w:vAlign w:val="center"/>
                </w:tcPr>
                <w:p w14:paraId="00130057">
                  <w:pPr>
                    <w:jc w:val="center"/>
                    <w:rPr>
                      <w:kern w:val="28"/>
                      <w:szCs w:val="21"/>
                    </w:rPr>
                  </w:pPr>
                  <w:r>
                    <w:rPr>
                      <w:kern w:val="28"/>
                      <w:szCs w:val="21"/>
                    </w:rPr>
                    <w:t>场外排水</w:t>
                  </w:r>
                </w:p>
              </w:tc>
              <w:tc>
                <w:tcPr>
                  <w:tcW w:w="4110" w:type="dxa"/>
                  <w:vAlign w:val="center"/>
                </w:tcPr>
                <w:p w14:paraId="7AD21A8C">
                  <w:pPr>
                    <w:jc w:val="left"/>
                    <w:rPr>
                      <w:kern w:val="28"/>
                      <w:szCs w:val="21"/>
                    </w:rPr>
                  </w:pPr>
                  <w:r>
                    <w:rPr>
                      <w:kern w:val="28"/>
                      <w:szCs w:val="21"/>
                    </w:rPr>
                    <w:t>新建场外排水沟，呈倒梯形，宽为0.</w:t>
                  </w:r>
                  <w:r>
                    <w:rPr>
                      <w:rFonts w:hint="eastAsia"/>
                      <w:kern w:val="28"/>
                      <w:szCs w:val="21"/>
                    </w:rPr>
                    <w:t>5</w:t>
                  </w:r>
                  <w:r>
                    <w:rPr>
                      <w:kern w:val="28"/>
                      <w:szCs w:val="21"/>
                    </w:rPr>
                    <w:t>m，排水沟总长3</w:t>
                  </w:r>
                  <w:r>
                    <w:rPr>
                      <w:rFonts w:hint="eastAsia"/>
                      <w:kern w:val="28"/>
                      <w:szCs w:val="21"/>
                    </w:rPr>
                    <w:t>96</w:t>
                  </w:r>
                  <w:r>
                    <w:rPr>
                      <w:kern w:val="28"/>
                      <w:szCs w:val="21"/>
                    </w:rPr>
                    <w:t>m。新建1m宽坡顶截水沟160m，放坡坡度i=0.2%.</w:t>
                  </w:r>
                </w:p>
              </w:tc>
              <w:tc>
                <w:tcPr>
                  <w:tcW w:w="648" w:type="dxa"/>
                  <w:vAlign w:val="center"/>
                </w:tcPr>
                <w:p w14:paraId="1ECEEA7D">
                  <w:pPr>
                    <w:rPr>
                      <w:kern w:val="28"/>
                      <w:szCs w:val="21"/>
                    </w:rPr>
                  </w:pPr>
                  <w:r>
                    <w:rPr>
                      <w:kern w:val="28"/>
                      <w:szCs w:val="21"/>
                    </w:rPr>
                    <w:t>新建</w:t>
                  </w:r>
                </w:p>
              </w:tc>
              <w:tc>
                <w:tcPr>
                  <w:tcW w:w="1051" w:type="dxa"/>
                  <w:vAlign w:val="center"/>
                </w:tcPr>
                <w:p w14:paraId="0C9E8147">
                  <w:pPr>
                    <w:jc w:val="center"/>
                    <w:rPr>
                      <w:kern w:val="28"/>
                      <w:szCs w:val="21"/>
                    </w:rPr>
                  </w:pPr>
                  <w:r>
                    <w:rPr>
                      <w:kern w:val="28"/>
                      <w:szCs w:val="21"/>
                    </w:rPr>
                    <w:t>/</w:t>
                  </w:r>
                </w:p>
              </w:tc>
            </w:tr>
            <w:tr w14:paraId="133E4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19FCB72F">
                  <w:pPr>
                    <w:widowControl/>
                    <w:jc w:val="center"/>
                    <w:rPr>
                      <w:kern w:val="28"/>
                      <w:szCs w:val="21"/>
                    </w:rPr>
                  </w:pPr>
                </w:p>
              </w:tc>
              <w:tc>
                <w:tcPr>
                  <w:tcW w:w="1154" w:type="dxa"/>
                  <w:gridSpan w:val="2"/>
                  <w:vMerge w:val="restart"/>
                  <w:vAlign w:val="center"/>
                </w:tcPr>
                <w:p w14:paraId="6FD12B06">
                  <w:pPr>
                    <w:jc w:val="center"/>
                    <w:rPr>
                      <w:kern w:val="28"/>
                      <w:szCs w:val="21"/>
                    </w:rPr>
                  </w:pPr>
                  <w:r>
                    <w:rPr>
                      <w:kern w:val="28"/>
                      <w:szCs w:val="21"/>
                    </w:rPr>
                    <w:t>场内排水</w:t>
                  </w:r>
                </w:p>
              </w:tc>
              <w:tc>
                <w:tcPr>
                  <w:tcW w:w="4110" w:type="dxa"/>
                  <w:vAlign w:val="center"/>
                </w:tcPr>
                <w:p w14:paraId="323E3935">
                  <w:pPr>
                    <w:jc w:val="left"/>
                    <w:rPr>
                      <w:kern w:val="0"/>
                      <w:szCs w:val="21"/>
                      <w:lang w:bidi="ar"/>
                    </w:rPr>
                  </w:pPr>
                  <w:r>
                    <w:rPr>
                      <w:kern w:val="0"/>
                      <w:szCs w:val="21"/>
                      <w:lang w:bidi="ar"/>
                    </w:rPr>
                    <w:t>新建场内排水沟350mm宽×200mm深，总长495m环状排污沟，放坡坡度i=0.5%</w:t>
                  </w:r>
                </w:p>
              </w:tc>
              <w:tc>
                <w:tcPr>
                  <w:tcW w:w="648" w:type="dxa"/>
                  <w:vAlign w:val="center"/>
                </w:tcPr>
                <w:p w14:paraId="32A79D63">
                  <w:pPr>
                    <w:jc w:val="left"/>
                    <w:rPr>
                      <w:kern w:val="0"/>
                      <w:szCs w:val="21"/>
                      <w:lang w:bidi="ar"/>
                    </w:rPr>
                  </w:pPr>
                  <w:r>
                    <w:rPr>
                      <w:kern w:val="0"/>
                      <w:szCs w:val="21"/>
                      <w:lang w:bidi="ar"/>
                    </w:rPr>
                    <w:t>新建</w:t>
                  </w:r>
                </w:p>
              </w:tc>
              <w:tc>
                <w:tcPr>
                  <w:tcW w:w="1051" w:type="dxa"/>
                  <w:vMerge w:val="restart"/>
                  <w:vAlign w:val="center"/>
                </w:tcPr>
                <w:p w14:paraId="5BDA25D4">
                  <w:pPr>
                    <w:jc w:val="center"/>
                    <w:rPr>
                      <w:kern w:val="28"/>
                      <w:szCs w:val="21"/>
                    </w:rPr>
                  </w:pPr>
                  <w:r>
                    <w:rPr>
                      <w:kern w:val="0"/>
                      <w:szCs w:val="21"/>
                    </w:rPr>
                    <w:t>渗漏污染土壤、地下水环境。</w:t>
                  </w:r>
                </w:p>
              </w:tc>
            </w:tr>
            <w:tr w14:paraId="14D03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5BDE6EF">
                  <w:pPr>
                    <w:widowControl/>
                    <w:jc w:val="center"/>
                    <w:rPr>
                      <w:kern w:val="28"/>
                      <w:szCs w:val="21"/>
                    </w:rPr>
                  </w:pPr>
                </w:p>
              </w:tc>
              <w:tc>
                <w:tcPr>
                  <w:tcW w:w="1154" w:type="dxa"/>
                  <w:gridSpan w:val="2"/>
                  <w:vMerge w:val="continue"/>
                  <w:vAlign w:val="center"/>
                </w:tcPr>
                <w:p w14:paraId="10EB411D">
                  <w:pPr>
                    <w:jc w:val="center"/>
                    <w:rPr>
                      <w:kern w:val="28"/>
                      <w:szCs w:val="21"/>
                    </w:rPr>
                  </w:pPr>
                </w:p>
              </w:tc>
              <w:tc>
                <w:tcPr>
                  <w:tcW w:w="4110" w:type="dxa"/>
                  <w:vAlign w:val="center"/>
                </w:tcPr>
                <w:p w14:paraId="52DDDAA9">
                  <w:pPr>
                    <w:jc w:val="left"/>
                    <w:rPr>
                      <w:kern w:val="0"/>
                      <w:szCs w:val="21"/>
                      <w:lang w:bidi="ar"/>
                    </w:rPr>
                  </w:pPr>
                  <w:r>
                    <w:rPr>
                      <w:kern w:val="0"/>
                      <w:szCs w:val="21"/>
                      <w:lang w:bidi="ar"/>
                    </w:rPr>
                    <w:t>井场清洁区雨水通过排水沟和环境监测池处理后排入自然水系。</w:t>
                  </w:r>
                </w:p>
              </w:tc>
              <w:tc>
                <w:tcPr>
                  <w:tcW w:w="648" w:type="dxa"/>
                  <w:vAlign w:val="center"/>
                </w:tcPr>
                <w:p w14:paraId="44B28321">
                  <w:pPr>
                    <w:rPr>
                      <w:kern w:val="0"/>
                      <w:szCs w:val="21"/>
                      <w:lang w:bidi="ar"/>
                    </w:rPr>
                  </w:pPr>
                  <w:r>
                    <w:rPr>
                      <w:kern w:val="0"/>
                      <w:szCs w:val="21"/>
                      <w:lang w:bidi="ar"/>
                    </w:rPr>
                    <w:t>新建</w:t>
                  </w:r>
                </w:p>
              </w:tc>
              <w:tc>
                <w:tcPr>
                  <w:tcW w:w="1051" w:type="dxa"/>
                  <w:vMerge w:val="continue"/>
                  <w:vAlign w:val="center"/>
                </w:tcPr>
                <w:p w14:paraId="6471EFFF">
                  <w:pPr>
                    <w:jc w:val="center"/>
                    <w:rPr>
                      <w:kern w:val="28"/>
                      <w:szCs w:val="21"/>
                    </w:rPr>
                  </w:pPr>
                </w:p>
              </w:tc>
            </w:tr>
            <w:tr w14:paraId="6F4EE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AADC04C">
                  <w:pPr>
                    <w:widowControl/>
                    <w:jc w:val="center"/>
                    <w:rPr>
                      <w:kern w:val="28"/>
                      <w:szCs w:val="21"/>
                    </w:rPr>
                  </w:pPr>
                </w:p>
              </w:tc>
              <w:tc>
                <w:tcPr>
                  <w:tcW w:w="1154" w:type="dxa"/>
                  <w:gridSpan w:val="2"/>
                  <w:vAlign w:val="center"/>
                </w:tcPr>
                <w:p w14:paraId="3E514C4D">
                  <w:pPr>
                    <w:jc w:val="center"/>
                    <w:rPr>
                      <w:kern w:val="28"/>
                      <w:szCs w:val="21"/>
                    </w:rPr>
                  </w:pPr>
                  <w:r>
                    <w:rPr>
                      <w:kern w:val="28"/>
                      <w:szCs w:val="21"/>
                    </w:rPr>
                    <w:t>供电</w:t>
                  </w:r>
                </w:p>
              </w:tc>
              <w:tc>
                <w:tcPr>
                  <w:tcW w:w="4110" w:type="dxa"/>
                  <w:vAlign w:val="center"/>
                </w:tcPr>
                <w:p w14:paraId="7206C28E">
                  <w:pPr>
                    <w:jc w:val="left"/>
                    <w:rPr>
                      <w:kern w:val="0"/>
                      <w:szCs w:val="21"/>
                    </w:rPr>
                  </w:pPr>
                  <w:r>
                    <w:rPr>
                      <w:kern w:val="0"/>
                      <w:szCs w:val="21"/>
                    </w:rPr>
                    <w:t>由当地网电供给</w:t>
                  </w:r>
                  <w:r>
                    <w:rPr>
                      <w:rFonts w:hint="eastAsia"/>
                      <w:kern w:val="0"/>
                      <w:szCs w:val="21"/>
                    </w:rPr>
                    <w:t>，备用柴油发电机供电</w:t>
                  </w:r>
                  <w:r>
                    <w:rPr>
                      <w:kern w:val="0"/>
                      <w:szCs w:val="21"/>
                    </w:rPr>
                    <w:t>。</w:t>
                  </w:r>
                </w:p>
              </w:tc>
              <w:tc>
                <w:tcPr>
                  <w:tcW w:w="648" w:type="dxa"/>
                  <w:vAlign w:val="center"/>
                </w:tcPr>
                <w:p w14:paraId="663135FE">
                  <w:pPr>
                    <w:rPr>
                      <w:kern w:val="0"/>
                      <w:szCs w:val="21"/>
                    </w:rPr>
                  </w:pPr>
                  <w:r>
                    <w:rPr>
                      <w:kern w:val="0"/>
                      <w:szCs w:val="21"/>
                    </w:rPr>
                    <w:t>依托</w:t>
                  </w:r>
                </w:p>
              </w:tc>
              <w:tc>
                <w:tcPr>
                  <w:tcW w:w="1051" w:type="dxa"/>
                  <w:vAlign w:val="center"/>
                </w:tcPr>
                <w:p w14:paraId="00B8EE07">
                  <w:pPr>
                    <w:jc w:val="center"/>
                    <w:rPr>
                      <w:kern w:val="0"/>
                      <w:szCs w:val="21"/>
                    </w:rPr>
                  </w:pPr>
                  <w:r>
                    <w:rPr>
                      <w:kern w:val="0"/>
                      <w:szCs w:val="21"/>
                    </w:rPr>
                    <w:t>噪声、废气</w:t>
                  </w:r>
                  <w:r>
                    <w:rPr>
                      <w:szCs w:val="21"/>
                    </w:rPr>
                    <w:t>。</w:t>
                  </w:r>
                </w:p>
              </w:tc>
            </w:tr>
            <w:tr w14:paraId="59D39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41229455">
                  <w:pPr>
                    <w:widowControl/>
                    <w:jc w:val="center"/>
                    <w:rPr>
                      <w:kern w:val="28"/>
                      <w:szCs w:val="21"/>
                    </w:rPr>
                  </w:pPr>
                </w:p>
              </w:tc>
              <w:tc>
                <w:tcPr>
                  <w:tcW w:w="1154" w:type="dxa"/>
                  <w:gridSpan w:val="2"/>
                  <w:vAlign w:val="center"/>
                </w:tcPr>
                <w:p w14:paraId="3D10BA31">
                  <w:pPr>
                    <w:jc w:val="center"/>
                    <w:rPr>
                      <w:kern w:val="28"/>
                      <w:szCs w:val="21"/>
                    </w:rPr>
                  </w:pPr>
                  <w:r>
                    <w:rPr>
                      <w:kern w:val="0"/>
                      <w:szCs w:val="21"/>
                    </w:rPr>
                    <w:t>柴油罐区</w:t>
                  </w:r>
                </w:p>
              </w:tc>
              <w:tc>
                <w:tcPr>
                  <w:tcW w:w="4110" w:type="dxa"/>
                  <w:vAlign w:val="center"/>
                </w:tcPr>
                <w:p w14:paraId="68DBAF94">
                  <w:pPr>
                    <w:jc w:val="left"/>
                    <w:rPr>
                      <w:kern w:val="0"/>
                      <w:szCs w:val="21"/>
                    </w:rPr>
                  </w:pPr>
                  <w:r>
                    <w:rPr>
                      <w:kern w:val="0"/>
                      <w:szCs w:val="21"/>
                    </w:rPr>
                    <w:t>共设1个柴油罐，罐区占地</w:t>
                  </w:r>
                  <w:r>
                    <w:rPr>
                      <w:rFonts w:hint="eastAsia"/>
                      <w:kern w:val="0"/>
                      <w:szCs w:val="21"/>
                    </w:rPr>
                    <w:t>2</w:t>
                  </w:r>
                  <w:r>
                    <w:rPr>
                      <w:kern w:val="0"/>
                      <w:szCs w:val="21"/>
                    </w:rPr>
                    <w:t>0m</w:t>
                  </w:r>
                  <w:r>
                    <w:rPr>
                      <w:kern w:val="0"/>
                      <w:szCs w:val="21"/>
                      <w:vertAlign w:val="superscript"/>
                    </w:rPr>
                    <w:t>2</w:t>
                  </w:r>
                  <w:r>
                    <w:rPr>
                      <w:kern w:val="0"/>
                      <w:szCs w:val="21"/>
                    </w:rPr>
                    <w:t>，容积为20m</w:t>
                  </w:r>
                  <w:r>
                    <w:rPr>
                      <w:kern w:val="0"/>
                      <w:szCs w:val="21"/>
                      <w:vertAlign w:val="superscript"/>
                    </w:rPr>
                    <w:t>3</w:t>
                  </w:r>
                  <w:r>
                    <w:rPr>
                      <w:kern w:val="0"/>
                      <w:szCs w:val="21"/>
                    </w:rPr>
                    <w:t>，最大储存量为10t。地面采取硬化处置，铺设防渗膜并设围堰。</w:t>
                  </w:r>
                </w:p>
              </w:tc>
              <w:tc>
                <w:tcPr>
                  <w:tcW w:w="648" w:type="dxa"/>
                  <w:vAlign w:val="center"/>
                </w:tcPr>
                <w:p w14:paraId="36EBEC86">
                  <w:pPr>
                    <w:rPr>
                      <w:kern w:val="0"/>
                      <w:szCs w:val="21"/>
                    </w:rPr>
                  </w:pPr>
                  <w:r>
                    <w:rPr>
                      <w:kern w:val="0"/>
                      <w:szCs w:val="21"/>
                    </w:rPr>
                    <w:t>新建</w:t>
                  </w:r>
                </w:p>
              </w:tc>
              <w:tc>
                <w:tcPr>
                  <w:tcW w:w="1051" w:type="dxa"/>
                  <w:vAlign w:val="center"/>
                </w:tcPr>
                <w:p w14:paraId="1F43B7C1">
                  <w:pPr>
                    <w:jc w:val="center"/>
                    <w:rPr>
                      <w:kern w:val="28"/>
                      <w:szCs w:val="21"/>
                    </w:rPr>
                  </w:pPr>
                  <w:r>
                    <w:rPr>
                      <w:kern w:val="0"/>
                      <w:szCs w:val="21"/>
                    </w:rPr>
                    <w:t>泄漏污染、火灾爆炸环境风险影响。</w:t>
                  </w:r>
                </w:p>
              </w:tc>
            </w:tr>
            <w:tr w14:paraId="5A7E9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0FAD1352">
                  <w:pPr>
                    <w:widowControl/>
                    <w:jc w:val="center"/>
                    <w:rPr>
                      <w:kern w:val="28"/>
                      <w:szCs w:val="21"/>
                    </w:rPr>
                  </w:pPr>
                </w:p>
              </w:tc>
              <w:tc>
                <w:tcPr>
                  <w:tcW w:w="1154" w:type="dxa"/>
                  <w:gridSpan w:val="2"/>
                  <w:vAlign w:val="center"/>
                </w:tcPr>
                <w:p w14:paraId="7CC5E402">
                  <w:pPr>
                    <w:pStyle w:val="388"/>
                    <w:spacing w:line="240" w:lineRule="auto"/>
                    <w:rPr>
                      <w:rFonts w:ascii="Times New Roman"/>
                      <w:kern w:val="0"/>
                    </w:rPr>
                  </w:pPr>
                  <w:r>
                    <w:rPr>
                      <w:rFonts w:ascii="Times New Roman" w:eastAsia="宋体"/>
                    </w:rPr>
                    <w:t>盐酸储罐</w:t>
                  </w:r>
                </w:p>
              </w:tc>
              <w:tc>
                <w:tcPr>
                  <w:tcW w:w="4110" w:type="dxa"/>
                  <w:vAlign w:val="center"/>
                </w:tcPr>
                <w:p w14:paraId="48FFF2EC">
                  <w:pPr>
                    <w:pStyle w:val="388"/>
                    <w:spacing w:line="240" w:lineRule="auto"/>
                    <w:jc w:val="left"/>
                    <w:rPr>
                      <w:rFonts w:ascii="Times New Roman" w:eastAsia="宋体"/>
                      <w:kern w:val="0"/>
                    </w:rPr>
                  </w:pPr>
                  <w:r>
                    <w:rPr>
                      <w:rFonts w:ascii="Times New Roman" w:eastAsia="宋体"/>
                    </w:rPr>
                    <w:t>试气工程期间设置6个盐酸储罐（5用1备），每个罐容积20m</w:t>
                  </w:r>
                  <w:r>
                    <w:rPr>
                      <w:rFonts w:ascii="Times New Roman" w:eastAsia="宋体"/>
                      <w:vertAlign w:val="superscript"/>
                    </w:rPr>
                    <w:t>3</w:t>
                  </w:r>
                  <w:r>
                    <w:rPr>
                      <w:rFonts w:ascii="Times New Roman" w:eastAsia="宋体"/>
                    </w:rPr>
                    <w:t>，现场共储存100m</w:t>
                  </w:r>
                  <w:r>
                    <w:rPr>
                      <w:rFonts w:ascii="Times New Roman" w:eastAsia="宋体"/>
                      <w:vertAlign w:val="superscript"/>
                    </w:rPr>
                    <w:t>3</w:t>
                  </w:r>
                  <w:r>
                    <w:rPr>
                      <w:rFonts w:ascii="Times New Roman" w:eastAsia="宋体"/>
                    </w:rPr>
                    <w:t>盐酸。</w:t>
                  </w:r>
                </w:p>
              </w:tc>
              <w:tc>
                <w:tcPr>
                  <w:tcW w:w="648" w:type="dxa"/>
                  <w:vAlign w:val="center"/>
                </w:tcPr>
                <w:p w14:paraId="055AB03D">
                  <w:pPr>
                    <w:rPr>
                      <w:kern w:val="0"/>
                      <w:szCs w:val="21"/>
                    </w:rPr>
                  </w:pPr>
                  <w:r>
                    <w:rPr>
                      <w:kern w:val="0"/>
                      <w:szCs w:val="21"/>
                    </w:rPr>
                    <w:t>新建</w:t>
                  </w:r>
                </w:p>
              </w:tc>
              <w:tc>
                <w:tcPr>
                  <w:tcW w:w="1051" w:type="dxa"/>
                  <w:vAlign w:val="center"/>
                </w:tcPr>
                <w:p w14:paraId="743316C5">
                  <w:pPr>
                    <w:jc w:val="center"/>
                    <w:rPr>
                      <w:kern w:val="0"/>
                      <w:szCs w:val="21"/>
                    </w:rPr>
                  </w:pPr>
                </w:p>
              </w:tc>
            </w:tr>
            <w:tr w14:paraId="2237A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restart"/>
                  <w:vAlign w:val="center"/>
                </w:tcPr>
                <w:p w14:paraId="7962C72F">
                  <w:pPr>
                    <w:widowControl/>
                    <w:jc w:val="center"/>
                    <w:rPr>
                      <w:kern w:val="28"/>
                      <w:szCs w:val="21"/>
                    </w:rPr>
                  </w:pPr>
                  <w:r>
                    <w:rPr>
                      <w:kern w:val="28"/>
                      <w:szCs w:val="21"/>
                    </w:rPr>
                    <w:t>环保工程</w:t>
                  </w:r>
                </w:p>
              </w:tc>
              <w:tc>
                <w:tcPr>
                  <w:tcW w:w="1154" w:type="dxa"/>
                  <w:gridSpan w:val="2"/>
                  <w:vMerge w:val="restart"/>
                  <w:vAlign w:val="center"/>
                </w:tcPr>
                <w:p w14:paraId="0A7C9122">
                  <w:pPr>
                    <w:jc w:val="center"/>
                    <w:rPr>
                      <w:kern w:val="0"/>
                      <w:szCs w:val="21"/>
                    </w:rPr>
                  </w:pPr>
                  <w:r>
                    <w:rPr>
                      <w:kern w:val="0"/>
                      <w:szCs w:val="21"/>
                    </w:rPr>
                    <w:t>废水处置</w:t>
                  </w:r>
                </w:p>
              </w:tc>
              <w:tc>
                <w:tcPr>
                  <w:tcW w:w="4110" w:type="dxa"/>
                  <w:vAlign w:val="center"/>
                </w:tcPr>
                <w:p w14:paraId="7F903E2C">
                  <w:pPr>
                    <w:jc w:val="left"/>
                    <w:rPr>
                      <w:kern w:val="28"/>
                      <w:szCs w:val="21"/>
                    </w:rPr>
                  </w:pPr>
                  <w:r>
                    <w:rPr>
                      <w:kern w:val="28"/>
                      <w:szCs w:val="21"/>
                    </w:rPr>
                    <w:t>井场内外实施清污分流措施，场外雨水由排水沟收集沉淀后外排，场内产污区雨水经</w:t>
                  </w:r>
                  <w:r>
                    <w:rPr>
                      <w:rFonts w:hint="eastAsia"/>
                      <w:kern w:val="28"/>
                      <w:szCs w:val="21"/>
                    </w:rPr>
                    <w:t>场内排水沟汇集至井口集水坑</w:t>
                  </w:r>
                  <w:r>
                    <w:rPr>
                      <w:kern w:val="28"/>
                      <w:szCs w:val="21"/>
                    </w:rPr>
                    <w:t>，泵入泥浆不落地平台处理回用，现场不外排。</w:t>
                  </w:r>
                </w:p>
              </w:tc>
              <w:tc>
                <w:tcPr>
                  <w:tcW w:w="648" w:type="dxa"/>
                  <w:vAlign w:val="center"/>
                </w:tcPr>
                <w:p w14:paraId="0ECE6570">
                  <w:pPr>
                    <w:rPr>
                      <w:kern w:val="28"/>
                      <w:szCs w:val="21"/>
                    </w:rPr>
                  </w:pPr>
                  <w:r>
                    <w:rPr>
                      <w:rFonts w:hint="eastAsia"/>
                      <w:kern w:val="28"/>
                      <w:szCs w:val="21"/>
                    </w:rPr>
                    <w:t>新建</w:t>
                  </w:r>
                </w:p>
              </w:tc>
              <w:tc>
                <w:tcPr>
                  <w:tcW w:w="1051" w:type="dxa"/>
                  <w:vMerge w:val="restart"/>
                  <w:vAlign w:val="center"/>
                </w:tcPr>
                <w:p w14:paraId="4230F506">
                  <w:pPr>
                    <w:jc w:val="center"/>
                    <w:rPr>
                      <w:kern w:val="28"/>
                      <w:szCs w:val="21"/>
                    </w:rPr>
                  </w:pPr>
                  <w:r>
                    <w:rPr>
                      <w:kern w:val="0"/>
                      <w:szCs w:val="21"/>
                    </w:rPr>
                    <w:t>渗漏污染土壤、地下水、地表水环境。</w:t>
                  </w:r>
                </w:p>
              </w:tc>
            </w:tr>
            <w:tr w14:paraId="61E06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98" w:type="dxa"/>
                  <w:vMerge w:val="continue"/>
                  <w:vAlign w:val="center"/>
                </w:tcPr>
                <w:p w14:paraId="76A8BA58">
                  <w:pPr>
                    <w:widowControl/>
                    <w:jc w:val="center"/>
                    <w:rPr>
                      <w:kern w:val="28"/>
                      <w:szCs w:val="21"/>
                    </w:rPr>
                  </w:pPr>
                </w:p>
              </w:tc>
              <w:tc>
                <w:tcPr>
                  <w:tcW w:w="1154" w:type="dxa"/>
                  <w:gridSpan w:val="2"/>
                  <w:vMerge w:val="continue"/>
                  <w:vAlign w:val="center"/>
                </w:tcPr>
                <w:p w14:paraId="6654190A">
                  <w:pPr>
                    <w:jc w:val="center"/>
                    <w:rPr>
                      <w:kern w:val="0"/>
                      <w:szCs w:val="21"/>
                    </w:rPr>
                  </w:pPr>
                </w:p>
              </w:tc>
              <w:tc>
                <w:tcPr>
                  <w:tcW w:w="4110" w:type="dxa"/>
                  <w:vAlign w:val="center"/>
                </w:tcPr>
                <w:p w14:paraId="7BEAFCC9">
                  <w:pPr>
                    <w:jc w:val="left"/>
                    <w:rPr>
                      <w:kern w:val="28"/>
                      <w:szCs w:val="21"/>
                    </w:rPr>
                  </w:pPr>
                  <w:r>
                    <w:rPr>
                      <w:rFonts w:hint="eastAsia"/>
                      <w:kern w:val="28"/>
                      <w:szCs w:val="21"/>
                    </w:rPr>
                    <w:t>钻井过程产生的废水优先回用于钻井工序，不能回用的废水由罐车转运至赵家坝污水处理站处理后运至普光3井等回注站回注；随岩屑带走的部分废水由岩屑处理单位处理后回用，无法回用时由罐车转运至赵家坝污水处理站处理后运至普光3井等回注站回注。</w:t>
                  </w:r>
                </w:p>
              </w:tc>
              <w:tc>
                <w:tcPr>
                  <w:tcW w:w="648" w:type="dxa"/>
                  <w:vAlign w:val="center"/>
                </w:tcPr>
                <w:p w14:paraId="66AE8073">
                  <w:pPr>
                    <w:rPr>
                      <w:kern w:val="28"/>
                      <w:szCs w:val="21"/>
                    </w:rPr>
                  </w:pPr>
                  <w:r>
                    <w:rPr>
                      <w:rFonts w:hint="eastAsia"/>
                      <w:kern w:val="28"/>
                      <w:szCs w:val="21"/>
                    </w:rPr>
                    <w:t>新建</w:t>
                  </w:r>
                </w:p>
              </w:tc>
              <w:tc>
                <w:tcPr>
                  <w:tcW w:w="1051" w:type="dxa"/>
                  <w:vMerge w:val="continue"/>
                  <w:vAlign w:val="center"/>
                </w:tcPr>
                <w:p w14:paraId="6D1F71CE">
                  <w:pPr>
                    <w:jc w:val="center"/>
                    <w:rPr>
                      <w:kern w:val="0"/>
                      <w:szCs w:val="21"/>
                    </w:rPr>
                  </w:pPr>
                </w:p>
              </w:tc>
            </w:tr>
            <w:tr w14:paraId="3AF4C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737D40A">
                  <w:pPr>
                    <w:widowControl/>
                    <w:jc w:val="center"/>
                    <w:rPr>
                      <w:kern w:val="28"/>
                      <w:szCs w:val="21"/>
                    </w:rPr>
                  </w:pPr>
                </w:p>
              </w:tc>
              <w:tc>
                <w:tcPr>
                  <w:tcW w:w="1154" w:type="dxa"/>
                  <w:gridSpan w:val="2"/>
                  <w:vMerge w:val="continue"/>
                  <w:vAlign w:val="center"/>
                </w:tcPr>
                <w:p w14:paraId="499D15F9">
                  <w:pPr>
                    <w:jc w:val="center"/>
                    <w:rPr>
                      <w:kern w:val="0"/>
                      <w:szCs w:val="21"/>
                    </w:rPr>
                  </w:pPr>
                </w:p>
              </w:tc>
              <w:tc>
                <w:tcPr>
                  <w:tcW w:w="4110" w:type="dxa"/>
                  <w:vAlign w:val="center"/>
                </w:tcPr>
                <w:p w14:paraId="6FEC91CD">
                  <w:pPr>
                    <w:jc w:val="left"/>
                    <w:rPr>
                      <w:kern w:val="28"/>
                      <w:szCs w:val="21"/>
                    </w:rPr>
                  </w:pPr>
                  <w:bookmarkStart w:id="12" w:name="_Hlk103759908"/>
                  <w:r>
                    <w:rPr>
                      <w:kern w:val="0"/>
                      <w:szCs w:val="21"/>
                    </w:rPr>
                    <w:t>洗井废水优先用于配制压裂液，不能回用时密闭罐车定期拉运至</w:t>
                  </w:r>
                  <w:r>
                    <w:rPr>
                      <w:rFonts w:hint="eastAsia"/>
                      <w:kern w:val="0"/>
                      <w:szCs w:val="21"/>
                    </w:rPr>
                    <w:t>赵家坝污水处理站</w:t>
                  </w:r>
                  <w:r>
                    <w:rPr>
                      <w:kern w:val="0"/>
                      <w:szCs w:val="21"/>
                    </w:rPr>
                    <w:t>处理达标后由罐车拉运至普光3井</w:t>
                  </w:r>
                  <w:r>
                    <w:rPr>
                      <w:rFonts w:hint="eastAsia"/>
                      <w:kern w:val="0"/>
                      <w:szCs w:val="21"/>
                    </w:rPr>
                    <w:t>等</w:t>
                  </w:r>
                  <w:r>
                    <w:rPr>
                      <w:kern w:val="0"/>
                      <w:szCs w:val="21"/>
                    </w:rPr>
                    <w:t>回注站回注。</w:t>
                  </w:r>
                  <w:bookmarkStart w:id="13" w:name="_Hlk103760921"/>
                  <w:r>
                    <w:rPr>
                      <w:kern w:val="0"/>
                      <w:szCs w:val="21"/>
                    </w:rPr>
                    <w:t>本项目试气工程</w:t>
                  </w:r>
                  <w:r>
                    <w:rPr>
                      <w:rFonts w:hint="eastAsia"/>
                      <w:kern w:val="0"/>
                      <w:szCs w:val="21"/>
                    </w:rPr>
                    <w:t>产生的压裂返排液废水经放喷池现场絮凝沉淀处理后立即由</w:t>
                  </w:r>
                  <w:r>
                    <w:rPr>
                      <w:kern w:val="0"/>
                      <w:szCs w:val="21"/>
                    </w:rPr>
                    <w:t>罐车拟交由</w:t>
                  </w:r>
                  <w:bookmarkEnd w:id="12"/>
                  <w:bookmarkEnd w:id="13"/>
                  <w:r>
                    <w:rPr>
                      <w:kern w:val="0"/>
                      <w:szCs w:val="21"/>
                    </w:rPr>
                    <w:t>装车拉运至</w:t>
                  </w:r>
                  <w:r>
                    <w:rPr>
                      <w:rFonts w:hint="eastAsia"/>
                      <w:kern w:val="0"/>
                      <w:szCs w:val="21"/>
                    </w:rPr>
                    <w:t>赵家坝污水处理站</w:t>
                  </w:r>
                  <w:r>
                    <w:rPr>
                      <w:kern w:val="0"/>
                      <w:szCs w:val="21"/>
                    </w:rPr>
                    <w:t>处理达标后由罐车拉运至普光3井</w:t>
                  </w:r>
                  <w:r>
                    <w:rPr>
                      <w:rFonts w:hint="eastAsia"/>
                      <w:kern w:val="0"/>
                      <w:szCs w:val="21"/>
                    </w:rPr>
                    <w:t>等</w:t>
                  </w:r>
                  <w:r>
                    <w:rPr>
                      <w:kern w:val="0"/>
                      <w:szCs w:val="21"/>
                    </w:rPr>
                    <w:t>回注站回注</w:t>
                  </w:r>
                  <w:r>
                    <w:rPr>
                      <w:kern w:val="28"/>
                      <w:szCs w:val="21"/>
                    </w:rPr>
                    <w:t>。</w:t>
                  </w:r>
                </w:p>
              </w:tc>
              <w:tc>
                <w:tcPr>
                  <w:tcW w:w="648" w:type="dxa"/>
                  <w:vAlign w:val="center"/>
                </w:tcPr>
                <w:p w14:paraId="7CFB3786">
                  <w:pPr>
                    <w:rPr>
                      <w:kern w:val="0"/>
                      <w:szCs w:val="21"/>
                    </w:rPr>
                  </w:pPr>
                  <w:r>
                    <w:rPr>
                      <w:kern w:val="0"/>
                      <w:szCs w:val="21"/>
                    </w:rPr>
                    <w:t>新建</w:t>
                  </w:r>
                </w:p>
              </w:tc>
              <w:tc>
                <w:tcPr>
                  <w:tcW w:w="1051" w:type="dxa"/>
                  <w:vMerge w:val="continue"/>
                  <w:vAlign w:val="center"/>
                </w:tcPr>
                <w:p w14:paraId="4E2E0C8C">
                  <w:pPr>
                    <w:jc w:val="center"/>
                    <w:rPr>
                      <w:kern w:val="0"/>
                      <w:szCs w:val="21"/>
                    </w:rPr>
                  </w:pPr>
                </w:p>
              </w:tc>
            </w:tr>
            <w:tr w14:paraId="01183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1091E73C">
                  <w:pPr>
                    <w:widowControl/>
                    <w:jc w:val="center"/>
                    <w:rPr>
                      <w:kern w:val="28"/>
                      <w:szCs w:val="21"/>
                    </w:rPr>
                  </w:pPr>
                </w:p>
              </w:tc>
              <w:tc>
                <w:tcPr>
                  <w:tcW w:w="1154" w:type="dxa"/>
                  <w:gridSpan w:val="2"/>
                  <w:vMerge w:val="continue"/>
                  <w:vAlign w:val="center"/>
                </w:tcPr>
                <w:p w14:paraId="1FA181F1">
                  <w:pPr>
                    <w:jc w:val="center"/>
                    <w:rPr>
                      <w:kern w:val="0"/>
                      <w:szCs w:val="21"/>
                    </w:rPr>
                  </w:pPr>
                </w:p>
              </w:tc>
              <w:tc>
                <w:tcPr>
                  <w:tcW w:w="4110" w:type="dxa"/>
                  <w:vAlign w:val="center"/>
                </w:tcPr>
                <w:p w14:paraId="2FB85C49">
                  <w:pPr>
                    <w:jc w:val="left"/>
                    <w:rPr>
                      <w:kern w:val="0"/>
                      <w:szCs w:val="21"/>
                    </w:rPr>
                  </w:pPr>
                  <w:bookmarkStart w:id="14" w:name="_Hlk103759992"/>
                  <w:r>
                    <w:rPr>
                      <w:kern w:val="0"/>
                      <w:szCs w:val="21"/>
                    </w:rPr>
                    <w:t>生活污水经生态一体化厕所收集后由吸污车运至</w:t>
                  </w:r>
                  <w:r>
                    <w:rPr>
                      <w:rFonts w:hint="eastAsia"/>
                      <w:kern w:val="0"/>
                      <w:szCs w:val="21"/>
                    </w:rPr>
                    <w:t>君塘镇</w:t>
                  </w:r>
                  <w:r>
                    <w:rPr>
                      <w:kern w:val="0"/>
                      <w:szCs w:val="21"/>
                    </w:rPr>
                    <w:t>污水处理厂处理后排放</w:t>
                  </w:r>
                  <w:bookmarkEnd w:id="14"/>
                  <w:r>
                    <w:rPr>
                      <w:kern w:val="0"/>
                      <w:szCs w:val="21"/>
                    </w:rPr>
                    <w:t>。</w:t>
                  </w:r>
                </w:p>
              </w:tc>
              <w:tc>
                <w:tcPr>
                  <w:tcW w:w="648" w:type="dxa"/>
                  <w:vAlign w:val="center"/>
                </w:tcPr>
                <w:p w14:paraId="2353BC26">
                  <w:pPr>
                    <w:rPr>
                      <w:b/>
                      <w:bCs/>
                      <w:kern w:val="0"/>
                      <w:szCs w:val="21"/>
                    </w:rPr>
                  </w:pPr>
                  <w:r>
                    <w:rPr>
                      <w:b/>
                      <w:bCs/>
                      <w:kern w:val="0"/>
                      <w:szCs w:val="21"/>
                    </w:rPr>
                    <w:t>新建</w:t>
                  </w:r>
                </w:p>
              </w:tc>
              <w:tc>
                <w:tcPr>
                  <w:tcW w:w="1051" w:type="dxa"/>
                  <w:vMerge w:val="continue"/>
                  <w:vAlign w:val="center"/>
                </w:tcPr>
                <w:p w14:paraId="5248DF17">
                  <w:pPr>
                    <w:jc w:val="center"/>
                    <w:rPr>
                      <w:kern w:val="0"/>
                      <w:szCs w:val="21"/>
                    </w:rPr>
                  </w:pPr>
                </w:p>
              </w:tc>
            </w:tr>
            <w:tr w14:paraId="53833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53E567FD">
                  <w:pPr>
                    <w:widowControl/>
                    <w:jc w:val="center"/>
                    <w:rPr>
                      <w:kern w:val="28"/>
                      <w:szCs w:val="21"/>
                    </w:rPr>
                  </w:pPr>
                </w:p>
              </w:tc>
              <w:tc>
                <w:tcPr>
                  <w:tcW w:w="1154" w:type="dxa"/>
                  <w:gridSpan w:val="2"/>
                  <w:vMerge w:val="restart"/>
                  <w:vAlign w:val="center"/>
                </w:tcPr>
                <w:p w14:paraId="08482A2B">
                  <w:pPr>
                    <w:jc w:val="center"/>
                    <w:rPr>
                      <w:szCs w:val="21"/>
                    </w:rPr>
                  </w:pPr>
                  <w:r>
                    <w:rPr>
                      <w:szCs w:val="21"/>
                    </w:rPr>
                    <w:t>废气处置</w:t>
                  </w:r>
                </w:p>
              </w:tc>
              <w:tc>
                <w:tcPr>
                  <w:tcW w:w="4110" w:type="dxa"/>
                  <w:vAlign w:val="center"/>
                </w:tcPr>
                <w:p w14:paraId="080A6B01">
                  <w:pPr>
                    <w:widowControl/>
                    <w:jc w:val="left"/>
                    <w:rPr>
                      <w:kern w:val="0"/>
                      <w:szCs w:val="21"/>
                    </w:rPr>
                  </w:pPr>
                  <w:r>
                    <w:rPr>
                      <w:kern w:val="0"/>
                      <w:szCs w:val="21"/>
                    </w:rPr>
                    <w:t>柴油机经自带尾气处理系统后经过自带排气筒排放。</w:t>
                  </w:r>
                </w:p>
              </w:tc>
              <w:tc>
                <w:tcPr>
                  <w:tcW w:w="648" w:type="dxa"/>
                  <w:vAlign w:val="center"/>
                </w:tcPr>
                <w:p w14:paraId="201C8E06">
                  <w:pPr>
                    <w:widowControl/>
                    <w:rPr>
                      <w:kern w:val="0"/>
                      <w:szCs w:val="21"/>
                    </w:rPr>
                  </w:pPr>
                  <w:r>
                    <w:rPr>
                      <w:kern w:val="0"/>
                      <w:szCs w:val="21"/>
                    </w:rPr>
                    <w:t>/</w:t>
                  </w:r>
                </w:p>
              </w:tc>
              <w:tc>
                <w:tcPr>
                  <w:tcW w:w="1051" w:type="dxa"/>
                  <w:vAlign w:val="center"/>
                </w:tcPr>
                <w:p w14:paraId="5B23F1D9">
                  <w:pPr>
                    <w:jc w:val="center"/>
                    <w:rPr>
                      <w:kern w:val="0"/>
                      <w:szCs w:val="21"/>
                    </w:rPr>
                  </w:pPr>
                  <w:r>
                    <w:rPr>
                      <w:kern w:val="0"/>
                      <w:szCs w:val="21"/>
                    </w:rPr>
                    <w:t>/</w:t>
                  </w:r>
                </w:p>
              </w:tc>
            </w:tr>
            <w:tr w14:paraId="30049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1399B6CE">
                  <w:pPr>
                    <w:widowControl/>
                    <w:jc w:val="center"/>
                    <w:rPr>
                      <w:kern w:val="28"/>
                      <w:szCs w:val="21"/>
                    </w:rPr>
                  </w:pPr>
                </w:p>
              </w:tc>
              <w:tc>
                <w:tcPr>
                  <w:tcW w:w="1154" w:type="dxa"/>
                  <w:gridSpan w:val="2"/>
                  <w:vMerge w:val="continue"/>
                  <w:vAlign w:val="center"/>
                </w:tcPr>
                <w:p w14:paraId="7A5191E9">
                  <w:pPr>
                    <w:jc w:val="center"/>
                    <w:rPr>
                      <w:szCs w:val="21"/>
                    </w:rPr>
                  </w:pPr>
                </w:p>
              </w:tc>
              <w:tc>
                <w:tcPr>
                  <w:tcW w:w="4110" w:type="dxa"/>
                  <w:vAlign w:val="center"/>
                </w:tcPr>
                <w:p w14:paraId="7A8ED752">
                  <w:pPr>
                    <w:widowControl/>
                    <w:jc w:val="left"/>
                    <w:rPr>
                      <w:kern w:val="0"/>
                      <w:szCs w:val="21"/>
                    </w:rPr>
                  </w:pPr>
                  <w:r>
                    <w:rPr>
                      <w:kern w:val="0"/>
                      <w:szCs w:val="21"/>
                    </w:rPr>
                    <w:t>试气作业过程中经放喷管线外输至放喷池燃烧处理。</w:t>
                  </w:r>
                </w:p>
              </w:tc>
              <w:tc>
                <w:tcPr>
                  <w:tcW w:w="648" w:type="dxa"/>
                  <w:vAlign w:val="center"/>
                </w:tcPr>
                <w:p w14:paraId="2CDA99F1">
                  <w:pPr>
                    <w:widowControl/>
                    <w:rPr>
                      <w:kern w:val="0"/>
                      <w:szCs w:val="21"/>
                    </w:rPr>
                  </w:pPr>
                  <w:r>
                    <w:rPr>
                      <w:kern w:val="0"/>
                      <w:szCs w:val="21"/>
                    </w:rPr>
                    <w:t>/</w:t>
                  </w:r>
                </w:p>
              </w:tc>
              <w:tc>
                <w:tcPr>
                  <w:tcW w:w="1051" w:type="dxa"/>
                  <w:vAlign w:val="center"/>
                </w:tcPr>
                <w:p w14:paraId="69EC0A22">
                  <w:pPr>
                    <w:jc w:val="center"/>
                    <w:rPr>
                      <w:kern w:val="0"/>
                      <w:szCs w:val="21"/>
                    </w:rPr>
                  </w:pPr>
                  <w:r>
                    <w:rPr>
                      <w:kern w:val="0"/>
                      <w:szCs w:val="21"/>
                    </w:rPr>
                    <w:t>/</w:t>
                  </w:r>
                </w:p>
              </w:tc>
            </w:tr>
            <w:tr w14:paraId="7C074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7FF047D0">
                  <w:pPr>
                    <w:widowControl/>
                    <w:jc w:val="center"/>
                    <w:rPr>
                      <w:kern w:val="28"/>
                      <w:szCs w:val="21"/>
                    </w:rPr>
                  </w:pPr>
                </w:p>
              </w:tc>
              <w:tc>
                <w:tcPr>
                  <w:tcW w:w="1154" w:type="dxa"/>
                  <w:gridSpan w:val="2"/>
                  <w:vMerge w:val="restart"/>
                  <w:vAlign w:val="center"/>
                </w:tcPr>
                <w:p w14:paraId="6569C568">
                  <w:pPr>
                    <w:jc w:val="center"/>
                    <w:rPr>
                      <w:szCs w:val="21"/>
                    </w:rPr>
                  </w:pPr>
                  <w:r>
                    <w:rPr>
                      <w:szCs w:val="21"/>
                    </w:rPr>
                    <w:t>固废处置</w:t>
                  </w:r>
                </w:p>
              </w:tc>
              <w:tc>
                <w:tcPr>
                  <w:tcW w:w="4110" w:type="dxa"/>
                  <w:vAlign w:val="center"/>
                </w:tcPr>
                <w:p w14:paraId="2C16C38E">
                  <w:pPr>
                    <w:widowControl/>
                    <w:jc w:val="left"/>
                    <w:rPr>
                      <w:kern w:val="0"/>
                      <w:szCs w:val="21"/>
                    </w:rPr>
                  </w:pPr>
                  <w:bookmarkStart w:id="15" w:name="_Hlk103761166"/>
                  <w:r>
                    <w:rPr>
                      <w:kern w:val="0"/>
                      <w:szCs w:val="21"/>
                    </w:rPr>
                    <w:t>常规钻井产生的水基岩屑由岩屑收集罐进行收集暂存岩屑暂存区，钻井废弃泥浆由循环罐收集后暂存于泥浆不落地平台内，并采取泥浆不落地措施，</w:t>
                  </w:r>
                  <w:bookmarkEnd w:id="15"/>
                  <w:r>
                    <w:rPr>
                      <w:rFonts w:hint="eastAsia"/>
                      <w:kern w:val="0"/>
                      <w:szCs w:val="21"/>
                    </w:rPr>
                    <w:t>委托四川光隆环保科技有限公司等有资质单位处置</w:t>
                  </w:r>
                  <w:r>
                    <w:rPr>
                      <w:kern w:val="0"/>
                      <w:szCs w:val="21"/>
                    </w:rPr>
                    <w:t>。</w:t>
                  </w:r>
                  <w:r>
                    <w:rPr>
                      <w:rFonts w:hint="eastAsia"/>
                      <w:kern w:val="0"/>
                      <w:szCs w:val="21"/>
                    </w:rPr>
                    <w:t>四开水平段</w:t>
                  </w:r>
                  <w:r>
                    <w:rPr>
                      <w:kern w:val="0"/>
                      <w:szCs w:val="21"/>
                    </w:rPr>
                    <w:t>采用油基钻井液钻井，产生的油基岩屑、废油基泥浆暂存于</w:t>
                  </w:r>
                  <w:r>
                    <w:rPr>
                      <w:rFonts w:hint="eastAsia"/>
                      <w:kern w:val="0"/>
                      <w:szCs w:val="21"/>
                    </w:rPr>
                    <w:t>吨桶</w:t>
                  </w:r>
                  <w:r>
                    <w:rPr>
                      <w:kern w:val="0"/>
                      <w:szCs w:val="21"/>
                    </w:rPr>
                    <w:t>后定期委托有资质单位进行处理</w:t>
                  </w:r>
                  <w:r>
                    <w:rPr>
                      <w:rFonts w:hint="eastAsia"/>
                      <w:kern w:val="0"/>
                      <w:szCs w:val="21"/>
                    </w:rPr>
                    <w:t>，</w:t>
                  </w:r>
                  <w:r>
                    <w:rPr>
                      <w:rFonts w:hint="eastAsia"/>
                      <w:color w:val="4472C4" w:themeColor="accent5"/>
                      <w:kern w:val="0"/>
                      <w:szCs w:val="21"/>
                      <w14:textFill>
                        <w14:solidFill>
                          <w14:schemeClr w14:val="accent5"/>
                        </w14:solidFill>
                      </w14:textFill>
                    </w:rPr>
                    <w:t>吨桶位于危险废物贮存点内暂存。压裂返排液污泥收集后交由有资质单位处置。</w:t>
                  </w:r>
                </w:p>
              </w:tc>
              <w:tc>
                <w:tcPr>
                  <w:tcW w:w="648" w:type="dxa"/>
                  <w:vAlign w:val="center"/>
                </w:tcPr>
                <w:p w14:paraId="670A41B4">
                  <w:pPr>
                    <w:widowControl/>
                    <w:rPr>
                      <w:kern w:val="0"/>
                      <w:szCs w:val="21"/>
                    </w:rPr>
                  </w:pPr>
                  <w:r>
                    <w:rPr>
                      <w:kern w:val="0"/>
                      <w:szCs w:val="21"/>
                    </w:rPr>
                    <w:t>新建</w:t>
                  </w:r>
                </w:p>
              </w:tc>
              <w:tc>
                <w:tcPr>
                  <w:tcW w:w="1051" w:type="dxa"/>
                  <w:vAlign w:val="center"/>
                </w:tcPr>
                <w:p w14:paraId="0F8DFAFD">
                  <w:pPr>
                    <w:jc w:val="center"/>
                    <w:rPr>
                      <w:kern w:val="0"/>
                      <w:szCs w:val="21"/>
                    </w:rPr>
                  </w:pPr>
                  <w:r>
                    <w:rPr>
                      <w:kern w:val="0"/>
                      <w:szCs w:val="21"/>
                    </w:rPr>
                    <w:t>/</w:t>
                  </w:r>
                </w:p>
              </w:tc>
            </w:tr>
            <w:tr w14:paraId="04BD2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3B0D51B6">
                  <w:pPr>
                    <w:widowControl/>
                    <w:jc w:val="center"/>
                    <w:rPr>
                      <w:kern w:val="28"/>
                      <w:szCs w:val="21"/>
                    </w:rPr>
                  </w:pPr>
                </w:p>
              </w:tc>
              <w:tc>
                <w:tcPr>
                  <w:tcW w:w="1154" w:type="dxa"/>
                  <w:gridSpan w:val="2"/>
                  <w:vMerge w:val="continue"/>
                  <w:vAlign w:val="center"/>
                </w:tcPr>
                <w:p w14:paraId="3EEACF8B">
                  <w:pPr>
                    <w:jc w:val="center"/>
                    <w:rPr>
                      <w:szCs w:val="21"/>
                    </w:rPr>
                  </w:pPr>
                </w:p>
              </w:tc>
              <w:tc>
                <w:tcPr>
                  <w:tcW w:w="4110" w:type="dxa"/>
                  <w:vAlign w:val="center"/>
                </w:tcPr>
                <w:p w14:paraId="2BC6B5F7">
                  <w:pPr>
                    <w:widowControl/>
                    <w:jc w:val="left"/>
                    <w:rPr>
                      <w:kern w:val="0"/>
                      <w:szCs w:val="21"/>
                    </w:rPr>
                  </w:pPr>
                  <w:r>
                    <w:rPr>
                      <w:kern w:val="0"/>
                      <w:szCs w:val="21"/>
                    </w:rPr>
                    <w:t>井场区域和生活区各设1个垃圾箱，完工后外运</w:t>
                  </w:r>
                  <w:r>
                    <w:rPr>
                      <w:rFonts w:hint="eastAsia"/>
                      <w:kern w:val="0"/>
                      <w:szCs w:val="21"/>
                    </w:rPr>
                    <w:t>君塘镇</w:t>
                  </w:r>
                  <w:r>
                    <w:rPr>
                      <w:kern w:val="0"/>
                      <w:szCs w:val="21"/>
                    </w:rPr>
                    <w:t>环卫集中收集卫生填埋处置。废包装材料量较少，收集后全部回收利用。</w:t>
                  </w:r>
                </w:p>
              </w:tc>
              <w:tc>
                <w:tcPr>
                  <w:tcW w:w="648" w:type="dxa"/>
                  <w:vAlign w:val="center"/>
                </w:tcPr>
                <w:p w14:paraId="6C49DA9A">
                  <w:pPr>
                    <w:widowControl/>
                    <w:rPr>
                      <w:kern w:val="0"/>
                      <w:szCs w:val="21"/>
                    </w:rPr>
                  </w:pPr>
                  <w:r>
                    <w:rPr>
                      <w:kern w:val="0"/>
                      <w:szCs w:val="21"/>
                    </w:rPr>
                    <w:t>新建</w:t>
                  </w:r>
                </w:p>
              </w:tc>
              <w:tc>
                <w:tcPr>
                  <w:tcW w:w="1051" w:type="dxa"/>
                  <w:vAlign w:val="center"/>
                </w:tcPr>
                <w:p w14:paraId="6DC4C738">
                  <w:pPr>
                    <w:jc w:val="center"/>
                    <w:rPr>
                      <w:kern w:val="0"/>
                      <w:szCs w:val="21"/>
                    </w:rPr>
                  </w:pPr>
                  <w:r>
                    <w:rPr>
                      <w:kern w:val="0"/>
                      <w:szCs w:val="21"/>
                    </w:rPr>
                    <w:t>/</w:t>
                  </w:r>
                </w:p>
              </w:tc>
            </w:tr>
            <w:tr w14:paraId="00A26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422000AF">
                  <w:pPr>
                    <w:widowControl/>
                    <w:jc w:val="center"/>
                    <w:rPr>
                      <w:kern w:val="28"/>
                      <w:szCs w:val="21"/>
                    </w:rPr>
                  </w:pPr>
                </w:p>
              </w:tc>
              <w:tc>
                <w:tcPr>
                  <w:tcW w:w="1154" w:type="dxa"/>
                  <w:gridSpan w:val="2"/>
                  <w:vMerge w:val="continue"/>
                  <w:vAlign w:val="center"/>
                </w:tcPr>
                <w:p w14:paraId="387DC5D9">
                  <w:pPr>
                    <w:jc w:val="center"/>
                    <w:rPr>
                      <w:szCs w:val="21"/>
                    </w:rPr>
                  </w:pPr>
                </w:p>
              </w:tc>
              <w:tc>
                <w:tcPr>
                  <w:tcW w:w="4110" w:type="dxa"/>
                  <w:vAlign w:val="center"/>
                </w:tcPr>
                <w:p w14:paraId="54083043">
                  <w:pPr>
                    <w:widowControl/>
                    <w:jc w:val="left"/>
                    <w:rPr>
                      <w:kern w:val="0"/>
                      <w:szCs w:val="21"/>
                    </w:rPr>
                  </w:pPr>
                  <w:r>
                    <w:rPr>
                      <w:kern w:val="0"/>
                      <w:szCs w:val="21"/>
                    </w:rPr>
                    <w:t>钻井平台内设置一处危险废物贮存点，占地面积为50m</w:t>
                  </w:r>
                  <w:r>
                    <w:rPr>
                      <w:kern w:val="0"/>
                      <w:szCs w:val="21"/>
                      <w:vertAlign w:val="superscript"/>
                    </w:rPr>
                    <w:t>2</w:t>
                  </w:r>
                  <w:r>
                    <w:rPr>
                      <w:kern w:val="0"/>
                      <w:szCs w:val="21"/>
                    </w:rPr>
                    <w:t>，采取必要的防护措施（防风、防雨、防晒、防渗、防漏、防腐）及其他环境污染防护措施，拟及时交由有资质单位处置</w:t>
                  </w:r>
                </w:p>
              </w:tc>
              <w:tc>
                <w:tcPr>
                  <w:tcW w:w="648" w:type="dxa"/>
                  <w:vAlign w:val="center"/>
                </w:tcPr>
                <w:p w14:paraId="7EE33A1D">
                  <w:pPr>
                    <w:widowControl/>
                    <w:jc w:val="left"/>
                    <w:rPr>
                      <w:kern w:val="0"/>
                      <w:szCs w:val="21"/>
                    </w:rPr>
                  </w:pPr>
                  <w:r>
                    <w:rPr>
                      <w:kern w:val="0"/>
                      <w:szCs w:val="21"/>
                    </w:rPr>
                    <w:t>新建</w:t>
                  </w:r>
                </w:p>
              </w:tc>
              <w:tc>
                <w:tcPr>
                  <w:tcW w:w="1051" w:type="dxa"/>
                  <w:vAlign w:val="center"/>
                </w:tcPr>
                <w:p w14:paraId="4E8CD9D0">
                  <w:pPr>
                    <w:jc w:val="center"/>
                    <w:rPr>
                      <w:kern w:val="0"/>
                      <w:szCs w:val="21"/>
                    </w:rPr>
                  </w:pPr>
                  <w:r>
                    <w:rPr>
                      <w:kern w:val="0"/>
                      <w:szCs w:val="21"/>
                    </w:rPr>
                    <w:t>/</w:t>
                  </w:r>
                </w:p>
              </w:tc>
            </w:tr>
            <w:tr w14:paraId="1C106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667C97A3">
                  <w:pPr>
                    <w:widowControl/>
                    <w:jc w:val="center"/>
                    <w:rPr>
                      <w:kern w:val="28"/>
                      <w:szCs w:val="21"/>
                    </w:rPr>
                  </w:pPr>
                </w:p>
              </w:tc>
              <w:tc>
                <w:tcPr>
                  <w:tcW w:w="1154" w:type="dxa"/>
                  <w:gridSpan w:val="2"/>
                  <w:vAlign w:val="center"/>
                </w:tcPr>
                <w:p w14:paraId="224C0167">
                  <w:pPr>
                    <w:jc w:val="center"/>
                    <w:rPr>
                      <w:szCs w:val="21"/>
                    </w:rPr>
                  </w:pPr>
                  <w:r>
                    <w:rPr>
                      <w:szCs w:val="21"/>
                    </w:rPr>
                    <w:t>噪声</w:t>
                  </w:r>
                  <w:r>
                    <w:rPr>
                      <w:rFonts w:hint="eastAsia"/>
                      <w:szCs w:val="21"/>
                    </w:rPr>
                    <w:t xml:space="preserve"> </w:t>
                  </w:r>
                </w:p>
              </w:tc>
              <w:tc>
                <w:tcPr>
                  <w:tcW w:w="4110" w:type="dxa"/>
                  <w:vAlign w:val="center"/>
                </w:tcPr>
                <w:p w14:paraId="6B5A90DD">
                  <w:pPr>
                    <w:widowControl/>
                    <w:jc w:val="left"/>
                    <w:rPr>
                      <w:kern w:val="0"/>
                      <w:szCs w:val="21"/>
                    </w:rPr>
                  </w:pPr>
                  <w:r>
                    <w:rPr>
                      <w:kern w:val="0"/>
                      <w:szCs w:val="21"/>
                    </w:rPr>
                    <w:t>噪声设备设置基础</w:t>
                  </w:r>
                  <w:r>
                    <w:rPr>
                      <w:rFonts w:hint="eastAsia"/>
                      <w:kern w:val="0"/>
                      <w:szCs w:val="21"/>
                    </w:rPr>
                    <w:t>减振</w:t>
                  </w:r>
                  <w:r>
                    <w:rPr>
                      <w:kern w:val="0"/>
                      <w:szCs w:val="21"/>
                    </w:rPr>
                    <w:t>，同时备用发电机组、空气压缩机、泥浆泵设置在房屋内进行隔声减小影响。</w:t>
                  </w:r>
                </w:p>
              </w:tc>
              <w:tc>
                <w:tcPr>
                  <w:tcW w:w="648" w:type="dxa"/>
                  <w:vAlign w:val="center"/>
                </w:tcPr>
                <w:p w14:paraId="4D35F2AF">
                  <w:pPr>
                    <w:widowControl/>
                    <w:jc w:val="left"/>
                    <w:rPr>
                      <w:kern w:val="0"/>
                      <w:szCs w:val="21"/>
                    </w:rPr>
                  </w:pPr>
                  <w:r>
                    <w:rPr>
                      <w:kern w:val="0"/>
                      <w:szCs w:val="21"/>
                    </w:rPr>
                    <w:t>/</w:t>
                  </w:r>
                </w:p>
              </w:tc>
              <w:tc>
                <w:tcPr>
                  <w:tcW w:w="1051" w:type="dxa"/>
                  <w:vAlign w:val="center"/>
                </w:tcPr>
                <w:p w14:paraId="27252C49">
                  <w:pPr>
                    <w:jc w:val="center"/>
                    <w:rPr>
                      <w:kern w:val="0"/>
                      <w:szCs w:val="21"/>
                    </w:rPr>
                  </w:pPr>
                  <w:r>
                    <w:rPr>
                      <w:kern w:val="0"/>
                      <w:szCs w:val="21"/>
                    </w:rPr>
                    <w:t>/</w:t>
                  </w:r>
                </w:p>
              </w:tc>
            </w:tr>
            <w:tr w14:paraId="40AF8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14F9A5A5">
                  <w:pPr>
                    <w:widowControl/>
                    <w:jc w:val="center"/>
                    <w:rPr>
                      <w:kern w:val="28"/>
                      <w:szCs w:val="21"/>
                    </w:rPr>
                  </w:pPr>
                </w:p>
              </w:tc>
              <w:tc>
                <w:tcPr>
                  <w:tcW w:w="1154" w:type="dxa"/>
                  <w:gridSpan w:val="2"/>
                  <w:vAlign w:val="center"/>
                </w:tcPr>
                <w:p w14:paraId="637D63FD">
                  <w:pPr>
                    <w:jc w:val="center"/>
                    <w:rPr>
                      <w:szCs w:val="21"/>
                    </w:rPr>
                  </w:pPr>
                  <w:r>
                    <w:rPr>
                      <w:szCs w:val="21"/>
                    </w:rPr>
                    <w:t>生态恢复</w:t>
                  </w:r>
                </w:p>
              </w:tc>
              <w:tc>
                <w:tcPr>
                  <w:tcW w:w="4110" w:type="dxa"/>
                  <w:vAlign w:val="center"/>
                </w:tcPr>
                <w:p w14:paraId="27830CA6">
                  <w:pPr>
                    <w:widowControl/>
                    <w:jc w:val="left"/>
                    <w:rPr>
                      <w:kern w:val="0"/>
                      <w:szCs w:val="21"/>
                    </w:rPr>
                  </w:pPr>
                  <w:r>
                    <w:rPr>
                      <w:kern w:val="0"/>
                      <w:szCs w:val="21"/>
                    </w:rPr>
                    <w:t>设置1个耕</w:t>
                  </w:r>
                  <w:r>
                    <w:rPr>
                      <w:rFonts w:hint="eastAsia"/>
                      <w:kern w:val="0"/>
                      <w:szCs w:val="21"/>
                    </w:rPr>
                    <w:t>植</w:t>
                  </w:r>
                  <w:r>
                    <w:rPr>
                      <w:kern w:val="0"/>
                      <w:szCs w:val="21"/>
                    </w:rPr>
                    <w:t>土堆放区，将表土单独、分区、分层堆放，表土四周设置草袋土挡墙，并夯压整形，顶部保持平缓坡度以利于排水，堆场四周设置临时截、排水沟和</w:t>
                  </w:r>
                  <w:r>
                    <w:rPr>
                      <w:rFonts w:hint="eastAsia"/>
                      <w:kern w:val="0"/>
                      <w:szCs w:val="21"/>
                    </w:rPr>
                    <w:t>沉砂池</w:t>
                  </w:r>
                  <w:r>
                    <w:rPr>
                      <w:kern w:val="0"/>
                      <w:szCs w:val="21"/>
                    </w:rPr>
                    <w:t>，土堆表面采用密目网进行临时苫盖。</w:t>
                  </w:r>
                </w:p>
              </w:tc>
              <w:tc>
                <w:tcPr>
                  <w:tcW w:w="648" w:type="dxa"/>
                  <w:vAlign w:val="center"/>
                </w:tcPr>
                <w:p w14:paraId="3FD1E3B7">
                  <w:pPr>
                    <w:widowControl/>
                    <w:jc w:val="left"/>
                    <w:rPr>
                      <w:kern w:val="0"/>
                      <w:szCs w:val="21"/>
                    </w:rPr>
                  </w:pPr>
                  <w:r>
                    <w:rPr>
                      <w:rFonts w:hint="eastAsia"/>
                      <w:kern w:val="0"/>
                      <w:szCs w:val="21"/>
                    </w:rPr>
                    <w:t>新建</w:t>
                  </w:r>
                </w:p>
              </w:tc>
              <w:tc>
                <w:tcPr>
                  <w:tcW w:w="1051" w:type="dxa"/>
                  <w:vAlign w:val="center"/>
                </w:tcPr>
                <w:p w14:paraId="5188E010">
                  <w:pPr>
                    <w:jc w:val="center"/>
                    <w:rPr>
                      <w:kern w:val="0"/>
                      <w:szCs w:val="21"/>
                    </w:rPr>
                  </w:pPr>
                  <w:r>
                    <w:rPr>
                      <w:kern w:val="0"/>
                      <w:szCs w:val="21"/>
                    </w:rPr>
                    <w:t>/</w:t>
                  </w:r>
                </w:p>
              </w:tc>
            </w:tr>
            <w:tr w14:paraId="494DF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4F9E9DD6">
                  <w:pPr>
                    <w:widowControl/>
                    <w:jc w:val="center"/>
                    <w:rPr>
                      <w:kern w:val="28"/>
                      <w:szCs w:val="21"/>
                    </w:rPr>
                  </w:pPr>
                </w:p>
              </w:tc>
              <w:tc>
                <w:tcPr>
                  <w:tcW w:w="1154" w:type="dxa"/>
                  <w:gridSpan w:val="2"/>
                  <w:vAlign w:val="center"/>
                </w:tcPr>
                <w:p w14:paraId="1199E340">
                  <w:pPr>
                    <w:jc w:val="center"/>
                    <w:rPr>
                      <w:szCs w:val="21"/>
                    </w:rPr>
                  </w:pPr>
                  <w:r>
                    <w:rPr>
                      <w:rFonts w:hint="eastAsia"/>
                      <w:szCs w:val="21"/>
                    </w:rPr>
                    <w:t>地下水防护措施</w:t>
                  </w:r>
                </w:p>
              </w:tc>
              <w:tc>
                <w:tcPr>
                  <w:tcW w:w="4110" w:type="dxa"/>
                  <w:vAlign w:val="center"/>
                </w:tcPr>
                <w:p w14:paraId="3F4E6F2C">
                  <w:pPr>
                    <w:widowControl/>
                    <w:jc w:val="left"/>
                    <w:rPr>
                      <w:kern w:val="0"/>
                      <w:szCs w:val="21"/>
                    </w:rPr>
                  </w:pPr>
                  <w:r>
                    <w:rPr>
                      <w:rFonts w:hint="eastAsia"/>
                      <w:kern w:val="0"/>
                      <w:szCs w:val="21"/>
                    </w:rPr>
                    <w:t>按照源头控制、分区防渗、污染监控、应急响应的原则对柴油罐区、盐酸罐区等区域设置为重点防渗区，防渗等效黏土防渗层Mb≧6.0m，K≤1×10</w:t>
                  </w:r>
                  <w:r>
                    <w:rPr>
                      <w:rFonts w:hint="eastAsia"/>
                      <w:kern w:val="0"/>
                      <w:szCs w:val="21"/>
                      <w:vertAlign w:val="superscript"/>
                    </w:rPr>
                    <w:t>-7</w:t>
                  </w:r>
                  <w:r>
                    <w:rPr>
                      <w:rFonts w:hint="eastAsia"/>
                      <w:kern w:val="0"/>
                      <w:szCs w:val="21"/>
                    </w:rPr>
                    <w:t>cm/s，并设置围堰。</w:t>
                  </w:r>
                </w:p>
              </w:tc>
              <w:tc>
                <w:tcPr>
                  <w:tcW w:w="648" w:type="dxa"/>
                  <w:vAlign w:val="center"/>
                </w:tcPr>
                <w:p w14:paraId="6D7E5699">
                  <w:pPr>
                    <w:widowControl/>
                    <w:jc w:val="left"/>
                    <w:rPr>
                      <w:kern w:val="0"/>
                      <w:szCs w:val="21"/>
                    </w:rPr>
                  </w:pPr>
                  <w:r>
                    <w:rPr>
                      <w:rFonts w:hint="eastAsia"/>
                      <w:kern w:val="0"/>
                      <w:szCs w:val="21"/>
                    </w:rPr>
                    <w:t>新建</w:t>
                  </w:r>
                </w:p>
              </w:tc>
              <w:tc>
                <w:tcPr>
                  <w:tcW w:w="1051" w:type="dxa"/>
                  <w:vAlign w:val="center"/>
                </w:tcPr>
                <w:p w14:paraId="723BA3DD">
                  <w:pPr>
                    <w:jc w:val="center"/>
                    <w:rPr>
                      <w:kern w:val="0"/>
                      <w:szCs w:val="21"/>
                    </w:rPr>
                  </w:pPr>
                </w:p>
              </w:tc>
            </w:tr>
            <w:bookmarkEnd w:id="10"/>
            <w:bookmarkEnd w:id="11"/>
          </w:tbl>
          <w:p w14:paraId="481063BA">
            <w:pPr>
              <w:spacing w:line="360" w:lineRule="auto"/>
              <w:rPr>
                <w:b/>
                <w:sz w:val="24"/>
              </w:rPr>
            </w:pPr>
            <w:r>
              <w:rPr>
                <w:b/>
                <w:sz w:val="24"/>
              </w:rPr>
              <w:t>2.4设备使用情况</w:t>
            </w:r>
          </w:p>
          <w:p w14:paraId="59E513E0">
            <w:pPr>
              <w:tabs>
                <w:tab w:val="left" w:pos="2321"/>
                <w:tab w:val="left" w:pos="5925"/>
              </w:tabs>
              <w:adjustRightInd w:val="0"/>
              <w:spacing w:line="360" w:lineRule="auto"/>
              <w:ind w:firstLine="480" w:firstLineChars="200"/>
              <w:rPr>
                <w:bCs/>
                <w:sz w:val="24"/>
              </w:rPr>
            </w:pPr>
            <w:r>
              <w:rPr>
                <w:bCs/>
                <w:sz w:val="24"/>
              </w:rPr>
              <w:t>钻前工程主要为井场建设、设备搬迁及生活区建设，相关工程施工设备及运输设备本评价不做详细列举，重点对钻井设备及试气工程设备列表说明。</w:t>
            </w:r>
          </w:p>
          <w:p w14:paraId="3A01DA71">
            <w:pPr>
              <w:tabs>
                <w:tab w:val="left" w:pos="2321"/>
                <w:tab w:val="left" w:pos="5925"/>
              </w:tabs>
              <w:adjustRightInd w:val="0"/>
              <w:spacing w:line="360" w:lineRule="auto"/>
              <w:ind w:firstLine="480" w:firstLineChars="200"/>
              <w:rPr>
                <w:bCs/>
                <w:sz w:val="24"/>
              </w:rPr>
            </w:pPr>
            <w:r>
              <w:rPr>
                <w:bCs/>
                <w:sz w:val="24"/>
              </w:rPr>
              <w:t>（1）钻井设备</w:t>
            </w:r>
          </w:p>
          <w:p w14:paraId="4C47EBF6">
            <w:pPr>
              <w:tabs>
                <w:tab w:val="left" w:pos="2321"/>
                <w:tab w:val="left" w:pos="5925"/>
              </w:tabs>
              <w:adjustRightInd w:val="0"/>
              <w:spacing w:line="360" w:lineRule="auto"/>
              <w:ind w:firstLine="480" w:firstLineChars="200"/>
              <w:rPr>
                <w:bCs/>
                <w:sz w:val="24"/>
              </w:rPr>
            </w:pPr>
            <w:r>
              <w:rPr>
                <w:bCs/>
                <w:sz w:val="24"/>
              </w:rPr>
              <w:t>根据《</w:t>
            </w:r>
            <w:r>
              <w:rPr>
                <w:rFonts w:hint="eastAsia"/>
                <w:bCs/>
                <w:sz w:val="24"/>
              </w:rPr>
              <w:t>双庙页1HF井</w:t>
            </w:r>
            <w:r>
              <w:rPr>
                <w:bCs/>
                <w:sz w:val="24"/>
              </w:rPr>
              <w:t>钻井工程设计》，钻井作业主要钻井设备包括泥浆钻井系统、井架设备和井场监控自动化设备。根据对设备清单的核查检索，无国家规定的禁止使用和淘汰类设备。本项目使用设备如下：</w:t>
            </w:r>
          </w:p>
          <w:p w14:paraId="0D3C9FE4">
            <w:pPr>
              <w:pStyle w:val="19"/>
              <w:numPr>
                <w:ilvl w:val="0"/>
                <w:numId w:val="6"/>
              </w:numPr>
              <w:tabs>
                <w:tab w:val="left" w:pos="0"/>
                <w:tab w:val="left" w:pos="833"/>
              </w:tabs>
              <w:spacing w:before="0" w:after="0" w:line="360" w:lineRule="auto"/>
              <w:ind w:left="0" w:right="0" w:firstLine="0"/>
              <w:jc w:val="center"/>
              <w:rPr>
                <w:b/>
                <w:bCs/>
                <w:sz w:val="24"/>
                <w:szCs w:val="24"/>
              </w:rPr>
            </w:pPr>
            <w:r>
              <w:rPr>
                <w:rFonts w:hint="eastAsia"/>
                <w:b/>
                <w:bCs/>
                <w:sz w:val="24"/>
                <w:szCs w:val="24"/>
              </w:rPr>
              <w:t>双庙页1HF预探井工程</w:t>
            </w:r>
            <w:r>
              <w:rPr>
                <w:b/>
                <w:bCs/>
                <w:sz w:val="24"/>
                <w:szCs w:val="24"/>
              </w:rPr>
              <w:t>主要钻井设备</w:t>
            </w:r>
          </w:p>
          <w:tbl>
            <w:tblPr>
              <w:tblStyle w:val="41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65"/>
              <w:gridCol w:w="1128"/>
              <w:gridCol w:w="3158"/>
              <w:gridCol w:w="565"/>
              <w:gridCol w:w="2075"/>
            </w:tblGrid>
            <w:tr w14:paraId="56C204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8" w:hRule="atLeast"/>
                <w:tblHeader/>
                <w:jc w:val="center"/>
              </w:trPr>
              <w:tc>
                <w:tcPr>
                  <w:tcW w:w="377" w:type="pct"/>
                  <w:vAlign w:val="center"/>
                </w:tcPr>
                <w:p w14:paraId="1F95A0BF">
                  <w:pPr>
                    <w:pStyle w:val="410"/>
                    <w:rPr>
                      <w:rFonts w:ascii="Times New Roman" w:hAnsi="Calibri" w:eastAsia="Times New Roman"/>
                      <w:sz w:val="21"/>
                      <w:szCs w:val="21"/>
                    </w:rPr>
                  </w:pPr>
                  <w:r>
                    <w:rPr>
                      <w:rFonts w:ascii="Times New Roman" w:hAnsi="Calibri" w:eastAsia="Times New Roman"/>
                      <w:sz w:val="21"/>
                      <w:szCs w:val="21"/>
                    </w:rPr>
                    <w:t>序号</w:t>
                  </w:r>
                </w:p>
              </w:tc>
              <w:tc>
                <w:tcPr>
                  <w:tcW w:w="753" w:type="pct"/>
                  <w:vAlign w:val="center"/>
                </w:tcPr>
                <w:p w14:paraId="13D4D774">
                  <w:pPr>
                    <w:pStyle w:val="410"/>
                    <w:rPr>
                      <w:rFonts w:ascii="Times New Roman" w:hAnsi="Calibri" w:eastAsia="Times New Roman"/>
                      <w:sz w:val="21"/>
                      <w:szCs w:val="21"/>
                    </w:rPr>
                  </w:pPr>
                  <w:r>
                    <w:rPr>
                      <w:rFonts w:ascii="Times New Roman" w:hAnsi="Calibri" w:eastAsia="Times New Roman"/>
                      <w:sz w:val="21"/>
                      <w:szCs w:val="21"/>
                    </w:rPr>
                    <w:t>名称</w:t>
                  </w:r>
                </w:p>
              </w:tc>
              <w:tc>
                <w:tcPr>
                  <w:tcW w:w="2108" w:type="pct"/>
                  <w:vAlign w:val="center"/>
                </w:tcPr>
                <w:p w14:paraId="57362CC3">
                  <w:pPr>
                    <w:pStyle w:val="410"/>
                    <w:rPr>
                      <w:rFonts w:ascii="Times New Roman" w:hAnsi="Calibri" w:eastAsia="Times New Roman"/>
                      <w:sz w:val="21"/>
                      <w:szCs w:val="21"/>
                    </w:rPr>
                  </w:pPr>
                  <w:r>
                    <w:rPr>
                      <w:rFonts w:hint="eastAsia" w:hAnsi="宋体" w:eastAsia="Times New Roman" w:cs="宋体"/>
                      <w:sz w:val="21"/>
                      <w:szCs w:val="21"/>
                    </w:rPr>
                    <w:t>功率、负荷等主要技术参数</w:t>
                  </w:r>
                </w:p>
              </w:tc>
              <w:tc>
                <w:tcPr>
                  <w:tcW w:w="377" w:type="pct"/>
                  <w:vAlign w:val="center"/>
                </w:tcPr>
                <w:p w14:paraId="6DDBEB42">
                  <w:pPr>
                    <w:pStyle w:val="410"/>
                    <w:rPr>
                      <w:rFonts w:ascii="Times New Roman" w:hAnsi="Calibri" w:eastAsia="Times New Roman"/>
                      <w:sz w:val="21"/>
                      <w:szCs w:val="21"/>
                    </w:rPr>
                  </w:pPr>
                  <w:r>
                    <w:rPr>
                      <w:rFonts w:ascii="Times New Roman" w:hAnsi="Calibri" w:eastAsia="Times New Roman"/>
                      <w:sz w:val="21"/>
                      <w:szCs w:val="21"/>
                    </w:rPr>
                    <w:t>数量</w:t>
                  </w:r>
                </w:p>
              </w:tc>
              <w:tc>
                <w:tcPr>
                  <w:tcW w:w="1385" w:type="pct"/>
                  <w:vAlign w:val="center"/>
                </w:tcPr>
                <w:p w14:paraId="148665E3">
                  <w:pPr>
                    <w:pStyle w:val="410"/>
                    <w:rPr>
                      <w:rFonts w:ascii="Times New Roman" w:hAnsi="Calibri" w:eastAsia="Times New Roman"/>
                      <w:sz w:val="21"/>
                      <w:szCs w:val="21"/>
                    </w:rPr>
                  </w:pPr>
                  <w:r>
                    <w:rPr>
                      <w:rFonts w:ascii="Times New Roman" w:hAnsi="Calibri" w:eastAsia="Times New Roman"/>
                      <w:sz w:val="21"/>
                      <w:szCs w:val="21"/>
                    </w:rPr>
                    <w:t>备注</w:t>
                  </w:r>
                </w:p>
              </w:tc>
            </w:tr>
            <w:tr w14:paraId="37FE2F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1F2305FD">
                  <w:pPr>
                    <w:pStyle w:val="410"/>
                    <w:rPr>
                      <w:rFonts w:ascii="Times New Roman" w:hAnsi="Calibri" w:eastAsia="Times New Roman"/>
                      <w:sz w:val="21"/>
                      <w:szCs w:val="21"/>
                    </w:rPr>
                  </w:pPr>
                  <w:r>
                    <w:rPr>
                      <w:rFonts w:ascii="Times New Roman" w:hAnsi="Calibri" w:eastAsia="Times New Roman"/>
                      <w:sz w:val="21"/>
                      <w:szCs w:val="21"/>
                    </w:rPr>
                    <w:t>1</w:t>
                  </w:r>
                </w:p>
              </w:tc>
              <w:tc>
                <w:tcPr>
                  <w:tcW w:w="753" w:type="pct"/>
                  <w:vAlign w:val="center"/>
                </w:tcPr>
                <w:p w14:paraId="12B99972">
                  <w:pPr>
                    <w:pStyle w:val="410"/>
                    <w:rPr>
                      <w:rFonts w:ascii="Times New Roman" w:hAnsi="Calibri" w:eastAsia="Times New Roman"/>
                      <w:sz w:val="21"/>
                      <w:szCs w:val="21"/>
                    </w:rPr>
                  </w:pPr>
                  <w:r>
                    <w:rPr>
                      <w:rFonts w:hint="eastAsia" w:ascii="Times New Roman" w:hAnsi="Calibri" w:eastAsia="Times New Roman"/>
                      <w:sz w:val="21"/>
                      <w:szCs w:val="21"/>
                    </w:rPr>
                    <w:t>天车</w:t>
                  </w:r>
                </w:p>
              </w:tc>
              <w:tc>
                <w:tcPr>
                  <w:tcW w:w="2108" w:type="pct"/>
                  <w:vAlign w:val="center"/>
                </w:tcPr>
                <w:p w14:paraId="0BA08D62">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1F1CE3C6">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4C5CE7A0">
                  <w:pPr>
                    <w:pStyle w:val="410"/>
                    <w:rPr>
                      <w:rFonts w:ascii="Times New Roman" w:hAnsi="Calibri" w:eastAsia="Times New Roman"/>
                      <w:sz w:val="21"/>
                      <w:szCs w:val="21"/>
                    </w:rPr>
                  </w:pPr>
                </w:p>
              </w:tc>
            </w:tr>
            <w:tr w14:paraId="4C0DE9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2D570679">
                  <w:pPr>
                    <w:pStyle w:val="410"/>
                    <w:rPr>
                      <w:rFonts w:ascii="Times New Roman" w:hAnsi="Calibri" w:eastAsia="Times New Roman"/>
                      <w:sz w:val="21"/>
                      <w:szCs w:val="21"/>
                    </w:rPr>
                  </w:pPr>
                  <w:r>
                    <w:rPr>
                      <w:rFonts w:ascii="Times New Roman" w:hAnsi="Calibri" w:eastAsia="Times New Roman"/>
                      <w:sz w:val="21"/>
                      <w:szCs w:val="21"/>
                    </w:rPr>
                    <w:t>2</w:t>
                  </w:r>
                </w:p>
              </w:tc>
              <w:tc>
                <w:tcPr>
                  <w:tcW w:w="753" w:type="pct"/>
                  <w:vAlign w:val="center"/>
                </w:tcPr>
                <w:p w14:paraId="56526602">
                  <w:pPr>
                    <w:pStyle w:val="410"/>
                    <w:rPr>
                      <w:rFonts w:ascii="Times New Roman" w:hAnsi="Calibri" w:eastAsia="Times New Roman"/>
                      <w:sz w:val="21"/>
                      <w:szCs w:val="21"/>
                    </w:rPr>
                  </w:pPr>
                  <w:r>
                    <w:rPr>
                      <w:rFonts w:ascii="Times New Roman" w:hAnsi="Calibri" w:eastAsia="Times New Roman"/>
                      <w:sz w:val="21"/>
                      <w:szCs w:val="21"/>
                    </w:rPr>
                    <w:t>游车</w:t>
                  </w:r>
                </w:p>
              </w:tc>
              <w:tc>
                <w:tcPr>
                  <w:tcW w:w="2108" w:type="pct"/>
                  <w:vAlign w:val="center"/>
                </w:tcPr>
                <w:p w14:paraId="52ADA9A6">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40812975">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02A41FCD">
                  <w:pPr>
                    <w:pStyle w:val="410"/>
                    <w:rPr>
                      <w:rFonts w:ascii="Times New Roman" w:hAnsi="Calibri" w:eastAsia="Times New Roman"/>
                      <w:sz w:val="21"/>
                      <w:szCs w:val="21"/>
                    </w:rPr>
                  </w:pPr>
                </w:p>
              </w:tc>
            </w:tr>
            <w:tr w14:paraId="79DB8B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26454084">
                  <w:pPr>
                    <w:pStyle w:val="410"/>
                    <w:rPr>
                      <w:rFonts w:ascii="Times New Roman" w:hAnsi="Calibri" w:eastAsia="Times New Roman"/>
                      <w:sz w:val="21"/>
                      <w:szCs w:val="21"/>
                    </w:rPr>
                  </w:pPr>
                  <w:r>
                    <w:rPr>
                      <w:rFonts w:ascii="Times New Roman" w:hAnsi="Calibri" w:eastAsia="Times New Roman"/>
                      <w:sz w:val="21"/>
                      <w:szCs w:val="21"/>
                    </w:rPr>
                    <w:t>3</w:t>
                  </w:r>
                </w:p>
              </w:tc>
              <w:tc>
                <w:tcPr>
                  <w:tcW w:w="753" w:type="pct"/>
                  <w:vAlign w:val="center"/>
                </w:tcPr>
                <w:p w14:paraId="17B20A79">
                  <w:pPr>
                    <w:pStyle w:val="410"/>
                    <w:rPr>
                      <w:rFonts w:ascii="Times New Roman" w:hAnsi="Calibri" w:eastAsia="Times New Roman"/>
                      <w:sz w:val="21"/>
                      <w:szCs w:val="21"/>
                    </w:rPr>
                  </w:pPr>
                  <w:r>
                    <w:rPr>
                      <w:rFonts w:ascii="Times New Roman" w:hAnsi="Calibri" w:eastAsia="Times New Roman"/>
                      <w:sz w:val="21"/>
                      <w:szCs w:val="21"/>
                    </w:rPr>
                    <w:t>大钩</w:t>
                  </w:r>
                </w:p>
              </w:tc>
              <w:tc>
                <w:tcPr>
                  <w:tcW w:w="2108" w:type="pct"/>
                  <w:vAlign w:val="center"/>
                </w:tcPr>
                <w:p w14:paraId="72BF1794">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1D84C2DF">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549586B1">
                  <w:pPr>
                    <w:pStyle w:val="410"/>
                    <w:rPr>
                      <w:rFonts w:ascii="Times New Roman" w:hAnsi="Calibri" w:eastAsia="Times New Roman"/>
                      <w:sz w:val="21"/>
                      <w:szCs w:val="21"/>
                    </w:rPr>
                  </w:pPr>
                  <w:r>
                    <w:rPr>
                      <w:rFonts w:hint="eastAsia" w:ascii="Times New Roman" w:hAnsi="Calibri" w:eastAsia="Times New Roman"/>
                      <w:sz w:val="21"/>
                      <w:szCs w:val="21"/>
                    </w:rPr>
                    <w:t>备用</w:t>
                  </w:r>
                </w:p>
              </w:tc>
            </w:tr>
            <w:tr w14:paraId="1C5032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19A38F01">
                  <w:pPr>
                    <w:pStyle w:val="410"/>
                    <w:rPr>
                      <w:rFonts w:ascii="Times New Roman" w:hAnsi="Calibri" w:eastAsia="Times New Roman"/>
                      <w:sz w:val="21"/>
                      <w:szCs w:val="21"/>
                    </w:rPr>
                  </w:pPr>
                  <w:r>
                    <w:rPr>
                      <w:rFonts w:ascii="Times New Roman" w:hAnsi="Calibri" w:eastAsia="Times New Roman"/>
                      <w:sz w:val="21"/>
                      <w:szCs w:val="21"/>
                    </w:rPr>
                    <w:t>4</w:t>
                  </w:r>
                </w:p>
              </w:tc>
              <w:tc>
                <w:tcPr>
                  <w:tcW w:w="753" w:type="pct"/>
                  <w:vAlign w:val="center"/>
                </w:tcPr>
                <w:p w14:paraId="01EB869B">
                  <w:pPr>
                    <w:pStyle w:val="410"/>
                    <w:rPr>
                      <w:rFonts w:ascii="Times New Roman" w:hAnsi="Calibri" w:eastAsia="Times New Roman"/>
                      <w:sz w:val="21"/>
                      <w:szCs w:val="21"/>
                    </w:rPr>
                  </w:pPr>
                  <w:r>
                    <w:rPr>
                      <w:rFonts w:ascii="Times New Roman" w:hAnsi="Calibri" w:eastAsia="Times New Roman"/>
                      <w:sz w:val="21"/>
                      <w:szCs w:val="21"/>
                    </w:rPr>
                    <w:t>水龙头</w:t>
                  </w:r>
                </w:p>
              </w:tc>
              <w:tc>
                <w:tcPr>
                  <w:tcW w:w="2108" w:type="pct"/>
                  <w:vAlign w:val="center"/>
                </w:tcPr>
                <w:p w14:paraId="60FD54C4">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0DF8A3E2">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02C639D7">
                  <w:pPr>
                    <w:pStyle w:val="410"/>
                    <w:rPr>
                      <w:rFonts w:ascii="Times New Roman" w:hAnsi="Calibri" w:eastAsia="Times New Roman"/>
                      <w:sz w:val="21"/>
                      <w:szCs w:val="21"/>
                    </w:rPr>
                  </w:pPr>
                  <w:r>
                    <w:rPr>
                      <w:rFonts w:hint="eastAsia" w:ascii="Times New Roman" w:hAnsi="Calibri" w:eastAsia="Times New Roman"/>
                      <w:sz w:val="21"/>
                      <w:szCs w:val="21"/>
                    </w:rPr>
                    <w:t>备用</w:t>
                  </w:r>
                </w:p>
              </w:tc>
            </w:tr>
            <w:tr w14:paraId="415E5B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574B5CFE">
                  <w:pPr>
                    <w:pStyle w:val="410"/>
                    <w:rPr>
                      <w:rFonts w:ascii="Times New Roman" w:hAnsi="Calibri" w:eastAsia="Times New Roman"/>
                      <w:sz w:val="21"/>
                      <w:szCs w:val="21"/>
                    </w:rPr>
                  </w:pPr>
                  <w:r>
                    <w:rPr>
                      <w:rFonts w:ascii="Times New Roman" w:hAnsi="Calibri" w:eastAsia="Times New Roman"/>
                      <w:sz w:val="21"/>
                      <w:szCs w:val="21"/>
                    </w:rPr>
                    <w:t>5</w:t>
                  </w:r>
                </w:p>
              </w:tc>
              <w:tc>
                <w:tcPr>
                  <w:tcW w:w="753" w:type="pct"/>
                  <w:vAlign w:val="center"/>
                </w:tcPr>
                <w:p w14:paraId="46FEA3FA">
                  <w:pPr>
                    <w:pStyle w:val="410"/>
                    <w:rPr>
                      <w:rFonts w:ascii="Times New Roman" w:hAnsi="Calibri" w:eastAsia="Times New Roman"/>
                      <w:sz w:val="21"/>
                      <w:szCs w:val="21"/>
                    </w:rPr>
                  </w:pPr>
                  <w:r>
                    <w:rPr>
                      <w:rFonts w:ascii="Times New Roman" w:hAnsi="Calibri" w:eastAsia="Times New Roman"/>
                      <w:sz w:val="21"/>
                      <w:szCs w:val="21"/>
                    </w:rPr>
                    <w:t>转盘</w:t>
                  </w:r>
                </w:p>
              </w:tc>
              <w:tc>
                <w:tcPr>
                  <w:tcW w:w="2108" w:type="pct"/>
                  <w:vAlign w:val="center"/>
                </w:tcPr>
                <w:p w14:paraId="28843CA9">
                  <w:pPr>
                    <w:pStyle w:val="410"/>
                    <w:rPr>
                      <w:rFonts w:ascii="Times New Roman" w:hAnsi="Calibri" w:eastAsia="Times New Roman"/>
                      <w:sz w:val="21"/>
                      <w:szCs w:val="21"/>
                    </w:rPr>
                  </w:pPr>
                  <w:r>
                    <w:rPr>
                      <w:rFonts w:ascii="Times New Roman" w:hAnsi="Calibri" w:eastAsia="Times New Roman"/>
                      <w:sz w:val="21"/>
                      <w:szCs w:val="21"/>
                    </w:rPr>
                    <w:t>5850kN/952.5mm</w:t>
                  </w:r>
                  <w:r>
                    <w:rPr>
                      <w:rFonts w:hint="eastAsia" w:hAnsi="宋体" w:eastAsia="Times New Roman" w:cs="宋体"/>
                      <w:sz w:val="21"/>
                      <w:szCs w:val="21"/>
                    </w:rPr>
                    <w:t>（通孔直径）</w:t>
                  </w:r>
                </w:p>
              </w:tc>
              <w:tc>
                <w:tcPr>
                  <w:tcW w:w="377" w:type="pct"/>
                  <w:vAlign w:val="center"/>
                </w:tcPr>
                <w:p w14:paraId="0CD9EFA4">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62DBD9C2">
                  <w:pPr>
                    <w:pStyle w:val="410"/>
                    <w:rPr>
                      <w:rFonts w:ascii="Times New Roman" w:hAnsi="Calibri" w:eastAsia="Times New Roman"/>
                      <w:sz w:val="21"/>
                      <w:szCs w:val="21"/>
                    </w:rPr>
                  </w:pPr>
                </w:p>
              </w:tc>
            </w:tr>
            <w:tr w14:paraId="60796C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73AECB89">
                  <w:pPr>
                    <w:pStyle w:val="410"/>
                    <w:rPr>
                      <w:rFonts w:ascii="Times New Roman" w:hAnsi="Calibri" w:eastAsia="Times New Roman"/>
                      <w:sz w:val="21"/>
                      <w:szCs w:val="21"/>
                    </w:rPr>
                  </w:pPr>
                  <w:r>
                    <w:rPr>
                      <w:rFonts w:ascii="Times New Roman" w:hAnsi="Calibri" w:eastAsia="Times New Roman"/>
                      <w:sz w:val="21"/>
                      <w:szCs w:val="21"/>
                    </w:rPr>
                    <w:t>6</w:t>
                  </w:r>
                </w:p>
              </w:tc>
              <w:tc>
                <w:tcPr>
                  <w:tcW w:w="753" w:type="pct"/>
                  <w:vAlign w:val="center"/>
                </w:tcPr>
                <w:p w14:paraId="17682DDA">
                  <w:pPr>
                    <w:pStyle w:val="410"/>
                    <w:rPr>
                      <w:rFonts w:ascii="Times New Roman" w:hAnsi="Calibri" w:eastAsia="Times New Roman"/>
                      <w:sz w:val="21"/>
                      <w:szCs w:val="21"/>
                    </w:rPr>
                  </w:pPr>
                  <w:r>
                    <w:rPr>
                      <w:rFonts w:ascii="Times New Roman" w:hAnsi="Calibri" w:eastAsia="Times New Roman"/>
                      <w:sz w:val="21"/>
                      <w:szCs w:val="21"/>
                    </w:rPr>
                    <w:t>绞车</w:t>
                  </w:r>
                </w:p>
              </w:tc>
              <w:tc>
                <w:tcPr>
                  <w:tcW w:w="2108" w:type="pct"/>
                  <w:vAlign w:val="center"/>
                </w:tcPr>
                <w:p w14:paraId="66ADFF78">
                  <w:pPr>
                    <w:pStyle w:val="410"/>
                    <w:rPr>
                      <w:rFonts w:ascii="Times New Roman" w:hAnsi="Calibri" w:eastAsia="Times New Roman"/>
                      <w:sz w:val="21"/>
                      <w:szCs w:val="21"/>
                    </w:rPr>
                  </w:pPr>
                  <w:r>
                    <w:rPr>
                      <w:rFonts w:ascii="Times New Roman" w:hAnsi="Calibri" w:eastAsia="Times New Roman"/>
                      <w:sz w:val="21"/>
                      <w:szCs w:val="21"/>
                    </w:rPr>
                    <w:t>1470kW</w:t>
                  </w:r>
                </w:p>
              </w:tc>
              <w:tc>
                <w:tcPr>
                  <w:tcW w:w="377" w:type="pct"/>
                  <w:vAlign w:val="center"/>
                </w:tcPr>
                <w:p w14:paraId="6E62BB80">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37DFE546">
                  <w:pPr>
                    <w:pStyle w:val="410"/>
                    <w:rPr>
                      <w:rFonts w:ascii="Times New Roman" w:hAnsi="Calibri" w:eastAsia="Times New Roman"/>
                      <w:sz w:val="21"/>
                      <w:szCs w:val="21"/>
                    </w:rPr>
                  </w:pPr>
                </w:p>
              </w:tc>
            </w:tr>
            <w:tr w14:paraId="29C244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245D4CDD">
                  <w:pPr>
                    <w:pStyle w:val="410"/>
                    <w:rPr>
                      <w:rFonts w:ascii="Times New Roman" w:hAnsi="Calibri" w:eastAsia="Times New Roman"/>
                      <w:sz w:val="21"/>
                      <w:szCs w:val="21"/>
                    </w:rPr>
                  </w:pPr>
                  <w:r>
                    <w:rPr>
                      <w:rFonts w:ascii="Times New Roman" w:hAnsi="Calibri" w:eastAsia="Times New Roman"/>
                      <w:sz w:val="21"/>
                      <w:szCs w:val="21"/>
                    </w:rPr>
                    <w:t>7</w:t>
                  </w:r>
                </w:p>
              </w:tc>
              <w:tc>
                <w:tcPr>
                  <w:tcW w:w="753" w:type="pct"/>
                  <w:vAlign w:val="center"/>
                </w:tcPr>
                <w:p w14:paraId="710516CF">
                  <w:pPr>
                    <w:pStyle w:val="410"/>
                    <w:rPr>
                      <w:rFonts w:ascii="Times New Roman" w:hAnsi="Calibri" w:eastAsia="Times New Roman"/>
                      <w:sz w:val="21"/>
                      <w:szCs w:val="21"/>
                    </w:rPr>
                  </w:pPr>
                  <w:r>
                    <w:rPr>
                      <w:rFonts w:ascii="Times New Roman" w:hAnsi="Calibri" w:eastAsia="Times New Roman"/>
                      <w:sz w:val="21"/>
                      <w:szCs w:val="21"/>
                    </w:rPr>
                    <w:t>井架</w:t>
                  </w:r>
                </w:p>
              </w:tc>
              <w:tc>
                <w:tcPr>
                  <w:tcW w:w="2108" w:type="pct"/>
                  <w:vAlign w:val="center"/>
                </w:tcPr>
                <w:p w14:paraId="3651DB3A">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5BBAA7F7">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49EC47FD">
                  <w:pPr>
                    <w:pStyle w:val="410"/>
                    <w:rPr>
                      <w:rFonts w:ascii="Times New Roman" w:hAnsi="Calibri" w:eastAsia="Times New Roman"/>
                      <w:sz w:val="21"/>
                      <w:szCs w:val="21"/>
                    </w:rPr>
                  </w:pPr>
                </w:p>
              </w:tc>
            </w:tr>
            <w:tr w14:paraId="09EB51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56D910D3">
                  <w:pPr>
                    <w:pStyle w:val="410"/>
                    <w:rPr>
                      <w:rFonts w:ascii="Times New Roman" w:hAnsi="Calibri" w:eastAsia="Times New Roman"/>
                      <w:sz w:val="21"/>
                      <w:szCs w:val="21"/>
                    </w:rPr>
                  </w:pPr>
                  <w:r>
                    <w:rPr>
                      <w:rFonts w:ascii="Times New Roman" w:hAnsi="Calibri" w:eastAsia="Times New Roman"/>
                      <w:sz w:val="21"/>
                      <w:szCs w:val="21"/>
                    </w:rPr>
                    <w:t>8</w:t>
                  </w:r>
                </w:p>
              </w:tc>
              <w:tc>
                <w:tcPr>
                  <w:tcW w:w="753" w:type="pct"/>
                  <w:vAlign w:val="center"/>
                </w:tcPr>
                <w:p w14:paraId="3C36E1E2">
                  <w:pPr>
                    <w:pStyle w:val="410"/>
                    <w:rPr>
                      <w:rFonts w:ascii="Times New Roman" w:hAnsi="Calibri" w:eastAsia="Times New Roman"/>
                      <w:sz w:val="21"/>
                      <w:szCs w:val="21"/>
                    </w:rPr>
                  </w:pPr>
                  <w:r>
                    <w:rPr>
                      <w:rFonts w:hint="eastAsia" w:ascii="Times New Roman" w:hAnsi="Calibri" w:eastAsia="Times New Roman"/>
                      <w:sz w:val="21"/>
                      <w:szCs w:val="21"/>
                    </w:rPr>
                    <w:t>井架底座</w:t>
                  </w:r>
                </w:p>
              </w:tc>
              <w:tc>
                <w:tcPr>
                  <w:tcW w:w="2108" w:type="pct"/>
                  <w:vAlign w:val="center"/>
                </w:tcPr>
                <w:p w14:paraId="519FB7DC">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753FC3D4">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5440686B">
                  <w:pPr>
                    <w:pStyle w:val="410"/>
                    <w:rPr>
                      <w:rFonts w:ascii="Times New Roman" w:hAnsi="Calibri" w:eastAsia="Times New Roman"/>
                      <w:sz w:val="21"/>
                      <w:szCs w:val="21"/>
                    </w:rPr>
                  </w:pPr>
                </w:p>
              </w:tc>
            </w:tr>
            <w:tr w14:paraId="10A41B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749CD83C">
                  <w:pPr>
                    <w:pStyle w:val="410"/>
                    <w:rPr>
                      <w:rFonts w:ascii="Times New Roman" w:hAnsi="Calibri" w:eastAsia="Times New Roman"/>
                      <w:sz w:val="21"/>
                      <w:szCs w:val="21"/>
                    </w:rPr>
                  </w:pPr>
                  <w:r>
                    <w:rPr>
                      <w:rFonts w:ascii="Times New Roman" w:hAnsi="Calibri" w:eastAsia="Times New Roman"/>
                      <w:sz w:val="21"/>
                      <w:szCs w:val="21"/>
                    </w:rPr>
                    <w:t>9</w:t>
                  </w:r>
                </w:p>
              </w:tc>
              <w:tc>
                <w:tcPr>
                  <w:tcW w:w="753" w:type="pct"/>
                  <w:vAlign w:val="center"/>
                </w:tcPr>
                <w:p w14:paraId="525608A2">
                  <w:pPr>
                    <w:pStyle w:val="410"/>
                    <w:rPr>
                      <w:rFonts w:ascii="Times New Roman" w:hAnsi="Calibri" w:eastAsia="Times New Roman"/>
                      <w:sz w:val="21"/>
                      <w:szCs w:val="21"/>
                    </w:rPr>
                  </w:pPr>
                  <w:r>
                    <w:rPr>
                      <w:rFonts w:ascii="Times New Roman" w:hAnsi="Calibri" w:eastAsia="Times New Roman"/>
                      <w:sz w:val="21"/>
                      <w:szCs w:val="21"/>
                    </w:rPr>
                    <w:t>顶驱</w:t>
                  </w:r>
                </w:p>
              </w:tc>
              <w:tc>
                <w:tcPr>
                  <w:tcW w:w="2108" w:type="pct"/>
                  <w:vAlign w:val="center"/>
                </w:tcPr>
                <w:p w14:paraId="0B9CEB8D">
                  <w:pPr>
                    <w:pStyle w:val="410"/>
                    <w:rPr>
                      <w:rFonts w:ascii="Times New Roman" w:hAnsi="Calibri" w:eastAsia="Times New Roman"/>
                      <w:sz w:val="21"/>
                      <w:szCs w:val="21"/>
                    </w:rPr>
                  </w:pPr>
                  <w:r>
                    <w:rPr>
                      <w:rFonts w:ascii="Times New Roman" w:hAnsi="Calibri" w:eastAsia="Times New Roman"/>
                      <w:sz w:val="21"/>
                      <w:szCs w:val="21"/>
                    </w:rPr>
                    <w:t>4500kN</w:t>
                  </w:r>
                </w:p>
              </w:tc>
              <w:tc>
                <w:tcPr>
                  <w:tcW w:w="377" w:type="pct"/>
                  <w:vAlign w:val="center"/>
                </w:tcPr>
                <w:p w14:paraId="58215142">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23F7661A">
                  <w:pPr>
                    <w:pStyle w:val="410"/>
                    <w:rPr>
                      <w:rFonts w:ascii="Times New Roman" w:hAnsi="Calibri" w:eastAsia="Times New Roman"/>
                      <w:sz w:val="21"/>
                      <w:szCs w:val="21"/>
                    </w:rPr>
                  </w:pPr>
                  <w:r>
                    <w:rPr>
                      <w:rFonts w:ascii="Times New Roman" w:hAnsi="Calibri" w:eastAsia="Times New Roman"/>
                      <w:sz w:val="21"/>
                      <w:szCs w:val="21"/>
                    </w:rPr>
                    <w:t>全井段</w:t>
                  </w:r>
                </w:p>
              </w:tc>
            </w:tr>
            <w:tr w14:paraId="7F6D41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1D997B28">
                  <w:pPr>
                    <w:pStyle w:val="410"/>
                    <w:rPr>
                      <w:rFonts w:ascii="Times New Roman" w:hAnsi="Calibri" w:eastAsia="Times New Roman"/>
                      <w:sz w:val="21"/>
                      <w:szCs w:val="21"/>
                    </w:rPr>
                  </w:pPr>
                  <w:r>
                    <w:rPr>
                      <w:rFonts w:ascii="Times New Roman" w:hAnsi="Calibri" w:eastAsia="Times New Roman"/>
                      <w:sz w:val="21"/>
                      <w:szCs w:val="21"/>
                    </w:rPr>
                    <w:t>10</w:t>
                  </w:r>
                </w:p>
              </w:tc>
              <w:tc>
                <w:tcPr>
                  <w:tcW w:w="753" w:type="pct"/>
                  <w:vAlign w:val="center"/>
                </w:tcPr>
                <w:p w14:paraId="50546236">
                  <w:pPr>
                    <w:pStyle w:val="410"/>
                    <w:rPr>
                      <w:rFonts w:ascii="Times New Roman" w:hAnsi="Calibri" w:eastAsia="Times New Roman"/>
                      <w:sz w:val="21"/>
                      <w:szCs w:val="21"/>
                    </w:rPr>
                  </w:pPr>
                  <w:r>
                    <w:rPr>
                      <w:rFonts w:ascii="Times New Roman" w:hAnsi="Calibri" w:eastAsia="Times New Roman"/>
                      <w:sz w:val="21"/>
                    </w:rPr>
                    <w:t>动力系统</w:t>
                  </w:r>
                </w:p>
              </w:tc>
              <w:tc>
                <w:tcPr>
                  <w:tcW w:w="2108" w:type="pct"/>
                  <w:vAlign w:val="center"/>
                </w:tcPr>
                <w:p w14:paraId="5296CB95">
                  <w:pPr>
                    <w:pStyle w:val="410"/>
                    <w:rPr>
                      <w:rFonts w:ascii="Times New Roman" w:hAnsi="Calibri" w:eastAsia="Times New Roman"/>
                      <w:sz w:val="21"/>
                      <w:szCs w:val="21"/>
                    </w:rPr>
                  </w:pPr>
                  <w:r>
                    <w:rPr>
                      <w:rFonts w:ascii="Times New Roman" w:hAnsi="Calibri" w:eastAsia="Times New Roman"/>
                      <w:sz w:val="21"/>
                      <w:szCs w:val="21"/>
                    </w:rPr>
                    <w:t>3000kW/4400kW/3150kVA</w:t>
                  </w:r>
                </w:p>
              </w:tc>
              <w:tc>
                <w:tcPr>
                  <w:tcW w:w="377" w:type="pct"/>
                  <w:vAlign w:val="center"/>
                </w:tcPr>
                <w:p w14:paraId="273E8B9A">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33F3EA23">
                  <w:pPr>
                    <w:pStyle w:val="410"/>
                    <w:rPr>
                      <w:rFonts w:ascii="Times New Roman" w:hAnsi="Calibri" w:eastAsia="Times New Roman"/>
                      <w:sz w:val="21"/>
                      <w:szCs w:val="21"/>
                    </w:rPr>
                  </w:pPr>
                </w:p>
              </w:tc>
            </w:tr>
            <w:tr w14:paraId="71F3CF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3C754C4E">
                  <w:pPr>
                    <w:pStyle w:val="410"/>
                    <w:rPr>
                      <w:rFonts w:ascii="Times New Roman" w:hAnsi="Calibri" w:eastAsia="Times New Roman"/>
                      <w:sz w:val="21"/>
                      <w:szCs w:val="21"/>
                    </w:rPr>
                  </w:pPr>
                  <w:r>
                    <w:rPr>
                      <w:rFonts w:ascii="Times New Roman" w:hAnsi="Calibri" w:eastAsia="Times New Roman"/>
                      <w:sz w:val="21"/>
                      <w:szCs w:val="21"/>
                    </w:rPr>
                    <w:t>11</w:t>
                  </w:r>
                </w:p>
              </w:tc>
              <w:tc>
                <w:tcPr>
                  <w:tcW w:w="753" w:type="pct"/>
                  <w:vAlign w:val="center"/>
                </w:tcPr>
                <w:p w14:paraId="1F625E20">
                  <w:pPr>
                    <w:pStyle w:val="410"/>
                    <w:rPr>
                      <w:rFonts w:ascii="Times New Roman" w:hAnsi="Calibri" w:eastAsia="Times New Roman"/>
                      <w:sz w:val="21"/>
                      <w:szCs w:val="21"/>
                    </w:rPr>
                  </w:pPr>
                  <w:r>
                    <w:rPr>
                      <w:rFonts w:ascii="Times New Roman" w:hAnsi="Calibri" w:eastAsia="Times New Roman"/>
                      <w:sz w:val="21"/>
                    </w:rPr>
                    <w:t>钻井泵</w:t>
                  </w:r>
                </w:p>
              </w:tc>
              <w:tc>
                <w:tcPr>
                  <w:tcW w:w="2108" w:type="pct"/>
                  <w:vAlign w:val="center"/>
                </w:tcPr>
                <w:p w14:paraId="34502E64">
                  <w:pPr>
                    <w:pStyle w:val="410"/>
                    <w:rPr>
                      <w:rFonts w:ascii="Times New Roman" w:hAnsi="Calibri" w:eastAsia="Times New Roman"/>
                      <w:sz w:val="21"/>
                      <w:szCs w:val="21"/>
                    </w:rPr>
                  </w:pPr>
                  <w:r>
                    <w:rPr>
                      <w:rFonts w:ascii="Times New Roman" w:hAnsi="Calibri" w:eastAsia="Times New Roman"/>
                      <w:sz w:val="21"/>
                      <w:szCs w:val="21"/>
                    </w:rPr>
                    <w:t>1176kW</w:t>
                  </w:r>
                  <w:r>
                    <w:rPr>
                      <w:rFonts w:hint="eastAsia" w:hAnsi="宋体" w:eastAsia="Times New Roman" w:cs="宋体"/>
                      <w:sz w:val="21"/>
                      <w:szCs w:val="21"/>
                    </w:rPr>
                    <w:t>（单台）</w:t>
                  </w:r>
                  <w:r>
                    <w:rPr>
                      <w:rFonts w:ascii="Times New Roman" w:hAnsi="Calibri" w:eastAsia="Times New Roman"/>
                      <w:sz w:val="21"/>
                      <w:szCs w:val="21"/>
                    </w:rPr>
                    <w:t>/34.5MPa</w:t>
                  </w:r>
                  <w:r>
                    <w:rPr>
                      <w:rFonts w:hint="eastAsia" w:hAnsi="宋体" w:eastAsia="Times New Roman" w:cs="宋体"/>
                      <w:sz w:val="21"/>
                      <w:szCs w:val="21"/>
                    </w:rPr>
                    <w:t>（最高泵压）</w:t>
                  </w:r>
                </w:p>
              </w:tc>
              <w:tc>
                <w:tcPr>
                  <w:tcW w:w="377" w:type="pct"/>
                  <w:vAlign w:val="center"/>
                </w:tcPr>
                <w:p w14:paraId="24541415">
                  <w:pPr>
                    <w:pStyle w:val="410"/>
                    <w:rPr>
                      <w:rFonts w:ascii="Times New Roman" w:hAnsi="Calibri" w:eastAsia="Times New Roman"/>
                      <w:sz w:val="21"/>
                      <w:szCs w:val="21"/>
                    </w:rPr>
                  </w:pPr>
                  <w:r>
                    <w:rPr>
                      <w:rFonts w:ascii="Times New Roman" w:hAnsi="Calibri" w:eastAsia="Times New Roman"/>
                      <w:sz w:val="21"/>
                      <w:szCs w:val="21"/>
                    </w:rPr>
                    <w:t>3</w:t>
                  </w:r>
                </w:p>
              </w:tc>
              <w:tc>
                <w:tcPr>
                  <w:tcW w:w="1385" w:type="pct"/>
                  <w:vAlign w:val="center"/>
                </w:tcPr>
                <w:p w14:paraId="62696046">
                  <w:pPr>
                    <w:pStyle w:val="410"/>
                    <w:rPr>
                      <w:rFonts w:ascii="Times New Roman" w:hAnsi="Calibri" w:eastAsia="Times New Roman"/>
                      <w:sz w:val="21"/>
                      <w:szCs w:val="21"/>
                    </w:rPr>
                  </w:pPr>
                </w:p>
              </w:tc>
            </w:tr>
            <w:tr w14:paraId="7D6442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62DC3393">
                  <w:pPr>
                    <w:pStyle w:val="410"/>
                    <w:rPr>
                      <w:rFonts w:ascii="Times New Roman" w:hAnsi="Calibri" w:eastAsia="Times New Roman"/>
                      <w:sz w:val="21"/>
                      <w:szCs w:val="21"/>
                    </w:rPr>
                  </w:pPr>
                  <w:r>
                    <w:rPr>
                      <w:rFonts w:ascii="Times New Roman" w:hAnsi="Calibri" w:eastAsia="Times New Roman"/>
                      <w:sz w:val="21"/>
                      <w:szCs w:val="21"/>
                    </w:rPr>
                    <w:t>12</w:t>
                  </w:r>
                </w:p>
              </w:tc>
              <w:tc>
                <w:tcPr>
                  <w:tcW w:w="753" w:type="pct"/>
                  <w:vAlign w:val="center"/>
                </w:tcPr>
                <w:p w14:paraId="488030B4">
                  <w:pPr>
                    <w:pStyle w:val="410"/>
                    <w:rPr>
                      <w:rFonts w:ascii="Times New Roman" w:hAnsi="Calibri" w:eastAsia="Times New Roman"/>
                      <w:sz w:val="21"/>
                      <w:szCs w:val="21"/>
                    </w:rPr>
                  </w:pPr>
                  <w:r>
                    <w:rPr>
                      <w:rFonts w:ascii="Times New Roman" w:hAnsi="Calibri" w:eastAsia="Times New Roman"/>
                      <w:sz w:val="21"/>
                    </w:rPr>
                    <w:t>循环罐</w:t>
                  </w:r>
                </w:p>
              </w:tc>
              <w:tc>
                <w:tcPr>
                  <w:tcW w:w="2108" w:type="pct"/>
                  <w:vAlign w:val="center"/>
                </w:tcPr>
                <w:p w14:paraId="069F1277">
                  <w:pPr>
                    <w:pStyle w:val="410"/>
                    <w:rPr>
                      <w:rFonts w:ascii="Times New Roman" w:hAnsi="Calibri" w:eastAsia="Times New Roman"/>
                      <w:sz w:val="21"/>
                      <w:szCs w:val="21"/>
                    </w:rPr>
                  </w:pPr>
                  <w:r>
                    <w:rPr>
                      <w:rFonts w:hint="eastAsia" w:ascii="Times New Roman" w:hAnsi="Calibri" w:eastAsia="Times New Roman"/>
                      <w:sz w:val="21"/>
                      <w:szCs w:val="21"/>
                    </w:rPr>
                    <w:t>有效容积</w:t>
                  </w:r>
                  <w:r>
                    <w:rPr>
                      <w:rFonts w:ascii="Times New Roman" w:hAnsi="Calibri" w:eastAsia="Times New Roman"/>
                      <w:sz w:val="21"/>
                      <w:szCs w:val="21"/>
                    </w:rPr>
                    <w:t>360m</w:t>
                  </w:r>
                  <w:r>
                    <w:rPr>
                      <w:rFonts w:ascii="Times New Roman" w:hAnsi="Calibri" w:eastAsia="Times New Roman"/>
                      <w:sz w:val="21"/>
                      <w:szCs w:val="21"/>
                      <w:vertAlign w:val="superscript"/>
                    </w:rPr>
                    <w:t>3</w:t>
                  </w:r>
                </w:p>
              </w:tc>
              <w:tc>
                <w:tcPr>
                  <w:tcW w:w="377" w:type="pct"/>
                  <w:vAlign w:val="center"/>
                </w:tcPr>
                <w:p w14:paraId="1146A285">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24E59AE4">
                  <w:pPr>
                    <w:pStyle w:val="410"/>
                    <w:rPr>
                      <w:rFonts w:ascii="Times New Roman" w:hAnsi="Calibri" w:eastAsia="Times New Roman"/>
                      <w:sz w:val="21"/>
                      <w:szCs w:val="21"/>
                    </w:rPr>
                  </w:pPr>
                  <w:r>
                    <w:rPr>
                      <w:rFonts w:hint="eastAsia" w:ascii="Times New Roman" w:hAnsi="Calibri" w:eastAsia="Times New Roman"/>
                      <w:sz w:val="21"/>
                      <w:szCs w:val="21"/>
                    </w:rPr>
                    <w:t>含搅拌机</w:t>
                  </w:r>
                </w:p>
              </w:tc>
            </w:tr>
            <w:tr w14:paraId="4BECAE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7D0081CE">
                  <w:pPr>
                    <w:pStyle w:val="410"/>
                    <w:rPr>
                      <w:rFonts w:ascii="Times New Roman" w:hAnsi="Calibri" w:eastAsia="Times New Roman"/>
                      <w:sz w:val="21"/>
                      <w:szCs w:val="21"/>
                    </w:rPr>
                  </w:pPr>
                  <w:r>
                    <w:rPr>
                      <w:rFonts w:ascii="Times New Roman" w:hAnsi="Calibri" w:eastAsia="Times New Roman"/>
                      <w:sz w:val="21"/>
                      <w:szCs w:val="21"/>
                    </w:rPr>
                    <w:t>13</w:t>
                  </w:r>
                </w:p>
              </w:tc>
              <w:tc>
                <w:tcPr>
                  <w:tcW w:w="753" w:type="pct"/>
                  <w:vAlign w:val="center"/>
                </w:tcPr>
                <w:p w14:paraId="54A257D4">
                  <w:pPr>
                    <w:pStyle w:val="410"/>
                    <w:rPr>
                      <w:rFonts w:ascii="Times New Roman" w:hAnsi="Calibri" w:eastAsia="Times New Roman"/>
                      <w:sz w:val="21"/>
                      <w:szCs w:val="21"/>
                    </w:rPr>
                  </w:pPr>
                  <w:r>
                    <w:rPr>
                      <w:rFonts w:ascii="Times New Roman" w:hAnsi="Calibri" w:eastAsia="Times New Roman"/>
                      <w:sz w:val="21"/>
                      <w:szCs w:val="21"/>
                    </w:rPr>
                    <w:t>储备罐</w:t>
                  </w:r>
                </w:p>
              </w:tc>
              <w:tc>
                <w:tcPr>
                  <w:tcW w:w="2108" w:type="pct"/>
                  <w:vAlign w:val="center"/>
                </w:tcPr>
                <w:p w14:paraId="3287218D">
                  <w:pPr>
                    <w:pStyle w:val="410"/>
                    <w:rPr>
                      <w:rFonts w:ascii="Times New Roman" w:hAnsi="Calibri" w:eastAsia="Times New Roman"/>
                      <w:kern w:val="2"/>
                      <w:sz w:val="21"/>
                    </w:rPr>
                  </w:pPr>
                  <w:r>
                    <w:rPr>
                      <w:rFonts w:ascii="Times New Roman" w:hAnsi="Calibri" w:eastAsia="Times New Roman"/>
                      <w:sz w:val="21"/>
                      <w:szCs w:val="21"/>
                    </w:rPr>
                    <w:t>根据单井储备量确定</w:t>
                  </w:r>
                </w:p>
              </w:tc>
              <w:tc>
                <w:tcPr>
                  <w:tcW w:w="377" w:type="pct"/>
                  <w:vAlign w:val="center"/>
                </w:tcPr>
                <w:p w14:paraId="5E0A9979">
                  <w:pPr>
                    <w:pStyle w:val="410"/>
                    <w:rPr>
                      <w:rFonts w:ascii="Times New Roman" w:hAnsi="Calibri" w:eastAsia="Times New Roman"/>
                      <w:sz w:val="21"/>
                      <w:szCs w:val="21"/>
                    </w:rPr>
                  </w:pPr>
                  <w:r>
                    <w:rPr>
                      <w:rFonts w:ascii="Times New Roman" w:hAnsi="Calibri" w:eastAsia="Times New Roman"/>
                      <w:sz w:val="21"/>
                      <w:szCs w:val="21"/>
                    </w:rPr>
                    <w:t>/</w:t>
                  </w:r>
                </w:p>
              </w:tc>
              <w:tc>
                <w:tcPr>
                  <w:tcW w:w="1385" w:type="pct"/>
                  <w:vAlign w:val="center"/>
                </w:tcPr>
                <w:p w14:paraId="04043802">
                  <w:pPr>
                    <w:pStyle w:val="410"/>
                    <w:rPr>
                      <w:rFonts w:ascii="Times New Roman" w:hAnsi="Calibri" w:eastAsia="Times New Roman"/>
                      <w:sz w:val="21"/>
                      <w:szCs w:val="21"/>
                    </w:rPr>
                  </w:pPr>
                </w:p>
              </w:tc>
            </w:tr>
            <w:tr w14:paraId="40C717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04FD03FC">
                  <w:pPr>
                    <w:pStyle w:val="410"/>
                    <w:rPr>
                      <w:rFonts w:ascii="Times New Roman" w:hAnsi="Calibri" w:eastAsiaTheme="minorEastAsia"/>
                      <w:sz w:val="21"/>
                      <w:szCs w:val="21"/>
                    </w:rPr>
                  </w:pPr>
                  <w:r>
                    <w:rPr>
                      <w:rFonts w:hint="eastAsia" w:ascii="Times New Roman" w:hAnsi="Calibri" w:eastAsiaTheme="minorEastAsia"/>
                      <w:sz w:val="21"/>
                      <w:szCs w:val="21"/>
                    </w:rPr>
                    <w:t>14</w:t>
                  </w:r>
                </w:p>
              </w:tc>
              <w:tc>
                <w:tcPr>
                  <w:tcW w:w="753" w:type="pct"/>
                  <w:vAlign w:val="center"/>
                </w:tcPr>
                <w:p w14:paraId="36F8F591">
                  <w:pPr>
                    <w:spacing w:before="53"/>
                    <w:ind w:left="105"/>
                    <w:jc w:val="center"/>
                    <w:rPr>
                      <w:rFonts w:ascii="Calibri" w:hAnsi="Calibri" w:eastAsia="Times New Roman"/>
                    </w:rPr>
                  </w:pPr>
                  <w:r>
                    <w:rPr>
                      <w:rFonts w:hint="eastAsia" w:ascii="宋体" w:hAnsi="宋体" w:eastAsia="Times New Roman" w:cs="宋体"/>
                    </w:rPr>
                    <w:t>振动筛</w:t>
                  </w:r>
                </w:p>
              </w:tc>
              <w:tc>
                <w:tcPr>
                  <w:tcW w:w="2108" w:type="pct"/>
                  <w:vAlign w:val="center"/>
                </w:tcPr>
                <w:p w14:paraId="333EDE10">
                  <w:pPr>
                    <w:pStyle w:val="410"/>
                    <w:rPr>
                      <w:rFonts w:ascii="Times New Roman" w:hAnsi="Calibri" w:eastAsia="Times New Roman"/>
                      <w:sz w:val="21"/>
                      <w:szCs w:val="21"/>
                    </w:rPr>
                  </w:pPr>
                  <w:r>
                    <w:rPr>
                      <w:rFonts w:hint="eastAsia" w:ascii="Times New Roman" w:hAnsi="Calibri" w:eastAsia="Times New Roman"/>
                      <w:sz w:val="21"/>
                      <w:szCs w:val="21"/>
                    </w:rPr>
                    <w:t>单台处理量不小于</w:t>
                  </w:r>
                  <w:r>
                    <w:rPr>
                      <w:rFonts w:ascii="Times New Roman" w:hAnsi="Calibri" w:eastAsia="Times New Roman"/>
                      <w:sz w:val="21"/>
                      <w:szCs w:val="21"/>
                    </w:rPr>
                    <w:t>30l/s</w:t>
                  </w:r>
                </w:p>
              </w:tc>
              <w:tc>
                <w:tcPr>
                  <w:tcW w:w="377" w:type="pct"/>
                  <w:vAlign w:val="center"/>
                </w:tcPr>
                <w:p w14:paraId="427F9EE6">
                  <w:pPr>
                    <w:pStyle w:val="410"/>
                    <w:rPr>
                      <w:rFonts w:ascii="Times New Roman" w:hAnsi="Calibri" w:eastAsiaTheme="minorEastAsia"/>
                      <w:sz w:val="21"/>
                      <w:szCs w:val="21"/>
                    </w:rPr>
                  </w:pPr>
                  <w:r>
                    <w:rPr>
                      <w:rFonts w:hint="eastAsia" w:ascii="Times New Roman" w:hAnsi="Calibri" w:eastAsiaTheme="minorEastAsia"/>
                      <w:sz w:val="21"/>
                      <w:szCs w:val="21"/>
                    </w:rPr>
                    <w:t>3</w:t>
                  </w:r>
                </w:p>
              </w:tc>
              <w:tc>
                <w:tcPr>
                  <w:tcW w:w="1385" w:type="pct"/>
                  <w:vAlign w:val="center"/>
                </w:tcPr>
                <w:p w14:paraId="6959C669">
                  <w:pPr>
                    <w:pStyle w:val="410"/>
                    <w:rPr>
                      <w:rFonts w:ascii="Times New Roman" w:hAnsi="Calibri" w:eastAsia="Times New Roman"/>
                      <w:sz w:val="21"/>
                      <w:szCs w:val="21"/>
                    </w:rPr>
                  </w:pPr>
                </w:p>
              </w:tc>
            </w:tr>
            <w:tr w14:paraId="45A3C5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39E72569">
                  <w:pPr>
                    <w:pStyle w:val="410"/>
                    <w:rPr>
                      <w:rFonts w:ascii="Times New Roman" w:hAnsi="Calibri" w:eastAsiaTheme="minorEastAsia"/>
                      <w:sz w:val="21"/>
                      <w:szCs w:val="21"/>
                    </w:rPr>
                  </w:pPr>
                  <w:r>
                    <w:rPr>
                      <w:rFonts w:hint="eastAsia" w:ascii="Times New Roman" w:hAnsi="Calibri" w:eastAsiaTheme="minorEastAsia"/>
                      <w:sz w:val="21"/>
                      <w:szCs w:val="21"/>
                    </w:rPr>
                    <w:t>15</w:t>
                  </w:r>
                </w:p>
              </w:tc>
              <w:tc>
                <w:tcPr>
                  <w:tcW w:w="753" w:type="pct"/>
                  <w:vAlign w:val="center"/>
                </w:tcPr>
                <w:p w14:paraId="10D115F2">
                  <w:pPr>
                    <w:spacing w:before="53"/>
                    <w:ind w:left="105"/>
                    <w:jc w:val="center"/>
                    <w:rPr>
                      <w:rFonts w:ascii="Calibri" w:hAnsi="Calibri" w:eastAsia="Times New Roman"/>
                    </w:rPr>
                  </w:pPr>
                  <w:r>
                    <w:rPr>
                      <w:rFonts w:ascii="Calibri" w:hAnsi="Calibri" w:eastAsia="Times New Roman"/>
                    </w:rPr>
                    <w:t>除气器</w:t>
                  </w:r>
                </w:p>
              </w:tc>
              <w:tc>
                <w:tcPr>
                  <w:tcW w:w="2108" w:type="pct"/>
                  <w:vAlign w:val="center"/>
                </w:tcPr>
                <w:p w14:paraId="3C7EDCBB">
                  <w:pPr>
                    <w:pStyle w:val="410"/>
                    <w:rPr>
                      <w:rFonts w:ascii="Times New Roman" w:hAnsi="Calibri" w:eastAsia="Times New Roman"/>
                      <w:sz w:val="21"/>
                      <w:szCs w:val="21"/>
                    </w:rPr>
                  </w:pPr>
                  <w:r>
                    <w:rPr>
                      <w:rFonts w:hint="eastAsia" w:ascii="Times New Roman" w:hAnsi="Calibri" w:eastAsia="Times New Roman"/>
                      <w:sz w:val="21"/>
                      <w:szCs w:val="21"/>
                    </w:rPr>
                    <w:t>单台处理量</w:t>
                  </w:r>
                  <w:r>
                    <w:rPr>
                      <w:rFonts w:ascii="Times New Roman" w:hAnsi="Calibri" w:eastAsia="Times New Roman"/>
                      <w:sz w:val="21"/>
                      <w:szCs w:val="21"/>
                    </w:rPr>
                    <w:t>300m</w:t>
                  </w:r>
                  <w:r>
                    <w:rPr>
                      <w:rFonts w:ascii="Times New Roman" w:hAnsi="Calibri" w:eastAsia="Times New Roman"/>
                      <w:sz w:val="21"/>
                      <w:szCs w:val="21"/>
                      <w:vertAlign w:val="superscript"/>
                    </w:rPr>
                    <w:t>3</w:t>
                  </w:r>
                  <w:r>
                    <w:rPr>
                      <w:rFonts w:ascii="Times New Roman" w:hAnsi="Calibri" w:eastAsia="Times New Roman"/>
                      <w:sz w:val="21"/>
                      <w:szCs w:val="21"/>
                    </w:rPr>
                    <w:t>/h</w:t>
                  </w:r>
                </w:p>
              </w:tc>
              <w:tc>
                <w:tcPr>
                  <w:tcW w:w="377" w:type="pct"/>
                  <w:vAlign w:val="center"/>
                </w:tcPr>
                <w:p w14:paraId="6FB89B8C">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784764F0">
                  <w:pPr>
                    <w:pStyle w:val="410"/>
                    <w:rPr>
                      <w:rFonts w:ascii="Times New Roman" w:hAnsi="Calibri" w:eastAsia="Times New Roman"/>
                      <w:sz w:val="21"/>
                      <w:szCs w:val="21"/>
                    </w:rPr>
                  </w:pPr>
                </w:p>
              </w:tc>
            </w:tr>
            <w:tr w14:paraId="6C7BEB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477F5C1E">
                  <w:pPr>
                    <w:pStyle w:val="410"/>
                    <w:rPr>
                      <w:rFonts w:ascii="Times New Roman" w:hAnsi="Calibri" w:eastAsiaTheme="minorEastAsia"/>
                      <w:sz w:val="21"/>
                      <w:szCs w:val="21"/>
                    </w:rPr>
                  </w:pPr>
                  <w:r>
                    <w:rPr>
                      <w:rFonts w:hint="eastAsia" w:ascii="Times New Roman" w:hAnsi="Calibri" w:eastAsiaTheme="minorEastAsia"/>
                      <w:sz w:val="21"/>
                      <w:szCs w:val="21"/>
                    </w:rPr>
                    <w:t>16</w:t>
                  </w:r>
                </w:p>
              </w:tc>
              <w:tc>
                <w:tcPr>
                  <w:tcW w:w="753" w:type="pct"/>
                  <w:vAlign w:val="center"/>
                </w:tcPr>
                <w:p w14:paraId="75C4C5C7">
                  <w:pPr>
                    <w:spacing w:before="53"/>
                    <w:ind w:left="105"/>
                    <w:jc w:val="center"/>
                    <w:rPr>
                      <w:rFonts w:ascii="Calibri" w:hAnsi="Calibri" w:eastAsia="Times New Roman"/>
                    </w:rPr>
                  </w:pPr>
                  <w:r>
                    <w:rPr>
                      <w:rFonts w:ascii="Calibri" w:hAnsi="Calibri" w:eastAsia="Times New Roman"/>
                    </w:rPr>
                    <w:t>除砂器</w:t>
                  </w:r>
                </w:p>
              </w:tc>
              <w:tc>
                <w:tcPr>
                  <w:tcW w:w="2108" w:type="pct"/>
                  <w:vAlign w:val="center"/>
                </w:tcPr>
                <w:p w14:paraId="271E596F">
                  <w:pPr>
                    <w:pStyle w:val="410"/>
                    <w:rPr>
                      <w:rFonts w:ascii="Times New Roman" w:hAnsi="Calibri" w:eastAsia="Times New Roman"/>
                      <w:sz w:val="21"/>
                      <w:szCs w:val="21"/>
                    </w:rPr>
                  </w:pPr>
                  <w:r>
                    <w:rPr>
                      <w:rFonts w:hint="eastAsia" w:ascii="Times New Roman" w:hAnsi="Calibri" w:eastAsia="Times New Roman"/>
                      <w:sz w:val="21"/>
                      <w:szCs w:val="21"/>
                    </w:rPr>
                    <w:t>单台处理量</w:t>
                  </w:r>
                  <w:r>
                    <w:rPr>
                      <w:rFonts w:ascii="Times New Roman" w:hAnsi="Calibri" w:eastAsia="Times New Roman"/>
                      <w:sz w:val="21"/>
                      <w:szCs w:val="21"/>
                    </w:rPr>
                    <w:t>180m</w:t>
                  </w:r>
                  <w:r>
                    <w:rPr>
                      <w:rFonts w:ascii="Times New Roman" w:hAnsi="Calibri" w:eastAsia="Times New Roman"/>
                      <w:sz w:val="21"/>
                      <w:szCs w:val="21"/>
                      <w:vertAlign w:val="superscript"/>
                    </w:rPr>
                    <w:t>3</w:t>
                  </w:r>
                  <w:r>
                    <w:rPr>
                      <w:rFonts w:ascii="Times New Roman" w:hAnsi="Calibri" w:eastAsia="Times New Roman"/>
                      <w:sz w:val="21"/>
                      <w:szCs w:val="21"/>
                    </w:rPr>
                    <w:t>/h</w:t>
                  </w:r>
                </w:p>
              </w:tc>
              <w:tc>
                <w:tcPr>
                  <w:tcW w:w="377" w:type="pct"/>
                  <w:vAlign w:val="center"/>
                </w:tcPr>
                <w:p w14:paraId="40BE60DA">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00576347">
                  <w:pPr>
                    <w:pStyle w:val="410"/>
                    <w:rPr>
                      <w:rFonts w:ascii="Times New Roman" w:hAnsi="Calibri" w:eastAsia="Times New Roman"/>
                      <w:sz w:val="21"/>
                      <w:szCs w:val="21"/>
                    </w:rPr>
                  </w:pPr>
                </w:p>
              </w:tc>
            </w:tr>
            <w:tr w14:paraId="115F46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7B4A2117">
                  <w:pPr>
                    <w:pStyle w:val="410"/>
                    <w:rPr>
                      <w:rFonts w:ascii="Times New Roman" w:hAnsi="Calibri" w:eastAsiaTheme="minorEastAsia"/>
                      <w:sz w:val="21"/>
                      <w:szCs w:val="21"/>
                    </w:rPr>
                  </w:pPr>
                  <w:r>
                    <w:rPr>
                      <w:rFonts w:ascii="Times New Roman" w:hAnsi="Calibri" w:eastAsia="Times New Roman"/>
                      <w:sz w:val="21"/>
                      <w:szCs w:val="21"/>
                    </w:rPr>
                    <w:t>1</w:t>
                  </w:r>
                  <w:r>
                    <w:rPr>
                      <w:rFonts w:hint="eastAsia" w:ascii="Times New Roman" w:hAnsi="Calibri" w:eastAsiaTheme="minorEastAsia"/>
                      <w:sz w:val="21"/>
                      <w:szCs w:val="21"/>
                    </w:rPr>
                    <w:t>7</w:t>
                  </w:r>
                </w:p>
              </w:tc>
              <w:tc>
                <w:tcPr>
                  <w:tcW w:w="753" w:type="pct"/>
                  <w:vAlign w:val="center"/>
                </w:tcPr>
                <w:p w14:paraId="69FF9C0E">
                  <w:pPr>
                    <w:spacing w:before="58"/>
                    <w:ind w:left="105"/>
                    <w:jc w:val="center"/>
                    <w:rPr>
                      <w:rFonts w:ascii="Calibri" w:hAnsi="Calibri" w:eastAsia="Times New Roman"/>
                    </w:rPr>
                  </w:pPr>
                  <w:r>
                    <w:rPr>
                      <w:rFonts w:ascii="Calibri" w:hAnsi="Calibri" w:eastAsia="Times New Roman"/>
                    </w:rPr>
                    <w:t>除泥器</w:t>
                  </w:r>
                </w:p>
              </w:tc>
              <w:tc>
                <w:tcPr>
                  <w:tcW w:w="2108" w:type="pct"/>
                  <w:vAlign w:val="center"/>
                </w:tcPr>
                <w:p w14:paraId="6D3F38C4">
                  <w:pPr>
                    <w:pStyle w:val="410"/>
                    <w:rPr>
                      <w:rFonts w:ascii="Times New Roman" w:hAnsi="Calibri" w:eastAsia="Times New Roman"/>
                      <w:sz w:val="21"/>
                      <w:szCs w:val="21"/>
                    </w:rPr>
                  </w:pPr>
                  <w:r>
                    <w:rPr>
                      <w:rFonts w:hint="eastAsia" w:ascii="Times New Roman" w:hAnsi="Calibri" w:eastAsia="Times New Roman"/>
                      <w:sz w:val="21"/>
                      <w:szCs w:val="21"/>
                    </w:rPr>
                    <w:t>单台处理量</w:t>
                  </w:r>
                  <w:r>
                    <w:rPr>
                      <w:rFonts w:ascii="Times New Roman" w:hAnsi="Calibri" w:eastAsia="Times New Roman"/>
                      <w:sz w:val="21"/>
                      <w:szCs w:val="21"/>
                    </w:rPr>
                    <w:t>120m</w:t>
                  </w:r>
                  <w:r>
                    <w:rPr>
                      <w:rFonts w:ascii="Times New Roman" w:hAnsi="Calibri" w:eastAsia="Times New Roman"/>
                      <w:sz w:val="21"/>
                      <w:szCs w:val="21"/>
                      <w:vertAlign w:val="superscript"/>
                    </w:rPr>
                    <w:t>3</w:t>
                  </w:r>
                  <w:r>
                    <w:rPr>
                      <w:rFonts w:ascii="Times New Roman" w:hAnsi="Calibri" w:eastAsia="Times New Roman"/>
                      <w:sz w:val="21"/>
                      <w:szCs w:val="21"/>
                    </w:rPr>
                    <w:t>/h</w:t>
                  </w:r>
                </w:p>
              </w:tc>
              <w:tc>
                <w:tcPr>
                  <w:tcW w:w="377" w:type="pct"/>
                  <w:vAlign w:val="center"/>
                </w:tcPr>
                <w:p w14:paraId="6F8C2562">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67432BC1">
                  <w:pPr>
                    <w:pStyle w:val="410"/>
                    <w:rPr>
                      <w:rFonts w:ascii="Times New Roman" w:hAnsi="Calibri" w:eastAsia="Times New Roman"/>
                      <w:sz w:val="21"/>
                      <w:szCs w:val="21"/>
                    </w:rPr>
                  </w:pPr>
                </w:p>
              </w:tc>
            </w:tr>
            <w:tr w14:paraId="36DC11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405BCA99">
                  <w:pPr>
                    <w:pStyle w:val="410"/>
                    <w:rPr>
                      <w:rFonts w:ascii="Times New Roman" w:hAnsi="Calibri" w:eastAsiaTheme="minorEastAsia"/>
                      <w:sz w:val="21"/>
                      <w:szCs w:val="21"/>
                    </w:rPr>
                  </w:pPr>
                  <w:r>
                    <w:rPr>
                      <w:rFonts w:ascii="Times New Roman" w:hAnsi="Calibri" w:eastAsia="Times New Roman"/>
                      <w:sz w:val="21"/>
                      <w:szCs w:val="21"/>
                    </w:rPr>
                    <w:t>1</w:t>
                  </w:r>
                  <w:r>
                    <w:rPr>
                      <w:rFonts w:hint="eastAsia" w:ascii="Times New Roman" w:hAnsi="Calibri" w:eastAsiaTheme="minorEastAsia"/>
                      <w:sz w:val="21"/>
                      <w:szCs w:val="21"/>
                    </w:rPr>
                    <w:t>8</w:t>
                  </w:r>
                </w:p>
              </w:tc>
              <w:tc>
                <w:tcPr>
                  <w:tcW w:w="753" w:type="pct"/>
                  <w:vAlign w:val="center"/>
                </w:tcPr>
                <w:p w14:paraId="3082B439">
                  <w:pPr>
                    <w:spacing w:before="53"/>
                    <w:ind w:left="105"/>
                    <w:jc w:val="center"/>
                    <w:rPr>
                      <w:rFonts w:ascii="Calibri" w:hAnsi="Calibri" w:eastAsia="Times New Roman"/>
                    </w:rPr>
                  </w:pPr>
                  <w:r>
                    <w:rPr>
                      <w:rFonts w:ascii="Calibri" w:hAnsi="Calibri" w:eastAsia="Times New Roman"/>
                    </w:rPr>
                    <w:t>离心机</w:t>
                  </w:r>
                </w:p>
              </w:tc>
              <w:tc>
                <w:tcPr>
                  <w:tcW w:w="2108" w:type="pct"/>
                  <w:vAlign w:val="center"/>
                </w:tcPr>
                <w:p w14:paraId="1294A308">
                  <w:pPr>
                    <w:pStyle w:val="410"/>
                    <w:rPr>
                      <w:rFonts w:ascii="Times New Roman" w:hAnsi="Calibri" w:eastAsia="Times New Roman"/>
                      <w:sz w:val="21"/>
                      <w:szCs w:val="21"/>
                    </w:rPr>
                  </w:pPr>
                  <w:r>
                    <w:rPr>
                      <w:rFonts w:hint="eastAsia" w:ascii="Times New Roman" w:hAnsi="Calibri" w:eastAsia="Times New Roman"/>
                      <w:sz w:val="21"/>
                      <w:szCs w:val="21"/>
                    </w:rPr>
                    <w:t>单台处理量</w:t>
                  </w:r>
                  <w:r>
                    <w:rPr>
                      <w:rFonts w:ascii="Times New Roman" w:hAnsi="Calibri" w:eastAsia="Times New Roman"/>
                      <w:sz w:val="21"/>
                      <w:szCs w:val="21"/>
                    </w:rPr>
                    <w:t>60m</w:t>
                  </w:r>
                  <w:r>
                    <w:rPr>
                      <w:rFonts w:ascii="Times New Roman" w:hAnsi="Calibri" w:eastAsia="Times New Roman"/>
                      <w:sz w:val="21"/>
                      <w:szCs w:val="21"/>
                      <w:vertAlign w:val="superscript"/>
                    </w:rPr>
                    <w:t>3</w:t>
                  </w:r>
                  <w:r>
                    <w:rPr>
                      <w:rFonts w:ascii="Times New Roman" w:hAnsi="Calibri" w:eastAsia="Times New Roman"/>
                      <w:sz w:val="21"/>
                      <w:szCs w:val="21"/>
                    </w:rPr>
                    <w:t>/h</w:t>
                  </w:r>
                </w:p>
              </w:tc>
              <w:tc>
                <w:tcPr>
                  <w:tcW w:w="377" w:type="pct"/>
                  <w:vAlign w:val="center"/>
                </w:tcPr>
                <w:p w14:paraId="747238C6">
                  <w:pPr>
                    <w:pStyle w:val="410"/>
                    <w:rPr>
                      <w:rFonts w:ascii="Times New Roman" w:hAnsi="Calibri" w:eastAsia="Times New Roman"/>
                      <w:sz w:val="21"/>
                      <w:szCs w:val="21"/>
                    </w:rPr>
                  </w:pPr>
                  <w:r>
                    <w:rPr>
                      <w:rFonts w:ascii="Times New Roman" w:hAnsi="Calibri" w:eastAsia="Times New Roman"/>
                      <w:sz w:val="21"/>
                      <w:szCs w:val="21"/>
                    </w:rPr>
                    <w:t>2</w:t>
                  </w:r>
                </w:p>
              </w:tc>
              <w:tc>
                <w:tcPr>
                  <w:tcW w:w="1385" w:type="pct"/>
                  <w:vAlign w:val="center"/>
                </w:tcPr>
                <w:p w14:paraId="6147DA35">
                  <w:pPr>
                    <w:pStyle w:val="410"/>
                    <w:rPr>
                      <w:rFonts w:ascii="Times New Roman" w:hAnsi="Calibri" w:eastAsia="Times New Roman"/>
                      <w:sz w:val="21"/>
                      <w:szCs w:val="21"/>
                    </w:rPr>
                  </w:pPr>
                </w:p>
              </w:tc>
            </w:tr>
            <w:tr w14:paraId="411FDF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1E419A5E">
                  <w:pPr>
                    <w:pStyle w:val="410"/>
                    <w:rPr>
                      <w:rFonts w:ascii="Times New Roman" w:hAnsi="Calibri" w:eastAsiaTheme="minorEastAsia"/>
                      <w:sz w:val="21"/>
                      <w:szCs w:val="21"/>
                    </w:rPr>
                  </w:pPr>
                  <w:r>
                    <w:rPr>
                      <w:rFonts w:ascii="Times New Roman" w:hAnsi="Calibri" w:eastAsia="Times New Roman"/>
                      <w:sz w:val="21"/>
                      <w:szCs w:val="21"/>
                    </w:rPr>
                    <w:t>1</w:t>
                  </w:r>
                  <w:r>
                    <w:rPr>
                      <w:rFonts w:hint="eastAsia" w:ascii="Times New Roman" w:hAnsi="Calibri" w:eastAsiaTheme="minorEastAsia"/>
                      <w:sz w:val="21"/>
                      <w:szCs w:val="21"/>
                    </w:rPr>
                    <w:t>9</w:t>
                  </w:r>
                </w:p>
              </w:tc>
              <w:tc>
                <w:tcPr>
                  <w:tcW w:w="753" w:type="pct"/>
                  <w:vAlign w:val="center"/>
                </w:tcPr>
                <w:p w14:paraId="028035CA">
                  <w:pPr>
                    <w:pStyle w:val="410"/>
                    <w:rPr>
                      <w:rFonts w:ascii="Times New Roman" w:hAnsi="Calibri" w:eastAsia="Times New Roman"/>
                      <w:sz w:val="21"/>
                      <w:szCs w:val="21"/>
                    </w:rPr>
                  </w:pPr>
                  <w:r>
                    <w:rPr>
                      <w:rFonts w:ascii="Times New Roman" w:hAnsi="Calibri" w:eastAsia="Times New Roman"/>
                      <w:sz w:val="21"/>
                      <w:szCs w:val="21"/>
                    </w:rPr>
                    <w:t>加重</w:t>
                  </w:r>
                  <w:r>
                    <w:rPr>
                      <w:rFonts w:hint="eastAsia" w:ascii="Times New Roman" w:hAnsi="Calibri" w:eastAsia="Times New Roman"/>
                      <w:sz w:val="21"/>
                      <w:szCs w:val="21"/>
                    </w:rPr>
                    <w:t>泵</w:t>
                  </w:r>
                </w:p>
              </w:tc>
              <w:tc>
                <w:tcPr>
                  <w:tcW w:w="2108" w:type="pct"/>
                  <w:vAlign w:val="center"/>
                </w:tcPr>
                <w:p w14:paraId="46F9ADB1">
                  <w:pPr>
                    <w:pStyle w:val="410"/>
                    <w:rPr>
                      <w:rFonts w:ascii="Times New Roman" w:hAnsi="Calibri" w:eastAsia="Times New Roman"/>
                      <w:sz w:val="21"/>
                      <w:szCs w:val="21"/>
                    </w:rPr>
                  </w:pPr>
                  <w:r>
                    <w:rPr>
                      <w:rFonts w:hint="eastAsia" w:ascii="Times New Roman" w:hAnsi="Calibri" w:eastAsia="Times New Roman"/>
                      <w:sz w:val="21"/>
                      <w:szCs w:val="21"/>
                    </w:rPr>
                    <w:t>单台功率</w:t>
                  </w:r>
                  <w:r>
                    <w:rPr>
                      <w:rFonts w:ascii="Times New Roman" w:hAnsi="Calibri" w:eastAsia="Times New Roman"/>
                      <w:sz w:val="21"/>
                      <w:szCs w:val="21"/>
                    </w:rPr>
                    <w:t>75kW</w:t>
                  </w:r>
                </w:p>
              </w:tc>
              <w:tc>
                <w:tcPr>
                  <w:tcW w:w="377" w:type="pct"/>
                  <w:vAlign w:val="center"/>
                </w:tcPr>
                <w:p w14:paraId="38B32167">
                  <w:pPr>
                    <w:pStyle w:val="410"/>
                    <w:rPr>
                      <w:rFonts w:ascii="Times New Roman" w:hAnsi="Calibri" w:eastAsia="Times New Roman"/>
                      <w:sz w:val="21"/>
                      <w:szCs w:val="21"/>
                    </w:rPr>
                  </w:pPr>
                  <w:r>
                    <w:rPr>
                      <w:rFonts w:ascii="Times New Roman" w:hAnsi="Calibri" w:eastAsia="Times New Roman"/>
                      <w:sz w:val="21"/>
                      <w:szCs w:val="21"/>
                    </w:rPr>
                    <w:t>2套</w:t>
                  </w:r>
                </w:p>
              </w:tc>
              <w:tc>
                <w:tcPr>
                  <w:tcW w:w="1385" w:type="pct"/>
                  <w:vAlign w:val="center"/>
                </w:tcPr>
                <w:p w14:paraId="421D41DE">
                  <w:pPr>
                    <w:pStyle w:val="410"/>
                    <w:rPr>
                      <w:rFonts w:ascii="Times New Roman" w:hAnsi="Calibri" w:eastAsia="Times New Roman"/>
                      <w:sz w:val="21"/>
                      <w:szCs w:val="21"/>
                    </w:rPr>
                  </w:pPr>
                  <w:r>
                    <w:rPr>
                      <w:rFonts w:ascii="Times New Roman" w:hAnsi="Calibri" w:eastAsia="Times New Roman"/>
                      <w:sz w:val="21"/>
                      <w:szCs w:val="21"/>
                    </w:rPr>
                    <w:t>气动下料</w:t>
                  </w:r>
                </w:p>
              </w:tc>
            </w:tr>
            <w:tr w14:paraId="09A7AF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16491CD8">
                  <w:pPr>
                    <w:pStyle w:val="410"/>
                    <w:rPr>
                      <w:rFonts w:ascii="Times New Roman" w:hAnsi="Calibri" w:eastAsiaTheme="minorEastAsia"/>
                      <w:sz w:val="21"/>
                      <w:szCs w:val="21"/>
                    </w:rPr>
                  </w:pPr>
                  <w:r>
                    <w:rPr>
                      <w:rFonts w:hint="eastAsia" w:ascii="Times New Roman" w:hAnsi="Calibri" w:eastAsiaTheme="minorEastAsia"/>
                      <w:sz w:val="21"/>
                      <w:szCs w:val="21"/>
                    </w:rPr>
                    <w:t>20</w:t>
                  </w:r>
                </w:p>
              </w:tc>
              <w:tc>
                <w:tcPr>
                  <w:tcW w:w="753" w:type="pct"/>
                  <w:vAlign w:val="center"/>
                </w:tcPr>
                <w:p w14:paraId="45E5272C">
                  <w:pPr>
                    <w:pStyle w:val="410"/>
                    <w:rPr>
                      <w:rFonts w:ascii="Times New Roman" w:hAnsi="Calibri" w:eastAsia="Times New Roman"/>
                      <w:sz w:val="21"/>
                      <w:szCs w:val="21"/>
                    </w:rPr>
                  </w:pPr>
                  <w:r>
                    <w:rPr>
                      <w:rFonts w:ascii="Times New Roman" w:hAnsi="Calibri" w:eastAsia="Times New Roman"/>
                      <w:sz w:val="21"/>
                      <w:szCs w:val="21"/>
                    </w:rPr>
                    <w:t>灌浆装置</w:t>
                  </w:r>
                </w:p>
              </w:tc>
              <w:tc>
                <w:tcPr>
                  <w:tcW w:w="2108" w:type="pct"/>
                  <w:vAlign w:val="center"/>
                </w:tcPr>
                <w:p w14:paraId="293695C6">
                  <w:pPr>
                    <w:pStyle w:val="410"/>
                    <w:rPr>
                      <w:rFonts w:ascii="Times New Roman" w:hAnsi="Calibri" w:eastAsia="Times New Roman"/>
                      <w:sz w:val="21"/>
                      <w:szCs w:val="21"/>
                    </w:rPr>
                  </w:pPr>
                  <w:r>
                    <w:rPr>
                      <w:rFonts w:hint="eastAsia" w:ascii="Times New Roman" w:hAnsi="Calibri" w:eastAsia="Times New Roman"/>
                      <w:sz w:val="21"/>
                      <w:szCs w:val="21"/>
                    </w:rPr>
                    <w:t>/</w:t>
                  </w:r>
                </w:p>
              </w:tc>
              <w:tc>
                <w:tcPr>
                  <w:tcW w:w="377" w:type="pct"/>
                  <w:vAlign w:val="center"/>
                </w:tcPr>
                <w:p w14:paraId="493EFA27">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30A7E376">
                  <w:pPr>
                    <w:pStyle w:val="410"/>
                    <w:rPr>
                      <w:rFonts w:ascii="Times New Roman" w:hAnsi="Calibri" w:eastAsia="Times New Roman"/>
                      <w:sz w:val="21"/>
                      <w:szCs w:val="21"/>
                    </w:rPr>
                  </w:pPr>
                  <w:r>
                    <w:rPr>
                      <w:rFonts w:ascii="Times New Roman" w:hAnsi="Calibri" w:eastAsia="Times New Roman"/>
                      <w:sz w:val="21"/>
                      <w:szCs w:val="21"/>
                    </w:rPr>
                    <w:t>小罐计量</w:t>
                  </w:r>
                </w:p>
              </w:tc>
            </w:tr>
            <w:tr w14:paraId="38752F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3D60C0CC">
                  <w:pPr>
                    <w:pStyle w:val="410"/>
                    <w:rPr>
                      <w:rFonts w:ascii="Times New Roman" w:hAnsi="Calibri" w:eastAsiaTheme="minorEastAsia"/>
                      <w:sz w:val="21"/>
                      <w:szCs w:val="21"/>
                    </w:rPr>
                  </w:pPr>
                  <w:r>
                    <w:rPr>
                      <w:rFonts w:ascii="Times New Roman" w:hAnsi="Calibri" w:eastAsia="Times New Roman"/>
                      <w:sz w:val="21"/>
                      <w:szCs w:val="21"/>
                    </w:rPr>
                    <w:t>2</w:t>
                  </w:r>
                  <w:r>
                    <w:rPr>
                      <w:rFonts w:hint="eastAsia" w:ascii="Times New Roman" w:hAnsi="Calibri" w:eastAsiaTheme="minorEastAsia"/>
                      <w:sz w:val="21"/>
                      <w:szCs w:val="21"/>
                    </w:rPr>
                    <w:t>1</w:t>
                  </w:r>
                </w:p>
              </w:tc>
              <w:tc>
                <w:tcPr>
                  <w:tcW w:w="753" w:type="pct"/>
                  <w:vAlign w:val="center"/>
                </w:tcPr>
                <w:p w14:paraId="65BEC2A5">
                  <w:pPr>
                    <w:pStyle w:val="410"/>
                    <w:rPr>
                      <w:rFonts w:ascii="Times New Roman" w:hAnsi="Calibri" w:eastAsia="Times New Roman"/>
                      <w:sz w:val="21"/>
                      <w:szCs w:val="21"/>
                    </w:rPr>
                  </w:pPr>
                  <w:r>
                    <w:rPr>
                      <w:rFonts w:ascii="Times New Roman" w:hAnsi="Calibri" w:eastAsia="Times New Roman"/>
                      <w:sz w:val="21"/>
                      <w:szCs w:val="21"/>
                    </w:rPr>
                    <w:t>测斜仪</w:t>
                  </w:r>
                </w:p>
              </w:tc>
              <w:tc>
                <w:tcPr>
                  <w:tcW w:w="2108" w:type="pct"/>
                  <w:vAlign w:val="center"/>
                </w:tcPr>
                <w:p w14:paraId="44F74923">
                  <w:pPr>
                    <w:pStyle w:val="410"/>
                    <w:rPr>
                      <w:rFonts w:ascii="Times New Roman" w:hAnsi="Calibri" w:eastAsia="Times New Roman"/>
                      <w:sz w:val="21"/>
                      <w:szCs w:val="21"/>
                    </w:rPr>
                  </w:pPr>
                  <w:r>
                    <w:rPr>
                      <w:rFonts w:hint="eastAsia" w:ascii="Times New Roman" w:hAnsi="Calibri" w:eastAsia="Times New Roman"/>
                      <w:sz w:val="21"/>
                      <w:szCs w:val="21"/>
                    </w:rPr>
                    <w:t>/</w:t>
                  </w:r>
                </w:p>
              </w:tc>
              <w:tc>
                <w:tcPr>
                  <w:tcW w:w="377" w:type="pct"/>
                  <w:vAlign w:val="center"/>
                </w:tcPr>
                <w:p w14:paraId="3B038631">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546F07DD">
                  <w:pPr>
                    <w:pStyle w:val="410"/>
                    <w:rPr>
                      <w:rFonts w:ascii="Times New Roman" w:hAnsi="Calibri" w:eastAsia="Times New Roman"/>
                      <w:sz w:val="21"/>
                      <w:szCs w:val="21"/>
                    </w:rPr>
                  </w:pPr>
                </w:p>
              </w:tc>
            </w:tr>
            <w:tr w14:paraId="27EB7D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5D29071F">
                  <w:pPr>
                    <w:pStyle w:val="410"/>
                    <w:rPr>
                      <w:rFonts w:ascii="Times New Roman" w:hAnsi="Calibri" w:eastAsiaTheme="minorEastAsia"/>
                      <w:sz w:val="21"/>
                      <w:szCs w:val="21"/>
                    </w:rPr>
                  </w:pPr>
                  <w:r>
                    <w:rPr>
                      <w:rFonts w:ascii="Times New Roman" w:hAnsi="Calibri" w:eastAsia="Times New Roman"/>
                      <w:sz w:val="21"/>
                      <w:szCs w:val="21"/>
                    </w:rPr>
                    <w:t>2</w:t>
                  </w:r>
                  <w:r>
                    <w:rPr>
                      <w:rFonts w:hint="eastAsia" w:ascii="Times New Roman" w:hAnsi="Calibri" w:eastAsiaTheme="minorEastAsia"/>
                      <w:sz w:val="21"/>
                      <w:szCs w:val="21"/>
                    </w:rPr>
                    <w:t>2</w:t>
                  </w:r>
                </w:p>
              </w:tc>
              <w:tc>
                <w:tcPr>
                  <w:tcW w:w="753" w:type="pct"/>
                  <w:vAlign w:val="center"/>
                </w:tcPr>
                <w:p w14:paraId="127A8D24">
                  <w:pPr>
                    <w:pStyle w:val="410"/>
                    <w:rPr>
                      <w:rFonts w:ascii="Times New Roman" w:hAnsi="Calibri" w:eastAsia="Times New Roman"/>
                      <w:sz w:val="21"/>
                      <w:szCs w:val="21"/>
                    </w:rPr>
                  </w:pPr>
                  <w:r>
                    <w:rPr>
                      <w:rFonts w:hint="eastAsia" w:ascii="Times New Roman" w:hAnsi="Calibri" w:eastAsia="Times New Roman"/>
                      <w:sz w:val="21"/>
                      <w:szCs w:val="21"/>
                    </w:rPr>
                    <w:t>钻杆动力</w:t>
                  </w:r>
                  <w:r>
                    <w:rPr>
                      <w:rFonts w:ascii="Times New Roman" w:hAnsi="Calibri" w:eastAsia="Times New Roman"/>
                      <w:sz w:val="21"/>
                      <w:szCs w:val="21"/>
                    </w:rPr>
                    <w:t>钳</w:t>
                  </w:r>
                </w:p>
              </w:tc>
              <w:tc>
                <w:tcPr>
                  <w:tcW w:w="2108" w:type="pct"/>
                  <w:vAlign w:val="center"/>
                </w:tcPr>
                <w:p w14:paraId="7F2B9E17">
                  <w:pPr>
                    <w:pStyle w:val="410"/>
                    <w:rPr>
                      <w:rFonts w:ascii="Times New Roman" w:hAnsi="Calibri" w:eastAsia="Times New Roman"/>
                      <w:sz w:val="21"/>
                      <w:szCs w:val="21"/>
                    </w:rPr>
                  </w:pPr>
                  <w:r>
                    <w:rPr>
                      <w:rFonts w:ascii="Times New Roman" w:hAnsi="Calibri" w:eastAsia="Times New Roman"/>
                      <w:sz w:val="21"/>
                      <w:szCs w:val="21"/>
                    </w:rPr>
                    <w:t>125kN·m</w:t>
                  </w:r>
                </w:p>
              </w:tc>
              <w:tc>
                <w:tcPr>
                  <w:tcW w:w="377" w:type="pct"/>
                  <w:vAlign w:val="center"/>
                </w:tcPr>
                <w:p w14:paraId="574F5CE0">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586D74BD">
                  <w:pPr>
                    <w:pStyle w:val="410"/>
                    <w:rPr>
                      <w:rFonts w:ascii="Times New Roman" w:hAnsi="Calibri" w:eastAsia="Times New Roman"/>
                      <w:sz w:val="21"/>
                      <w:szCs w:val="21"/>
                    </w:rPr>
                  </w:pPr>
                </w:p>
              </w:tc>
            </w:tr>
            <w:tr w14:paraId="170E1F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377" w:type="pct"/>
                  <w:vAlign w:val="center"/>
                </w:tcPr>
                <w:p w14:paraId="71E4464C">
                  <w:pPr>
                    <w:pStyle w:val="410"/>
                    <w:rPr>
                      <w:rFonts w:ascii="Times New Roman" w:hAnsi="Calibri" w:eastAsiaTheme="minorEastAsia"/>
                      <w:sz w:val="21"/>
                      <w:szCs w:val="21"/>
                    </w:rPr>
                  </w:pPr>
                  <w:r>
                    <w:rPr>
                      <w:rFonts w:ascii="Times New Roman" w:hAnsi="Calibri" w:eastAsia="Times New Roman"/>
                      <w:sz w:val="21"/>
                      <w:szCs w:val="21"/>
                    </w:rPr>
                    <w:t>2</w:t>
                  </w:r>
                  <w:r>
                    <w:rPr>
                      <w:rFonts w:hint="eastAsia" w:ascii="Times New Roman" w:hAnsi="Calibri" w:eastAsiaTheme="minorEastAsia"/>
                      <w:sz w:val="21"/>
                      <w:szCs w:val="21"/>
                    </w:rPr>
                    <w:t>3</w:t>
                  </w:r>
                </w:p>
              </w:tc>
              <w:tc>
                <w:tcPr>
                  <w:tcW w:w="753" w:type="pct"/>
                  <w:vAlign w:val="center"/>
                </w:tcPr>
                <w:p w14:paraId="7660D396">
                  <w:pPr>
                    <w:pStyle w:val="410"/>
                    <w:rPr>
                      <w:rFonts w:ascii="Times New Roman" w:hAnsi="Calibri" w:eastAsia="Times New Roman"/>
                      <w:sz w:val="21"/>
                      <w:szCs w:val="21"/>
                    </w:rPr>
                  </w:pPr>
                  <w:r>
                    <w:rPr>
                      <w:rFonts w:ascii="Times New Roman" w:hAnsi="Calibri" w:eastAsia="Times New Roman"/>
                      <w:sz w:val="21"/>
                    </w:rPr>
                    <w:t>钻井参数仪</w:t>
                  </w:r>
                </w:p>
              </w:tc>
              <w:tc>
                <w:tcPr>
                  <w:tcW w:w="2108" w:type="pct"/>
                  <w:vAlign w:val="center"/>
                </w:tcPr>
                <w:p w14:paraId="1F63E5CE">
                  <w:pPr>
                    <w:pStyle w:val="410"/>
                    <w:rPr>
                      <w:rFonts w:ascii="Times New Roman" w:hAnsi="Calibri" w:eastAsia="Times New Roman"/>
                      <w:sz w:val="21"/>
                      <w:szCs w:val="21"/>
                    </w:rPr>
                  </w:pPr>
                  <w:r>
                    <w:rPr>
                      <w:rFonts w:hint="eastAsia" w:ascii="Times New Roman" w:hAnsi="Calibri" w:eastAsia="Times New Roman"/>
                      <w:sz w:val="21"/>
                      <w:szCs w:val="21"/>
                    </w:rPr>
                    <w:t>/</w:t>
                  </w:r>
                </w:p>
              </w:tc>
              <w:tc>
                <w:tcPr>
                  <w:tcW w:w="377" w:type="pct"/>
                  <w:vAlign w:val="center"/>
                </w:tcPr>
                <w:p w14:paraId="016D5296">
                  <w:pPr>
                    <w:pStyle w:val="410"/>
                    <w:rPr>
                      <w:rFonts w:ascii="Times New Roman" w:hAnsi="Calibri" w:eastAsia="Times New Roman"/>
                      <w:sz w:val="21"/>
                      <w:szCs w:val="21"/>
                    </w:rPr>
                  </w:pPr>
                  <w:r>
                    <w:rPr>
                      <w:rFonts w:ascii="Times New Roman" w:hAnsi="Calibri" w:eastAsia="Times New Roman"/>
                      <w:sz w:val="21"/>
                      <w:szCs w:val="21"/>
                    </w:rPr>
                    <w:t>1</w:t>
                  </w:r>
                </w:p>
              </w:tc>
              <w:tc>
                <w:tcPr>
                  <w:tcW w:w="1385" w:type="pct"/>
                  <w:vAlign w:val="center"/>
                </w:tcPr>
                <w:p w14:paraId="5514ACC9">
                  <w:pPr>
                    <w:pStyle w:val="410"/>
                    <w:rPr>
                      <w:rFonts w:ascii="Times New Roman" w:hAnsi="Calibri" w:eastAsia="Times New Roman"/>
                      <w:sz w:val="21"/>
                      <w:szCs w:val="21"/>
                    </w:rPr>
                  </w:pPr>
                </w:p>
              </w:tc>
            </w:tr>
          </w:tbl>
          <w:p w14:paraId="60508CAC">
            <w:pPr>
              <w:widowControl/>
              <w:spacing w:line="360" w:lineRule="auto"/>
              <w:ind w:firstLine="480" w:firstLineChars="200"/>
              <w:rPr>
                <w:kern w:val="0"/>
                <w:sz w:val="24"/>
                <w:lang w:bidi="ar"/>
              </w:rPr>
            </w:pPr>
            <w:r>
              <w:rPr>
                <w:kern w:val="0"/>
                <w:sz w:val="24"/>
                <w:lang w:bidi="ar"/>
              </w:rPr>
              <w:t>（2）试气工程设备</w:t>
            </w:r>
          </w:p>
          <w:p w14:paraId="769E5E32">
            <w:pPr>
              <w:widowControl/>
              <w:spacing w:line="360" w:lineRule="auto"/>
              <w:ind w:firstLine="480" w:firstLineChars="200"/>
              <w:rPr>
                <w:kern w:val="0"/>
                <w:sz w:val="24"/>
                <w:lang w:bidi="ar"/>
              </w:rPr>
            </w:pPr>
            <w:r>
              <w:rPr>
                <w:kern w:val="0"/>
                <w:sz w:val="24"/>
                <w:lang w:bidi="ar"/>
              </w:rPr>
              <w:t>本项目采用压裂酸化改造进行试气作业，压裂液使用酸液，采用清洁酸，主要成分为水、盐酸，设计用酸总量</w:t>
            </w:r>
            <w:r>
              <w:rPr>
                <w:rFonts w:hint="eastAsia"/>
                <w:kern w:val="0"/>
                <w:sz w:val="24"/>
                <w:lang w:bidi="ar"/>
              </w:rPr>
              <w:t>630</w:t>
            </w:r>
            <w:r>
              <w:rPr>
                <w:kern w:val="0"/>
                <w:sz w:val="24"/>
                <w:lang w:bidi="ar"/>
              </w:rPr>
              <w:t>m</w:t>
            </w:r>
            <w:r>
              <w:rPr>
                <w:kern w:val="0"/>
                <w:sz w:val="24"/>
                <w:vertAlign w:val="superscript"/>
                <w:lang w:bidi="ar"/>
              </w:rPr>
              <w:t>3</w:t>
            </w:r>
            <w:r>
              <w:rPr>
                <w:kern w:val="0"/>
                <w:sz w:val="24"/>
                <w:lang w:bidi="ar"/>
              </w:rPr>
              <w:t>。试气工程设备见表2-4。</w:t>
            </w:r>
          </w:p>
          <w:p w14:paraId="53203450">
            <w:pPr>
              <w:pStyle w:val="19"/>
              <w:numPr>
                <w:ilvl w:val="0"/>
                <w:numId w:val="6"/>
              </w:numPr>
              <w:tabs>
                <w:tab w:val="left" w:pos="0"/>
                <w:tab w:val="left" w:pos="833"/>
              </w:tabs>
              <w:spacing w:before="0" w:after="0" w:line="360" w:lineRule="auto"/>
              <w:ind w:left="0" w:right="0" w:firstLine="0"/>
              <w:jc w:val="center"/>
              <w:rPr>
                <w:b/>
                <w:bCs/>
                <w:sz w:val="24"/>
                <w:szCs w:val="24"/>
              </w:rPr>
            </w:pPr>
            <w:r>
              <w:rPr>
                <w:b/>
                <w:bCs/>
                <w:sz w:val="24"/>
                <w:szCs w:val="24"/>
              </w:rPr>
              <w:t xml:space="preserve"> 压裂酸化设备一览表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47"/>
              <w:gridCol w:w="1382"/>
              <w:gridCol w:w="548"/>
              <w:gridCol w:w="548"/>
              <w:gridCol w:w="4436"/>
            </w:tblGrid>
            <w:tr w14:paraId="579EF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3E29EACC">
                  <w:pPr>
                    <w:jc w:val="center"/>
                  </w:pPr>
                  <w:r>
                    <w:rPr>
                      <w:lang w:val="zh-CN"/>
                    </w:rPr>
                    <w:t>序号</w:t>
                  </w:r>
                </w:p>
              </w:tc>
              <w:tc>
                <w:tcPr>
                  <w:tcW w:w="926" w:type="pct"/>
                  <w:tcBorders>
                    <w:tl2br w:val="nil"/>
                    <w:tr2bl w:val="nil"/>
                  </w:tcBorders>
                  <w:vAlign w:val="center"/>
                </w:tcPr>
                <w:p w14:paraId="6554BAC6">
                  <w:pPr>
                    <w:jc w:val="center"/>
                  </w:pPr>
                  <w:r>
                    <w:rPr>
                      <w:lang w:val="zh-CN"/>
                    </w:rPr>
                    <w:t>设备名称</w:t>
                  </w:r>
                </w:p>
              </w:tc>
              <w:tc>
                <w:tcPr>
                  <w:tcW w:w="367" w:type="pct"/>
                  <w:tcBorders>
                    <w:tl2br w:val="nil"/>
                    <w:tr2bl w:val="nil"/>
                  </w:tcBorders>
                  <w:vAlign w:val="center"/>
                </w:tcPr>
                <w:p w14:paraId="170E2920">
                  <w:pPr>
                    <w:jc w:val="center"/>
                  </w:pPr>
                  <w:r>
                    <w:rPr>
                      <w:lang w:val="zh-CN"/>
                    </w:rPr>
                    <w:t>单位</w:t>
                  </w:r>
                </w:p>
              </w:tc>
              <w:tc>
                <w:tcPr>
                  <w:tcW w:w="367" w:type="pct"/>
                  <w:tcBorders>
                    <w:tl2br w:val="nil"/>
                    <w:tr2bl w:val="nil"/>
                  </w:tcBorders>
                  <w:vAlign w:val="center"/>
                </w:tcPr>
                <w:p w14:paraId="16910124">
                  <w:pPr>
                    <w:jc w:val="center"/>
                  </w:pPr>
                  <w:r>
                    <w:rPr>
                      <w:lang w:val="zh-CN"/>
                    </w:rPr>
                    <w:t>数量</w:t>
                  </w:r>
                </w:p>
              </w:tc>
              <w:tc>
                <w:tcPr>
                  <w:tcW w:w="2973" w:type="pct"/>
                  <w:tcBorders>
                    <w:tl2br w:val="nil"/>
                    <w:tr2bl w:val="nil"/>
                  </w:tcBorders>
                  <w:vAlign w:val="center"/>
                </w:tcPr>
                <w:p w14:paraId="62C2DC5B">
                  <w:pPr>
                    <w:jc w:val="center"/>
                  </w:pPr>
                  <w:r>
                    <w:rPr>
                      <w:lang w:val="zh-CN"/>
                    </w:rPr>
                    <w:t>备注</w:t>
                  </w:r>
                </w:p>
              </w:tc>
            </w:tr>
            <w:tr w14:paraId="1D04B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248DD3FF">
                  <w:pPr>
                    <w:jc w:val="center"/>
                  </w:pPr>
                  <w:r>
                    <w:t>1</w:t>
                  </w:r>
                </w:p>
              </w:tc>
              <w:tc>
                <w:tcPr>
                  <w:tcW w:w="926" w:type="pct"/>
                  <w:tcBorders>
                    <w:tl2br w:val="nil"/>
                    <w:tr2bl w:val="nil"/>
                  </w:tcBorders>
                  <w:vAlign w:val="center"/>
                </w:tcPr>
                <w:p w14:paraId="5A60919B">
                  <w:pPr>
                    <w:jc w:val="center"/>
                  </w:pPr>
                  <w:r>
                    <w:rPr>
                      <w:lang w:val="zh-CN"/>
                    </w:rPr>
                    <w:t>压裂泵车</w:t>
                  </w:r>
                </w:p>
              </w:tc>
              <w:tc>
                <w:tcPr>
                  <w:tcW w:w="367" w:type="pct"/>
                  <w:tcBorders>
                    <w:tl2br w:val="nil"/>
                    <w:tr2bl w:val="nil"/>
                  </w:tcBorders>
                  <w:vAlign w:val="center"/>
                </w:tcPr>
                <w:p w14:paraId="34266AE8">
                  <w:pPr>
                    <w:jc w:val="center"/>
                  </w:pPr>
                  <w:r>
                    <w:rPr>
                      <w:lang w:val="zh-CN"/>
                    </w:rPr>
                    <w:t>台</w:t>
                  </w:r>
                </w:p>
              </w:tc>
              <w:tc>
                <w:tcPr>
                  <w:tcW w:w="367" w:type="pct"/>
                  <w:tcBorders>
                    <w:tl2br w:val="nil"/>
                    <w:tr2bl w:val="nil"/>
                  </w:tcBorders>
                  <w:vAlign w:val="center"/>
                </w:tcPr>
                <w:p w14:paraId="1FD8085A">
                  <w:pPr>
                    <w:jc w:val="center"/>
                  </w:pPr>
                  <w:r>
                    <w:t>12</w:t>
                  </w:r>
                </w:p>
              </w:tc>
              <w:tc>
                <w:tcPr>
                  <w:tcW w:w="2973" w:type="pct"/>
                  <w:tcBorders>
                    <w:tl2br w:val="nil"/>
                    <w:tr2bl w:val="nil"/>
                  </w:tcBorders>
                  <w:vAlign w:val="center"/>
                </w:tcPr>
                <w:p w14:paraId="0B5F58E5">
                  <w:pPr>
                    <w:jc w:val="center"/>
                  </w:pPr>
                  <w:r>
                    <w:rPr>
                      <w:rFonts w:hint="eastAsia"/>
                    </w:rPr>
                    <w:t>10用2备，</w:t>
                  </w:r>
                  <w:r>
                    <w:rPr>
                      <w:lang w:val="zh-CN"/>
                    </w:rPr>
                    <w:t>满足改造需要</w:t>
                  </w:r>
                </w:p>
              </w:tc>
            </w:tr>
            <w:tr w14:paraId="62F25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339F0E91">
                  <w:pPr>
                    <w:jc w:val="center"/>
                  </w:pPr>
                  <w:r>
                    <w:t>2</w:t>
                  </w:r>
                </w:p>
              </w:tc>
              <w:tc>
                <w:tcPr>
                  <w:tcW w:w="926" w:type="pct"/>
                  <w:tcBorders>
                    <w:tl2br w:val="nil"/>
                    <w:tr2bl w:val="nil"/>
                  </w:tcBorders>
                  <w:vAlign w:val="center"/>
                </w:tcPr>
                <w:p w14:paraId="179FCC84">
                  <w:pPr>
                    <w:jc w:val="center"/>
                  </w:pPr>
                  <w:r>
                    <w:rPr>
                      <w:lang w:val="zh-CN"/>
                    </w:rPr>
                    <w:t>仪表车</w:t>
                  </w:r>
                </w:p>
              </w:tc>
              <w:tc>
                <w:tcPr>
                  <w:tcW w:w="367" w:type="pct"/>
                  <w:tcBorders>
                    <w:tl2br w:val="nil"/>
                    <w:tr2bl w:val="nil"/>
                  </w:tcBorders>
                  <w:vAlign w:val="center"/>
                </w:tcPr>
                <w:p w14:paraId="14FA1624">
                  <w:pPr>
                    <w:jc w:val="center"/>
                  </w:pPr>
                  <w:r>
                    <w:rPr>
                      <w:lang w:val="zh-CN"/>
                    </w:rPr>
                    <w:t>台</w:t>
                  </w:r>
                </w:p>
              </w:tc>
              <w:tc>
                <w:tcPr>
                  <w:tcW w:w="367" w:type="pct"/>
                  <w:tcBorders>
                    <w:tl2br w:val="nil"/>
                    <w:tr2bl w:val="nil"/>
                  </w:tcBorders>
                  <w:vAlign w:val="center"/>
                </w:tcPr>
                <w:p w14:paraId="236B519C">
                  <w:pPr>
                    <w:jc w:val="center"/>
                  </w:pPr>
                  <w:r>
                    <w:t>1</w:t>
                  </w:r>
                </w:p>
              </w:tc>
              <w:tc>
                <w:tcPr>
                  <w:tcW w:w="2973" w:type="pct"/>
                  <w:tcBorders>
                    <w:tl2br w:val="nil"/>
                    <w:tr2bl w:val="nil"/>
                  </w:tcBorders>
                  <w:vAlign w:val="center"/>
                </w:tcPr>
                <w:p w14:paraId="732AE33B">
                  <w:pPr>
                    <w:jc w:val="center"/>
                  </w:pPr>
                  <w:r>
                    <w:t>/</w:t>
                  </w:r>
                </w:p>
              </w:tc>
            </w:tr>
            <w:tr w14:paraId="288BE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5DAE9FF0">
                  <w:pPr>
                    <w:jc w:val="center"/>
                  </w:pPr>
                  <w:r>
                    <w:t>3</w:t>
                  </w:r>
                </w:p>
              </w:tc>
              <w:tc>
                <w:tcPr>
                  <w:tcW w:w="926" w:type="pct"/>
                  <w:tcBorders>
                    <w:tl2br w:val="nil"/>
                    <w:tr2bl w:val="nil"/>
                  </w:tcBorders>
                  <w:vAlign w:val="center"/>
                </w:tcPr>
                <w:p w14:paraId="2C10F9A1">
                  <w:pPr>
                    <w:jc w:val="center"/>
                  </w:pPr>
                  <w:r>
                    <w:rPr>
                      <w:lang w:val="zh-CN"/>
                    </w:rPr>
                    <w:t>管汇车</w:t>
                  </w:r>
                </w:p>
              </w:tc>
              <w:tc>
                <w:tcPr>
                  <w:tcW w:w="367" w:type="pct"/>
                  <w:tcBorders>
                    <w:tl2br w:val="nil"/>
                    <w:tr2bl w:val="nil"/>
                  </w:tcBorders>
                  <w:vAlign w:val="center"/>
                </w:tcPr>
                <w:p w14:paraId="69AEA990">
                  <w:pPr>
                    <w:jc w:val="center"/>
                  </w:pPr>
                  <w:r>
                    <w:rPr>
                      <w:lang w:val="zh-CN"/>
                    </w:rPr>
                    <w:t>台</w:t>
                  </w:r>
                </w:p>
              </w:tc>
              <w:tc>
                <w:tcPr>
                  <w:tcW w:w="367" w:type="pct"/>
                  <w:tcBorders>
                    <w:tl2br w:val="nil"/>
                    <w:tr2bl w:val="nil"/>
                  </w:tcBorders>
                  <w:vAlign w:val="center"/>
                </w:tcPr>
                <w:p w14:paraId="0DD6F66C">
                  <w:pPr>
                    <w:jc w:val="center"/>
                  </w:pPr>
                  <w:r>
                    <w:t>1</w:t>
                  </w:r>
                </w:p>
              </w:tc>
              <w:tc>
                <w:tcPr>
                  <w:tcW w:w="2973" w:type="pct"/>
                  <w:tcBorders>
                    <w:tl2br w:val="nil"/>
                    <w:tr2bl w:val="nil"/>
                  </w:tcBorders>
                  <w:vAlign w:val="center"/>
                </w:tcPr>
                <w:p w14:paraId="37C570C1">
                  <w:pPr>
                    <w:jc w:val="center"/>
                  </w:pPr>
                  <w:r>
                    <w:t>/</w:t>
                  </w:r>
                </w:p>
              </w:tc>
            </w:tr>
            <w:tr w14:paraId="2EC3D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5CEB3874">
                  <w:pPr>
                    <w:jc w:val="center"/>
                  </w:pPr>
                  <w:r>
                    <w:t>4</w:t>
                  </w:r>
                </w:p>
              </w:tc>
              <w:tc>
                <w:tcPr>
                  <w:tcW w:w="926" w:type="pct"/>
                  <w:tcBorders>
                    <w:tl2br w:val="nil"/>
                    <w:tr2bl w:val="nil"/>
                  </w:tcBorders>
                  <w:vAlign w:val="center"/>
                </w:tcPr>
                <w:p w14:paraId="278091CA">
                  <w:pPr>
                    <w:jc w:val="center"/>
                  </w:pPr>
                  <w:r>
                    <w:rPr>
                      <w:lang w:val="zh-CN"/>
                    </w:rPr>
                    <w:t>撬装酸泵</w:t>
                  </w:r>
                </w:p>
              </w:tc>
              <w:tc>
                <w:tcPr>
                  <w:tcW w:w="367" w:type="pct"/>
                  <w:tcBorders>
                    <w:tl2br w:val="nil"/>
                    <w:tr2bl w:val="nil"/>
                  </w:tcBorders>
                  <w:vAlign w:val="center"/>
                </w:tcPr>
                <w:p w14:paraId="0A969F7E">
                  <w:pPr>
                    <w:jc w:val="center"/>
                  </w:pPr>
                  <w:r>
                    <w:rPr>
                      <w:lang w:val="zh-CN"/>
                    </w:rPr>
                    <w:t>台</w:t>
                  </w:r>
                </w:p>
              </w:tc>
              <w:tc>
                <w:tcPr>
                  <w:tcW w:w="367" w:type="pct"/>
                  <w:tcBorders>
                    <w:tl2br w:val="nil"/>
                    <w:tr2bl w:val="nil"/>
                  </w:tcBorders>
                  <w:vAlign w:val="center"/>
                </w:tcPr>
                <w:p w14:paraId="5C1B67EE">
                  <w:pPr>
                    <w:jc w:val="center"/>
                  </w:pPr>
                  <w:r>
                    <w:t>2</w:t>
                  </w:r>
                </w:p>
              </w:tc>
              <w:tc>
                <w:tcPr>
                  <w:tcW w:w="2973" w:type="pct"/>
                  <w:tcBorders>
                    <w:tl2br w:val="nil"/>
                    <w:tr2bl w:val="nil"/>
                  </w:tcBorders>
                  <w:vAlign w:val="center"/>
                </w:tcPr>
                <w:p w14:paraId="1128C781">
                  <w:pPr>
                    <w:jc w:val="center"/>
                  </w:pPr>
                  <w:r>
                    <w:rPr>
                      <w:lang w:val="zh-CN"/>
                    </w:rPr>
                    <w:t>满足酸液配制及大排量循环需要</w:t>
                  </w:r>
                </w:p>
              </w:tc>
            </w:tr>
            <w:tr w14:paraId="30A6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579DCF78">
                  <w:pPr>
                    <w:jc w:val="center"/>
                  </w:pPr>
                  <w:r>
                    <w:t>5</w:t>
                  </w:r>
                </w:p>
              </w:tc>
              <w:tc>
                <w:tcPr>
                  <w:tcW w:w="926" w:type="pct"/>
                  <w:tcBorders>
                    <w:tl2br w:val="nil"/>
                    <w:tr2bl w:val="nil"/>
                  </w:tcBorders>
                  <w:vAlign w:val="center"/>
                </w:tcPr>
                <w:p w14:paraId="473F4380">
                  <w:pPr>
                    <w:jc w:val="center"/>
                  </w:pPr>
                  <w:r>
                    <w:rPr>
                      <w:lang w:val="zh-CN"/>
                    </w:rPr>
                    <w:t>灌注泵</w:t>
                  </w:r>
                </w:p>
              </w:tc>
              <w:tc>
                <w:tcPr>
                  <w:tcW w:w="367" w:type="pct"/>
                  <w:tcBorders>
                    <w:tl2br w:val="nil"/>
                    <w:tr2bl w:val="nil"/>
                  </w:tcBorders>
                  <w:vAlign w:val="center"/>
                </w:tcPr>
                <w:p w14:paraId="61442D21">
                  <w:pPr>
                    <w:jc w:val="center"/>
                  </w:pPr>
                  <w:r>
                    <w:rPr>
                      <w:lang w:val="zh-CN"/>
                    </w:rPr>
                    <w:t>台</w:t>
                  </w:r>
                </w:p>
              </w:tc>
              <w:tc>
                <w:tcPr>
                  <w:tcW w:w="367" w:type="pct"/>
                  <w:tcBorders>
                    <w:tl2br w:val="nil"/>
                    <w:tr2bl w:val="nil"/>
                  </w:tcBorders>
                  <w:vAlign w:val="center"/>
                </w:tcPr>
                <w:p w14:paraId="4B5253EC">
                  <w:pPr>
                    <w:jc w:val="center"/>
                  </w:pPr>
                  <w:r>
                    <w:t>1</w:t>
                  </w:r>
                </w:p>
              </w:tc>
              <w:tc>
                <w:tcPr>
                  <w:tcW w:w="2973" w:type="pct"/>
                  <w:tcBorders>
                    <w:tl2br w:val="nil"/>
                    <w:tr2bl w:val="nil"/>
                  </w:tcBorders>
                  <w:vAlign w:val="center"/>
                </w:tcPr>
                <w:p w14:paraId="17D4B20F">
                  <w:pPr>
                    <w:jc w:val="center"/>
                  </w:pPr>
                  <w:r>
                    <w:t>/</w:t>
                  </w:r>
                </w:p>
              </w:tc>
            </w:tr>
            <w:tr w14:paraId="794AA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40A12E3C">
                  <w:pPr>
                    <w:jc w:val="center"/>
                  </w:pPr>
                  <w:r>
                    <w:t>6</w:t>
                  </w:r>
                </w:p>
              </w:tc>
              <w:tc>
                <w:tcPr>
                  <w:tcW w:w="926" w:type="pct"/>
                  <w:tcBorders>
                    <w:tl2br w:val="nil"/>
                    <w:tr2bl w:val="nil"/>
                  </w:tcBorders>
                  <w:vAlign w:val="center"/>
                </w:tcPr>
                <w:p w14:paraId="15A69EC1">
                  <w:pPr>
                    <w:jc w:val="center"/>
                  </w:pPr>
                  <w:r>
                    <w:t>700</w:t>
                  </w:r>
                  <w:r>
                    <w:rPr>
                      <w:lang w:val="zh-CN"/>
                    </w:rPr>
                    <w:t>型平衡泵车</w:t>
                  </w:r>
                </w:p>
              </w:tc>
              <w:tc>
                <w:tcPr>
                  <w:tcW w:w="367" w:type="pct"/>
                  <w:tcBorders>
                    <w:tl2br w:val="nil"/>
                    <w:tr2bl w:val="nil"/>
                  </w:tcBorders>
                  <w:vAlign w:val="center"/>
                </w:tcPr>
                <w:p w14:paraId="5ED1D51C">
                  <w:pPr>
                    <w:jc w:val="center"/>
                  </w:pPr>
                  <w:r>
                    <w:rPr>
                      <w:lang w:val="zh-CN"/>
                    </w:rPr>
                    <w:t>台</w:t>
                  </w:r>
                </w:p>
              </w:tc>
              <w:tc>
                <w:tcPr>
                  <w:tcW w:w="367" w:type="pct"/>
                  <w:tcBorders>
                    <w:tl2br w:val="nil"/>
                    <w:tr2bl w:val="nil"/>
                  </w:tcBorders>
                  <w:vAlign w:val="center"/>
                </w:tcPr>
                <w:p w14:paraId="01F7C88C">
                  <w:pPr>
                    <w:jc w:val="center"/>
                  </w:pPr>
                  <w:r>
                    <w:t>1</w:t>
                  </w:r>
                </w:p>
              </w:tc>
              <w:tc>
                <w:tcPr>
                  <w:tcW w:w="2973" w:type="pct"/>
                  <w:tcBorders>
                    <w:tl2br w:val="nil"/>
                    <w:tr2bl w:val="nil"/>
                  </w:tcBorders>
                  <w:vAlign w:val="center"/>
                </w:tcPr>
                <w:p w14:paraId="43222C82">
                  <w:pPr>
                    <w:jc w:val="center"/>
                  </w:pPr>
                  <w:r>
                    <w:rPr>
                      <w:lang w:val="zh-CN"/>
                    </w:rPr>
                    <w:t>打平衡用</w:t>
                  </w:r>
                </w:p>
              </w:tc>
            </w:tr>
            <w:tr w14:paraId="650D6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6CD53189">
                  <w:pPr>
                    <w:jc w:val="center"/>
                  </w:pPr>
                  <w:r>
                    <w:t>7</w:t>
                  </w:r>
                </w:p>
              </w:tc>
              <w:tc>
                <w:tcPr>
                  <w:tcW w:w="926" w:type="pct"/>
                  <w:tcBorders>
                    <w:tl2br w:val="nil"/>
                    <w:tr2bl w:val="nil"/>
                  </w:tcBorders>
                  <w:vAlign w:val="center"/>
                </w:tcPr>
                <w:p w14:paraId="0EBCCB3E">
                  <w:pPr>
                    <w:jc w:val="center"/>
                  </w:pPr>
                  <w:r>
                    <w:t>酸罐</w:t>
                  </w:r>
                </w:p>
              </w:tc>
              <w:tc>
                <w:tcPr>
                  <w:tcW w:w="367" w:type="pct"/>
                  <w:tcBorders>
                    <w:tl2br w:val="nil"/>
                    <w:tr2bl w:val="nil"/>
                  </w:tcBorders>
                  <w:vAlign w:val="center"/>
                </w:tcPr>
                <w:p w14:paraId="1B60FABB">
                  <w:pPr>
                    <w:jc w:val="center"/>
                  </w:pPr>
                  <w:r>
                    <w:rPr>
                      <w:lang w:val="zh-CN"/>
                    </w:rPr>
                    <w:t>具</w:t>
                  </w:r>
                </w:p>
              </w:tc>
              <w:tc>
                <w:tcPr>
                  <w:tcW w:w="367" w:type="pct"/>
                  <w:tcBorders>
                    <w:tl2br w:val="nil"/>
                    <w:tr2bl w:val="nil"/>
                  </w:tcBorders>
                  <w:vAlign w:val="center"/>
                </w:tcPr>
                <w:p w14:paraId="07522A04">
                  <w:pPr>
                    <w:jc w:val="center"/>
                  </w:pPr>
                  <w:r>
                    <w:t>6</w:t>
                  </w:r>
                </w:p>
              </w:tc>
              <w:tc>
                <w:tcPr>
                  <w:tcW w:w="2973" w:type="pct"/>
                  <w:tcBorders>
                    <w:tl2br w:val="nil"/>
                    <w:tr2bl w:val="nil"/>
                  </w:tcBorders>
                  <w:vAlign w:val="center"/>
                </w:tcPr>
                <w:p w14:paraId="05B78961">
                  <w:pPr>
                    <w:jc w:val="center"/>
                  </w:pPr>
                  <w:r>
                    <w:rPr>
                      <w:lang w:val="zh-CN"/>
                    </w:rPr>
                    <w:t>满足施工要求</w:t>
                  </w:r>
                  <w:r>
                    <w:rPr>
                      <w:rFonts w:hint="eastAsia"/>
                      <w:lang w:val="zh-CN"/>
                    </w:rPr>
                    <w:t>，</w:t>
                  </w:r>
                  <w:r>
                    <w:t>5用1备</w:t>
                  </w:r>
                </w:p>
              </w:tc>
            </w:tr>
            <w:tr w14:paraId="368DC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4669E070">
                  <w:pPr>
                    <w:jc w:val="center"/>
                  </w:pPr>
                  <w:r>
                    <w:t>8</w:t>
                  </w:r>
                </w:p>
              </w:tc>
              <w:tc>
                <w:tcPr>
                  <w:tcW w:w="926" w:type="pct"/>
                  <w:tcBorders>
                    <w:tl2br w:val="nil"/>
                    <w:tr2bl w:val="nil"/>
                  </w:tcBorders>
                  <w:vAlign w:val="center"/>
                </w:tcPr>
                <w:p w14:paraId="6EB43562">
                  <w:pPr>
                    <w:jc w:val="center"/>
                  </w:pPr>
                  <w:r>
                    <w:rPr>
                      <w:lang w:val="zh-CN"/>
                    </w:rPr>
                    <w:t>液罐</w:t>
                  </w:r>
                </w:p>
              </w:tc>
              <w:tc>
                <w:tcPr>
                  <w:tcW w:w="367" w:type="pct"/>
                  <w:tcBorders>
                    <w:tl2br w:val="nil"/>
                    <w:tr2bl w:val="nil"/>
                  </w:tcBorders>
                  <w:vAlign w:val="center"/>
                </w:tcPr>
                <w:p w14:paraId="2F78D60D">
                  <w:pPr>
                    <w:jc w:val="center"/>
                  </w:pPr>
                  <w:r>
                    <w:rPr>
                      <w:lang w:val="zh-CN"/>
                    </w:rPr>
                    <w:t>具</w:t>
                  </w:r>
                </w:p>
              </w:tc>
              <w:tc>
                <w:tcPr>
                  <w:tcW w:w="367" w:type="pct"/>
                  <w:tcBorders>
                    <w:tl2br w:val="nil"/>
                    <w:tr2bl w:val="nil"/>
                  </w:tcBorders>
                  <w:vAlign w:val="center"/>
                </w:tcPr>
                <w:p w14:paraId="5C2ADC7F">
                  <w:pPr>
                    <w:jc w:val="center"/>
                  </w:pPr>
                  <w:r>
                    <w:t>1</w:t>
                  </w:r>
                </w:p>
              </w:tc>
              <w:tc>
                <w:tcPr>
                  <w:tcW w:w="2973" w:type="pct"/>
                  <w:tcBorders>
                    <w:tl2br w:val="nil"/>
                    <w:tr2bl w:val="nil"/>
                  </w:tcBorders>
                  <w:vAlign w:val="center"/>
                </w:tcPr>
                <w:p w14:paraId="47AF220B">
                  <w:pPr>
                    <w:jc w:val="center"/>
                  </w:pPr>
                  <w:r>
                    <w:rPr>
                      <w:lang w:val="zh-CN"/>
                    </w:rPr>
                    <w:t>满足施工要求，</w:t>
                  </w:r>
                  <w:r>
                    <w:t>活性水</w:t>
                  </w:r>
                </w:p>
              </w:tc>
            </w:tr>
            <w:tr w14:paraId="26E6D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2F25C9EE">
                  <w:pPr>
                    <w:jc w:val="center"/>
                  </w:pPr>
                  <w:r>
                    <w:t>9</w:t>
                  </w:r>
                </w:p>
              </w:tc>
              <w:tc>
                <w:tcPr>
                  <w:tcW w:w="926" w:type="pct"/>
                  <w:tcBorders>
                    <w:tl2br w:val="nil"/>
                    <w:tr2bl w:val="nil"/>
                  </w:tcBorders>
                  <w:vAlign w:val="center"/>
                </w:tcPr>
                <w:p w14:paraId="27BAAE66">
                  <w:pPr>
                    <w:jc w:val="center"/>
                  </w:pPr>
                  <w:r>
                    <w:rPr>
                      <w:lang w:val="zh-CN"/>
                    </w:rPr>
                    <w:t>随车吊</w:t>
                  </w:r>
                </w:p>
              </w:tc>
              <w:tc>
                <w:tcPr>
                  <w:tcW w:w="367" w:type="pct"/>
                  <w:tcBorders>
                    <w:tl2br w:val="nil"/>
                    <w:tr2bl w:val="nil"/>
                  </w:tcBorders>
                  <w:vAlign w:val="center"/>
                </w:tcPr>
                <w:p w14:paraId="03826C58">
                  <w:pPr>
                    <w:jc w:val="center"/>
                  </w:pPr>
                  <w:r>
                    <w:rPr>
                      <w:lang w:val="zh-CN"/>
                    </w:rPr>
                    <w:t>台</w:t>
                  </w:r>
                </w:p>
              </w:tc>
              <w:tc>
                <w:tcPr>
                  <w:tcW w:w="367" w:type="pct"/>
                  <w:tcBorders>
                    <w:tl2br w:val="nil"/>
                    <w:tr2bl w:val="nil"/>
                  </w:tcBorders>
                  <w:vAlign w:val="center"/>
                </w:tcPr>
                <w:p w14:paraId="1B9593FC">
                  <w:pPr>
                    <w:jc w:val="center"/>
                  </w:pPr>
                  <w:r>
                    <w:t>1</w:t>
                  </w:r>
                </w:p>
              </w:tc>
              <w:tc>
                <w:tcPr>
                  <w:tcW w:w="2973" w:type="pct"/>
                  <w:tcBorders>
                    <w:tl2br w:val="nil"/>
                    <w:tr2bl w:val="nil"/>
                  </w:tcBorders>
                  <w:vAlign w:val="center"/>
                </w:tcPr>
                <w:p w14:paraId="7665757B">
                  <w:pPr>
                    <w:jc w:val="center"/>
                  </w:pPr>
                  <w:r>
                    <w:t>/</w:t>
                  </w:r>
                </w:p>
              </w:tc>
            </w:tr>
            <w:tr w14:paraId="6D764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2934074F">
                  <w:pPr>
                    <w:jc w:val="center"/>
                  </w:pPr>
                  <w:r>
                    <w:t>10</w:t>
                  </w:r>
                </w:p>
              </w:tc>
              <w:tc>
                <w:tcPr>
                  <w:tcW w:w="926" w:type="pct"/>
                  <w:tcBorders>
                    <w:tl2br w:val="nil"/>
                    <w:tr2bl w:val="nil"/>
                  </w:tcBorders>
                  <w:vAlign w:val="center"/>
                </w:tcPr>
                <w:p w14:paraId="6933B0CD">
                  <w:pPr>
                    <w:jc w:val="center"/>
                  </w:pPr>
                  <w:r>
                    <w:t>30t</w:t>
                  </w:r>
                  <w:r>
                    <w:rPr>
                      <w:lang w:val="zh-CN"/>
                    </w:rPr>
                    <w:t>吊车</w:t>
                  </w:r>
                </w:p>
              </w:tc>
              <w:tc>
                <w:tcPr>
                  <w:tcW w:w="367" w:type="pct"/>
                  <w:tcBorders>
                    <w:tl2br w:val="nil"/>
                    <w:tr2bl w:val="nil"/>
                  </w:tcBorders>
                  <w:vAlign w:val="center"/>
                </w:tcPr>
                <w:p w14:paraId="2F4CC28C">
                  <w:pPr>
                    <w:jc w:val="center"/>
                  </w:pPr>
                  <w:r>
                    <w:rPr>
                      <w:lang w:val="zh-CN"/>
                    </w:rPr>
                    <w:t>台</w:t>
                  </w:r>
                </w:p>
              </w:tc>
              <w:tc>
                <w:tcPr>
                  <w:tcW w:w="367" w:type="pct"/>
                  <w:tcBorders>
                    <w:tl2br w:val="nil"/>
                    <w:tr2bl w:val="nil"/>
                  </w:tcBorders>
                  <w:vAlign w:val="center"/>
                </w:tcPr>
                <w:p w14:paraId="74F6FE44">
                  <w:pPr>
                    <w:jc w:val="center"/>
                  </w:pPr>
                  <w:r>
                    <w:t>1</w:t>
                  </w:r>
                </w:p>
              </w:tc>
              <w:tc>
                <w:tcPr>
                  <w:tcW w:w="2973" w:type="pct"/>
                  <w:tcBorders>
                    <w:tl2br w:val="nil"/>
                    <w:tr2bl w:val="nil"/>
                  </w:tcBorders>
                  <w:vAlign w:val="center"/>
                </w:tcPr>
                <w:p w14:paraId="249D937D">
                  <w:pPr>
                    <w:jc w:val="center"/>
                  </w:pPr>
                  <w:r>
                    <w:t>/</w:t>
                  </w:r>
                </w:p>
              </w:tc>
            </w:tr>
            <w:tr w14:paraId="0DB75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14:paraId="513FC8D9">
                  <w:pPr>
                    <w:jc w:val="center"/>
                  </w:pPr>
                  <w:r>
                    <w:t>11</w:t>
                  </w:r>
                </w:p>
              </w:tc>
              <w:tc>
                <w:tcPr>
                  <w:tcW w:w="926" w:type="pct"/>
                  <w:tcBorders>
                    <w:tl2br w:val="nil"/>
                    <w:tr2bl w:val="nil"/>
                  </w:tcBorders>
                  <w:vAlign w:val="center"/>
                </w:tcPr>
                <w:p w14:paraId="4A32AC67">
                  <w:pPr>
                    <w:jc w:val="center"/>
                  </w:pPr>
                  <w:r>
                    <w:t>液氮泵车</w:t>
                  </w:r>
                </w:p>
              </w:tc>
              <w:tc>
                <w:tcPr>
                  <w:tcW w:w="367" w:type="pct"/>
                  <w:tcBorders>
                    <w:tl2br w:val="nil"/>
                    <w:tr2bl w:val="nil"/>
                  </w:tcBorders>
                  <w:vAlign w:val="center"/>
                </w:tcPr>
                <w:p w14:paraId="3C3C51D7">
                  <w:pPr>
                    <w:jc w:val="center"/>
                    <w:rPr>
                      <w:lang w:val="zh-CN"/>
                    </w:rPr>
                  </w:pPr>
                  <w:r>
                    <w:rPr>
                      <w:lang w:val="zh-CN"/>
                    </w:rPr>
                    <w:t>台</w:t>
                  </w:r>
                </w:p>
              </w:tc>
              <w:tc>
                <w:tcPr>
                  <w:tcW w:w="367" w:type="pct"/>
                  <w:tcBorders>
                    <w:tl2br w:val="nil"/>
                    <w:tr2bl w:val="nil"/>
                  </w:tcBorders>
                  <w:vAlign w:val="center"/>
                </w:tcPr>
                <w:p w14:paraId="252C7839">
                  <w:pPr>
                    <w:jc w:val="center"/>
                  </w:pPr>
                  <w:r>
                    <w:t>1</w:t>
                  </w:r>
                </w:p>
              </w:tc>
              <w:tc>
                <w:tcPr>
                  <w:tcW w:w="2973" w:type="pct"/>
                  <w:tcBorders>
                    <w:tl2br w:val="nil"/>
                    <w:tr2bl w:val="nil"/>
                  </w:tcBorders>
                  <w:vAlign w:val="center"/>
                </w:tcPr>
                <w:p w14:paraId="5EA4F751">
                  <w:pPr>
                    <w:jc w:val="center"/>
                  </w:pPr>
                  <w:r>
                    <w:rPr>
                      <w:lang w:val="zh-CN"/>
                    </w:rPr>
                    <w:t>满足施工要求</w:t>
                  </w:r>
                </w:p>
              </w:tc>
            </w:tr>
          </w:tbl>
          <w:p w14:paraId="6DD5A003">
            <w:pPr>
              <w:spacing w:line="360" w:lineRule="auto"/>
              <w:rPr>
                <w:b/>
                <w:sz w:val="24"/>
              </w:rPr>
            </w:pPr>
            <w:r>
              <w:rPr>
                <w:b/>
                <w:sz w:val="24"/>
              </w:rPr>
              <w:t>2.6主要原辅材料及能源消耗情况</w:t>
            </w:r>
          </w:p>
          <w:p w14:paraId="1213892C">
            <w:pPr>
              <w:widowControl/>
              <w:spacing w:line="360" w:lineRule="auto"/>
              <w:ind w:firstLine="482" w:firstLineChars="200"/>
              <w:rPr>
                <w:b/>
                <w:bCs/>
                <w:kern w:val="0"/>
                <w:sz w:val="24"/>
                <w:lang w:bidi="ar"/>
              </w:rPr>
            </w:pPr>
            <w:r>
              <w:rPr>
                <w:b/>
                <w:bCs/>
                <w:kern w:val="0"/>
                <w:sz w:val="24"/>
                <w:lang w:bidi="ar"/>
              </w:rPr>
              <w:t>（1）主要原辅材料、能源消耗及来源统计</w:t>
            </w:r>
          </w:p>
          <w:p w14:paraId="32D1CD82">
            <w:pPr>
              <w:widowControl/>
              <w:spacing w:line="360" w:lineRule="auto"/>
              <w:ind w:firstLine="480" w:firstLineChars="200"/>
              <w:rPr>
                <w:kern w:val="0"/>
                <w:sz w:val="24"/>
                <w:lang w:bidi="ar"/>
              </w:rPr>
            </w:pPr>
            <w:r>
              <w:rPr>
                <w:rFonts w:hint="eastAsia"/>
                <w:kern w:val="0"/>
                <w:sz w:val="24"/>
                <w:lang w:bidi="ar"/>
              </w:rPr>
              <w:t>双庙页1HF井</w:t>
            </w:r>
            <w:r>
              <w:rPr>
                <w:kern w:val="0"/>
                <w:sz w:val="24"/>
                <w:lang w:bidi="ar"/>
              </w:rPr>
              <w:t>钻井液材料用量设计见表2-5，导管段采用清水井，一开、二开</w:t>
            </w:r>
            <w:r>
              <w:rPr>
                <w:rFonts w:hint="eastAsia"/>
                <w:kern w:val="0"/>
                <w:sz w:val="24"/>
                <w:lang w:bidi="ar"/>
              </w:rPr>
              <w:t>、三开、四开导眼</w:t>
            </w:r>
            <w:r>
              <w:rPr>
                <w:kern w:val="0"/>
                <w:sz w:val="24"/>
                <w:lang w:bidi="ar"/>
              </w:rPr>
              <w:t>段采用水基钻井液钻井，</w:t>
            </w:r>
            <w:r>
              <w:rPr>
                <w:rFonts w:hint="eastAsia"/>
                <w:kern w:val="0"/>
                <w:sz w:val="24"/>
                <w:lang w:bidi="ar"/>
              </w:rPr>
              <w:t>四开水平段采用油基钻井液</w:t>
            </w:r>
            <w:r>
              <w:rPr>
                <w:kern w:val="0"/>
                <w:sz w:val="24"/>
                <w:lang w:bidi="ar"/>
              </w:rPr>
              <w:t>。本工程采用材料用量见下表。</w:t>
            </w:r>
          </w:p>
          <w:p w14:paraId="6056D9F0">
            <w:pPr>
              <w:pStyle w:val="19"/>
              <w:numPr>
                <w:ilvl w:val="0"/>
                <w:numId w:val="6"/>
              </w:numPr>
              <w:tabs>
                <w:tab w:val="left" w:pos="0"/>
                <w:tab w:val="left" w:pos="833"/>
              </w:tabs>
              <w:spacing w:before="0" w:after="0" w:line="360" w:lineRule="auto"/>
              <w:ind w:left="0" w:right="0" w:firstLine="0"/>
              <w:jc w:val="center"/>
              <w:rPr>
                <w:b/>
                <w:bCs/>
                <w:sz w:val="24"/>
                <w:szCs w:val="24"/>
              </w:rPr>
            </w:pPr>
            <w:r>
              <w:rPr>
                <w:rFonts w:hint="eastAsia"/>
                <w:b/>
                <w:bCs/>
                <w:sz w:val="24"/>
                <w:szCs w:val="24"/>
              </w:rPr>
              <w:t>双庙页1HF预探井工程</w:t>
            </w:r>
            <w:r>
              <w:rPr>
                <w:b/>
                <w:bCs/>
                <w:sz w:val="24"/>
                <w:szCs w:val="24"/>
              </w:rPr>
              <w:t>钻井液主要材料用量情况</w:t>
            </w:r>
            <w:r>
              <w:rPr>
                <w:rFonts w:hint="eastAsia"/>
                <w:b/>
                <w:bCs/>
                <w:sz w:val="24"/>
                <w:szCs w:val="24"/>
              </w:rPr>
              <w:t>（单位：t）</w:t>
            </w:r>
          </w:p>
          <w:tbl>
            <w:tblPr>
              <w:tblStyle w:val="44"/>
              <w:tblW w:w="502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5"/>
              <w:gridCol w:w="2305"/>
              <w:gridCol w:w="809"/>
              <w:gridCol w:w="922"/>
              <w:gridCol w:w="745"/>
              <w:gridCol w:w="758"/>
              <w:gridCol w:w="745"/>
              <w:gridCol w:w="842"/>
            </w:tblGrid>
            <w:tr w14:paraId="01D80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vAlign w:val="center"/>
                </w:tcPr>
                <w:p w14:paraId="34D22DEA">
                  <w:pPr>
                    <w:jc w:val="center"/>
                  </w:pPr>
                  <w:r>
                    <w:t>序号</w:t>
                  </w:r>
                </w:p>
              </w:tc>
              <w:tc>
                <w:tcPr>
                  <w:tcW w:w="1531" w:type="pct"/>
                  <w:vAlign w:val="center"/>
                </w:tcPr>
                <w:p w14:paraId="2D228A87">
                  <w:pPr>
                    <w:jc w:val="center"/>
                  </w:pPr>
                  <w:r>
                    <w:t>材料名称</w:t>
                  </w:r>
                </w:p>
              </w:tc>
              <w:tc>
                <w:tcPr>
                  <w:tcW w:w="538" w:type="pct"/>
                  <w:vAlign w:val="center"/>
                </w:tcPr>
                <w:p w14:paraId="70BA90F1">
                  <w:pPr>
                    <w:jc w:val="center"/>
                  </w:pPr>
                  <w:r>
                    <w:rPr>
                      <w:rFonts w:hint="eastAsia"/>
                    </w:rPr>
                    <w:t>导管/</w:t>
                  </w:r>
                  <w:r>
                    <w:t>一开</w:t>
                  </w:r>
                </w:p>
              </w:tc>
              <w:tc>
                <w:tcPr>
                  <w:tcW w:w="613" w:type="pct"/>
                  <w:vAlign w:val="center"/>
                </w:tcPr>
                <w:p w14:paraId="24DCCE23">
                  <w:pPr>
                    <w:jc w:val="center"/>
                  </w:pPr>
                  <w:r>
                    <w:t>二开</w:t>
                  </w:r>
                </w:p>
              </w:tc>
              <w:tc>
                <w:tcPr>
                  <w:tcW w:w="495" w:type="pct"/>
                  <w:vAlign w:val="center"/>
                </w:tcPr>
                <w:p w14:paraId="4C0B8132">
                  <w:pPr>
                    <w:jc w:val="center"/>
                  </w:pPr>
                  <w:r>
                    <w:rPr>
                      <w:rFonts w:hint="eastAsia"/>
                    </w:rPr>
                    <w:t>三开</w:t>
                  </w:r>
                </w:p>
              </w:tc>
              <w:tc>
                <w:tcPr>
                  <w:tcW w:w="503" w:type="pct"/>
                  <w:vAlign w:val="center"/>
                </w:tcPr>
                <w:p w14:paraId="6379C949">
                  <w:pPr>
                    <w:jc w:val="center"/>
                  </w:pPr>
                  <w:r>
                    <w:rPr>
                      <w:rFonts w:hint="eastAsia"/>
                    </w:rPr>
                    <w:t>四开导眼</w:t>
                  </w:r>
                </w:p>
              </w:tc>
              <w:tc>
                <w:tcPr>
                  <w:tcW w:w="495" w:type="pct"/>
                  <w:vAlign w:val="center"/>
                </w:tcPr>
                <w:p w14:paraId="68630115">
                  <w:pPr>
                    <w:jc w:val="center"/>
                  </w:pPr>
                  <w:r>
                    <w:rPr>
                      <w:rFonts w:hint="eastAsia"/>
                    </w:rPr>
                    <w:t>四开侧钻</w:t>
                  </w:r>
                </w:p>
              </w:tc>
              <w:tc>
                <w:tcPr>
                  <w:tcW w:w="560" w:type="pct"/>
                  <w:vAlign w:val="center"/>
                </w:tcPr>
                <w:p w14:paraId="683B168A">
                  <w:pPr>
                    <w:jc w:val="center"/>
                  </w:pPr>
                  <w:r>
                    <w:t>合计</w:t>
                  </w:r>
                </w:p>
              </w:tc>
            </w:tr>
            <w:tr w14:paraId="337FB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vAlign w:val="center"/>
                </w:tcPr>
                <w:p w14:paraId="5A339BCD">
                  <w:pPr>
                    <w:snapToGrid w:val="0"/>
                    <w:jc w:val="center"/>
                    <w:rPr>
                      <w:rFonts w:eastAsia="Times New Roman"/>
                    </w:rPr>
                  </w:pPr>
                  <w:r>
                    <w:rPr>
                      <w:rFonts w:eastAsia="Times New Roman"/>
                    </w:rPr>
                    <w:t>1</w:t>
                  </w:r>
                </w:p>
              </w:tc>
              <w:tc>
                <w:tcPr>
                  <w:tcW w:w="1531" w:type="pct"/>
                  <w:vAlign w:val="center"/>
                </w:tcPr>
                <w:p w14:paraId="085B32F3">
                  <w:pPr>
                    <w:snapToGrid w:val="0"/>
                    <w:jc w:val="center"/>
                    <w:rPr>
                      <w:rFonts w:eastAsia="Times New Roman"/>
                      <w:lang w:val="zh-CN"/>
                    </w:rPr>
                  </w:pPr>
                  <w:r>
                    <w:rPr>
                      <w:rFonts w:eastAsia="Times New Roman"/>
                    </w:rPr>
                    <w:t>膨润土粉</w:t>
                  </w:r>
                </w:p>
              </w:tc>
              <w:tc>
                <w:tcPr>
                  <w:tcW w:w="538" w:type="pct"/>
                  <w:vAlign w:val="center"/>
                </w:tcPr>
                <w:p w14:paraId="53AC0522">
                  <w:pPr>
                    <w:snapToGrid w:val="0"/>
                    <w:jc w:val="center"/>
                    <w:rPr>
                      <w:rFonts w:eastAsia="Times New Roman"/>
                    </w:rPr>
                  </w:pPr>
                  <w:r>
                    <w:rPr>
                      <w:rFonts w:hint="eastAsia"/>
                      <w:bCs/>
                      <w:sz w:val="21"/>
                      <w:szCs w:val="21"/>
                      <w:lang w:val="en-US" w:eastAsia="zh-CN"/>
                    </w:rPr>
                    <w:t>*</w:t>
                  </w:r>
                </w:p>
              </w:tc>
              <w:tc>
                <w:tcPr>
                  <w:tcW w:w="613" w:type="pct"/>
                  <w:vAlign w:val="center"/>
                </w:tcPr>
                <w:p w14:paraId="525DC179">
                  <w:pPr>
                    <w:snapToGrid w:val="0"/>
                    <w:jc w:val="center"/>
                  </w:pPr>
                  <w:r>
                    <w:rPr>
                      <w:rFonts w:hint="eastAsia"/>
                      <w:bCs/>
                      <w:sz w:val="21"/>
                      <w:szCs w:val="21"/>
                      <w:lang w:val="en-US" w:eastAsia="zh-CN"/>
                    </w:rPr>
                    <w:t>*</w:t>
                  </w:r>
                </w:p>
              </w:tc>
              <w:tc>
                <w:tcPr>
                  <w:tcW w:w="495" w:type="pct"/>
                  <w:vAlign w:val="center"/>
                </w:tcPr>
                <w:p w14:paraId="35B88C89">
                  <w:pPr>
                    <w:snapToGrid w:val="0"/>
                    <w:jc w:val="center"/>
                  </w:pPr>
                  <w:r>
                    <w:rPr>
                      <w:rFonts w:hint="eastAsia"/>
                      <w:bCs/>
                      <w:sz w:val="21"/>
                      <w:szCs w:val="21"/>
                      <w:lang w:val="en-US" w:eastAsia="zh-CN"/>
                    </w:rPr>
                    <w:t>*</w:t>
                  </w:r>
                </w:p>
              </w:tc>
              <w:tc>
                <w:tcPr>
                  <w:tcW w:w="503" w:type="pct"/>
                  <w:vAlign w:val="center"/>
                </w:tcPr>
                <w:p w14:paraId="186DE0AB">
                  <w:pPr>
                    <w:snapToGrid w:val="0"/>
                    <w:jc w:val="center"/>
                  </w:pPr>
                  <w:r>
                    <w:rPr>
                      <w:rFonts w:hint="eastAsia"/>
                      <w:bCs/>
                      <w:sz w:val="21"/>
                      <w:szCs w:val="21"/>
                      <w:lang w:val="en-US" w:eastAsia="zh-CN"/>
                    </w:rPr>
                    <w:t>*</w:t>
                  </w:r>
                </w:p>
              </w:tc>
              <w:tc>
                <w:tcPr>
                  <w:tcW w:w="495" w:type="pct"/>
                  <w:vAlign w:val="center"/>
                </w:tcPr>
                <w:p w14:paraId="4D8685D7">
                  <w:pPr>
                    <w:snapToGrid w:val="0"/>
                    <w:jc w:val="center"/>
                  </w:pPr>
                  <w:r>
                    <w:rPr>
                      <w:rFonts w:hint="eastAsia"/>
                      <w:bCs/>
                      <w:sz w:val="21"/>
                      <w:szCs w:val="21"/>
                      <w:lang w:val="en-US" w:eastAsia="zh-CN"/>
                    </w:rPr>
                    <w:t>*</w:t>
                  </w:r>
                </w:p>
              </w:tc>
              <w:tc>
                <w:tcPr>
                  <w:tcW w:w="560" w:type="pct"/>
                  <w:vAlign w:val="center"/>
                </w:tcPr>
                <w:p w14:paraId="64D0E00B">
                  <w:pPr>
                    <w:snapToGrid w:val="0"/>
                    <w:jc w:val="center"/>
                  </w:pPr>
                  <w:r>
                    <w:rPr>
                      <w:rFonts w:hint="eastAsia"/>
                      <w:bCs/>
                      <w:sz w:val="21"/>
                      <w:szCs w:val="21"/>
                      <w:lang w:val="en-US" w:eastAsia="zh-CN"/>
                    </w:rPr>
                    <w:t>*</w:t>
                  </w:r>
                </w:p>
              </w:tc>
            </w:tr>
            <w:tr w14:paraId="0ED51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vAlign w:val="center"/>
                </w:tcPr>
                <w:p w14:paraId="129C368A">
                  <w:pPr>
                    <w:snapToGrid w:val="0"/>
                    <w:jc w:val="center"/>
                    <w:rPr>
                      <w:rFonts w:eastAsia="Times New Roman"/>
                    </w:rPr>
                  </w:pPr>
                  <w:r>
                    <w:rPr>
                      <w:rFonts w:eastAsia="Times New Roman"/>
                    </w:rPr>
                    <w:t>2</w:t>
                  </w:r>
                </w:p>
              </w:tc>
              <w:tc>
                <w:tcPr>
                  <w:tcW w:w="1531" w:type="pct"/>
                  <w:vAlign w:val="center"/>
                </w:tcPr>
                <w:p w14:paraId="435A93FF">
                  <w:pPr>
                    <w:snapToGrid w:val="0"/>
                    <w:jc w:val="center"/>
                    <w:rPr>
                      <w:rFonts w:eastAsia="Times New Roman"/>
                      <w:lang w:val="zh-CN"/>
                    </w:rPr>
                  </w:pPr>
                  <w:r>
                    <w:rPr>
                      <w:rFonts w:eastAsia="Times New Roman"/>
                    </w:rPr>
                    <w:t>纯碱</w:t>
                  </w:r>
                </w:p>
              </w:tc>
              <w:tc>
                <w:tcPr>
                  <w:tcW w:w="538" w:type="pct"/>
                  <w:vAlign w:val="center"/>
                </w:tcPr>
                <w:p w14:paraId="04AF4BF4">
                  <w:pPr>
                    <w:snapToGrid w:val="0"/>
                    <w:jc w:val="center"/>
                    <w:rPr>
                      <w:rFonts w:eastAsia="Times New Roman"/>
                    </w:rPr>
                  </w:pPr>
                  <w:r>
                    <w:rPr>
                      <w:rFonts w:hint="eastAsia"/>
                      <w:bCs/>
                      <w:sz w:val="21"/>
                      <w:szCs w:val="21"/>
                      <w:lang w:val="en-US" w:eastAsia="zh-CN"/>
                    </w:rPr>
                    <w:t>*</w:t>
                  </w:r>
                </w:p>
              </w:tc>
              <w:tc>
                <w:tcPr>
                  <w:tcW w:w="613" w:type="pct"/>
                  <w:vAlign w:val="center"/>
                </w:tcPr>
                <w:p w14:paraId="63CF484D">
                  <w:pPr>
                    <w:snapToGrid w:val="0"/>
                    <w:jc w:val="center"/>
                  </w:pPr>
                  <w:r>
                    <w:rPr>
                      <w:rFonts w:hint="eastAsia"/>
                      <w:bCs/>
                      <w:sz w:val="21"/>
                      <w:szCs w:val="21"/>
                      <w:lang w:val="en-US" w:eastAsia="zh-CN"/>
                    </w:rPr>
                    <w:t>*</w:t>
                  </w:r>
                </w:p>
              </w:tc>
              <w:tc>
                <w:tcPr>
                  <w:tcW w:w="495" w:type="pct"/>
                  <w:vAlign w:val="center"/>
                </w:tcPr>
                <w:p w14:paraId="0B2852CA">
                  <w:pPr>
                    <w:snapToGrid w:val="0"/>
                    <w:jc w:val="center"/>
                  </w:pPr>
                  <w:r>
                    <w:rPr>
                      <w:rFonts w:hint="eastAsia"/>
                      <w:bCs/>
                      <w:sz w:val="21"/>
                      <w:szCs w:val="21"/>
                      <w:lang w:val="en-US" w:eastAsia="zh-CN"/>
                    </w:rPr>
                    <w:t>*</w:t>
                  </w:r>
                </w:p>
              </w:tc>
              <w:tc>
                <w:tcPr>
                  <w:tcW w:w="503" w:type="pct"/>
                  <w:vAlign w:val="center"/>
                </w:tcPr>
                <w:p w14:paraId="173CFF71">
                  <w:pPr>
                    <w:snapToGrid w:val="0"/>
                    <w:jc w:val="center"/>
                  </w:pPr>
                  <w:r>
                    <w:rPr>
                      <w:rFonts w:hint="eastAsia"/>
                      <w:bCs/>
                      <w:sz w:val="21"/>
                      <w:szCs w:val="21"/>
                      <w:lang w:val="en-US" w:eastAsia="zh-CN"/>
                    </w:rPr>
                    <w:t>*</w:t>
                  </w:r>
                </w:p>
              </w:tc>
              <w:tc>
                <w:tcPr>
                  <w:tcW w:w="495" w:type="pct"/>
                  <w:vAlign w:val="center"/>
                </w:tcPr>
                <w:p w14:paraId="243BC97E">
                  <w:pPr>
                    <w:snapToGrid w:val="0"/>
                    <w:jc w:val="center"/>
                  </w:pPr>
                  <w:r>
                    <w:rPr>
                      <w:rFonts w:hint="eastAsia"/>
                      <w:bCs/>
                      <w:sz w:val="21"/>
                      <w:szCs w:val="21"/>
                      <w:lang w:val="en-US" w:eastAsia="zh-CN"/>
                    </w:rPr>
                    <w:t>*</w:t>
                  </w:r>
                </w:p>
              </w:tc>
              <w:tc>
                <w:tcPr>
                  <w:tcW w:w="560" w:type="pct"/>
                  <w:vAlign w:val="center"/>
                </w:tcPr>
                <w:p w14:paraId="679E4EB5">
                  <w:pPr>
                    <w:snapToGrid w:val="0"/>
                    <w:jc w:val="center"/>
                  </w:pPr>
                  <w:r>
                    <w:rPr>
                      <w:rFonts w:hint="eastAsia"/>
                      <w:bCs/>
                      <w:sz w:val="21"/>
                      <w:szCs w:val="21"/>
                      <w:lang w:val="en-US" w:eastAsia="zh-CN"/>
                    </w:rPr>
                    <w:t>*</w:t>
                  </w:r>
                </w:p>
              </w:tc>
            </w:tr>
            <w:tr w14:paraId="311A4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vAlign w:val="center"/>
                </w:tcPr>
                <w:p w14:paraId="12F8B9A7">
                  <w:pPr>
                    <w:snapToGrid w:val="0"/>
                    <w:jc w:val="center"/>
                    <w:rPr>
                      <w:rFonts w:eastAsia="Times New Roman"/>
                    </w:rPr>
                  </w:pPr>
                  <w:r>
                    <w:rPr>
                      <w:rFonts w:eastAsia="Times New Roman"/>
                    </w:rPr>
                    <w:t>3</w:t>
                  </w:r>
                </w:p>
              </w:tc>
              <w:tc>
                <w:tcPr>
                  <w:tcW w:w="1531" w:type="pct"/>
                  <w:vAlign w:val="center"/>
                </w:tcPr>
                <w:p w14:paraId="71C0A67F">
                  <w:pPr>
                    <w:snapToGrid w:val="0"/>
                    <w:jc w:val="center"/>
                    <w:rPr>
                      <w:rFonts w:eastAsia="Times New Roman"/>
                      <w:lang w:val="zh-CN"/>
                    </w:rPr>
                  </w:pPr>
                  <w:r>
                    <w:rPr>
                      <w:rFonts w:eastAsia="Times New Roman"/>
                    </w:rPr>
                    <w:t>氢氧化钠</w:t>
                  </w:r>
                </w:p>
              </w:tc>
              <w:tc>
                <w:tcPr>
                  <w:tcW w:w="538" w:type="pct"/>
                  <w:vAlign w:val="center"/>
                </w:tcPr>
                <w:p w14:paraId="3FA20558">
                  <w:pPr>
                    <w:snapToGrid w:val="0"/>
                    <w:jc w:val="center"/>
                  </w:pPr>
                  <w:r>
                    <w:rPr>
                      <w:rFonts w:hint="eastAsia"/>
                      <w:bCs/>
                      <w:sz w:val="21"/>
                      <w:szCs w:val="21"/>
                      <w:lang w:val="en-US" w:eastAsia="zh-CN"/>
                    </w:rPr>
                    <w:t>*</w:t>
                  </w:r>
                </w:p>
              </w:tc>
              <w:tc>
                <w:tcPr>
                  <w:tcW w:w="613" w:type="pct"/>
                  <w:vAlign w:val="center"/>
                </w:tcPr>
                <w:p w14:paraId="48605EC9">
                  <w:pPr>
                    <w:snapToGrid w:val="0"/>
                    <w:jc w:val="center"/>
                    <w:rPr>
                      <w:rFonts w:eastAsia="Times New Roman"/>
                    </w:rPr>
                  </w:pPr>
                  <w:r>
                    <w:rPr>
                      <w:rFonts w:hint="eastAsia"/>
                      <w:bCs/>
                      <w:sz w:val="21"/>
                      <w:szCs w:val="21"/>
                      <w:lang w:val="en-US" w:eastAsia="zh-CN"/>
                    </w:rPr>
                    <w:t>*</w:t>
                  </w:r>
                </w:p>
              </w:tc>
              <w:tc>
                <w:tcPr>
                  <w:tcW w:w="495" w:type="pct"/>
                  <w:vAlign w:val="center"/>
                </w:tcPr>
                <w:p w14:paraId="278EA211">
                  <w:pPr>
                    <w:snapToGrid w:val="0"/>
                    <w:jc w:val="center"/>
                  </w:pPr>
                  <w:r>
                    <w:rPr>
                      <w:rFonts w:hint="eastAsia"/>
                      <w:bCs/>
                      <w:sz w:val="21"/>
                      <w:szCs w:val="21"/>
                      <w:lang w:val="en-US" w:eastAsia="zh-CN"/>
                    </w:rPr>
                    <w:t>*</w:t>
                  </w:r>
                </w:p>
              </w:tc>
              <w:tc>
                <w:tcPr>
                  <w:tcW w:w="503" w:type="pct"/>
                  <w:vAlign w:val="center"/>
                </w:tcPr>
                <w:p w14:paraId="7953D3B3">
                  <w:pPr>
                    <w:snapToGrid w:val="0"/>
                    <w:jc w:val="center"/>
                  </w:pPr>
                  <w:r>
                    <w:rPr>
                      <w:rFonts w:hint="eastAsia"/>
                      <w:bCs/>
                      <w:sz w:val="21"/>
                      <w:szCs w:val="21"/>
                      <w:lang w:val="en-US" w:eastAsia="zh-CN"/>
                    </w:rPr>
                    <w:t>*</w:t>
                  </w:r>
                </w:p>
              </w:tc>
              <w:tc>
                <w:tcPr>
                  <w:tcW w:w="495" w:type="pct"/>
                  <w:vAlign w:val="center"/>
                </w:tcPr>
                <w:p w14:paraId="19641BAB">
                  <w:pPr>
                    <w:snapToGrid w:val="0"/>
                    <w:jc w:val="center"/>
                  </w:pPr>
                  <w:r>
                    <w:rPr>
                      <w:rFonts w:hint="eastAsia"/>
                      <w:bCs/>
                      <w:sz w:val="21"/>
                      <w:szCs w:val="21"/>
                      <w:lang w:val="en-US" w:eastAsia="zh-CN"/>
                    </w:rPr>
                    <w:t>*</w:t>
                  </w:r>
                </w:p>
              </w:tc>
              <w:tc>
                <w:tcPr>
                  <w:tcW w:w="560" w:type="pct"/>
                  <w:vAlign w:val="center"/>
                </w:tcPr>
                <w:p w14:paraId="47286521">
                  <w:pPr>
                    <w:snapToGrid w:val="0"/>
                    <w:jc w:val="center"/>
                  </w:pPr>
                  <w:r>
                    <w:rPr>
                      <w:rFonts w:hint="eastAsia"/>
                      <w:bCs/>
                      <w:sz w:val="21"/>
                      <w:szCs w:val="21"/>
                      <w:lang w:val="en-US" w:eastAsia="zh-CN"/>
                    </w:rPr>
                    <w:t>*</w:t>
                  </w:r>
                </w:p>
              </w:tc>
            </w:tr>
            <w:tr w14:paraId="3271D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5E54899F">
                  <w:pPr>
                    <w:snapToGrid w:val="0"/>
                    <w:jc w:val="center"/>
                    <w:rPr>
                      <w:rFonts w:eastAsia="Times New Roman"/>
                    </w:rPr>
                  </w:pPr>
                  <w:r>
                    <w:rPr>
                      <w:rFonts w:eastAsia="Times New Roman"/>
                    </w:rPr>
                    <w:t>4</w:t>
                  </w:r>
                </w:p>
              </w:tc>
              <w:tc>
                <w:tcPr>
                  <w:tcW w:w="1531" w:type="pct"/>
                  <w:vAlign w:val="center"/>
                </w:tcPr>
                <w:p w14:paraId="54985838">
                  <w:pPr>
                    <w:snapToGrid w:val="0"/>
                    <w:jc w:val="center"/>
                    <w:rPr>
                      <w:rFonts w:eastAsia="Times New Roman"/>
                      <w:lang w:val="zh-CN"/>
                    </w:rPr>
                  </w:pPr>
                  <w:r>
                    <w:rPr>
                      <w:rFonts w:eastAsia="Times New Roman"/>
                    </w:rPr>
                    <w:t>氯化钾</w:t>
                  </w:r>
                </w:p>
              </w:tc>
              <w:tc>
                <w:tcPr>
                  <w:tcW w:w="538" w:type="pct"/>
                  <w:vAlign w:val="center"/>
                </w:tcPr>
                <w:p w14:paraId="6605DE77">
                  <w:pPr>
                    <w:snapToGrid w:val="0"/>
                    <w:jc w:val="center"/>
                  </w:pPr>
                  <w:r>
                    <w:rPr>
                      <w:rFonts w:hint="eastAsia"/>
                      <w:bCs/>
                      <w:sz w:val="21"/>
                      <w:szCs w:val="21"/>
                      <w:lang w:val="en-US" w:eastAsia="zh-CN"/>
                    </w:rPr>
                    <w:t>*</w:t>
                  </w:r>
                </w:p>
              </w:tc>
              <w:tc>
                <w:tcPr>
                  <w:tcW w:w="613" w:type="pct"/>
                  <w:vAlign w:val="center"/>
                </w:tcPr>
                <w:p w14:paraId="2CEDD462">
                  <w:pPr>
                    <w:snapToGrid w:val="0"/>
                    <w:jc w:val="center"/>
                    <w:rPr>
                      <w:rFonts w:eastAsia="Times New Roman"/>
                    </w:rPr>
                  </w:pPr>
                  <w:r>
                    <w:rPr>
                      <w:rFonts w:hint="eastAsia"/>
                      <w:bCs/>
                      <w:sz w:val="21"/>
                      <w:szCs w:val="21"/>
                      <w:lang w:val="en-US" w:eastAsia="zh-CN"/>
                    </w:rPr>
                    <w:t>*</w:t>
                  </w:r>
                </w:p>
              </w:tc>
              <w:tc>
                <w:tcPr>
                  <w:tcW w:w="495" w:type="pct"/>
                  <w:vAlign w:val="center"/>
                </w:tcPr>
                <w:p w14:paraId="455694C7">
                  <w:pPr>
                    <w:snapToGrid w:val="0"/>
                    <w:jc w:val="center"/>
                  </w:pPr>
                  <w:r>
                    <w:rPr>
                      <w:rFonts w:hint="eastAsia"/>
                      <w:bCs/>
                      <w:sz w:val="21"/>
                      <w:szCs w:val="21"/>
                      <w:lang w:val="en-US" w:eastAsia="zh-CN"/>
                    </w:rPr>
                    <w:t>*</w:t>
                  </w:r>
                </w:p>
              </w:tc>
              <w:tc>
                <w:tcPr>
                  <w:tcW w:w="503" w:type="pct"/>
                  <w:vAlign w:val="center"/>
                </w:tcPr>
                <w:p w14:paraId="1ED0A197">
                  <w:pPr>
                    <w:snapToGrid w:val="0"/>
                    <w:jc w:val="center"/>
                  </w:pPr>
                  <w:r>
                    <w:rPr>
                      <w:rFonts w:hint="eastAsia"/>
                      <w:bCs/>
                      <w:sz w:val="21"/>
                      <w:szCs w:val="21"/>
                      <w:lang w:val="en-US" w:eastAsia="zh-CN"/>
                    </w:rPr>
                    <w:t>*</w:t>
                  </w:r>
                </w:p>
              </w:tc>
              <w:tc>
                <w:tcPr>
                  <w:tcW w:w="495" w:type="pct"/>
                  <w:vAlign w:val="center"/>
                </w:tcPr>
                <w:p w14:paraId="70B8FD85">
                  <w:pPr>
                    <w:snapToGrid w:val="0"/>
                    <w:jc w:val="center"/>
                  </w:pPr>
                  <w:r>
                    <w:rPr>
                      <w:rFonts w:hint="eastAsia"/>
                      <w:bCs/>
                      <w:sz w:val="21"/>
                      <w:szCs w:val="21"/>
                      <w:lang w:val="en-US" w:eastAsia="zh-CN"/>
                    </w:rPr>
                    <w:t>*</w:t>
                  </w:r>
                </w:p>
              </w:tc>
              <w:tc>
                <w:tcPr>
                  <w:tcW w:w="560" w:type="pct"/>
                  <w:vAlign w:val="center"/>
                </w:tcPr>
                <w:p w14:paraId="5F1A8A80">
                  <w:pPr>
                    <w:snapToGrid w:val="0"/>
                    <w:jc w:val="center"/>
                  </w:pPr>
                  <w:r>
                    <w:rPr>
                      <w:rFonts w:hint="eastAsia"/>
                      <w:bCs/>
                      <w:sz w:val="21"/>
                      <w:szCs w:val="21"/>
                      <w:lang w:val="en-US" w:eastAsia="zh-CN"/>
                    </w:rPr>
                    <w:t>*</w:t>
                  </w:r>
                </w:p>
              </w:tc>
            </w:tr>
            <w:tr w14:paraId="6F8FD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D168A9F">
                  <w:pPr>
                    <w:snapToGrid w:val="0"/>
                    <w:jc w:val="center"/>
                    <w:rPr>
                      <w:rFonts w:eastAsia="Times New Roman"/>
                    </w:rPr>
                  </w:pPr>
                  <w:r>
                    <w:rPr>
                      <w:rFonts w:eastAsia="Times New Roman"/>
                    </w:rPr>
                    <w:t>5</w:t>
                  </w:r>
                </w:p>
              </w:tc>
              <w:tc>
                <w:tcPr>
                  <w:tcW w:w="1531" w:type="pct"/>
                  <w:vAlign w:val="center"/>
                </w:tcPr>
                <w:p w14:paraId="62EA338A">
                  <w:pPr>
                    <w:snapToGrid w:val="0"/>
                    <w:jc w:val="center"/>
                    <w:rPr>
                      <w:rFonts w:eastAsia="Times New Roman"/>
                      <w:lang w:val="zh-CN"/>
                    </w:rPr>
                  </w:pPr>
                  <w:r>
                    <w:rPr>
                      <w:rFonts w:eastAsia="Times New Roman"/>
                    </w:rPr>
                    <w:t>生石灰</w:t>
                  </w:r>
                </w:p>
              </w:tc>
              <w:tc>
                <w:tcPr>
                  <w:tcW w:w="538" w:type="pct"/>
                  <w:vAlign w:val="center"/>
                </w:tcPr>
                <w:p w14:paraId="079AD547">
                  <w:pPr>
                    <w:snapToGrid w:val="0"/>
                    <w:jc w:val="center"/>
                    <w:rPr>
                      <w:rFonts w:eastAsia="Times New Roman"/>
                      <w:lang w:val="zh-CN"/>
                    </w:rPr>
                  </w:pPr>
                  <w:r>
                    <w:rPr>
                      <w:rFonts w:hint="eastAsia"/>
                      <w:bCs/>
                      <w:sz w:val="21"/>
                      <w:szCs w:val="21"/>
                      <w:lang w:val="en-US" w:eastAsia="zh-CN"/>
                    </w:rPr>
                    <w:t>*</w:t>
                  </w:r>
                </w:p>
              </w:tc>
              <w:tc>
                <w:tcPr>
                  <w:tcW w:w="1611" w:type="pct"/>
                  <w:gridSpan w:val="3"/>
                  <w:vAlign w:val="center"/>
                </w:tcPr>
                <w:p w14:paraId="5142A2B2">
                  <w:pPr>
                    <w:snapToGrid w:val="0"/>
                    <w:jc w:val="center"/>
                    <w:rPr>
                      <w:rFonts w:eastAsia="Times New Roman"/>
                    </w:rPr>
                  </w:pPr>
                  <w:r>
                    <w:rPr>
                      <w:rFonts w:hint="eastAsia"/>
                      <w:bCs/>
                      <w:sz w:val="21"/>
                      <w:szCs w:val="21"/>
                      <w:lang w:val="en-US" w:eastAsia="zh-CN"/>
                    </w:rPr>
                    <w:t>*</w:t>
                  </w:r>
                </w:p>
              </w:tc>
              <w:tc>
                <w:tcPr>
                  <w:tcW w:w="495" w:type="pct"/>
                  <w:vAlign w:val="center"/>
                </w:tcPr>
                <w:p w14:paraId="0CA37626">
                  <w:pPr>
                    <w:snapToGrid w:val="0"/>
                    <w:jc w:val="center"/>
                  </w:pPr>
                  <w:r>
                    <w:rPr>
                      <w:rFonts w:hint="eastAsia"/>
                      <w:bCs/>
                      <w:sz w:val="21"/>
                      <w:szCs w:val="21"/>
                      <w:lang w:val="en-US" w:eastAsia="zh-CN"/>
                    </w:rPr>
                    <w:t>*</w:t>
                  </w:r>
                </w:p>
              </w:tc>
              <w:tc>
                <w:tcPr>
                  <w:tcW w:w="560" w:type="pct"/>
                  <w:vAlign w:val="center"/>
                </w:tcPr>
                <w:p w14:paraId="3E90D254">
                  <w:pPr>
                    <w:snapToGrid w:val="0"/>
                    <w:jc w:val="center"/>
                    <w:rPr>
                      <w:lang w:val="zh-CN"/>
                    </w:rPr>
                  </w:pPr>
                  <w:r>
                    <w:rPr>
                      <w:rFonts w:hint="eastAsia"/>
                      <w:bCs/>
                      <w:sz w:val="21"/>
                      <w:szCs w:val="21"/>
                      <w:lang w:val="en-US" w:eastAsia="zh-CN"/>
                    </w:rPr>
                    <w:t>*</w:t>
                  </w:r>
                </w:p>
              </w:tc>
            </w:tr>
            <w:tr w14:paraId="16518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8CFDAFD">
                  <w:pPr>
                    <w:snapToGrid w:val="0"/>
                    <w:jc w:val="center"/>
                    <w:rPr>
                      <w:rFonts w:eastAsia="Times New Roman"/>
                    </w:rPr>
                  </w:pPr>
                  <w:r>
                    <w:rPr>
                      <w:rFonts w:eastAsia="Times New Roman"/>
                    </w:rPr>
                    <w:t>6</w:t>
                  </w:r>
                </w:p>
              </w:tc>
              <w:tc>
                <w:tcPr>
                  <w:tcW w:w="1531" w:type="pct"/>
                  <w:vAlign w:val="center"/>
                </w:tcPr>
                <w:p w14:paraId="11638F62">
                  <w:pPr>
                    <w:snapToGrid w:val="0"/>
                    <w:jc w:val="center"/>
                    <w:rPr>
                      <w:rFonts w:eastAsia="Times New Roman"/>
                      <w:lang w:val="zh-CN"/>
                    </w:rPr>
                  </w:pPr>
                  <w:r>
                    <w:rPr>
                      <w:rFonts w:eastAsia="Times New Roman"/>
                    </w:rPr>
                    <w:t>聚丙烯酰胺钾盐</w:t>
                  </w:r>
                </w:p>
              </w:tc>
              <w:tc>
                <w:tcPr>
                  <w:tcW w:w="538" w:type="pct"/>
                  <w:vAlign w:val="center"/>
                </w:tcPr>
                <w:p w14:paraId="48367B2F">
                  <w:pPr>
                    <w:snapToGrid w:val="0"/>
                    <w:jc w:val="center"/>
                  </w:pPr>
                  <w:r>
                    <w:rPr>
                      <w:rFonts w:hint="eastAsia"/>
                      <w:bCs/>
                      <w:sz w:val="21"/>
                      <w:szCs w:val="21"/>
                      <w:lang w:val="en-US" w:eastAsia="zh-CN"/>
                    </w:rPr>
                    <w:t>*</w:t>
                  </w:r>
                </w:p>
              </w:tc>
              <w:tc>
                <w:tcPr>
                  <w:tcW w:w="613" w:type="pct"/>
                  <w:vAlign w:val="center"/>
                </w:tcPr>
                <w:p w14:paraId="7AEDD9FA">
                  <w:pPr>
                    <w:snapToGrid w:val="0"/>
                    <w:jc w:val="center"/>
                  </w:pPr>
                  <w:r>
                    <w:rPr>
                      <w:rFonts w:hint="eastAsia"/>
                      <w:bCs/>
                      <w:sz w:val="21"/>
                      <w:szCs w:val="21"/>
                      <w:lang w:val="en-US" w:eastAsia="zh-CN"/>
                    </w:rPr>
                    <w:t>*</w:t>
                  </w:r>
                </w:p>
              </w:tc>
              <w:tc>
                <w:tcPr>
                  <w:tcW w:w="495" w:type="pct"/>
                  <w:vAlign w:val="center"/>
                </w:tcPr>
                <w:p w14:paraId="58D9738C">
                  <w:pPr>
                    <w:snapToGrid w:val="0"/>
                    <w:jc w:val="center"/>
                  </w:pPr>
                  <w:r>
                    <w:rPr>
                      <w:rFonts w:hint="eastAsia"/>
                      <w:bCs/>
                      <w:sz w:val="21"/>
                      <w:szCs w:val="21"/>
                      <w:lang w:val="en-US" w:eastAsia="zh-CN"/>
                    </w:rPr>
                    <w:t>*</w:t>
                  </w:r>
                </w:p>
              </w:tc>
              <w:tc>
                <w:tcPr>
                  <w:tcW w:w="503" w:type="pct"/>
                  <w:vAlign w:val="center"/>
                </w:tcPr>
                <w:p w14:paraId="3C4B5AA9">
                  <w:pPr>
                    <w:snapToGrid w:val="0"/>
                    <w:jc w:val="center"/>
                  </w:pPr>
                  <w:r>
                    <w:rPr>
                      <w:rFonts w:hint="eastAsia"/>
                      <w:bCs/>
                      <w:sz w:val="21"/>
                      <w:szCs w:val="21"/>
                      <w:lang w:val="en-US" w:eastAsia="zh-CN"/>
                    </w:rPr>
                    <w:t>*</w:t>
                  </w:r>
                </w:p>
              </w:tc>
              <w:tc>
                <w:tcPr>
                  <w:tcW w:w="495" w:type="pct"/>
                  <w:vAlign w:val="center"/>
                </w:tcPr>
                <w:p w14:paraId="15F5BBE1">
                  <w:pPr>
                    <w:snapToGrid w:val="0"/>
                    <w:jc w:val="center"/>
                    <w:rPr>
                      <w:rFonts w:eastAsia="Times New Roman"/>
                    </w:rPr>
                  </w:pPr>
                  <w:r>
                    <w:rPr>
                      <w:rFonts w:hint="eastAsia"/>
                      <w:bCs/>
                      <w:sz w:val="21"/>
                      <w:szCs w:val="21"/>
                      <w:lang w:val="en-US" w:eastAsia="zh-CN"/>
                    </w:rPr>
                    <w:t>*</w:t>
                  </w:r>
                </w:p>
              </w:tc>
              <w:tc>
                <w:tcPr>
                  <w:tcW w:w="560" w:type="pct"/>
                  <w:vAlign w:val="center"/>
                </w:tcPr>
                <w:p w14:paraId="30C8C6AE">
                  <w:pPr>
                    <w:snapToGrid w:val="0"/>
                    <w:jc w:val="center"/>
                  </w:pPr>
                  <w:r>
                    <w:rPr>
                      <w:rFonts w:hint="eastAsia"/>
                      <w:bCs/>
                      <w:sz w:val="21"/>
                      <w:szCs w:val="21"/>
                      <w:lang w:val="en-US" w:eastAsia="zh-CN"/>
                    </w:rPr>
                    <w:t>*</w:t>
                  </w:r>
                </w:p>
              </w:tc>
            </w:tr>
            <w:tr w14:paraId="6C4DC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07D62957">
                  <w:pPr>
                    <w:snapToGrid w:val="0"/>
                    <w:jc w:val="center"/>
                    <w:rPr>
                      <w:rFonts w:eastAsia="Times New Roman"/>
                    </w:rPr>
                  </w:pPr>
                  <w:r>
                    <w:rPr>
                      <w:rFonts w:eastAsia="Times New Roman"/>
                    </w:rPr>
                    <w:t>7</w:t>
                  </w:r>
                </w:p>
              </w:tc>
              <w:tc>
                <w:tcPr>
                  <w:tcW w:w="1531" w:type="pct"/>
                  <w:vAlign w:val="center"/>
                </w:tcPr>
                <w:p w14:paraId="46836DD5">
                  <w:pPr>
                    <w:snapToGrid w:val="0"/>
                    <w:jc w:val="center"/>
                    <w:rPr>
                      <w:rFonts w:eastAsia="Times New Roman"/>
                      <w:lang w:val="zh-CN"/>
                    </w:rPr>
                  </w:pPr>
                  <w:r>
                    <w:rPr>
                      <w:rFonts w:eastAsia="Times New Roman"/>
                    </w:rPr>
                    <w:t>高分子包被剂</w:t>
                  </w:r>
                </w:p>
              </w:tc>
              <w:tc>
                <w:tcPr>
                  <w:tcW w:w="538" w:type="pct"/>
                  <w:vAlign w:val="center"/>
                </w:tcPr>
                <w:p w14:paraId="1ED32918">
                  <w:pPr>
                    <w:snapToGrid w:val="0"/>
                    <w:jc w:val="center"/>
                  </w:pPr>
                  <w:r>
                    <w:rPr>
                      <w:rFonts w:hint="eastAsia"/>
                      <w:bCs/>
                      <w:sz w:val="21"/>
                      <w:szCs w:val="21"/>
                      <w:lang w:val="en-US" w:eastAsia="zh-CN"/>
                    </w:rPr>
                    <w:t>*</w:t>
                  </w:r>
                </w:p>
              </w:tc>
              <w:tc>
                <w:tcPr>
                  <w:tcW w:w="613" w:type="pct"/>
                  <w:vAlign w:val="center"/>
                </w:tcPr>
                <w:p w14:paraId="6A972BEA">
                  <w:pPr>
                    <w:snapToGrid w:val="0"/>
                    <w:jc w:val="center"/>
                  </w:pPr>
                  <w:r>
                    <w:rPr>
                      <w:rFonts w:hint="eastAsia"/>
                      <w:bCs/>
                      <w:sz w:val="21"/>
                      <w:szCs w:val="21"/>
                      <w:lang w:val="en-US" w:eastAsia="zh-CN"/>
                    </w:rPr>
                    <w:t>*</w:t>
                  </w:r>
                </w:p>
              </w:tc>
              <w:tc>
                <w:tcPr>
                  <w:tcW w:w="495" w:type="pct"/>
                  <w:vAlign w:val="center"/>
                </w:tcPr>
                <w:p w14:paraId="4F2651E7">
                  <w:pPr>
                    <w:snapToGrid w:val="0"/>
                    <w:jc w:val="center"/>
                  </w:pPr>
                  <w:r>
                    <w:rPr>
                      <w:rFonts w:hint="eastAsia"/>
                      <w:bCs/>
                      <w:sz w:val="21"/>
                      <w:szCs w:val="21"/>
                      <w:lang w:val="en-US" w:eastAsia="zh-CN"/>
                    </w:rPr>
                    <w:t>*</w:t>
                  </w:r>
                </w:p>
              </w:tc>
              <w:tc>
                <w:tcPr>
                  <w:tcW w:w="503" w:type="pct"/>
                  <w:vAlign w:val="center"/>
                </w:tcPr>
                <w:p w14:paraId="75D1F43F">
                  <w:pPr>
                    <w:snapToGrid w:val="0"/>
                    <w:jc w:val="center"/>
                  </w:pPr>
                  <w:r>
                    <w:rPr>
                      <w:rFonts w:hint="eastAsia"/>
                      <w:bCs/>
                      <w:sz w:val="21"/>
                      <w:szCs w:val="21"/>
                      <w:lang w:val="en-US" w:eastAsia="zh-CN"/>
                    </w:rPr>
                    <w:t>*</w:t>
                  </w:r>
                </w:p>
              </w:tc>
              <w:tc>
                <w:tcPr>
                  <w:tcW w:w="495" w:type="pct"/>
                  <w:vAlign w:val="center"/>
                </w:tcPr>
                <w:p w14:paraId="48D1715D">
                  <w:pPr>
                    <w:snapToGrid w:val="0"/>
                    <w:jc w:val="center"/>
                    <w:rPr>
                      <w:rFonts w:eastAsia="Times New Roman"/>
                    </w:rPr>
                  </w:pPr>
                  <w:r>
                    <w:rPr>
                      <w:rFonts w:hint="eastAsia"/>
                      <w:bCs/>
                      <w:sz w:val="21"/>
                      <w:szCs w:val="21"/>
                      <w:lang w:val="en-US" w:eastAsia="zh-CN"/>
                    </w:rPr>
                    <w:t>*</w:t>
                  </w:r>
                </w:p>
              </w:tc>
              <w:tc>
                <w:tcPr>
                  <w:tcW w:w="560" w:type="pct"/>
                  <w:vAlign w:val="center"/>
                </w:tcPr>
                <w:p w14:paraId="309F8A5A">
                  <w:pPr>
                    <w:snapToGrid w:val="0"/>
                    <w:jc w:val="center"/>
                    <w:rPr>
                      <w:lang w:val="zh-CN"/>
                    </w:rPr>
                  </w:pPr>
                  <w:r>
                    <w:rPr>
                      <w:rFonts w:hint="eastAsia"/>
                      <w:bCs/>
                      <w:sz w:val="21"/>
                      <w:szCs w:val="21"/>
                      <w:lang w:val="en-US" w:eastAsia="zh-CN"/>
                    </w:rPr>
                    <w:t>*</w:t>
                  </w:r>
                </w:p>
              </w:tc>
            </w:tr>
            <w:tr w14:paraId="07A5F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C38F2DD">
                  <w:pPr>
                    <w:snapToGrid w:val="0"/>
                    <w:jc w:val="center"/>
                    <w:rPr>
                      <w:rFonts w:eastAsia="Times New Roman"/>
                    </w:rPr>
                  </w:pPr>
                  <w:r>
                    <w:rPr>
                      <w:rFonts w:eastAsia="Times New Roman"/>
                    </w:rPr>
                    <w:t>8</w:t>
                  </w:r>
                </w:p>
              </w:tc>
              <w:tc>
                <w:tcPr>
                  <w:tcW w:w="1531" w:type="pct"/>
                  <w:vAlign w:val="center"/>
                </w:tcPr>
                <w:p w14:paraId="71518012">
                  <w:pPr>
                    <w:snapToGrid w:val="0"/>
                    <w:jc w:val="center"/>
                    <w:rPr>
                      <w:rFonts w:eastAsia="Times New Roman"/>
                      <w:lang w:val="zh-CN"/>
                    </w:rPr>
                  </w:pPr>
                  <w:r>
                    <w:rPr>
                      <w:rFonts w:eastAsia="Times New Roman"/>
                    </w:rPr>
                    <w:t>聚胺抑制剂</w:t>
                  </w:r>
                </w:p>
              </w:tc>
              <w:tc>
                <w:tcPr>
                  <w:tcW w:w="538" w:type="pct"/>
                  <w:vAlign w:val="center"/>
                </w:tcPr>
                <w:p w14:paraId="35F97458">
                  <w:pPr>
                    <w:snapToGrid w:val="0"/>
                    <w:jc w:val="center"/>
                  </w:pPr>
                  <w:r>
                    <w:rPr>
                      <w:rFonts w:hint="eastAsia"/>
                      <w:bCs/>
                      <w:sz w:val="21"/>
                      <w:szCs w:val="21"/>
                      <w:lang w:val="en-US" w:eastAsia="zh-CN"/>
                    </w:rPr>
                    <w:t>*</w:t>
                  </w:r>
                </w:p>
              </w:tc>
              <w:tc>
                <w:tcPr>
                  <w:tcW w:w="613" w:type="pct"/>
                  <w:vAlign w:val="center"/>
                </w:tcPr>
                <w:p w14:paraId="7A2D78B7">
                  <w:pPr>
                    <w:snapToGrid w:val="0"/>
                    <w:jc w:val="center"/>
                  </w:pPr>
                  <w:r>
                    <w:rPr>
                      <w:rFonts w:hint="eastAsia"/>
                      <w:bCs/>
                      <w:sz w:val="21"/>
                      <w:szCs w:val="21"/>
                      <w:lang w:val="en-US" w:eastAsia="zh-CN"/>
                    </w:rPr>
                    <w:t>*</w:t>
                  </w:r>
                </w:p>
              </w:tc>
              <w:tc>
                <w:tcPr>
                  <w:tcW w:w="495" w:type="pct"/>
                  <w:vAlign w:val="center"/>
                </w:tcPr>
                <w:p w14:paraId="28163960">
                  <w:pPr>
                    <w:snapToGrid w:val="0"/>
                    <w:jc w:val="center"/>
                  </w:pPr>
                  <w:r>
                    <w:rPr>
                      <w:rFonts w:hint="eastAsia"/>
                      <w:bCs/>
                      <w:sz w:val="21"/>
                      <w:szCs w:val="21"/>
                      <w:lang w:val="en-US" w:eastAsia="zh-CN"/>
                    </w:rPr>
                    <w:t>*</w:t>
                  </w:r>
                </w:p>
              </w:tc>
              <w:tc>
                <w:tcPr>
                  <w:tcW w:w="503" w:type="pct"/>
                  <w:vAlign w:val="center"/>
                </w:tcPr>
                <w:p w14:paraId="2A0FCBE0">
                  <w:pPr>
                    <w:snapToGrid w:val="0"/>
                    <w:jc w:val="center"/>
                  </w:pPr>
                  <w:r>
                    <w:rPr>
                      <w:rFonts w:hint="eastAsia"/>
                      <w:bCs/>
                      <w:sz w:val="21"/>
                      <w:szCs w:val="21"/>
                      <w:lang w:val="en-US" w:eastAsia="zh-CN"/>
                    </w:rPr>
                    <w:t>*</w:t>
                  </w:r>
                </w:p>
              </w:tc>
              <w:tc>
                <w:tcPr>
                  <w:tcW w:w="495" w:type="pct"/>
                  <w:vAlign w:val="center"/>
                </w:tcPr>
                <w:p w14:paraId="5290B4E9">
                  <w:pPr>
                    <w:snapToGrid w:val="0"/>
                    <w:jc w:val="center"/>
                    <w:rPr>
                      <w:rFonts w:eastAsia="Times New Roman"/>
                    </w:rPr>
                  </w:pPr>
                  <w:r>
                    <w:rPr>
                      <w:rFonts w:hint="eastAsia"/>
                      <w:bCs/>
                      <w:sz w:val="21"/>
                      <w:szCs w:val="21"/>
                      <w:lang w:val="en-US" w:eastAsia="zh-CN"/>
                    </w:rPr>
                    <w:t>*</w:t>
                  </w:r>
                </w:p>
              </w:tc>
              <w:tc>
                <w:tcPr>
                  <w:tcW w:w="560" w:type="pct"/>
                  <w:vAlign w:val="center"/>
                </w:tcPr>
                <w:p w14:paraId="037D90CA">
                  <w:pPr>
                    <w:snapToGrid w:val="0"/>
                    <w:jc w:val="center"/>
                  </w:pPr>
                  <w:r>
                    <w:rPr>
                      <w:rFonts w:hint="eastAsia"/>
                      <w:bCs/>
                      <w:sz w:val="21"/>
                      <w:szCs w:val="21"/>
                      <w:lang w:val="en-US" w:eastAsia="zh-CN"/>
                    </w:rPr>
                    <w:t>*</w:t>
                  </w:r>
                </w:p>
              </w:tc>
            </w:tr>
            <w:tr w14:paraId="6DD93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5EAD44C8">
                  <w:pPr>
                    <w:snapToGrid w:val="0"/>
                    <w:jc w:val="center"/>
                    <w:rPr>
                      <w:rFonts w:eastAsia="Times New Roman"/>
                    </w:rPr>
                  </w:pPr>
                  <w:r>
                    <w:rPr>
                      <w:rFonts w:eastAsia="Times New Roman"/>
                    </w:rPr>
                    <w:t>9</w:t>
                  </w:r>
                </w:p>
              </w:tc>
              <w:tc>
                <w:tcPr>
                  <w:tcW w:w="1531" w:type="pct"/>
                  <w:vAlign w:val="center"/>
                </w:tcPr>
                <w:p w14:paraId="2BD4DEA4">
                  <w:pPr>
                    <w:snapToGrid w:val="0"/>
                    <w:jc w:val="center"/>
                    <w:rPr>
                      <w:rFonts w:eastAsia="Times New Roman"/>
                      <w:lang w:val="zh-CN"/>
                    </w:rPr>
                  </w:pPr>
                  <w:r>
                    <w:rPr>
                      <w:rFonts w:eastAsia="Times New Roman"/>
                    </w:rPr>
                    <w:t>聚合物类降失水剂</w:t>
                  </w:r>
                </w:p>
              </w:tc>
              <w:tc>
                <w:tcPr>
                  <w:tcW w:w="538" w:type="pct"/>
                  <w:vAlign w:val="center"/>
                </w:tcPr>
                <w:p w14:paraId="79215754">
                  <w:pPr>
                    <w:snapToGrid w:val="0"/>
                    <w:jc w:val="center"/>
                  </w:pPr>
                  <w:r>
                    <w:rPr>
                      <w:rFonts w:hint="eastAsia"/>
                      <w:bCs/>
                      <w:sz w:val="21"/>
                      <w:szCs w:val="21"/>
                      <w:lang w:val="en-US" w:eastAsia="zh-CN"/>
                    </w:rPr>
                    <w:t>*</w:t>
                  </w:r>
                </w:p>
              </w:tc>
              <w:tc>
                <w:tcPr>
                  <w:tcW w:w="613" w:type="pct"/>
                  <w:vAlign w:val="center"/>
                </w:tcPr>
                <w:p w14:paraId="51335C09">
                  <w:pPr>
                    <w:snapToGrid w:val="0"/>
                    <w:jc w:val="center"/>
                  </w:pPr>
                  <w:r>
                    <w:rPr>
                      <w:rFonts w:hint="eastAsia"/>
                      <w:bCs/>
                      <w:sz w:val="21"/>
                      <w:szCs w:val="21"/>
                      <w:lang w:val="en-US" w:eastAsia="zh-CN"/>
                    </w:rPr>
                    <w:t>*</w:t>
                  </w:r>
                </w:p>
              </w:tc>
              <w:tc>
                <w:tcPr>
                  <w:tcW w:w="495" w:type="pct"/>
                  <w:vAlign w:val="center"/>
                </w:tcPr>
                <w:p w14:paraId="2A359E41">
                  <w:pPr>
                    <w:snapToGrid w:val="0"/>
                    <w:jc w:val="center"/>
                  </w:pPr>
                  <w:r>
                    <w:rPr>
                      <w:rFonts w:hint="eastAsia"/>
                      <w:bCs/>
                      <w:sz w:val="21"/>
                      <w:szCs w:val="21"/>
                      <w:lang w:val="en-US" w:eastAsia="zh-CN"/>
                    </w:rPr>
                    <w:t>*</w:t>
                  </w:r>
                </w:p>
              </w:tc>
              <w:tc>
                <w:tcPr>
                  <w:tcW w:w="503" w:type="pct"/>
                  <w:vAlign w:val="center"/>
                </w:tcPr>
                <w:p w14:paraId="65E35657">
                  <w:pPr>
                    <w:snapToGrid w:val="0"/>
                    <w:jc w:val="center"/>
                  </w:pPr>
                  <w:r>
                    <w:rPr>
                      <w:rFonts w:hint="eastAsia"/>
                      <w:bCs/>
                      <w:sz w:val="21"/>
                      <w:szCs w:val="21"/>
                      <w:lang w:val="en-US" w:eastAsia="zh-CN"/>
                    </w:rPr>
                    <w:t>*</w:t>
                  </w:r>
                </w:p>
              </w:tc>
              <w:tc>
                <w:tcPr>
                  <w:tcW w:w="495" w:type="pct"/>
                  <w:vAlign w:val="center"/>
                </w:tcPr>
                <w:p w14:paraId="1B358137">
                  <w:pPr>
                    <w:snapToGrid w:val="0"/>
                    <w:jc w:val="center"/>
                    <w:rPr>
                      <w:rFonts w:eastAsia="Times New Roman"/>
                    </w:rPr>
                  </w:pPr>
                  <w:r>
                    <w:rPr>
                      <w:rFonts w:hint="eastAsia"/>
                      <w:bCs/>
                      <w:sz w:val="21"/>
                      <w:szCs w:val="21"/>
                      <w:lang w:val="en-US" w:eastAsia="zh-CN"/>
                    </w:rPr>
                    <w:t>*</w:t>
                  </w:r>
                </w:p>
              </w:tc>
              <w:tc>
                <w:tcPr>
                  <w:tcW w:w="560" w:type="pct"/>
                  <w:vAlign w:val="center"/>
                </w:tcPr>
                <w:p w14:paraId="4C58D06E">
                  <w:pPr>
                    <w:snapToGrid w:val="0"/>
                    <w:jc w:val="center"/>
                  </w:pPr>
                  <w:r>
                    <w:rPr>
                      <w:rFonts w:hint="eastAsia"/>
                      <w:bCs/>
                      <w:sz w:val="21"/>
                      <w:szCs w:val="21"/>
                      <w:lang w:val="en-US" w:eastAsia="zh-CN"/>
                    </w:rPr>
                    <w:t>*</w:t>
                  </w:r>
                </w:p>
              </w:tc>
            </w:tr>
            <w:tr w14:paraId="204CA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292E5321">
                  <w:pPr>
                    <w:snapToGrid w:val="0"/>
                    <w:jc w:val="center"/>
                    <w:rPr>
                      <w:rFonts w:eastAsia="Times New Roman"/>
                    </w:rPr>
                  </w:pPr>
                  <w:r>
                    <w:rPr>
                      <w:rFonts w:eastAsia="Times New Roman"/>
                    </w:rPr>
                    <w:t>10</w:t>
                  </w:r>
                </w:p>
              </w:tc>
              <w:tc>
                <w:tcPr>
                  <w:tcW w:w="1531" w:type="pct"/>
                  <w:vAlign w:val="center"/>
                </w:tcPr>
                <w:p w14:paraId="3BF803EF">
                  <w:pPr>
                    <w:snapToGrid w:val="0"/>
                    <w:jc w:val="center"/>
                    <w:rPr>
                      <w:rFonts w:eastAsia="Times New Roman"/>
                      <w:lang w:val="zh-CN"/>
                    </w:rPr>
                  </w:pPr>
                  <w:r>
                    <w:rPr>
                      <w:rFonts w:eastAsia="Times New Roman"/>
                    </w:rPr>
                    <w:t>羧甲基纤维素钠盐（高/低黏）</w:t>
                  </w:r>
                </w:p>
              </w:tc>
              <w:tc>
                <w:tcPr>
                  <w:tcW w:w="538" w:type="pct"/>
                  <w:vAlign w:val="center"/>
                </w:tcPr>
                <w:p w14:paraId="60411656">
                  <w:pPr>
                    <w:snapToGrid w:val="0"/>
                    <w:jc w:val="center"/>
                    <w:rPr>
                      <w:lang w:val="zh-CN"/>
                    </w:rPr>
                  </w:pPr>
                  <w:r>
                    <w:rPr>
                      <w:rFonts w:hint="eastAsia"/>
                      <w:bCs/>
                      <w:sz w:val="21"/>
                      <w:szCs w:val="21"/>
                      <w:lang w:val="en-US" w:eastAsia="zh-CN"/>
                    </w:rPr>
                    <w:t>*</w:t>
                  </w:r>
                </w:p>
              </w:tc>
              <w:tc>
                <w:tcPr>
                  <w:tcW w:w="613" w:type="pct"/>
                  <w:vAlign w:val="center"/>
                </w:tcPr>
                <w:p w14:paraId="2A6D6B95">
                  <w:pPr>
                    <w:snapToGrid w:val="0"/>
                    <w:jc w:val="center"/>
                  </w:pPr>
                  <w:r>
                    <w:rPr>
                      <w:rFonts w:hint="eastAsia"/>
                      <w:bCs/>
                      <w:sz w:val="21"/>
                      <w:szCs w:val="21"/>
                      <w:lang w:val="en-US" w:eastAsia="zh-CN"/>
                    </w:rPr>
                    <w:t>*</w:t>
                  </w:r>
                </w:p>
              </w:tc>
              <w:tc>
                <w:tcPr>
                  <w:tcW w:w="495" w:type="pct"/>
                  <w:vAlign w:val="center"/>
                </w:tcPr>
                <w:p w14:paraId="541C1629">
                  <w:pPr>
                    <w:snapToGrid w:val="0"/>
                    <w:jc w:val="center"/>
                  </w:pPr>
                  <w:r>
                    <w:rPr>
                      <w:rFonts w:hint="eastAsia"/>
                      <w:bCs/>
                      <w:sz w:val="21"/>
                      <w:szCs w:val="21"/>
                      <w:lang w:val="en-US" w:eastAsia="zh-CN"/>
                    </w:rPr>
                    <w:t>*</w:t>
                  </w:r>
                </w:p>
              </w:tc>
              <w:tc>
                <w:tcPr>
                  <w:tcW w:w="503" w:type="pct"/>
                  <w:vAlign w:val="center"/>
                </w:tcPr>
                <w:p w14:paraId="19F2A2F4">
                  <w:pPr>
                    <w:snapToGrid w:val="0"/>
                    <w:jc w:val="center"/>
                  </w:pPr>
                  <w:r>
                    <w:rPr>
                      <w:rFonts w:hint="eastAsia"/>
                      <w:bCs/>
                      <w:sz w:val="21"/>
                      <w:szCs w:val="21"/>
                      <w:lang w:val="en-US" w:eastAsia="zh-CN"/>
                    </w:rPr>
                    <w:t>*</w:t>
                  </w:r>
                </w:p>
              </w:tc>
              <w:tc>
                <w:tcPr>
                  <w:tcW w:w="495" w:type="pct"/>
                  <w:vAlign w:val="center"/>
                </w:tcPr>
                <w:p w14:paraId="0F9E45A7">
                  <w:pPr>
                    <w:snapToGrid w:val="0"/>
                    <w:jc w:val="center"/>
                    <w:rPr>
                      <w:rFonts w:eastAsia="Times New Roman"/>
                    </w:rPr>
                  </w:pPr>
                  <w:r>
                    <w:rPr>
                      <w:rFonts w:hint="eastAsia"/>
                      <w:bCs/>
                      <w:sz w:val="21"/>
                      <w:szCs w:val="21"/>
                      <w:lang w:val="en-US" w:eastAsia="zh-CN"/>
                    </w:rPr>
                    <w:t>*</w:t>
                  </w:r>
                </w:p>
              </w:tc>
              <w:tc>
                <w:tcPr>
                  <w:tcW w:w="560" w:type="pct"/>
                  <w:vAlign w:val="center"/>
                </w:tcPr>
                <w:p w14:paraId="05C11F97">
                  <w:pPr>
                    <w:snapToGrid w:val="0"/>
                    <w:jc w:val="center"/>
                  </w:pPr>
                  <w:r>
                    <w:rPr>
                      <w:rFonts w:hint="eastAsia"/>
                      <w:bCs/>
                      <w:sz w:val="21"/>
                      <w:szCs w:val="21"/>
                      <w:lang w:val="en-US" w:eastAsia="zh-CN"/>
                    </w:rPr>
                    <w:t>*</w:t>
                  </w:r>
                </w:p>
              </w:tc>
            </w:tr>
            <w:tr w14:paraId="7C9E3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A42A4DA">
                  <w:pPr>
                    <w:snapToGrid w:val="0"/>
                    <w:jc w:val="center"/>
                    <w:rPr>
                      <w:rFonts w:eastAsia="Times New Roman"/>
                    </w:rPr>
                  </w:pPr>
                  <w:r>
                    <w:rPr>
                      <w:rFonts w:eastAsia="Times New Roman"/>
                    </w:rPr>
                    <w:t>11</w:t>
                  </w:r>
                </w:p>
              </w:tc>
              <w:tc>
                <w:tcPr>
                  <w:tcW w:w="1531" w:type="pct"/>
                  <w:vAlign w:val="center"/>
                </w:tcPr>
                <w:p w14:paraId="5821D710">
                  <w:pPr>
                    <w:snapToGrid w:val="0"/>
                    <w:jc w:val="center"/>
                    <w:rPr>
                      <w:rFonts w:eastAsia="Times New Roman"/>
                      <w:lang w:val="zh-CN"/>
                    </w:rPr>
                  </w:pPr>
                  <w:r>
                    <w:rPr>
                      <w:rFonts w:eastAsia="Times New Roman"/>
                    </w:rPr>
                    <w:t>水解聚丙烯腈-铵盐</w:t>
                  </w:r>
                </w:p>
              </w:tc>
              <w:tc>
                <w:tcPr>
                  <w:tcW w:w="538" w:type="pct"/>
                  <w:vAlign w:val="center"/>
                </w:tcPr>
                <w:p w14:paraId="4A1BA940">
                  <w:pPr>
                    <w:snapToGrid w:val="0"/>
                    <w:jc w:val="center"/>
                  </w:pPr>
                  <w:r>
                    <w:rPr>
                      <w:rFonts w:hint="eastAsia"/>
                      <w:bCs/>
                      <w:sz w:val="21"/>
                      <w:szCs w:val="21"/>
                      <w:lang w:val="en-US" w:eastAsia="zh-CN"/>
                    </w:rPr>
                    <w:t>*</w:t>
                  </w:r>
                </w:p>
              </w:tc>
              <w:tc>
                <w:tcPr>
                  <w:tcW w:w="613" w:type="pct"/>
                  <w:vAlign w:val="center"/>
                </w:tcPr>
                <w:p w14:paraId="6D116C12">
                  <w:pPr>
                    <w:snapToGrid w:val="0"/>
                    <w:jc w:val="center"/>
                  </w:pPr>
                  <w:r>
                    <w:rPr>
                      <w:rFonts w:hint="eastAsia"/>
                      <w:bCs/>
                      <w:sz w:val="21"/>
                      <w:szCs w:val="21"/>
                      <w:lang w:val="en-US" w:eastAsia="zh-CN"/>
                    </w:rPr>
                    <w:t>*</w:t>
                  </w:r>
                </w:p>
              </w:tc>
              <w:tc>
                <w:tcPr>
                  <w:tcW w:w="495" w:type="pct"/>
                  <w:vAlign w:val="center"/>
                </w:tcPr>
                <w:p w14:paraId="29C0DDFD">
                  <w:pPr>
                    <w:snapToGrid w:val="0"/>
                    <w:jc w:val="center"/>
                  </w:pPr>
                  <w:r>
                    <w:rPr>
                      <w:rFonts w:hint="eastAsia"/>
                      <w:bCs/>
                      <w:sz w:val="21"/>
                      <w:szCs w:val="21"/>
                      <w:lang w:val="en-US" w:eastAsia="zh-CN"/>
                    </w:rPr>
                    <w:t>*</w:t>
                  </w:r>
                </w:p>
              </w:tc>
              <w:tc>
                <w:tcPr>
                  <w:tcW w:w="503" w:type="pct"/>
                  <w:vAlign w:val="center"/>
                </w:tcPr>
                <w:p w14:paraId="7F902837">
                  <w:pPr>
                    <w:snapToGrid w:val="0"/>
                    <w:jc w:val="center"/>
                  </w:pPr>
                  <w:r>
                    <w:rPr>
                      <w:rFonts w:hint="eastAsia"/>
                      <w:bCs/>
                      <w:sz w:val="21"/>
                      <w:szCs w:val="21"/>
                      <w:lang w:val="en-US" w:eastAsia="zh-CN"/>
                    </w:rPr>
                    <w:t>*</w:t>
                  </w:r>
                </w:p>
              </w:tc>
              <w:tc>
                <w:tcPr>
                  <w:tcW w:w="495" w:type="pct"/>
                  <w:vAlign w:val="center"/>
                </w:tcPr>
                <w:p w14:paraId="220EDECB">
                  <w:pPr>
                    <w:snapToGrid w:val="0"/>
                    <w:jc w:val="center"/>
                    <w:rPr>
                      <w:rFonts w:eastAsia="Times New Roman"/>
                    </w:rPr>
                  </w:pPr>
                  <w:r>
                    <w:rPr>
                      <w:rFonts w:hint="eastAsia"/>
                      <w:bCs/>
                      <w:sz w:val="21"/>
                      <w:szCs w:val="21"/>
                      <w:lang w:val="en-US" w:eastAsia="zh-CN"/>
                    </w:rPr>
                    <w:t>*</w:t>
                  </w:r>
                </w:p>
              </w:tc>
              <w:tc>
                <w:tcPr>
                  <w:tcW w:w="560" w:type="pct"/>
                  <w:vAlign w:val="center"/>
                </w:tcPr>
                <w:p w14:paraId="76C2622A">
                  <w:pPr>
                    <w:snapToGrid w:val="0"/>
                    <w:jc w:val="center"/>
                  </w:pPr>
                  <w:r>
                    <w:rPr>
                      <w:rFonts w:hint="eastAsia"/>
                      <w:bCs/>
                      <w:sz w:val="21"/>
                      <w:szCs w:val="21"/>
                      <w:lang w:val="en-US" w:eastAsia="zh-CN"/>
                    </w:rPr>
                    <w:t>*</w:t>
                  </w:r>
                </w:p>
              </w:tc>
            </w:tr>
            <w:tr w14:paraId="52C89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8203853">
                  <w:pPr>
                    <w:snapToGrid w:val="0"/>
                    <w:jc w:val="center"/>
                    <w:rPr>
                      <w:rFonts w:eastAsia="Times New Roman"/>
                    </w:rPr>
                  </w:pPr>
                  <w:r>
                    <w:rPr>
                      <w:rFonts w:eastAsia="Times New Roman"/>
                    </w:rPr>
                    <w:t>12</w:t>
                  </w:r>
                </w:p>
              </w:tc>
              <w:tc>
                <w:tcPr>
                  <w:tcW w:w="1531" w:type="pct"/>
                  <w:vAlign w:val="center"/>
                </w:tcPr>
                <w:p w14:paraId="54F8AF25">
                  <w:pPr>
                    <w:snapToGrid w:val="0"/>
                    <w:jc w:val="center"/>
                    <w:rPr>
                      <w:rFonts w:eastAsia="Times New Roman"/>
                      <w:lang w:val="zh-CN"/>
                    </w:rPr>
                  </w:pPr>
                  <w:r>
                    <w:rPr>
                      <w:rFonts w:eastAsia="Times New Roman"/>
                    </w:rPr>
                    <w:t>褐煤树脂</w:t>
                  </w:r>
                </w:p>
              </w:tc>
              <w:tc>
                <w:tcPr>
                  <w:tcW w:w="538" w:type="pct"/>
                  <w:vAlign w:val="center"/>
                </w:tcPr>
                <w:p w14:paraId="12D55BE2">
                  <w:pPr>
                    <w:snapToGrid w:val="0"/>
                    <w:jc w:val="center"/>
                  </w:pPr>
                  <w:r>
                    <w:rPr>
                      <w:rFonts w:hint="eastAsia"/>
                      <w:bCs/>
                      <w:sz w:val="21"/>
                      <w:szCs w:val="21"/>
                      <w:lang w:val="en-US" w:eastAsia="zh-CN"/>
                    </w:rPr>
                    <w:t>*</w:t>
                  </w:r>
                </w:p>
              </w:tc>
              <w:tc>
                <w:tcPr>
                  <w:tcW w:w="613" w:type="pct"/>
                  <w:vAlign w:val="center"/>
                </w:tcPr>
                <w:p w14:paraId="7D91C28B">
                  <w:pPr>
                    <w:snapToGrid w:val="0"/>
                    <w:jc w:val="center"/>
                  </w:pPr>
                  <w:r>
                    <w:rPr>
                      <w:rFonts w:hint="eastAsia"/>
                      <w:bCs/>
                      <w:sz w:val="21"/>
                      <w:szCs w:val="21"/>
                      <w:lang w:val="en-US" w:eastAsia="zh-CN"/>
                    </w:rPr>
                    <w:t>*</w:t>
                  </w:r>
                </w:p>
              </w:tc>
              <w:tc>
                <w:tcPr>
                  <w:tcW w:w="495" w:type="pct"/>
                  <w:vAlign w:val="center"/>
                </w:tcPr>
                <w:p w14:paraId="3E8B7B19">
                  <w:pPr>
                    <w:snapToGrid w:val="0"/>
                    <w:jc w:val="center"/>
                  </w:pPr>
                  <w:r>
                    <w:rPr>
                      <w:rFonts w:hint="eastAsia"/>
                      <w:bCs/>
                      <w:sz w:val="21"/>
                      <w:szCs w:val="21"/>
                      <w:lang w:val="en-US" w:eastAsia="zh-CN"/>
                    </w:rPr>
                    <w:t>*</w:t>
                  </w:r>
                </w:p>
              </w:tc>
              <w:tc>
                <w:tcPr>
                  <w:tcW w:w="503" w:type="pct"/>
                  <w:vAlign w:val="center"/>
                </w:tcPr>
                <w:p w14:paraId="45CE07A5">
                  <w:pPr>
                    <w:snapToGrid w:val="0"/>
                    <w:jc w:val="center"/>
                  </w:pPr>
                  <w:r>
                    <w:rPr>
                      <w:rFonts w:hint="eastAsia"/>
                      <w:bCs/>
                      <w:sz w:val="21"/>
                      <w:szCs w:val="21"/>
                      <w:lang w:val="en-US" w:eastAsia="zh-CN"/>
                    </w:rPr>
                    <w:t>*</w:t>
                  </w:r>
                </w:p>
              </w:tc>
              <w:tc>
                <w:tcPr>
                  <w:tcW w:w="495" w:type="pct"/>
                  <w:vAlign w:val="center"/>
                </w:tcPr>
                <w:p w14:paraId="75AE7A9F">
                  <w:pPr>
                    <w:snapToGrid w:val="0"/>
                    <w:jc w:val="center"/>
                    <w:rPr>
                      <w:rFonts w:eastAsia="Times New Roman"/>
                    </w:rPr>
                  </w:pPr>
                  <w:r>
                    <w:rPr>
                      <w:rFonts w:hint="eastAsia"/>
                      <w:bCs/>
                      <w:sz w:val="21"/>
                      <w:szCs w:val="21"/>
                      <w:lang w:val="en-US" w:eastAsia="zh-CN"/>
                    </w:rPr>
                    <w:t>*</w:t>
                  </w:r>
                </w:p>
              </w:tc>
              <w:tc>
                <w:tcPr>
                  <w:tcW w:w="560" w:type="pct"/>
                  <w:vAlign w:val="center"/>
                </w:tcPr>
                <w:p w14:paraId="533E7AA0">
                  <w:pPr>
                    <w:snapToGrid w:val="0"/>
                    <w:jc w:val="center"/>
                  </w:pPr>
                  <w:r>
                    <w:rPr>
                      <w:rFonts w:hint="eastAsia"/>
                      <w:bCs/>
                      <w:sz w:val="21"/>
                      <w:szCs w:val="21"/>
                      <w:lang w:val="en-US" w:eastAsia="zh-CN"/>
                    </w:rPr>
                    <w:t>*</w:t>
                  </w:r>
                </w:p>
              </w:tc>
            </w:tr>
            <w:tr w14:paraId="21B81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44EA4457">
                  <w:pPr>
                    <w:snapToGrid w:val="0"/>
                    <w:jc w:val="center"/>
                    <w:rPr>
                      <w:rFonts w:eastAsia="Times New Roman"/>
                    </w:rPr>
                  </w:pPr>
                  <w:r>
                    <w:rPr>
                      <w:rFonts w:eastAsia="Times New Roman"/>
                    </w:rPr>
                    <w:t>13</w:t>
                  </w:r>
                </w:p>
              </w:tc>
              <w:tc>
                <w:tcPr>
                  <w:tcW w:w="1531" w:type="pct"/>
                  <w:vAlign w:val="center"/>
                </w:tcPr>
                <w:p w14:paraId="52EA1556">
                  <w:pPr>
                    <w:snapToGrid w:val="0"/>
                    <w:jc w:val="center"/>
                    <w:rPr>
                      <w:rFonts w:eastAsia="Times New Roman"/>
                    </w:rPr>
                  </w:pPr>
                  <w:r>
                    <w:rPr>
                      <w:rFonts w:eastAsia="Times New Roman"/>
                    </w:rPr>
                    <w:t>乳液聚合物</w:t>
                  </w:r>
                </w:p>
              </w:tc>
              <w:tc>
                <w:tcPr>
                  <w:tcW w:w="538" w:type="pct"/>
                  <w:vAlign w:val="center"/>
                </w:tcPr>
                <w:p w14:paraId="3F0E74D9">
                  <w:pPr>
                    <w:snapToGrid w:val="0"/>
                    <w:jc w:val="center"/>
                    <w:rPr>
                      <w:rFonts w:eastAsia="Times New Roman"/>
                    </w:rPr>
                  </w:pPr>
                  <w:r>
                    <w:rPr>
                      <w:rFonts w:hint="eastAsia"/>
                      <w:bCs/>
                      <w:sz w:val="21"/>
                      <w:szCs w:val="21"/>
                      <w:lang w:val="en-US" w:eastAsia="zh-CN"/>
                    </w:rPr>
                    <w:t>*</w:t>
                  </w:r>
                </w:p>
              </w:tc>
              <w:tc>
                <w:tcPr>
                  <w:tcW w:w="613" w:type="pct"/>
                  <w:vAlign w:val="center"/>
                </w:tcPr>
                <w:p w14:paraId="6CCAC409">
                  <w:pPr>
                    <w:snapToGrid w:val="0"/>
                    <w:jc w:val="center"/>
                  </w:pPr>
                  <w:r>
                    <w:rPr>
                      <w:rFonts w:hint="eastAsia"/>
                      <w:bCs/>
                      <w:sz w:val="21"/>
                      <w:szCs w:val="21"/>
                      <w:lang w:val="en-US" w:eastAsia="zh-CN"/>
                    </w:rPr>
                    <w:t>*</w:t>
                  </w:r>
                </w:p>
              </w:tc>
              <w:tc>
                <w:tcPr>
                  <w:tcW w:w="495" w:type="pct"/>
                  <w:vAlign w:val="center"/>
                </w:tcPr>
                <w:p w14:paraId="0A937596">
                  <w:pPr>
                    <w:snapToGrid w:val="0"/>
                    <w:jc w:val="center"/>
                  </w:pPr>
                  <w:r>
                    <w:rPr>
                      <w:rFonts w:hint="eastAsia"/>
                      <w:bCs/>
                      <w:sz w:val="21"/>
                      <w:szCs w:val="21"/>
                      <w:lang w:val="en-US" w:eastAsia="zh-CN"/>
                    </w:rPr>
                    <w:t>*</w:t>
                  </w:r>
                </w:p>
              </w:tc>
              <w:tc>
                <w:tcPr>
                  <w:tcW w:w="503" w:type="pct"/>
                  <w:vAlign w:val="center"/>
                </w:tcPr>
                <w:p w14:paraId="7422FC2C">
                  <w:pPr>
                    <w:snapToGrid w:val="0"/>
                    <w:jc w:val="center"/>
                  </w:pPr>
                  <w:r>
                    <w:rPr>
                      <w:rFonts w:hint="eastAsia"/>
                      <w:bCs/>
                      <w:sz w:val="21"/>
                      <w:szCs w:val="21"/>
                      <w:lang w:val="en-US" w:eastAsia="zh-CN"/>
                    </w:rPr>
                    <w:t>*</w:t>
                  </w:r>
                </w:p>
              </w:tc>
              <w:tc>
                <w:tcPr>
                  <w:tcW w:w="495" w:type="pct"/>
                  <w:vAlign w:val="center"/>
                </w:tcPr>
                <w:p w14:paraId="47C40DF3">
                  <w:pPr>
                    <w:snapToGrid w:val="0"/>
                    <w:jc w:val="center"/>
                    <w:rPr>
                      <w:rFonts w:eastAsia="Times New Roman"/>
                    </w:rPr>
                  </w:pPr>
                  <w:r>
                    <w:rPr>
                      <w:rFonts w:hint="eastAsia"/>
                      <w:bCs/>
                      <w:sz w:val="21"/>
                      <w:szCs w:val="21"/>
                      <w:lang w:val="en-US" w:eastAsia="zh-CN"/>
                    </w:rPr>
                    <w:t>*</w:t>
                  </w:r>
                </w:p>
              </w:tc>
              <w:tc>
                <w:tcPr>
                  <w:tcW w:w="560" w:type="pct"/>
                  <w:vAlign w:val="center"/>
                </w:tcPr>
                <w:p w14:paraId="73D15A37">
                  <w:pPr>
                    <w:snapToGrid w:val="0"/>
                    <w:jc w:val="center"/>
                  </w:pPr>
                  <w:r>
                    <w:rPr>
                      <w:rFonts w:hint="eastAsia"/>
                      <w:bCs/>
                      <w:sz w:val="21"/>
                      <w:szCs w:val="21"/>
                      <w:lang w:val="en-US" w:eastAsia="zh-CN"/>
                    </w:rPr>
                    <w:t>*</w:t>
                  </w:r>
                </w:p>
              </w:tc>
            </w:tr>
            <w:tr w14:paraId="747EA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04BFC280">
                  <w:pPr>
                    <w:snapToGrid w:val="0"/>
                    <w:jc w:val="center"/>
                    <w:rPr>
                      <w:rFonts w:eastAsia="Times New Roman"/>
                    </w:rPr>
                  </w:pPr>
                  <w:r>
                    <w:rPr>
                      <w:rFonts w:eastAsia="Times New Roman"/>
                    </w:rPr>
                    <w:t>14</w:t>
                  </w:r>
                </w:p>
              </w:tc>
              <w:tc>
                <w:tcPr>
                  <w:tcW w:w="1531" w:type="pct"/>
                  <w:shd w:val="clear" w:color="auto" w:fill="auto"/>
                  <w:vAlign w:val="center"/>
                </w:tcPr>
                <w:p w14:paraId="667746BE">
                  <w:pPr>
                    <w:snapToGrid w:val="0"/>
                    <w:jc w:val="center"/>
                    <w:rPr>
                      <w:rFonts w:eastAsia="Times New Roman"/>
                      <w:lang w:val="zh-CN"/>
                    </w:rPr>
                  </w:pPr>
                  <w:r>
                    <w:rPr>
                      <w:rFonts w:eastAsia="Times New Roman"/>
                    </w:rPr>
                    <w:t>超细碳酸钙（不同目数）</w:t>
                  </w:r>
                </w:p>
              </w:tc>
              <w:tc>
                <w:tcPr>
                  <w:tcW w:w="538" w:type="pct"/>
                  <w:shd w:val="clear" w:color="auto" w:fill="auto"/>
                  <w:vAlign w:val="center"/>
                </w:tcPr>
                <w:p w14:paraId="26DF1ADE">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2BFF055E">
                  <w:pPr>
                    <w:snapToGrid w:val="0"/>
                    <w:jc w:val="center"/>
                  </w:pPr>
                  <w:r>
                    <w:rPr>
                      <w:rFonts w:hint="eastAsia"/>
                      <w:bCs/>
                      <w:sz w:val="21"/>
                      <w:szCs w:val="21"/>
                      <w:lang w:val="en-US" w:eastAsia="zh-CN"/>
                    </w:rPr>
                    <w:t>*</w:t>
                  </w:r>
                </w:p>
              </w:tc>
              <w:tc>
                <w:tcPr>
                  <w:tcW w:w="495" w:type="pct"/>
                  <w:shd w:val="clear" w:color="auto" w:fill="auto"/>
                  <w:vAlign w:val="center"/>
                </w:tcPr>
                <w:p w14:paraId="62FC7BF5">
                  <w:pPr>
                    <w:snapToGrid w:val="0"/>
                    <w:jc w:val="center"/>
                  </w:pPr>
                  <w:r>
                    <w:rPr>
                      <w:rFonts w:hint="eastAsia"/>
                      <w:bCs/>
                      <w:sz w:val="21"/>
                      <w:szCs w:val="21"/>
                      <w:lang w:val="en-US" w:eastAsia="zh-CN"/>
                    </w:rPr>
                    <w:t>*</w:t>
                  </w:r>
                </w:p>
              </w:tc>
              <w:tc>
                <w:tcPr>
                  <w:tcW w:w="503" w:type="pct"/>
                  <w:shd w:val="clear" w:color="auto" w:fill="auto"/>
                  <w:vAlign w:val="center"/>
                </w:tcPr>
                <w:p w14:paraId="418E9B95">
                  <w:pPr>
                    <w:snapToGrid w:val="0"/>
                    <w:jc w:val="center"/>
                  </w:pPr>
                  <w:r>
                    <w:rPr>
                      <w:rFonts w:hint="eastAsia"/>
                      <w:bCs/>
                      <w:sz w:val="21"/>
                      <w:szCs w:val="21"/>
                      <w:lang w:val="en-US" w:eastAsia="zh-CN"/>
                    </w:rPr>
                    <w:t>*</w:t>
                  </w:r>
                </w:p>
              </w:tc>
              <w:tc>
                <w:tcPr>
                  <w:tcW w:w="495" w:type="pct"/>
                  <w:shd w:val="clear" w:color="auto" w:fill="auto"/>
                  <w:vAlign w:val="center"/>
                </w:tcPr>
                <w:p w14:paraId="2DA67B03">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7695F527">
                  <w:pPr>
                    <w:snapToGrid w:val="0"/>
                    <w:jc w:val="center"/>
                  </w:pPr>
                  <w:r>
                    <w:rPr>
                      <w:rFonts w:hint="eastAsia"/>
                      <w:bCs/>
                      <w:sz w:val="21"/>
                      <w:szCs w:val="21"/>
                      <w:lang w:val="en-US" w:eastAsia="zh-CN"/>
                    </w:rPr>
                    <w:t>*</w:t>
                  </w:r>
                </w:p>
              </w:tc>
            </w:tr>
            <w:tr w14:paraId="19A75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28F04EA3">
                  <w:pPr>
                    <w:snapToGrid w:val="0"/>
                    <w:jc w:val="center"/>
                    <w:rPr>
                      <w:rFonts w:eastAsia="Times New Roman"/>
                    </w:rPr>
                  </w:pPr>
                  <w:r>
                    <w:rPr>
                      <w:rFonts w:eastAsia="Times New Roman"/>
                    </w:rPr>
                    <w:t>15</w:t>
                  </w:r>
                </w:p>
              </w:tc>
              <w:tc>
                <w:tcPr>
                  <w:tcW w:w="1531" w:type="pct"/>
                  <w:shd w:val="clear" w:color="auto" w:fill="auto"/>
                  <w:vAlign w:val="center"/>
                </w:tcPr>
                <w:p w14:paraId="01C4F488">
                  <w:pPr>
                    <w:snapToGrid w:val="0"/>
                    <w:jc w:val="center"/>
                    <w:rPr>
                      <w:rFonts w:eastAsia="Times New Roman"/>
                      <w:lang w:val="zh-CN"/>
                    </w:rPr>
                  </w:pPr>
                  <w:r>
                    <w:rPr>
                      <w:rFonts w:eastAsia="Times New Roman"/>
                    </w:rPr>
                    <w:t>多软化点封堵防塌剂</w:t>
                  </w:r>
                </w:p>
              </w:tc>
              <w:tc>
                <w:tcPr>
                  <w:tcW w:w="538" w:type="pct"/>
                  <w:shd w:val="clear" w:color="auto" w:fill="auto"/>
                  <w:vAlign w:val="center"/>
                </w:tcPr>
                <w:p w14:paraId="340E213A">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65DC030B">
                  <w:pPr>
                    <w:snapToGrid w:val="0"/>
                    <w:jc w:val="center"/>
                    <w:rPr>
                      <w:rFonts w:eastAsia="Times New Roman"/>
                    </w:rPr>
                  </w:pPr>
                  <w:r>
                    <w:rPr>
                      <w:rFonts w:hint="eastAsia"/>
                      <w:bCs/>
                      <w:sz w:val="21"/>
                      <w:szCs w:val="21"/>
                      <w:lang w:val="en-US" w:eastAsia="zh-CN"/>
                    </w:rPr>
                    <w:t>*</w:t>
                  </w:r>
                </w:p>
              </w:tc>
              <w:tc>
                <w:tcPr>
                  <w:tcW w:w="495" w:type="pct"/>
                  <w:shd w:val="clear" w:color="auto" w:fill="auto"/>
                  <w:vAlign w:val="center"/>
                </w:tcPr>
                <w:p w14:paraId="55673220">
                  <w:pPr>
                    <w:snapToGrid w:val="0"/>
                    <w:jc w:val="center"/>
                  </w:pPr>
                  <w:r>
                    <w:rPr>
                      <w:rFonts w:hint="eastAsia"/>
                      <w:bCs/>
                      <w:sz w:val="21"/>
                      <w:szCs w:val="21"/>
                      <w:lang w:val="en-US" w:eastAsia="zh-CN"/>
                    </w:rPr>
                    <w:t>*</w:t>
                  </w:r>
                </w:p>
              </w:tc>
              <w:tc>
                <w:tcPr>
                  <w:tcW w:w="503" w:type="pct"/>
                  <w:shd w:val="clear" w:color="auto" w:fill="auto"/>
                  <w:vAlign w:val="center"/>
                </w:tcPr>
                <w:p w14:paraId="24D5534F">
                  <w:pPr>
                    <w:snapToGrid w:val="0"/>
                    <w:jc w:val="center"/>
                  </w:pPr>
                  <w:r>
                    <w:rPr>
                      <w:rFonts w:hint="eastAsia"/>
                      <w:bCs/>
                      <w:sz w:val="21"/>
                      <w:szCs w:val="21"/>
                      <w:lang w:val="en-US" w:eastAsia="zh-CN"/>
                    </w:rPr>
                    <w:t>*</w:t>
                  </w:r>
                </w:p>
              </w:tc>
              <w:tc>
                <w:tcPr>
                  <w:tcW w:w="495" w:type="pct"/>
                  <w:shd w:val="clear" w:color="auto" w:fill="auto"/>
                  <w:vAlign w:val="center"/>
                </w:tcPr>
                <w:p w14:paraId="364BF9D2">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3745289F">
                  <w:pPr>
                    <w:snapToGrid w:val="0"/>
                    <w:jc w:val="center"/>
                  </w:pPr>
                  <w:r>
                    <w:rPr>
                      <w:rFonts w:hint="eastAsia"/>
                      <w:bCs/>
                      <w:sz w:val="21"/>
                      <w:szCs w:val="21"/>
                      <w:lang w:val="en-US" w:eastAsia="zh-CN"/>
                    </w:rPr>
                    <w:t>*</w:t>
                  </w:r>
                </w:p>
              </w:tc>
            </w:tr>
            <w:tr w14:paraId="62902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527B77B0">
                  <w:pPr>
                    <w:snapToGrid w:val="0"/>
                    <w:jc w:val="center"/>
                    <w:rPr>
                      <w:rFonts w:eastAsia="Times New Roman"/>
                    </w:rPr>
                  </w:pPr>
                  <w:r>
                    <w:rPr>
                      <w:rFonts w:eastAsia="Times New Roman"/>
                    </w:rPr>
                    <w:t>16</w:t>
                  </w:r>
                </w:p>
              </w:tc>
              <w:tc>
                <w:tcPr>
                  <w:tcW w:w="1531" w:type="pct"/>
                  <w:shd w:val="clear" w:color="auto" w:fill="auto"/>
                  <w:vAlign w:val="center"/>
                </w:tcPr>
                <w:p w14:paraId="0E3AD5C3">
                  <w:pPr>
                    <w:snapToGrid w:val="0"/>
                    <w:jc w:val="center"/>
                    <w:rPr>
                      <w:rFonts w:eastAsia="Times New Roman"/>
                      <w:lang w:val="zh-CN"/>
                    </w:rPr>
                  </w:pPr>
                  <w:r>
                    <w:rPr>
                      <w:rFonts w:eastAsia="Times New Roman"/>
                    </w:rPr>
                    <w:t>油溶性暂堵剂</w:t>
                  </w:r>
                </w:p>
              </w:tc>
              <w:tc>
                <w:tcPr>
                  <w:tcW w:w="538" w:type="pct"/>
                  <w:shd w:val="clear" w:color="auto" w:fill="auto"/>
                  <w:vAlign w:val="center"/>
                </w:tcPr>
                <w:p w14:paraId="3B0847FE">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5C7FC8FF">
                  <w:pPr>
                    <w:snapToGrid w:val="0"/>
                    <w:jc w:val="center"/>
                    <w:rPr>
                      <w:rFonts w:eastAsia="Times New Roman"/>
                    </w:rPr>
                  </w:pPr>
                  <w:r>
                    <w:rPr>
                      <w:rFonts w:hint="eastAsia"/>
                      <w:bCs/>
                      <w:sz w:val="21"/>
                      <w:szCs w:val="21"/>
                      <w:lang w:val="en-US" w:eastAsia="zh-CN"/>
                    </w:rPr>
                    <w:t>*</w:t>
                  </w:r>
                </w:p>
              </w:tc>
              <w:tc>
                <w:tcPr>
                  <w:tcW w:w="495" w:type="pct"/>
                  <w:shd w:val="clear" w:color="auto" w:fill="auto"/>
                  <w:vAlign w:val="center"/>
                </w:tcPr>
                <w:p w14:paraId="21504B86">
                  <w:pPr>
                    <w:snapToGrid w:val="0"/>
                    <w:jc w:val="center"/>
                  </w:pPr>
                  <w:r>
                    <w:rPr>
                      <w:rFonts w:hint="eastAsia"/>
                      <w:bCs/>
                      <w:sz w:val="21"/>
                      <w:szCs w:val="21"/>
                      <w:lang w:val="en-US" w:eastAsia="zh-CN"/>
                    </w:rPr>
                    <w:t>*</w:t>
                  </w:r>
                </w:p>
              </w:tc>
              <w:tc>
                <w:tcPr>
                  <w:tcW w:w="503" w:type="pct"/>
                  <w:shd w:val="clear" w:color="auto" w:fill="auto"/>
                  <w:vAlign w:val="center"/>
                </w:tcPr>
                <w:p w14:paraId="76DDEC2A">
                  <w:pPr>
                    <w:snapToGrid w:val="0"/>
                    <w:jc w:val="center"/>
                  </w:pPr>
                  <w:r>
                    <w:rPr>
                      <w:rFonts w:hint="eastAsia"/>
                      <w:bCs/>
                      <w:sz w:val="21"/>
                      <w:szCs w:val="21"/>
                      <w:lang w:val="en-US" w:eastAsia="zh-CN"/>
                    </w:rPr>
                    <w:t>*</w:t>
                  </w:r>
                </w:p>
              </w:tc>
              <w:tc>
                <w:tcPr>
                  <w:tcW w:w="495" w:type="pct"/>
                  <w:shd w:val="clear" w:color="auto" w:fill="auto"/>
                  <w:vAlign w:val="center"/>
                </w:tcPr>
                <w:p w14:paraId="7E738CC8">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3B4A9F59">
                  <w:pPr>
                    <w:snapToGrid w:val="0"/>
                    <w:jc w:val="center"/>
                  </w:pPr>
                  <w:r>
                    <w:rPr>
                      <w:rFonts w:hint="eastAsia"/>
                      <w:bCs/>
                      <w:sz w:val="21"/>
                      <w:szCs w:val="21"/>
                      <w:lang w:val="en-US" w:eastAsia="zh-CN"/>
                    </w:rPr>
                    <w:t>*</w:t>
                  </w:r>
                </w:p>
              </w:tc>
            </w:tr>
            <w:tr w14:paraId="293A4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4664B14">
                  <w:pPr>
                    <w:snapToGrid w:val="0"/>
                    <w:jc w:val="center"/>
                    <w:rPr>
                      <w:rFonts w:eastAsia="Times New Roman"/>
                    </w:rPr>
                  </w:pPr>
                  <w:r>
                    <w:rPr>
                      <w:rFonts w:eastAsia="Times New Roman"/>
                    </w:rPr>
                    <w:t>17</w:t>
                  </w:r>
                </w:p>
              </w:tc>
              <w:tc>
                <w:tcPr>
                  <w:tcW w:w="1531" w:type="pct"/>
                  <w:shd w:val="clear" w:color="auto" w:fill="auto"/>
                  <w:vAlign w:val="center"/>
                </w:tcPr>
                <w:p w14:paraId="29C507B7">
                  <w:pPr>
                    <w:snapToGrid w:val="0"/>
                    <w:jc w:val="center"/>
                    <w:rPr>
                      <w:rFonts w:eastAsia="Times New Roman"/>
                      <w:lang w:val="zh-CN"/>
                    </w:rPr>
                  </w:pPr>
                  <w:r>
                    <w:rPr>
                      <w:rFonts w:eastAsia="Times New Roman"/>
                    </w:rPr>
                    <w:t>聚合醇</w:t>
                  </w:r>
                </w:p>
              </w:tc>
              <w:tc>
                <w:tcPr>
                  <w:tcW w:w="538" w:type="pct"/>
                  <w:shd w:val="clear" w:color="auto" w:fill="auto"/>
                  <w:vAlign w:val="center"/>
                </w:tcPr>
                <w:p w14:paraId="1BB038B1">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374CD6A7">
                  <w:pPr>
                    <w:snapToGrid w:val="0"/>
                    <w:jc w:val="center"/>
                    <w:rPr>
                      <w:rFonts w:eastAsia="Times New Roman"/>
                    </w:rPr>
                  </w:pPr>
                  <w:r>
                    <w:rPr>
                      <w:rFonts w:hint="eastAsia"/>
                      <w:bCs/>
                      <w:sz w:val="21"/>
                      <w:szCs w:val="21"/>
                      <w:lang w:val="en-US" w:eastAsia="zh-CN"/>
                    </w:rPr>
                    <w:t>*</w:t>
                  </w:r>
                </w:p>
              </w:tc>
              <w:tc>
                <w:tcPr>
                  <w:tcW w:w="495" w:type="pct"/>
                  <w:shd w:val="clear" w:color="auto" w:fill="auto"/>
                  <w:vAlign w:val="center"/>
                </w:tcPr>
                <w:p w14:paraId="41E01A71">
                  <w:pPr>
                    <w:snapToGrid w:val="0"/>
                    <w:jc w:val="center"/>
                  </w:pPr>
                  <w:r>
                    <w:rPr>
                      <w:rFonts w:hint="eastAsia"/>
                      <w:bCs/>
                      <w:sz w:val="21"/>
                      <w:szCs w:val="21"/>
                      <w:lang w:val="en-US" w:eastAsia="zh-CN"/>
                    </w:rPr>
                    <w:t>*</w:t>
                  </w:r>
                </w:p>
              </w:tc>
              <w:tc>
                <w:tcPr>
                  <w:tcW w:w="503" w:type="pct"/>
                  <w:shd w:val="clear" w:color="auto" w:fill="auto"/>
                  <w:vAlign w:val="center"/>
                </w:tcPr>
                <w:p w14:paraId="02766975">
                  <w:pPr>
                    <w:snapToGrid w:val="0"/>
                    <w:jc w:val="center"/>
                  </w:pPr>
                  <w:r>
                    <w:rPr>
                      <w:rFonts w:hint="eastAsia"/>
                      <w:bCs/>
                      <w:sz w:val="21"/>
                      <w:szCs w:val="21"/>
                      <w:lang w:val="en-US" w:eastAsia="zh-CN"/>
                    </w:rPr>
                    <w:t>*</w:t>
                  </w:r>
                </w:p>
              </w:tc>
              <w:tc>
                <w:tcPr>
                  <w:tcW w:w="495" w:type="pct"/>
                  <w:shd w:val="clear" w:color="auto" w:fill="auto"/>
                  <w:vAlign w:val="center"/>
                </w:tcPr>
                <w:p w14:paraId="1AC7DC2D">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04B910A5">
                  <w:pPr>
                    <w:snapToGrid w:val="0"/>
                    <w:jc w:val="center"/>
                  </w:pPr>
                  <w:r>
                    <w:rPr>
                      <w:rFonts w:hint="eastAsia"/>
                      <w:bCs/>
                      <w:sz w:val="21"/>
                      <w:szCs w:val="21"/>
                      <w:lang w:val="en-US" w:eastAsia="zh-CN"/>
                    </w:rPr>
                    <w:t>*</w:t>
                  </w:r>
                </w:p>
              </w:tc>
            </w:tr>
            <w:tr w14:paraId="700D5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AB3FA8D">
                  <w:pPr>
                    <w:snapToGrid w:val="0"/>
                    <w:jc w:val="center"/>
                    <w:rPr>
                      <w:rFonts w:eastAsia="Times New Roman"/>
                    </w:rPr>
                  </w:pPr>
                  <w:r>
                    <w:rPr>
                      <w:rFonts w:eastAsia="Times New Roman"/>
                    </w:rPr>
                    <w:t>18</w:t>
                  </w:r>
                </w:p>
              </w:tc>
              <w:tc>
                <w:tcPr>
                  <w:tcW w:w="1531" w:type="pct"/>
                  <w:shd w:val="clear" w:color="auto" w:fill="auto"/>
                  <w:vAlign w:val="center"/>
                </w:tcPr>
                <w:p w14:paraId="63908DFC">
                  <w:pPr>
                    <w:snapToGrid w:val="0"/>
                    <w:jc w:val="center"/>
                    <w:rPr>
                      <w:rFonts w:eastAsia="Times New Roman"/>
                      <w:lang w:val="zh-CN"/>
                    </w:rPr>
                  </w:pPr>
                  <w:r>
                    <w:rPr>
                      <w:rFonts w:eastAsia="Times New Roman"/>
                    </w:rPr>
                    <w:t>液体润滑剂</w:t>
                  </w:r>
                </w:p>
              </w:tc>
              <w:tc>
                <w:tcPr>
                  <w:tcW w:w="538" w:type="pct"/>
                  <w:shd w:val="clear" w:color="auto" w:fill="auto"/>
                  <w:vAlign w:val="center"/>
                </w:tcPr>
                <w:p w14:paraId="71B7C948">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20CF805A">
                  <w:pPr>
                    <w:snapToGrid w:val="0"/>
                    <w:jc w:val="center"/>
                  </w:pPr>
                  <w:r>
                    <w:rPr>
                      <w:rFonts w:hint="eastAsia"/>
                      <w:bCs/>
                      <w:sz w:val="21"/>
                      <w:szCs w:val="21"/>
                      <w:lang w:val="en-US" w:eastAsia="zh-CN"/>
                    </w:rPr>
                    <w:t>*</w:t>
                  </w:r>
                </w:p>
              </w:tc>
              <w:tc>
                <w:tcPr>
                  <w:tcW w:w="495" w:type="pct"/>
                  <w:shd w:val="clear" w:color="auto" w:fill="auto"/>
                  <w:vAlign w:val="center"/>
                </w:tcPr>
                <w:p w14:paraId="334F2160">
                  <w:pPr>
                    <w:snapToGrid w:val="0"/>
                    <w:jc w:val="center"/>
                  </w:pPr>
                  <w:r>
                    <w:rPr>
                      <w:rFonts w:hint="eastAsia"/>
                      <w:bCs/>
                      <w:sz w:val="21"/>
                      <w:szCs w:val="21"/>
                      <w:lang w:val="en-US" w:eastAsia="zh-CN"/>
                    </w:rPr>
                    <w:t>*</w:t>
                  </w:r>
                </w:p>
              </w:tc>
              <w:tc>
                <w:tcPr>
                  <w:tcW w:w="503" w:type="pct"/>
                  <w:shd w:val="clear" w:color="auto" w:fill="auto"/>
                  <w:vAlign w:val="center"/>
                </w:tcPr>
                <w:p w14:paraId="3B9BD1E4">
                  <w:pPr>
                    <w:snapToGrid w:val="0"/>
                    <w:jc w:val="center"/>
                  </w:pPr>
                  <w:r>
                    <w:rPr>
                      <w:rFonts w:hint="eastAsia"/>
                      <w:bCs/>
                      <w:sz w:val="21"/>
                      <w:szCs w:val="21"/>
                      <w:lang w:val="en-US" w:eastAsia="zh-CN"/>
                    </w:rPr>
                    <w:t>*</w:t>
                  </w:r>
                </w:p>
              </w:tc>
              <w:tc>
                <w:tcPr>
                  <w:tcW w:w="495" w:type="pct"/>
                  <w:shd w:val="clear" w:color="auto" w:fill="auto"/>
                  <w:vAlign w:val="center"/>
                </w:tcPr>
                <w:p w14:paraId="054F4190">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022D80E7">
                  <w:pPr>
                    <w:snapToGrid w:val="0"/>
                    <w:jc w:val="center"/>
                  </w:pPr>
                  <w:r>
                    <w:rPr>
                      <w:rFonts w:hint="eastAsia"/>
                      <w:bCs/>
                      <w:sz w:val="21"/>
                      <w:szCs w:val="21"/>
                      <w:lang w:val="en-US" w:eastAsia="zh-CN"/>
                    </w:rPr>
                    <w:t>*</w:t>
                  </w:r>
                </w:p>
              </w:tc>
            </w:tr>
            <w:tr w14:paraId="302D8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627712C6">
                  <w:pPr>
                    <w:snapToGrid w:val="0"/>
                    <w:jc w:val="center"/>
                    <w:rPr>
                      <w:rFonts w:eastAsia="Times New Roman"/>
                    </w:rPr>
                  </w:pPr>
                  <w:r>
                    <w:rPr>
                      <w:rFonts w:eastAsia="Times New Roman"/>
                    </w:rPr>
                    <w:t>19</w:t>
                  </w:r>
                </w:p>
              </w:tc>
              <w:tc>
                <w:tcPr>
                  <w:tcW w:w="1531" w:type="pct"/>
                  <w:shd w:val="clear" w:color="auto" w:fill="auto"/>
                  <w:vAlign w:val="center"/>
                </w:tcPr>
                <w:p w14:paraId="326F3F9E">
                  <w:pPr>
                    <w:snapToGrid w:val="0"/>
                    <w:jc w:val="center"/>
                    <w:rPr>
                      <w:rFonts w:eastAsia="Times New Roman"/>
                      <w:lang w:val="zh-CN"/>
                    </w:rPr>
                  </w:pPr>
                  <w:r>
                    <w:rPr>
                      <w:rFonts w:eastAsia="Times New Roman"/>
                    </w:rPr>
                    <w:t>石墨粉</w:t>
                  </w:r>
                </w:p>
              </w:tc>
              <w:tc>
                <w:tcPr>
                  <w:tcW w:w="538" w:type="pct"/>
                  <w:shd w:val="clear" w:color="auto" w:fill="auto"/>
                  <w:vAlign w:val="center"/>
                </w:tcPr>
                <w:p w14:paraId="682206F1">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49C42C67">
                  <w:pPr>
                    <w:snapToGrid w:val="0"/>
                    <w:jc w:val="center"/>
                  </w:pPr>
                  <w:r>
                    <w:rPr>
                      <w:rFonts w:hint="eastAsia"/>
                      <w:bCs/>
                      <w:sz w:val="21"/>
                      <w:szCs w:val="21"/>
                      <w:lang w:val="en-US" w:eastAsia="zh-CN"/>
                    </w:rPr>
                    <w:t>*</w:t>
                  </w:r>
                </w:p>
              </w:tc>
              <w:tc>
                <w:tcPr>
                  <w:tcW w:w="495" w:type="pct"/>
                  <w:shd w:val="clear" w:color="auto" w:fill="auto"/>
                  <w:vAlign w:val="center"/>
                </w:tcPr>
                <w:p w14:paraId="75B6FAF6">
                  <w:pPr>
                    <w:snapToGrid w:val="0"/>
                    <w:jc w:val="center"/>
                  </w:pPr>
                  <w:r>
                    <w:rPr>
                      <w:rFonts w:hint="eastAsia"/>
                      <w:bCs/>
                      <w:sz w:val="21"/>
                      <w:szCs w:val="21"/>
                      <w:lang w:val="en-US" w:eastAsia="zh-CN"/>
                    </w:rPr>
                    <w:t>*</w:t>
                  </w:r>
                </w:p>
              </w:tc>
              <w:tc>
                <w:tcPr>
                  <w:tcW w:w="503" w:type="pct"/>
                  <w:shd w:val="clear" w:color="auto" w:fill="auto"/>
                  <w:vAlign w:val="center"/>
                </w:tcPr>
                <w:p w14:paraId="5BCC684E">
                  <w:pPr>
                    <w:snapToGrid w:val="0"/>
                    <w:jc w:val="center"/>
                  </w:pPr>
                  <w:r>
                    <w:rPr>
                      <w:rFonts w:hint="eastAsia"/>
                      <w:bCs/>
                      <w:sz w:val="21"/>
                      <w:szCs w:val="21"/>
                      <w:lang w:val="en-US" w:eastAsia="zh-CN"/>
                    </w:rPr>
                    <w:t>*</w:t>
                  </w:r>
                </w:p>
              </w:tc>
              <w:tc>
                <w:tcPr>
                  <w:tcW w:w="495" w:type="pct"/>
                  <w:shd w:val="clear" w:color="auto" w:fill="auto"/>
                  <w:vAlign w:val="center"/>
                </w:tcPr>
                <w:p w14:paraId="2C385C4A">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41762D2F">
                  <w:pPr>
                    <w:snapToGrid w:val="0"/>
                    <w:jc w:val="center"/>
                  </w:pPr>
                  <w:r>
                    <w:rPr>
                      <w:rFonts w:hint="eastAsia"/>
                      <w:bCs/>
                      <w:sz w:val="21"/>
                      <w:szCs w:val="21"/>
                      <w:lang w:val="en-US" w:eastAsia="zh-CN"/>
                    </w:rPr>
                    <w:t>*</w:t>
                  </w:r>
                </w:p>
              </w:tc>
            </w:tr>
            <w:tr w14:paraId="398D9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1D3625E">
                  <w:pPr>
                    <w:snapToGrid w:val="0"/>
                    <w:jc w:val="center"/>
                    <w:rPr>
                      <w:rFonts w:eastAsia="Times New Roman"/>
                    </w:rPr>
                  </w:pPr>
                  <w:r>
                    <w:rPr>
                      <w:rFonts w:eastAsia="Times New Roman"/>
                    </w:rPr>
                    <w:t>20</w:t>
                  </w:r>
                </w:p>
              </w:tc>
              <w:tc>
                <w:tcPr>
                  <w:tcW w:w="1531" w:type="pct"/>
                  <w:shd w:val="clear" w:color="auto" w:fill="auto"/>
                  <w:vAlign w:val="center"/>
                </w:tcPr>
                <w:p w14:paraId="4A747415">
                  <w:pPr>
                    <w:snapToGrid w:val="0"/>
                    <w:jc w:val="center"/>
                    <w:rPr>
                      <w:rFonts w:eastAsia="Times New Roman"/>
                      <w:lang w:val="zh-CN"/>
                    </w:rPr>
                  </w:pPr>
                  <w:r>
                    <w:rPr>
                      <w:rFonts w:eastAsia="Times New Roman"/>
                    </w:rPr>
                    <w:t>塑料小球</w:t>
                  </w:r>
                </w:p>
              </w:tc>
              <w:tc>
                <w:tcPr>
                  <w:tcW w:w="538" w:type="pct"/>
                  <w:shd w:val="clear" w:color="auto" w:fill="auto"/>
                  <w:vAlign w:val="center"/>
                </w:tcPr>
                <w:p w14:paraId="424C5B30">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1B22DF63">
                  <w:pPr>
                    <w:snapToGrid w:val="0"/>
                    <w:jc w:val="center"/>
                  </w:pPr>
                  <w:r>
                    <w:rPr>
                      <w:rFonts w:hint="eastAsia"/>
                      <w:bCs/>
                      <w:sz w:val="21"/>
                      <w:szCs w:val="21"/>
                      <w:lang w:val="en-US" w:eastAsia="zh-CN"/>
                    </w:rPr>
                    <w:t>*</w:t>
                  </w:r>
                </w:p>
              </w:tc>
              <w:tc>
                <w:tcPr>
                  <w:tcW w:w="495" w:type="pct"/>
                  <w:shd w:val="clear" w:color="auto" w:fill="auto"/>
                  <w:vAlign w:val="center"/>
                </w:tcPr>
                <w:p w14:paraId="5E6B4F74">
                  <w:pPr>
                    <w:snapToGrid w:val="0"/>
                    <w:jc w:val="center"/>
                  </w:pPr>
                  <w:r>
                    <w:rPr>
                      <w:rFonts w:hint="eastAsia"/>
                      <w:bCs/>
                      <w:sz w:val="21"/>
                      <w:szCs w:val="21"/>
                      <w:lang w:val="en-US" w:eastAsia="zh-CN"/>
                    </w:rPr>
                    <w:t>*</w:t>
                  </w:r>
                </w:p>
              </w:tc>
              <w:tc>
                <w:tcPr>
                  <w:tcW w:w="503" w:type="pct"/>
                  <w:shd w:val="clear" w:color="auto" w:fill="auto"/>
                  <w:vAlign w:val="center"/>
                </w:tcPr>
                <w:p w14:paraId="424CC9D0">
                  <w:pPr>
                    <w:snapToGrid w:val="0"/>
                    <w:jc w:val="center"/>
                  </w:pPr>
                  <w:r>
                    <w:rPr>
                      <w:rFonts w:hint="eastAsia"/>
                      <w:bCs/>
                      <w:sz w:val="21"/>
                      <w:szCs w:val="21"/>
                      <w:lang w:val="en-US" w:eastAsia="zh-CN"/>
                    </w:rPr>
                    <w:t>*</w:t>
                  </w:r>
                </w:p>
              </w:tc>
              <w:tc>
                <w:tcPr>
                  <w:tcW w:w="495" w:type="pct"/>
                  <w:shd w:val="clear" w:color="auto" w:fill="auto"/>
                  <w:vAlign w:val="center"/>
                </w:tcPr>
                <w:p w14:paraId="557D5634">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7A9F8938">
                  <w:pPr>
                    <w:snapToGrid w:val="0"/>
                    <w:jc w:val="center"/>
                    <w:rPr>
                      <w:lang w:val="zh-CN"/>
                    </w:rPr>
                  </w:pPr>
                  <w:r>
                    <w:rPr>
                      <w:rFonts w:hint="eastAsia"/>
                      <w:bCs/>
                      <w:sz w:val="21"/>
                      <w:szCs w:val="21"/>
                      <w:lang w:val="en-US" w:eastAsia="zh-CN"/>
                    </w:rPr>
                    <w:t>*</w:t>
                  </w:r>
                </w:p>
              </w:tc>
            </w:tr>
            <w:tr w14:paraId="0C7FC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29E7DAE">
                  <w:pPr>
                    <w:snapToGrid w:val="0"/>
                    <w:jc w:val="center"/>
                    <w:rPr>
                      <w:rFonts w:eastAsia="Times New Roman"/>
                    </w:rPr>
                  </w:pPr>
                  <w:r>
                    <w:rPr>
                      <w:rFonts w:eastAsia="Times New Roman"/>
                    </w:rPr>
                    <w:t>21</w:t>
                  </w:r>
                </w:p>
              </w:tc>
              <w:tc>
                <w:tcPr>
                  <w:tcW w:w="1531" w:type="pct"/>
                  <w:shd w:val="clear" w:color="auto" w:fill="auto"/>
                  <w:vAlign w:val="center"/>
                </w:tcPr>
                <w:p w14:paraId="7735845C">
                  <w:pPr>
                    <w:snapToGrid w:val="0"/>
                    <w:jc w:val="center"/>
                    <w:rPr>
                      <w:rFonts w:eastAsia="Times New Roman"/>
                      <w:lang w:val="zh-CN"/>
                    </w:rPr>
                  </w:pPr>
                  <w:r>
                    <w:rPr>
                      <w:rFonts w:eastAsia="Times New Roman"/>
                    </w:rPr>
                    <w:t>硅氟类降黏剂</w:t>
                  </w:r>
                </w:p>
              </w:tc>
              <w:tc>
                <w:tcPr>
                  <w:tcW w:w="538" w:type="pct"/>
                  <w:shd w:val="clear" w:color="auto" w:fill="auto"/>
                  <w:vAlign w:val="center"/>
                </w:tcPr>
                <w:p w14:paraId="0646861F">
                  <w:pPr>
                    <w:snapToGrid w:val="0"/>
                    <w:jc w:val="center"/>
                    <w:rPr>
                      <w:rFonts w:eastAsia="Times New Roman"/>
                    </w:rPr>
                  </w:pPr>
                  <w:r>
                    <w:rPr>
                      <w:rFonts w:hint="eastAsia"/>
                      <w:bCs/>
                      <w:sz w:val="21"/>
                      <w:szCs w:val="21"/>
                      <w:lang w:val="en-US" w:eastAsia="zh-CN"/>
                    </w:rPr>
                    <w:t>*</w:t>
                  </w:r>
                </w:p>
              </w:tc>
              <w:tc>
                <w:tcPr>
                  <w:tcW w:w="613" w:type="pct"/>
                  <w:shd w:val="clear" w:color="auto" w:fill="auto"/>
                  <w:vAlign w:val="center"/>
                </w:tcPr>
                <w:p w14:paraId="233A5D7F">
                  <w:pPr>
                    <w:snapToGrid w:val="0"/>
                    <w:jc w:val="center"/>
                    <w:rPr>
                      <w:lang w:val="zh-CN"/>
                    </w:rPr>
                  </w:pPr>
                  <w:r>
                    <w:rPr>
                      <w:rFonts w:hint="eastAsia"/>
                      <w:bCs/>
                      <w:sz w:val="21"/>
                      <w:szCs w:val="21"/>
                      <w:lang w:val="en-US" w:eastAsia="zh-CN"/>
                    </w:rPr>
                    <w:t>*</w:t>
                  </w:r>
                </w:p>
              </w:tc>
              <w:tc>
                <w:tcPr>
                  <w:tcW w:w="495" w:type="pct"/>
                  <w:shd w:val="clear" w:color="auto" w:fill="auto"/>
                  <w:vAlign w:val="center"/>
                </w:tcPr>
                <w:p w14:paraId="54313C51">
                  <w:pPr>
                    <w:snapToGrid w:val="0"/>
                    <w:jc w:val="center"/>
                  </w:pPr>
                  <w:r>
                    <w:rPr>
                      <w:rFonts w:hint="eastAsia"/>
                      <w:bCs/>
                      <w:sz w:val="21"/>
                      <w:szCs w:val="21"/>
                      <w:lang w:val="en-US" w:eastAsia="zh-CN"/>
                    </w:rPr>
                    <w:t>*</w:t>
                  </w:r>
                </w:p>
              </w:tc>
              <w:tc>
                <w:tcPr>
                  <w:tcW w:w="503" w:type="pct"/>
                  <w:shd w:val="clear" w:color="auto" w:fill="auto"/>
                  <w:vAlign w:val="center"/>
                </w:tcPr>
                <w:p w14:paraId="64EC3D57">
                  <w:pPr>
                    <w:snapToGrid w:val="0"/>
                    <w:jc w:val="center"/>
                  </w:pPr>
                  <w:r>
                    <w:rPr>
                      <w:rFonts w:hint="eastAsia"/>
                      <w:bCs/>
                      <w:sz w:val="21"/>
                      <w:szCs w:val="21"/>
                      <w:lang w:val="en-US" w:eastAsia="zh-CN"/>
                    </w:rPr>
                    <w:t>*</w:t>
                  </w:r>
                </w:p>
              </w:tc>
              <w:tc>
                <w:tcPr>
                  <w:tcW w:w="495" w:type="pct"/>
                  <w:shd w:val="clear" w:color="auto" w:fill="auto"/>
                  <w:vAlign w:val="center"/>
                </w:tcPr>
                <w:p w14:paraId="3EA89E99">
                  <w:pPr>
                    <w:snapToGrid w:val="0"/>
                    <w:jc w:val="center"/>
                    <w:rPr>
                      <w:rFonts w:eastAsia="Times New Roman"/>
                    </w:rPr>
                  </w:pPr>
                  <w:r>
                    <w:rPr>
                      <w:rFonts w:hint="eastAsia"/>
                      <w:bCs/>
                      <w:sz w:val="21"/>
                      <w:szCs w:val="21"/>
                      <w:lang w:val="en-US" w:eastAsia="zh-CN"/>
                    </w:rPr>
                    <w:t>*</w:t>
                  </w:r>
                </w:p>
              </w:tc>
              <w:tc>
                <w:tcPr>
                  <w:tcW w:w="560" w:type="pct"/>
                  <w:shd w:val="clear" w:color="auto" w:fill="auto"/>
                  <w:vAlign w:val="center"/>
                </w:tcPr>
                <w:p w14:paraId="2647E048">
                  <w:pPr>
                    <w:snapToGrid w:val="0"/>
                    <w:jc w:val="center"/>
                    <w:rPr>
                      <w:lang w:val="zh-CN"/>
                    </w:rPr>
                  </w:pPr>
                  <w:r>
                    <w:rPr>
                      <w:rFonts w:hint="eastAsia"/>
                      <w:bCs/>
                      <w:sz w:val="21"/>
                      <w:szCs w:val="21"/>
                      <w:lang w:val="en-US" w:eastAsia="zh-CN"/>
                    </w:rPr>
                    <w:t>*</w:t>
                  </w:r>
                </w:p>
              </w:tc>
            </w:tr>
            <w:tr w14:paraId="43D9B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00AB18B2">
                  <w:pPr>
                    <w:snapToGrid w:val="0"/>
                    <w:jc w:val="center"/>
                    <w:rPr>
                      <w:rFonts w:eastAsia="Times New Roman"/>
                    </w:rPr>
                  </w:pPr>
                  <w:r>
                    <w:rPr>
                      <w:rFonts w:eastAsia="Times New Roman"/>
                    </w:rPr>
                    <w:t>22</w:t>
                  </w:r>
                </w:p>
              </w:tc>
              <w:tc>
                <w:tcPr>
                  <w:tcW w:w="1531" w:type="pct"/>
                  <w:shd w:val="clear" w:color="auto" w:fill="auto"/>
                  <w:vAlign w:val="center"/>
                </w:tcPr>
                <w:p w14:paraId="064E1B0F">
                  <w:pPr>
                    <w:spacing w:line="240" w:lineRule="exact"/>
                    <w:jc w:val="center"/>
                    <w:rPr>
                      <w:rFonts w:eastAsia="Times New Roman"/>
                      <w:szCs w:val="21"/>
                      <w:lang w:val="zh-CN"/>
                    </w:rPr>
                  </w:pPr>
                  <w:r>
                    <w:rPr>
                      <w:rFonts w:eastAsia="Times New Roman"/>
                      <w:szCs w:val="21"/>
                    </w:rPr>
                    <w:t>刚性堵漏剂</w:t>
                  </w:r>
                </w:p>
              </w:tc>
              <w:tc>
                <w:tcPr>
                  <w:tcW w:w="538" w:type="pct"/>
                  <w:shd w:val="clear" w:color="auto" w:fill="auto"/>
                  <w:vAlign w:val="center"/>
                </w:tcPr>
                <w:p w14:paraId="52669029">
                  <w:pPr>
                    <w:spacing w:line="240" w:lineRule="exact"/>
                    <w:jc w:val="center"/>
                    <w:rPr>
                      <w:rFonts w:eastAsia="Times New Roman"/>
                      <w:szCs w:val="21"/>
                    </w:rPr>
                  </w:pPr>
                  <w:r>
                    <w:rPr>
                      <w:rFonts w:hint="eastAsia"/>
                      <w:bCs/>
                      <w:sz w:val="21"/>
                      <w:szCs w:val="21"/>
                      <w:lang w:val="en-US" w:eastAsia="zh-CN"/>
                    </w:rPr>
                    <w:t>*</w:t>
                  </w:r>
                </w:p>
              </w:tc>
              <w:tc>
                <w:tcPr>
                  <w:tcW w:w="613" w:type="pct"/>
                  <w:shd w:val="clear" w:color="auto" w:fill="auto"/>
                  <w:vAlign w:val="center"/>
                </w:tcPr>
                <w:p w14:paraId="7F3166DE">
                  <w:pPr>
                    <w:spacing w:line="240" w:lineRule="exact"/>
                    <w:jc w:val="center"/>
                    <w:rPr>
                      <w:szCs w:val="21"/>
                      <w:lang w:val="zh-CN"/>
                    </w:rPr>
                  </w:pPr>
                  <w:r>
                    <w:rPr>
                      <w:rFonts w:hint="eastAsia"/>
                      <w:bCs/>
                      <w:sz w:val="21"/>
                      <w:szCs w:val="21"/>
                      <w:lang w:val="en-US" w:eastAsia="zh-CN"/>
                    </w:rPr>
                    <w:t>*</w:t>
                  </w:r>
                </w:p>
              </w:tc>
              <w:tc>
                <w:tcPr>
                  <w:tcW w:w="495" w:type="pct"/>
                  <w:shd w:val="clear" w:color="auto" w:fill="auto"/>
                  <w:vAlign w:val="center"/>
                </w:tcPr>
                <w:p w14:paraId="26600DA7">
                  <w:pPr>
                    <w:spacing w:line="240" w:lineRule="exact"/>
                    <w:jc w:val="center"/>
                    <w:rPr>
                      <w:rFonts w:eastAsia="Times New Roman"/>
                      <w:szCs w:val="21"/>
                    </w:rPr>
                  </w:pPr>
                  <w:r>
                    <w:rPr>
                      <w:rFonts w:hint="eastAsia"/>
                      <w:bCs/>
                      <w:sz w:val="21"/>
                      <w:szCs w:val="21"/>
                      <w:lang w:val="en-US" w:eastAsia="zh-CN"/>
                    </w:rPr>
                    <w:t>*</w:t>
                  </w:r>
                </w:p>
              </w:tc>
              <w:tc>
                <w:tcPr>
                  <w:tcW w:w="503" w:type="pct"/>
                  <w:shd w:val="clear" w:color="auto" w:fill="auto"/>
                  <w:vAlign w:val="center"/>
                </w:tcPr>
                <w:p w14:paraId="32EA8C15">
                  <w:pPr>
                    <w:spacing w:line="240" w:lineRule="exact"/>
                    <w:jc w:val="center"/>
                    <w:rPr>
                      <w:rFonts w:eastAsia="Times New Roman"/>
                      <w:szCs w:val="21"/>
                    </w:rPr>
                  </w:pPr>
                  <w:r>
                    <w:rPr>
                      <w:rFonts w:hint="eastAsia"/>
                      <w:bCs/>
                      <w:sz w:val="21"/>
                      <w:szCs w:val="21"/>
                      <w:lang w:val="en-US" w:eastAsia="zh-CN"/>
                    </w:rPr>
                    <w:t>*</w:t>
                  </w:r>
                </w:p>
              </w:tc>
              <w:tc>
                <w:tcPr>
                  <w:tcW w:w="495" w:type="pct"/>
                  <w:shd w:val="clear" w:color="auto" w:fill="auto"/>
                  <w:vAlign w:val="center"/>
                </w:tcPr>
                <w:p w14:paraId="2ABE7993">
                  <w:pPr>
                    <w:spacing w:line="240" w:lineRule="exact"/>
                    <w:jc w:val="center"/>
                    <w:rPr>
                      <w:rFonts w:eastAsia="Times New Roman"/>
                      <w:szCs w:val="21"/>
                    </w:rPr>
                  </w:pPr>
                  <w:r>
                    <w:rPr>
                      <w:rFonts w:hint="eastAsia"/>
                      <w:bCs/>
                      <w:sz w:val="21"/>
                      <w:szCs w:val="21"/>
                      <w:lang w:val="en-US" w:eastAsia="zh-CN"/>
                    </w:rPr>
                    <w:t>*</w:t>
                  </w:r>
                </w:p>
              </w:tc>
              <w:tc>
                <w:tcPr>
                  <w:tcW w:w="560" w:type="pct"/>
                  <w:shd w:val="clear" w:color="auto" w:fill="auto"/>
                  <w:vAlign w:val="center"/>
                </w:tcPr>
                <w:p w14:paraId="40D2AB12">
                  <w:pPr>
                    <w:spacing w:line="240" w:lineRule="exact"/>
                    <w:jc w:val="center"/>
                    <w:rPr>
                      <w:rFonts w:eastAsia="Times New Roman"/>
                      <w:szCs w:val="21"/>
                    </w:rPr>
                  </w:pPr>
                  <w:r>
                    <w:rPr>
                      <w:rFonts w:hint="eastAsia"/>
                      <w:bCs/>
                      <w:sz w:val="21"/>
                      <w:szCs w:val="21"/>
                      <w:lang w:val="en-US" w:eastAsia="zh-CN"/>
                    </w:rPr>
                    <w:t>*</w:t>
                  </w:r>
                </w:p>
              </w:tc>
            </w:tr>
            <w:tr w14:paraId="366B4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29BD18C2">
                  <w:pPr>
                    <w:snapToGrid w:val="0"/>
                    <w:jc w:val="center"/>
                    <w:rPr>
                      <w:rFonts w:eastAsia="Times New Roman"/>
                    </w:rPr>
                  </w:pPr>
                  <w:r>
                    <w:rPr>
                      <w:rFonts w:eastAsia="Times New Roman"/>
                    </w:rPr>
                    <w:t>23</w:t>
                  </w:r>
                </w:p>
              </w:tc>
              <w:tc>
                <w:tcPr>
                  <w:tcW w:w="1531" w:type="pct"/>
                  <w:shd w:val="clear" w:color="auto" w:fill="auto"/>
                  <w:vAlign w:val="center"/>
                </w:tcPr>
                <w:p w14:paraId="51A45A68">
                  <w:pPr>
                    <w:spacing w:line="240" w:lineRule="exact"/>
                    <w:jc w:val="center"/>
                    <w:rPr>
                      <w:rFonts w:eastAsia="Times New Roman"/>
                      <w:szCs w:val="21"/>
                      <w:lang w:val="zh-CN"/>
                    </w:rPr>
                  </w:pPr>
                  <w:r>
                    <w:rPr>
                      <w:rFonts w:eastAsia="Times New Roman"/>
                      <w:szCs w:val="21"/>
                    </w:rPr>
                    <w:t>果壳类堵漏剂</w:t>
                  </w:r>
                </w:p>
              </w:tc>
              <w:tc>
                <w:tcPr>
                  <w:tcW w:w="538" w:type="pct"/>
                  <w:shd w:val="clear" w:color="auto" w:fill="auto"/>
                  <w:vAlign w:val="center"/>
                </w:tcPr>
                <w:p w14:paraId="09523AE0">
                  <w:pPr>
                    <w:spacing w:line="240" w:lineRule="exact"/>
                    <w:jc w:val="center"/>
                    <w:rPr>
                      <w:rFonts w:eastAsia="Times New Roman"/>
                      <w:szCs w:val="21"/>
                    </w:rPr>
                  </w:pPr>
                  <w:r>
                    <w:rPr>
                      <w:rFonts w:hint="eastAsia"/>
                      <w:bCs/>
                      <w:sz w:val="21"/>
                      <w:szCs w:val="21"/>
                      <w:lang w:val="en-US" w:eastAsia="zh-CN"/>
                    </w:rPr>
                    <w:t>*</w:t>
                  </w:r>
                </w:p>
              </w:tc>
              <w:tc>
                <w:tcPr>
                  <w:tcW w:w="613" w:type="pct"/>
                  <w:shd w:val="clear" w:color="auto" w:fill="auto"/>
                  <w:vAlign w:val="center"/>
                </w:tcPr>
                <w:p w14:paraId="055E3534">
                  <w:pPr>
                    <w:spacing w:line="240" w:lineRule="exact"/>
                    <w:jc w:val="center"/>
                    <w:rPr>
                      <w:szCs w:val="21"/>
                    </w:rPr>
                  </w:pPr>
                  <w:r>
                    <w:rPr>
                      <w:rFonts w:hint="eastAsia"/>
                      <w:bCs/>
                      <w:sz w:val="21"/>
                      <w:szCs w:val="21"/>
                      <w:lang w:val="en-US" w:eastAsia="zh-CN"/>
                    </w:rPr>
                    <w:t>*</w:t>
                  </w:r>
                </w:p>
              </w:tc>
              <w:tc>
                <w:tcPr>
                  <w:tcW w:w="495" w:type="pct"/>
                  <w:shd w:val="clear" w:color="auto" w:fill="auto"/>
                  <w:vAlign w:val="center"/>
                </w:tcPr>
                <w:p w14:paraId="7CC640F8">
                  <w:pPr>
                    <w:spacing w:line="240" w:lineRule="exact"/>
                    <w:jc w:val="center"/>
                    <w:rPr>
                      <w:rFonts w:eastAsia="Times New Roman"/>
                      <w:szCs w:val="21"/>
                    </w:rPr>
                  </w:pPr>
                  <w:r>
                    <w:rPr>
                      <w:rFonts w:hint="eastAsia"/>
                      <w:bCs/>
                      <w:sz w:val="21"/>
                      <w:szCs w:val="21"/>
                      <w:lang w:val="en-US" w:eastAsia="zh-CN"/>
                    </w:rPr>
                    <w:t>*</w:t>
                  </w:r>
                </w:p>
              </w:tc>
              <w:tc>
                <w:tcPr>
                  <w:tcW w:w="503" w:type="pct"/>
                  <w:shd w:val="clear" w:color="auto" w:fill="auto"/>
                  <w:vAlign w:val="center"/>
                </w:tcPr>
                <w:p w14:paraId="44F061BF">
                  <w:pPr>
                    <w:spacing w:line="240" w:lineRule="exact"/>
                    <w:jc w:val="center"/>
                    <w:rPr>
                      <w:rFonts w:eastAsia="Times New Roman"/>
                      <w:szCs w:val="21"/>
                    </w:rPr>
                  </w:pPr>
                  <w:r>
                    <w:rPr>
                      <w:rFonts w:hint="eastAsia"/>
                      <w:bCs/>
                      <w:sz w:val="21"/>
                      <w:szCs w:val="21"/>
                      <w:lang w:val="en-US" w:eastAsia="zh-CN"/>
                    </w:rPr>
                    <w:t>*</w:t>
                  </w:r>
                </w:p>
              </w:tc>
              <w:tc>
                <w:tcPr>
                  <w:tcW w:w="495" w:type="pct"/>
                  <w:shd w:val="clear" w:color="auto" w:fill="auto"/>
                  <w:vAlign w:val="center"/>
                </w:tcPr>
                <w:p w14:paraId="15C4730A">
                  <w:pPr>
                    <w:spacing w:line="240" w:lineRule="exact"/>
                    <w:jc w:val="center"/>
                    <w:rPr>
                      <w:rFonts w:eastAsia="Times New Roman"/>
                      <w:szCs w:val="21"/>
                    </w:rPr>
                  </w:pPr>
                  <w:r>
                    <w:rPr>
                      <w:rFonts w:hint="eastAsia"/>
                      <w:bCs/>
                      <w:sz w:val="21"/>
                      <w:szCs w:val="21"/>
                      <w:lang w:val="en-US" w:eastAsia="zh-CN"/>
                    </w:rPr>
                    <w:t>*</w:t>
                  </w:r>
                </w:p>
              </w:tc>
              <w:tc>
                <w:tcPr>
                  <w:tcW w:w="560" w:type="pct"/>
                  <w:shd w:val="clear" w:color="auto" w:fill="auto"/>
                  <w:vAlign w:val="center"/>
                </w:tcPr>
                <w:p w14:paraId="1E53527E">
                  <w:pPr>
                    <w:spacing w:line="240" w:lineRule="exact"/>
                    <w:jc w:val="center"/>
                    <w:rPr>
                      <w:rFonts w:eastAsia="Times New Roman"/>
                      <w:szCs w:val="21"/>
                      <w:lang w:val="zh-CN"/>
                    </w:rPr>
                  </w:pPr>
                  <w:r>
                    <w:rPr>
                      <w:rFonts w:hint="eastAsia"/>
                      <w:bCs/>
                      <w:sz w:val="21"/>
                      <w:szCs w:val="21"/>
                      <w:lang w:val="en-US" w:eastAsia="zh-CN"/>
                    </w:rPr>
                    <w:t>*</w:t>
                  </w:r>
                </w:p>
              </w:tc>
            </w:tr>
            <w:tr w14:paraId="7D21A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67FF5D68">
                  <w:pPr>
                    <w:spacing w:line="240" w:lineRule="exact"/>
                    <w:jc w:val="center"/>
                    <w:rPr>
                      <w:rFonts w:eastAsia="Times New Roman"/>
                      <w:szCs w:val="21"/>
                    </w:rPr>
                  </w:pPr>
                  <w:r>
                    <w:rPr>
                      <w:rFonts w:eastAsia="Times New Roman"/>
                      <w:szCs w:val="21"/>
                    </w:rPr>
                    <w:t>24</w:t>
                  </w:r>
                </w:p>
              </w:tc>
              <w:tc>
                <w:tcPr>
                  <w:tcW w:w="1531" w:type="pct"/>
                  <w:shd w:val="clear" w:color="auto" w:fill="auto"/>
                  <w:vAlign w:val="center"/>
                </w:tcPr>
                <w:p w14:paraId="147BB999">
                  <w:pPr>
                    <w:spacing w:line="240" w:lineRule="exact"/>
                    <w:jc w:val="center"/>
                    <w:rPr>
                      <w:rFonts w:eastAsia="Times New Roman"/>
                      <w:szCs w:val="21"/>
                      <w:lang w:val="zh-CN"/>
                    </w:rPr>
                  </w:pPr>
                  <w:r>
                    <w:rPr>
                      <w:rFonts w:eastAsia="Times New Roman"/>
                      <w:szCs w:val="21"/>
                    </w:rPr>
                    <w:t>复合堵漏剂</w:t>
                  </w:r>
                </w:p>
              </w:tc>
              <w:tc>
                <w:tcPr>
                  <w:tcW w:w="538" w:type="pct"/>
                  <w:shd w:val="clear" w:color="auto" w:fill="auto"/>
                  <w:vAlign w:val="center"/>
                </w:tcPr>
                <w:p w14:paraId="3062BA55">
                  <w:pPr>
                    <w:spacing w:line="240" w:lineRule="exact"/>
                    <w:jc w:val="center"/>
                    <w:rPr>
                      <w:rFonts w:eastAsia="Times New Roman"/>
                      <w:szCs w:val="21"/>
                    </w:rPr>
                  </w:pPr>
                  <w:r>
                    <w:rPr>
                      <w:rFonts w:hint="eastAsia"/>
                      <w:bCs/>
                      <w:sz w:val="21"/>
                      <w:szCs w:val="21"/>
                      <w:lang w:val="en-US" w:eastAsia="zh-CN"/>
                    </w:rPr>
                    <w:t>*</w:t>
                  </w:r>
                </w:p>
              </w:tc>
              <w:tc>
                <w:tcPr>
                  <w:tcW w:w="613" w:type="pct"/>
                  <w:shd w:val="clear" w:color="auto" w:fill="auto"/>
                  <w:vAlign w:val="center"/>
                </w:tcPr>
                <w:p w14:paraId="3ABA3154">
                  <w:pPr>
                    <w:spacing w:line="240" w:lineRule="exact"/>
                    <w:jc w:val="center"/>
                    <w:rPr>
                      <w:szCs w:val="21"/>
                    </w:rPr>
                  </w:pPr>
                  <w:r>
                    <w:rPr>
                      <w:rFonts w:hint="eastAsia"/>
                      <w:bCs/>
                      <w:sz w:val="21"/>
                      <w:szCs w:val="21"/>
                      <w:lang w:val="en-US" w:eastAsia="zh-CN"/>
                    </w:rPr>
                    <w:t>*</w:t>
                  </w:r>
                </w:p>
              </w:tc>
              <w:tc>
                <w:tcPr>
                  <w:tcW w:w="495" w:type="pct"/>
                  <w:shd w:val="clear" w:color="auto" w:fill="auto"/>
                  <w:vAlign w:val="center"/>
                </w:tcPr>
                <w:p w14:paraId="42DF4207">
                  <w:pPr>
                    <w:spacing w:line="240" w:lineRule="exact"/>
                    <w:jc w:val="center"/>
                    <w:rPr>
                      <w:rFonts w:eastAsia="Times New Roman"/>
                      <w:szCs w:val="21"/>
                    </w:rPr>
                  </w:pPr>
                  <w:r>
                    <w:rPr>
                      <w:rFonts w:hint="eastAsia"/>
                      <w:bCs/>
                      <w:sz w:val="21"/>
                      <w:szCs w:val="21"/>
                      <w:lang w:val="en-US" w:eastAsia="zh-CN"/>
                    </w:rPr>
                    <w:t>*</w:t>
                  </w:r>
                </w:p>
              </w:tc>
              <w:tc>
                <w:tcPr>
                  <w:tcW w:w="503" w:type="pct"/>
                  <w:shd w:val="clear" w:color="auto" w:fill="auto"/>
                  <w:vAlign w:val="center"/>
                </w:tcPr>
                <w:p w14:paraId="1A8A085B">
                  <w:pPr>
                    <w:spacing w:line="240" w:lineRule="exact"/>
                    <w:jc w:val="center"/>
                    <w:rPr>
                      <w:rFonts w:eastAsia="Times New Roman"/>
                      <w:szCs w:val="21"/>
                    </w:rPr>
                  </w:pPr>
                  <w:r>
                    <w:rPr>
                      <w:rFonts w:hint="eastAsia"/>
                      <w:bCs/>
                      <w:sz w:val="21"/>
                      <w:szCs w:val="21"/>
                      <w:lang w:val="en-US" w:eastAsia="zh-CN"/>
                    </w:rPr>
                    <w:t>*</w:t>
                  </w:r>
                </w:p>
              </w:tc>
              <w:tc>
                <w:tcPr>
                  <w:tcW w:w="495" w:type="pct"/>
                  <w:shd w:val="clear" w:color="auto" w:fill="auto"/>
                  <w:vAlign w:val="center"/>
                </w:tcPr>
                <w:p w14:paraId="39ACCBB0">
                  <w:pPr>
                    <w:spacing w:line="240" w:lineRule="exact"/>
                    <w:jc w:val="center"/>
                    <w:rPr>
                      <w:rFonts w:eastAsia="Times New Roman"/>
                      <w:szCs w:val="21"/>
                    </w:rPr>
                  </w:pPr>
                  <w:r>
                    <w:rPr>
                      <w:rFonts w:hint="eastAsia"/>
                      <w:bCs/>
                      <w:sz w:val="21"/>
                      <w:szCs w:val="21"/>
                      <w:lang w:val="en-US" w:eastAsia="zh-CN"/>
                    </w:rPr>
                    <w:t>*</w:t>
                  </w:r>
                </w:p>
              </w:tc>
              <w:tc>
                <w:tcPr>
                  <w:tcW w:w="560" w:type="pct"/>
                  <w:shd w:val="clear" w:color="auto" w:fill="auto"/>
                  <w:vAlign w:val="center"/>
                </w:tcPr>
                <w:p w14:paraId="30F04421">
                  <w:pPr>
                    <w:spacing w:line="240" w:lineRule="exact"/>
                    <w:jc w:val="center"/>
                    <w:rPr>
                      <w:rFonts w:eastAsia="Times New Roman"/>
                      <w:szCs w:val="21"/>
                      <w:lang w:val="zh-CN"/>
                    </w:rPr>
                  </w:pPr>
                  <w:r>
                    <w:rPr>
                      <w:rFonts w:hint="eastAsia"/>
                      <w:bCs/>
                      <w:sz w:val="21"/>
                      <w:szCs w:val="21"/>
                      <w:lang w:val="en-US" w:eastAsia="zh-CN"/>
                    </w:rPr>
                    <w:t>*</w:t>
                  </w:r>
                </w:p>
              </w:tc>
            </w:tr>
            <w:tr w14:paraId="686AA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60BADD0C">
                  <w:pPr>
                    <w:spacing w:line="240" w:lineRule="exact"/>
                    <w:jc w:val="center"/>
                    <w:rPr>
                      <w:rFonts w:eastAsia="Times New Roman"/>
                      <w:szCs w:val="21"/>
                    </w:rPr>
                  </w:pPr>
                  <w:r>
                    <w:rPr>
                      <w:rFonts w:eastAsia="Times New Roman"/>
                      <w:szCs w:val="21"/>
                    </w:rPr>
                    <w:t>25</w:t>
                  </w:r>
                </w:p>
              </w:tc>
              <w:tc>
                <w:tcPr>
                  <w:tcW w:w="1531" w:type="pct"/>
                  <w:shd w:val="clear" w:color="auto" w:fill="auto"/>
                  <w:vAlign w:val="center"/>
                </w:tcPr>
                <w:p w14:paraId="47A2D7FC">
                  <w:pPr>
                    <w:spacing w:line="240" w:lineRule="exact"/>
                    <w:jc w:val="center"/>
                    <w:rPr>
                      <w:rFonts w:eastAsia="Times New Roman"/>
                      <w:szCs w:val="21"/>
                      <w:lang w:val="zh-CN"/>
                    </w:rPr>
                  </w:pPr>
                  <w:r>
                    <w:rPr>
                      <w:rFonts w:eastAsia="Times New Roman"/>
                      <w:szCs w:val="21"/>
                    </w:rPr>
                    <w:t>纤维类堵漏剂</w:t>
                  </w:r>
                </w:p>
              </w:tc>
              <w:tc>
                <w:tcPr>
                  <w:tcW w:w="538" w:type="pct"/>
                  <w:shd w:val="clear" w:color="auto" w:fill="auto"/>
                  <w:vAlign w:val="center"/>
                </w:tcPr>
                <w:p w14:paraId="690D86E0">
                  <w:pPr>
                    <w:spacing w:line="240" w:lineRule="exact"/>
                    <w:jc w:val="center"/>
                    <w:rPr>
                      <w:rFonts w:eastAsia="Times New Roman"/>
                      <w:szCs w:val="21"/>
                    </w:rPr>
                  </w:pPr>
                  <w:r>
                    <w:rPr>
                      <w:rFonts w:hint="eastAsia"/>
                      <w:bCs/>
                      <w:sz w:val="21"/>
                      <w:szCs w:val="21"/>
                      <w:lang w:val="en-US" w:eastAsia="zh-CN"/>
                    </w:rPr>
                    <w:t>*</w:t>
                  </w:r>
                </w:p>
              </w:tc>
              <w:tc>
                <w:tcPr>
                  <w:tcW w:w="613" w:type="pct"/>
                  <w:shd w:val="clear" w:color="auto" w:fill="auto"/>
                  <w:vAlign w:val="center"/>
                </w:tcPr>
                <w:p w14:paraId="6E81BA87">
                  <w:pPr>
                    <w:spacing w:line="240" w:lineRule="exact"/>
                    <w:jc w:val="center"/>
                    <w:rPr>
                      <w:szCs w:val="21"/>
                    </w:rPr>
                  </w:pPr>
                  <w:r>
                    <w:rPr>
                      <w:rFonts w:hint="eastAsia"/>
                      <w:bCs/>
                      <w:sz w:val="21"/>
                      <w:szCs w:val="21"/>
                      <w:lang w:val="en-US" w:eastAsia="zh-CN"/>
                    </w:rPr>
                    <w:t>*</w:t>
                  </w:r>
                </w:p>
              </w:tc>
              <w:tc>
                <w:tcPr>
                  <w:tcW w:w="495" w:type="pct"/>
                  <w:shd w:val="clear" w:color="auto" w:fill="auto"/>
                  <w:vAlign w:val="center"/>
                </w:tcPr>
                <w:p w14:paraId="150089F9">
                  <w:pPr>
                    <w:spacing w:line="240" w:lineRule="exact"/>
                    <w:jc w:val="center"/>
                    <w:rPr>
                      <w:rFonts w:eastAsia="Times New Roman"/>
                      <w:szCs w:val="21"/>
                    </w:rPr>
                  </w:pPr>
                  <w:r>
                    <w:rPr>
                      <w:rFonts w:hint="eastAsia"/>
                      <w:bCs/>
                      <w:sz w:val="21"/>
                      <w:szCs w:val="21"/>
                      <w:lang w:val="en-US" w:eastAsia="zh-CN"/>
                    </w:rPr>
                    <w:t>*</w:t>
                  </w:r>
                </w:p>
              </w:tc>
              <w:tc>
                <w:tcPr>
                  <w:tcW w:w="503" w:type="pct"/>
                  <w:shd w:val="clear" w:color="auto" w:fill="auto"/>
                  <w:vAlign w:val="center"/>
                </w:tcPr>
                <w:p w14:paraId="0AE90AC4">
                  <w:pPr>
                    <w:spacing w:line="240" w:lineRule="exact"/>
                    <w:jc w:val="center"/>
                    <w:rPr>
                      <w:rFonts w:eastAsia="Times New Roman"/>
                      <w:szCs w:val="21"/>
                    </w:rPr>
                  </w:pPr>
                  <w:r>
                    <w:rPr>
                      <w:rFonts w:hint="eastAsia"/>
                      <w:bCs/>
                      <w:sz w:val="21"/>
                      <w:szCs w:val="21"/>
                      <w:lang w:val="en-US" w:eastAsia="zh-CN"/>
                    </w:rPr>
                    <w:t>*</w:t>
                  </w:r>
                </w:p>
              </w:tc>
              <w:tc>
                <w:tcPr>
                  <w:tcW w:w="495" w:type="pct"/>
                  <w:shd w:val="clear" w:color="auto" w:fill="auto"/>
                  <w:vAlign w:val="center"/>
                </w:tcPr>
                <w:p w14:paraId="33F8259C">
                  <w:pPr>
                    <w:spacing w:line="240" w:lineRule="exact"/>
                    <w:jc w:val="center"/>
                    <w:rPr>
                      <w:rFonts w:eastAsia="Times New Roman"/>
                      <w:szCs w:val="21"/>
                    </w:rPr>
                  </w:pPr>
                  <w:r>
                    <w:rPr>
                      <w:rFonts w:hint="eastAsia"/>
                      <w:bCs/>
                      <w:sz w:val="21"/>
                      <w:szCs w:val="21"/>
                      <w:lang w:val="en-US" w:eastAsia="zh-CN"/>
                    </w:rPr>
                    <w:t>*</w:t>
                  </w:r>
                </w:p>
              </w:tc>
              <w:tc>
                <w:tcPr>
                  <w:tcW w:w="560" w:type="pct"/>
                  <w:shd w:val="clear" w:color="auto" w:fill="auto"/>
                  <w:vAlign w:val="center"/>
                </w:tcPr>
                <w:p w14:paraId="4459A268">
                  <w:pPr>
                    <w:spacing w:line="240" w:lineRule="exact"/>
                    <w:jc w:val="center"/>
                    <w:rPr>
                      <w:rFonts w:eastAsia="Times New Roman"/>
                      <w:szCs w:val="21"/>
                      <w:lang w:val="zh-CN"/>
                    </w:rPr>
                  </w:pPr>
                  <w:r>
                    <w:rPr>
                      <w:rFonts w:hint="eastAsia"/>
                      <w:bCs/>
                      <w:sz w:val="21"/>
                      <w:szCs w:val="21"/>
                      <w:lang w:val="en-US" w:eastAsia="zh-CN"/>
                    </w:rPr>
                    <w:t>*</w:t>
                  </w:r>
                </w:p>
              </w:tc>
            </w:tr>
            <w:tr w14:paraId="5723C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38D83BC9">
                  <w:pPr>
                    <w:spacing w:line="240" w:lineRule="exact"/>
                    <w:jc w:val="center"/>
                    <w:rPr>
                      <w:rFonts w:eastAsia="Times New Roman"/>
                      <w:szCs w:val="21"/>
                    </w:rPr>
                  </w:pPr>
                  <w:r>
                    <w:rPr>
                      <w:rFonts w:eastAsia="Times New Roman"/>
                      <w:szCs w:val="21"/>
                    </w:rPr>
                    <w:t>26</w:t>
                  </w:r>
                </w:p>
              </w:tc>
              <w:tc>
                <w:tcPr>
                  <w:tcW w:w="1531" w:type="pct"/>
                  <w:shd w:val="clear" w:color="auto" w:fill="auto"/>
                  <w:vAlign w:val="center"/>
                </w:tcPr>
                <w:p w14:paraId="080DA706">
                  <w:pPr>
                    <w:spacing w:line="240" w:lineRule="exact"/>
                    <w:jc w:val="center"/>
                    <w:rPr>
                      <w:rFonts w:eastAsia="Times New Roman"/>
                      <w:szCs w:val="21"/>
                      <w:lang w:val="zh-CN"/>
                    </w:rPr>
                  </w:pPr>
                  <w:r>
                    <w:rPr>
                      <w:rFonts w:eastAsia="Times New Roman"/>
                      <w:szCs w:val="21"/>
                    </w:rPr>
                    <w:t>重晶石粉</w:t>
                  </w:r>
                </w:p>
              </w:tc>
              <w:tc>
                <w:tcPr>
                  <w:tcW w:w="538" w:type="pct"/>
                  <w:shd w:val="clear" w:color="auto" w:fill="auto"/>
                  <w:vAlign w:val="center"/>
                </w:tcPr>
                <w:p w14:paraId="6D4DE866">
                  <w:pPr>
                    <w:spacing w:line="240" w:lineRule="exact"/>
                    <w:jc w:val="center"/>
                    <w:rPr>
                      <w:szCs w:val="21"/>
                    </w:rPr>
                  </w:pPr>
                  <w:r>
                    <w:rPr>
                      <w:rFonts w:hint="eastAsia"/>
                      <w:bCs/>
                      <w:sz w:val="21"/>
                      <w:szCs w:val="21"/>
                      <w:lang w:val="en-US" w:eastAsia="zh-CN"/>
                    </w:rPr>
                    <w:t>*</w:t>
                  </w:r>
                </w:p>
              </w:tc>
              <w:tc>
                <w:tcPr>
                  <w:tcW w:w="613" w:type="pct"/>
                  <w:shd w:val="clear" w:color="auto" w:fill="auto"/>
                  <w:vAlign w:val="center"/>
                </w:tcPr>
                <w:p w14:paraId="59268E58">
                  <w:pPr>
                    <w:spacing w:line="240" w:lineRule="exact"/>
                    <w:jc w:val="center"/>
                    <w:rPr>
                      <w:szCs w:val="21"/>
                      <w:lang w:val="zh-CN"/>
                    </w:rPr>
                  </w:pPr>
                  <w:r>
                    <w:rPr>
                      <w:rFonts w:hint="eastAsia"/>
                      <w:bCs/>
                      <w:sz w:val="21"/>
                      <w:szCs w:val="21"/>
                      <w:lang w:val="en-US" w:eastAsia="zh-CN"/>
                    </w:rPr>
                    <w:t>*</w:t>
                  </w:r>
                </w:p>
              </w:tc>
              <w:tc>
                <w:tcPr>
                  <w:tcW w:w="495" w:type="pct"/>
                  <w:shd w:val="clear" w:color="auto" w:fill="auto"/>
                  <w:vAlign w:val="center"/>
                </w:tcPr>
                <w:p w14:paraId="236400B5">
                  <w:pPr>
                    <w:spacing w:line="240" w:lineRule="exact"/>
                    <w:jc w:val="center"/>
                    <w:rPr>
                      <w:szCs w:val="21"/>
                    </w:rPr>
                  </w:pPr>
                  <w:r>
                    <w:rPr>
                      <w:rFonts w:hint="eastAsia"/>
                      <w:bCs/>
                      <w:sz w:val="21"/>
                      <w:szCs w:val="21"/>
                      <w:lang w:val="en-US" w:eastAsia="zh-CN"/>
                    </w:rPr>
                    <w:t>*</w:t>
                  </w:r>
                </w:p>
              </w:tc>
              <w:tc>
                <w:tcPr>
                  <w:tcW w:w="503" w:type="pct"/>
                  <w:shd w:val="clear" w:color="auto" w:fill="auto"/>
                  <w:vAlign w:val="center"/>
                </w:tcPr>
                <w:p w14:paraId="3A239018">
                  <w:pPr>
                    <w:spacing w:line="240" w:lineRule="exact"/>
                    <w:jc w:val="center"/>
                    <w:rPr>
                      <w:szCs w:val="21"/>
                    </w:rPr>
                  </w:pPr>
                  <w:r>
                    <w:rPr>
                      <w:rFonts w:hint="eastAsia"/>
                      <w:bCs/>
                      <w:sz w:val="21"/>
                      <w:szCs w:val="21"/>
                      <w:lang w:val="en-US" w:eastAsia="zh-CN"/>
                    </w:rPr>
                    <w:t>*</w:t>
                  </w:r>
                </w:p>
              </w:tc>
              <w:tc>
                <w:tcPr>
                  <w:tcW w:w="495" w:type="pct"/>
                  <w:shd w:val="clear" w:color="auto" w:fill="auto"/>
                  <w:vAlign w:val="center"/>
                </w:tcPr>
                <w:p w14:paraId="0ACB4DF5">
                  <w:pPr>
                    <w:spacing w:line="240" w:lineRule="exact"/>
                    <w:jc w:val="center"/>
                    <w:rPr>
                      <w:szCs w:val="21"/>
                    </w:rPr>
                  </w:pPr>
                  <w:r>
                    <w:rPr>
                      <w:rFonts w:hint="eastAsia"/>
                      <w:bCs/>
                      <w:sz w:val="21"/>
                      <w:szCs w:val="21"/>
                      <w:lang w:val="en-US" w:eastAsia="zh-CN"/>
                    </w:rPr>
                    <w:t>*</w:t>
                  </w:r>
                </w:p>
              </w:tc>
              <w:tc>
                <w:tcPr>
                  <w:tcW w:w="560" w:type="pct"/>
                  <w:shd w:val="clear" w:color="auto" w:fill="auto"/>
                  <w:vAlign w:val="center"/>
                </w:tcPr>
                <w:p w14:paraId="5D78B57C">
                  <w:pPr>
                    <w:spacing w:line="240" w:lineRule="exact"/>
                    <w:jc w:val="center"/>
                    <w:rPr>
                      <w:szCs w:val="21"/>
                      <w:lang w:val="zh-CN"/>
                    </w:rPr>
                  </w:pPr>
                  <w:r>
                    <w:rPr>
                      <w:rFonts w:hint="eastAsia"/>
                      <w:bCs/>
                      <w:sz w:val="21"/>
                      <w:szCs w:val="21"/>
                      <w:lang w:val="en-US" w:eastAsia="zh-CN"/>
                    </w:rPr>
                    <w:t>*</w:t>
                  </w:r>
                </w:p>
              </w:tc>
            </w:tr>
            <w:tr w14:paraId="045A6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52B43BF2">
                  <w:pPr>
                    <w:spacing w:line="240" w:lineRule="exact"/>
                    <w:jc w:val="center"/>
                    <w:rPr>
                      <w:rFonts w:eastAsia="Times New Roman"/>
                      <w:szCs w:val="21"/>
                    </w:rPr>
                  </w:pPr>
                  <w:r>
                    <w:rPr>
                      <w:rFonts w:hint="eastAsia" w:eastAsia="Times New Roman"/>
                      <w:szCs w:val="21"/>
                    </w:rPr>
                    <w:t>27</w:t>
                  </w:r>
                </w:p>
              </w:tc>
              <w:tc>
                <w:tcPr>
                  <w:tcW w:w="1531" w:type="pct"/>
                  <w:vAlign w:val="center"/>
                </w:tcPr>
                <w:p w14:paraId="656A9EBB">
                  <w:pPr>
                    <w:spacing w:line="240" w:lineRule="exact"/>
                    <w:jc w:val="center"/>
                    <w:rPr>
                      <w:rFonts w:eastAsia="Times New Roman"/>
                      <w:szCs w:val="21"/>
                    </w:rPr>
                  </w:pPr>
                  <w:r>
                    <w:rPr>
                      <w:rFonts w:eastAsia="Times New Roman"/>
                      <w:szCs w:val="21"/>
                    </w:rPr>
                    <w:t>除硫剂</w:t>
                  </w:r>
                </w:p>
              </w:tc>
              <w:tc>
                <w:tcPr>
                  <w:tcW w:w="538" w:type="pct"/>
                  <w:vAlign w:val="center"/>
                </w:tcPr>
                <w:p w14:paraId="71581ED5">
                  <w:pPr>
                    <w:spacing w:line="240" w:lineRule="exact"/>
                    <w:jc w:val="center"/>
                    <w:rPr>
                      <w:rFonts w:eastAsia="Times New Roman"/>
                      <w:szCs w:val="21"/>
                    </w:rPr>
                  </w:pPr>
                  <w:r>
                    <w:rPr>
                      <w:rFonts w:hint="eastAsia"/>
                      <w:bCs/>
                      <w:sz w:val="21"/>
                      <w:szCs w:val="21"/>
                      <w:lang w:val="en-US" w:eastAsia="zh-CN"/>
                    </w:rPr>
                    <w:t>*</w:t>
                  </w:r>
                </w:p>
              </w:tc>
              <w:tc>
                <w:tcPr>
                  <w:tcW w:w="2107" w:type="pct"/>
                  <w:gridSpan w:val="4"/>
                  <w:vAlign w:val="center"/>
                </w:tcPr>
                <w:p w14:paraId="4063BFFA">
                  <w:pPr>
                    <w:spacing w:line="240" w:lineRule="exact"/>
                    <w:jc w:val="center"/>
                    <w:rPr>
                      <w:rFonts w:eastAsia="Times New Roman"/>
                      <w:szCs w:val="21"/>
                    </w:rPr>
                  </w:pPr>
                  <w:r>
                    <w:rPr>
                      <w:rFonts w:hint="eastAsia"/>
                      <w:bCs/>
                      <w:sz w:val="21"/>
                      <w:szCs w:val="21"/>
                      <w:lang w:val="en-US" w:eastAsia="zh-CN"/>
                    </w:rPr>
                    <w:t>*</w:t>
                  </w:r>
                </w:p>
              </w:tc>
              <w:tc>
                <w:tcPr>
                  <w:tcW w:w="560" w:type="pct"/>
                  <w:vAlign w:val="center"/>
                </w:tcPr>
                <w:p w14:paraId="3E3012BC">
                  <w:pPr>
                    <w:spacing w:line="240" w:lineRule="exact"/>
                    <w:jc w:val="center"/>
                    <w:rPr>
                      <w:rFonts w:eastAsia="Times New Roman"/>
                      <w:szCs w:val="21"/>
                    </w:rPr>
                  </w:pPr>
                  <w:r>
                    <w:rPr>
                      <w:rFonts w:hint="eastAsia"/>
                      <w:bCs/>
                      <w:sz w:val="21"/>
                      <w:szCs w:val="21"/>
                      <w:lang w:val="en-US" w:eastAsia="zh-CN"/>
                    </w:rPr>
                    <w:t>*</w:t>
                  </w:r>
                </w:p>
              </w:tc>
            </w:tr>
            <w:tr w14:paraId="3C3AF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46695980">
                  <w:pPr>
                    <w:spacing w:line="240" w:lineRule="exact"/>
                    <w:jc w:val="center"/>
                    <w:rPr>
                      <w:rFonts w:eastAsia="Times New Roman"/>
                      <w:szCs w:val="21"/>
                    </w:rPr>
                  </w:pPr>
                  <w:r>
                    <w:rPr>
                      <w:rFonts w:eastAsia="Times New Roman"/>
                      <w:szCs w:val="21"/>
                    </w:rPr>
                    <w:t>28</w:t>
                  </w:r>
                </w:p>
              </w:tc>
              <w:tc>
                <w:tcPr>
                  <w:tcW w:w="1531" w:type="pct"/>
                  <w:vAlign w:val="center"/>
                </w:tcPr>
                <w:p w14:paraId="22BED88E">
                  <w:pPr>
                    <w:snapToGrid w:val="0"/>
                    <w:jc w:val="center"/>
                    <w:rPr>
                      <w:rFonts w:eastAsia="Times New Roman"/>
                    </w:rPr>
                  </w:pPr>
                  <w:r>
                    <w:rPr>
                      <w:rFonts w:eastAsia="Times New Roman"/>
                    </w:rPr>
                    <w:t>净水剂</w:t>
                  </w:r>
                </w:p>
              </w:tc>
              <w:tc>
                <w:tcPr>
                  <w:tcW w:w="2150" w:type="pct"/>
                  <w:gridSpan w:val="4"/>
                  <w:vAlign w:val="center"/>
                </w:tcPr>
                <w:p w14:paraId="796A525D">
                  <w:pPr>
                    <w:jc w:val="center"/>
                    <w:rPr>
                      <w:rFonts w:eastAsia="Times New Roman"/>
                      <w:szCs w:val="21"/>
                    </w:rPr>
                  </w:pPr>
                  <w:r>
                    <w:rPr>
                      <w:rFonts w:hint="eastAsia"/>
                      <w:bCs/>
                      <w:sz w:val="21"/>
                      <w:szCs w:val="21"/>
                      <w:lang w:val="en-US" w:eastAsia="zh-CN"/>
                    </w:rPr>
                    <w:t>*</w:t>
                  </w:r>
                </w:p>
              </w:tc>
              <w:tc>
                <w:tcPr>
                  <w:tcW w:w="495" w:type="pct"/>
                  <w:vAlign w:val="center"/>
                </w:tcPr>
                <w:p w14:paraId="60A5F494">
                  <w:pPr>
                    <w:jc w:val="center"/>
                    <w:rPr>
                      <w:szCs w:val="21"/>
                    </w:rPr>
                  </w:pPr>
                  <w:r>
                    <w:rPr>
                      <w:rFonts w:hint="eastAsia"/>
                      <w:bCs/>
                      <w:sz w:val="21"/>
                      <w:szCs w:val="21"/>
                      <w:lang w:val="en-US" w:eastAsia="zh-CN"/>
                    </w:rPr>
                    <w:t>*</w:t>
                  </w:r>
                </w:p>
              </w:tc>
              <w:tc>
                <w:tcPr>
                  <w:tcW w:w="560" w:type="pct"/>
                  <w:vAlign w:val="center"/>
                </w:tcPr>
                <w:p w14:paraId="1C4E0FF0">
                  <w:pPr>
                    <w:jc w:val="center"/>
                    <w:rPr>
                      <w:rFonts w:eastAsia="Times New Roman"/>
                      <w:szCs w:val="21"/>
                    </w:rPr>
                  </w:pPr>
                  <w:r>
                    <w:rPr>
                      <w:rFonts w:hint="eastAsia"/>
                      <w:bCs/>
                      <w:sz w:val="21"/>
                      <w:szCs w:val="21"/>
                      <w:lang w:val="en-US" w:eastAsia="zh-CN"/>
                    </w:rPr>
                    <w:t>*</w:t>
                  </w:r>
                </w:p>
              </w:tc>
            </w:tr>
            <w:tr w14:paraId="29AD1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83784B4">
                  <w:pPr>
                    <w:spacing w:line="240" w:lineRule="exact"/>
                    <w:jc w:val="center"/>
                    <w:rPr>
                      <w:rFonts w:eastAsia="Times New Roman"/>
                      <w:szCs w:val="21"/>
                    </w:rPr>
                  </w:pPr>
                  <w:r>
                    <w:rPr>
                      <w:rFonts w:eastAsia="Times New Roman"/>
                      <w:szCs w:val="21"/>
                    </w:rPr>
                    <w:t>29</w:t>
                  </w:r>
                </w:p>
              </w:tc>
              <w:tc>
                <w:tcPr>
                  <w:tcW w:w="1531" w:type="pct"/>
                  <w:vAlign w:val="center"/>
                </w:tcPr>
                <w:p w14:paraId="605AAEB0">
                  <w:pPr>
                    <w:snapToGrid w:val="0"/>
                    <w:jc w:val="center"/>
                    <w:rPr>
                      <w:rFonts w:eastAsia="Times New Roman"/>
                    </w:rPr>
                  </w:pPr>
                  <w:r>
                    <w:rPr>
                      <w:rFonts w:eastAsia="Times New Roman"/>
                    </w:rPr>
                    <w:t>活性炭</w:t>
                  </w:r>
                </w:p>
              </w:tc>
              <w:tc>
                <w:tcPr>
                  <w:tcW w:w="2150" w:type="pct"/>
                  <w:gridSpan w:val="4"/>
                  <w:vAlign w:val="center"/>
                </w:tcPr>
                <w:p w14:paraId="23DC4EEA">
                  <w:pPr>
                    <w:jc w:val="center"/>
                    <w:rPr>
                      <w:rFonts w:eastAsia="Times New Roman"/>
                      <w:snapToGrid w:val="0"/>
                      <w:kern w:val="0"/>
                    </w:rPr>
                  </w:pPr>
                  <w:r>
                    <w:rPr>
                      <w:rFonts w:hint="eastAsia"/>
                      <w:bCs/>
                      <w:sz w:val="21"/>
                      <w:szCs w:val="21"/>
                      <w:lang w:val="en-US" w:eastAsia="zh-CN"/>
                    </w:rPr>
                    <w:t>*</w:t>
                  </w:r>
                </w:p>
              </w:tc>
              <w:tc>
                <w:tcPr>
                  <w:tcW w:w="495" w:type="pct"/>
                  <w:vAlign w:val="center"/>
                </w:tcPr>
                <w:p w14:paraId="5BED3F7C">
                  <w:pPr>
                    <w:jc w:val="center"/>
                    <w:rPr>
                      <w:snapToGrid w:val="0"/>
                      <w:kern w:val="0"/>
                    </w:rPr>
                  </w:pPr>
                  <w:r>
                    <w:rPr>
                      <w:rFonts w:hint="eastAsia"/>
                      <w:bCs/>
                      <w:sz w:val="21"/>
                      <w:szCs w:val="21"/>
                      <w:lang w:val="en-US" w:eastAsia="zh-CN"/>
                    </w:rPr>
                    <w:t>*</w:t>
                  </w:r>
                </w:p>
              </w:tc>
              <w:tc>
                <w:tcPr>
                  <w:tcW w:w="560" w:type="pct"/>
                  <w:vAlign w:val="center"/>
                </w:tcPr>
                <w:p w14:paraId="5CE71290">
                  <w:pPr>
                    <w:jc w:val="center"/>
                    <w:rPr>
                      <w:rFonts w:eastAsia="Times New Roman"/>
                      <w:snapToGrid w:val="0"/>
                      <w:kern w:val="0"/>
                    </w:rPr>
                  </w:pPr>
                  <w:r>
                    <w:rPr>
                      <w:rFonts w:hint="eastAsia"/>
                      <w:bCs/>
                      <w:sz w:val="21"/>
                      <w:szCs w:val="21"/>
                      <w:lang w:val="en-US" w:eastAsia="zh-CN"/>
                    </w:rPr>
                    <w:t>*</w:t>
                  </w:r>
                </w:p>
              </w:tc>
            </w:tr>
            <w:tr w14:paraId="2605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77284DAF">
                  <w:pPr>
                    <w:jc w:val="center"/>
                    <w:rPr>
                      <w:rFonts w:eastAsia="Times New Roman"/>
                      <w:szCs w:val="21"/>
                    </w:rPr>
                  </w:pPr>
                  <w:r>
                    <w:rPr>
                      <w:rFonts w:eastAsia="Times New Roman"/>
                      <w:snapToGrid w:val="0"/>
                      <w:kern w:val="0"/>
                    </w:rPr>
                    <w:t>30</w:t>
                  </w:r>
                </w:p>
              </w:tc>
              <w:tc>
                <w:tcPr>
                  <w:tcW w:w="1531" w:type="pct"/>
                  <w:vAlign w:val="center"/>
                </w:tcPr>
                <w:p w14:paraId="764268A8">
                  <w:pPr>
                    <w:snapToGrid w:val="0"/>
                    <w:jc w:val="center"/>
                    <w:rPr>
                      <w:rFonts w:eastAsia="Times New Roman"/>
                    </w:rPr>
                  </w:pPr>
                  <w:r>
                    <w:rPr>
                      <w:rFonts w:eastAsia="Times New Roman"/>
                    </w:rPr>
                    <w:t>吸油毡（块）</w:t>
                  </w:r>
                </w:p>
              </w:tc>
              <w:tc>
                <w:tcPr>
                  <w:tcW w:w="538" w:type="pct"/>
                  <w:vAlign w:val="center"/>
                </w:tcPr>
                <w:p w14:paraId="0AF46236">
                  <w:pPr>
                    <w:jc w:val="center"/>
                    <w:rPr>
                      <w:rFonts w:eastAsia="Times New Roman"/>
                      <w:snapToGrid w:val="0"/>
                      <w:kern w:val="0"/>
                    </w:rPr>
                  </w:pPr>
                  <w:r>
                    <w:rPr>
                      <w:rFonts w:hint="eastAsia"/>
                      <w:bCs/>
                      <w:sz w:val="21"/>
                      <w:szCs w:val="21"/>
                      <w:lang w:val="en-US" w:eastAsia="zh-CN"/>
                    </w:rPr>
                    <w:t>*</w:t>
                  </w:r>
                </w:p>
              </w:tc>
              <w:tc>
                <w:tcPr>
                  <w:tcW w:w="613" w:type="pct"/>
                  <w:vAlign w:val="center"/>
                </w:tcPr>
                <w:p w14:paraId="4D5C7E95">
                  <w:pPr>
                    <w:jc w:val="center"/>
                    <w:rPr>
                      <w:rFonts w:eastAsia="Times New Roman"/>
                      <w:snapToGrid w:val="0"/>
                      <w:kern w:val="0"/>
                    </w:rPr>
                  </w:pPr>
                  <w:r>
                    <w:rPr>
                      <w:rFonts w:hint="eastAsia"/>
                      <w:bCs/>
                      <w:sz w:val="21"/>
                      <w:szCs w:val="21"/>
                      <w:lang w:val="en-US" w:eastAsia="zh-CN"/>
                    </w:rPr>
                    <w:t>*</w:t>
                  </w:r>
                </w:p>
              </w:tc>
              <w:tc>
                <w:tcPr>
                  <w:tcW w:w="495" w:type="pct"/>
                  <w:vAlign w:val="center"/>
                </w:tcPr>
                <w:p w14:paraId="3C650DA6">
                  <w:pPr>
                    <w:jc w:val="center"/>
                    <w:rPr>
                      <w:rFonts w:eastAsia="Times New Roman"/>
                      <w:snapToGrid w:val="0"/>
                      <w:kern w:val="0"/>
                    </w:rPr>
                  </w:pPr>
                  <w:r>
                    <w:rPr>
                      <w:rFonts w:hint="eastAsia"/>
                      <w:bCs/>
                      <w:sz w:val="21"/>
                      <w:szCs w:val="21"/>
                      <w:lang w:val="en-US" w:eastAsia="zh-CN"/>
                    </w:rPr>
                    <w:t>*</w:t>
                  </w:r>
                </w:p>
              </w:tc>
              <w:tc>
                <w:tcPr>
                  <w:tcW w:w="503" w:type="pct"/>
                  <w:vAlign w:val="center"/>
                </w:tcPr>
                <w:p w14:paraId="44CF44CA">
                  <w:pPr>
                    <w:jc w:val="center"/>
                    <w:rPr>
                      <w:rFonts w:eastAsia="Times New Roman"/>
                      <w:snapToGrid w:val="0"/>
                      <w:kern w:val="0"/>
                    </w:rPr>
                  </w:pPr>
                  <w:r>
                    <w:rPr>
                      <w:rFonts w:hint="eastAsia"/>
                      <w:bCs/>
                      <w:sz w:val="21"/>
                      <w:szCs w:val="21"/>
                      <w:lang w:val="en-US" w:eastAsia="zh-CN"/>
                    </w:rPr>
                    <w:t>*</w:t>
                  </w:r>
                </w:p>
              </w:tc>
              <w:tc>
                <w:tcPr>
                  <w:tcW w:w="495" w:type="pct"/>
                  <w:vAlign w:val="center"/>
                </w:tcPr>
                <w:p w14:paraId="01AE6807">
                  <w:pPr>
                    <w:jc w:val="center"/>
                    <w:rPr>
                      <w:rFonts w:eastAsia="Times New Roman"/>
                      <w:snapToGrid w:val="0"/>
                      <w:kern w:val="0"/>
                    </w:rPr>
                  </w:pPr>
                  <w:r>
                    <w:rPr>
                      <w:rFonts w:hint="eastAsia"/>
                      <w:bCs/>
                      <w:sz w:val="21"/>
                      <w:szCs w:val="21"/>
                      <w:lang w:val="en-US" w:eastAsia="zh-CN"/>
                    </w:rPr>
                    <w:t>*</w:t>
                  </w:r>
                </w:p>
              </w:tc>
              <w:tc>
                <w:tcPr>
                  <w:tcW w:w="560" w:type="pct"/>
                  <w:vAlign w:val="center"/>
                </w:tcPr>
                <w:p w14:paraId="1E07A653">
                  <w:pPr>
                    <w:jc w:val="center"/>
                    <w:rPr>
                      <w:rFonts w:eastAsia="Times New Roman"/>
                      <w:snapToGrid w:val="0"/>
                      <w:kern w:val="0"/>
                    </w:rPr>
                  </w:pPr>
                  <w:r>
                    <w:rPr>
                      <w:rFonts w:hint="eastAsia"/>
                      <w:bCs/>
                      <w:sz w:val="21"/>
                      <w:szCs w:val="21"/>
                      <w:lang w:val="en-US" w:eastAsia="zh-CN"/>
                    </w:rPr>
                    <w:t>*</w:t>
                  </w:r>
                </w:p>
              </w:tc>
            </w:tr>
            <w:tr w14:paraId="6148F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20097E4">
                  <w:pPr>
                    <w:jc w:val="center"/>
                    <w:rPr>
                      <w:rFonts w:eastAsia="Times New Roman"/>
                      <w:szCs w:val="21"/>
                    </w:rPr>
                  </w:pPr>
                  <w:r>
                    <w:rPr>
                      <w:rFonts w:eastAsia="Times New Roman"/>
                      <w:snapToGrid w:val="0"/>
                      <w:kern w:val="0"/>
                    </w:rPr>
                    <w:t>31</w:t>
                  </w:r>
                </w:p>
              </w:tc>
              <w:tc>
                <w:tcPr>
                  <w:tcW w:w="1531" w:type="pct"/>
                  <w:vAlign w:val="bottom"/>
                </w:tcPr>
                <w:p w14:paraId="062ECEBA">
                  <w:pPr>
                    <w:jc w:val="center"/>
                    <w:rPr>
                      <w:rFonts w:eastAsia="Times New Roman"/>
                      <w:snapToGrid w:val="0"/>
                      <w:kern w:val="0"/>
                    </w:rPr>
                  </w:pPr>
                  <w:r>
                    <w:rPr>
                      <w:rFonts w:eastAsia="Times New Roman"/>
                      <w:szCs w:val="21"/>
                    </w:rPr>
                    <w:t>油基钻井液（m</w:t>
                  </w:r>
                  <w:r>
                    <w:rPr>
                      <w:rFonts w:eastAsia="Times New Roman"/>
                      <w:szCs w:val="21"/>
                      <w:vertAlign w:val="superscript"/>
                    </w:rPr>
                    <w:t>3</w:t>
                  </w:r>
                  <w:r>
                    <w:rPr>
                      <w:rFonts w:eastAsia="Times New Roman"/>
                      <w:szCs w:val="21"/>
                    </w:rPr>
                    <w:t>）</w:t>
                  </w:r>
                </w:p>
              </w:tc>
              <w:tc>
                <w:tcPr>
                  <w:tcW w:w="538" w:type="pct"/>
                  <w:vAlign w:val="center"/>
                </w:tcPr>
                <w:p w14:paraId="2A35A867">
                  <w:pPr>
                    <w:jc w:val="center"/>
                    <w:rPr>
                      <w:rFonts w:eastAsia="Times New Roman"/>
                      <w:snapToGrid w:val="0"/>
                      <w:kern w:val="0"/>
                    </w:rPr>
                  </w:pPr>
                  <w:r>
                    <w:rPr>
                      <w:rFonts w:hint="eastAsia"/>
                      <w:bCs/>
                      <w:sz w:val="21"/>
                      <w:szCs w:val="21"/>
                      <w:lang w:val="en-US" w:eastAsia="zh-CN"/>
                    </w:rPr>
                    <w:t>*</w:t>
                  </w:r>
                </w:p>
              </w:tc>
              <w:tc>
                <w:tcPr>
                  <w:tcW w:w="613" w:type="pct"/>
                  <w:vAlign w:val="center"/>
                </w:tcPr>
                <w:p w14:paraId="45BFBDEF">
                  <w:pPr>
                    <w:jc w:val="center"/>
                    <w:rPr>
                      <w:rFonts w:eastAsia="Times New Roman"/>
                      <w:snapToGrid w:val="0"/>
                      <w:kern w:val="0"/>
                    </w:rPr>
                  </w:pPr>
                  <w:r>
                    <w:rPr>
                      <w:rFonts w:hint="eastAsia"/>
                      <w:bCs/>
                      <w:sz w:val="21"/>
                      <w:szCs w:val="21"/>
                      <w:lang w:val="en-US" w:eastAsia="zh-CN"/>
                    </w:rPr>
                    <w:t>*</w:t>
                  </w:r>
                </w:p>
              </w:tc>
              <w:tc>
                <w:tcPr>
                  <w:tcW w:w="495" w:type="pct"/>
                  <w:vAlign w:val="center"/>
                </w:tcPr>
                <w:p w14:paraId="3A7E42F6">
                  <w:pPr>
                    <w:jc w:val="center"/>
                    <w:rPr>
                      <w:rFonts w:eastAsiaTheme="minorEastAsia"/>
                      <w:snapToGrid w:val="0"/>
                      <w:kern w:val="0"/>
                    </w:rPr>
                  </w:pPr>
                  <w:r>
                    <w:rPr>
                      <w:rFonts w:hint="eastAsia"/>
                      <w:bCs/>
                      <w:sz w:val="21"/>
                      <w:szCs w:val="21"/>
                      <w:lang w:val="en-US" w:eastAsia="zh-CN"/>
                    </w:rPr>
                    <w:t>*</w:t>
                  </w:r>
                </w:p>
              </w:tc>
              <w:tc>
                <w:tcPr>
                  <w:tcW w:w="503" w:type="pct"/>
                  <w:vAlign w:val="center"/>
                </w:tcPr>
                <w:p w14:paraId="2E97D8E5">
                  <w:pPr>
                    <w:jc w:val="center"/>
                    <w:rPr>
                      <w:rFonts w:eastAsiaTheme="minorEastAsia"/>
                      <w:snapToGrid w:val="0"/>
                      <w:kern w:val="0"/>
                    </w:rPr>
                  </w:pPr>
                  <w:r>
                    <w:rPr>
                      <w:rFonts w:hint="eastAsia"/>
                      <w:bCs/>
                      <w:sz w:val="21"/>
                      <w:szCs w:val="21"/>
                      <w:lang w:val="en-US" w:eastAsia="zh-CN"/>
                    </w:rPr>
                    <w:t>*</w:t>
                  </w:r>
                </w:p>
              </w:tc>
              <w:tc>
                <w:tcPr>
                  <w:tcW w:w="495" w:type="pct"/>
                  <w:vAlign w:val="center"/>
                </w:tcPr>
                <w:p w14:paraId="341DAF58">
                  <w:pPr>
                    <w:jc w:val="center"/>
                    <w:rPr>
                      <w:rFonts w:eastAsiaTheme="minorEastAsia"/>
                      <w:snapToGrid w:val="0"/>
                      <w:kern w:val="0"/>
                    </w:rPr>
                  </w:pPr>
                  <w:r>
                    <w:rPr>
                      <w:rFonts w:hint="eastAsia"/>
                      <w:bCs/>
                      <w:sz w:val="21"/>
                      <w:szCs w:val="21"/>
                      <w:lang w:val="en-US" w:eastAsia="zh-CN"/>
                    </w:rPr>
                    <w:t>*</w:t>
                  </w:r>
                </w:p>
              </w:tc>
              <w:tc>
                <w:tcPr>
                  <w:tcW w:w="560" w:type="pct"/>
                  <w:vAlign w:val="center"/>
                </w:tcPr>
                <w:p w14:paraId="56589F7D">
                  <w:pPr>
                    <w:jc w:val="center"/>
                    <w:rPr>
                      <w:rFonts w:eastAsiaTheme="minorEastAsia"/>
                      <w:snapToGrid w:val="0"/>
                      <w:kern w:val="0"/>
                    </w:rPr>
                  </w:pPr>
                  <w:r>
                    <w:rPr>
                      <w:rFonts w:hint="eastAsia"/>
                      <w:bCs/>
                      <w:sz w:val="21"/>
                      <w:szCs w:val="21"/>
                      <w:lang w:val="en-US" w:eastAsia="zh-CN"/>
                    </w:rPr>
                    <w:t>*</w:t>
                  </w:r>
                </w:p>
              </w:tc>
            </w:tr>
            <w:tr w14:paraId="71305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62" w:type="pct"/>
                  <w:shd w:val="clear" w:color="auto" w:fill="auto"/>
                  <w:vAlign w:val="center"/>
                </w:tcPr>
                <w:p w14:paraId="1AB4ABF7">
                  <w:pPr>
                    <w:jc w:val="center"/>
                    <w:rPr>
                      <w:rFonts w:eastAsia="Times New Roman"/>
                      <w:szCs w:val="21"/>
                    </w:rPr>
                  </w:pPr>
                  <w:r>
                    <w:rPr>
                      <w:rFonts w:eastAsia="Times New Roman"/>
                      <w:szCs w:val="21"/>
                    </w:rPr>
                    <w:t>32</w:t>
                  </w:r>
                </w:p>
              </w:tc>
              <w:tc>
                <w:tcPr>
                  <w:tcW w:w="1531" w:type="pct"/>
                  <w:vAlign w:val="bottom"/>
                </w:tcPr>
                <w:p w14:paraId="233D7604">
                  <w:pPr>
                    <w:jc w:val="center"/>
                    <w:rPr>
                      <w:rFonts w:eastAsia="Times New Roman"/>
                      <w:szCs w:val="21"/>
                    </w:rPr>
                  </w:pPr>
                  <w:r>
                    <w:rPr>
                      <w:rFonts w:eastAsia="Times New Roman"/>
                      <w:szCs w:val="21"/>
                    </w:rPr>
                    <w:t>油基钻屑（m</w:t>
                  </w:r>
                  <w:r>
                    <w:rPr>
                      <w:rFonts w:eastAsia="Times New Roman"/>
                      <w:szCs w:val="21"/>
                      <w:vertAlign w:val="superscript"/>
                    </w:rPr>
                    <w:t>3</w:t>
                  </w:r>
                  <w:r>
                    <w:rPr>
                      <w:rFonts w:eastAsia="Times New Roman"/>
                      <w:szCs w:val="21"/>
                    </w:rPr>
                    <w:t>）</w:t>
                  </w:r>
                </w:p>
              </w:tc>
              <w:tc>
                <w:tcPr>
                  <w:tcW w:w="538" w:type="pct"/>
                  <w:vAlign w:val="center"/>
                </w:tcPr>
                <w:p w14:paraId="4288457D">
                  <w:pPr>
                    <w:jc w:val="center"/>
                    <w:rPr>
                      <w:rFonts w:eastAsia="Times New Roman"/>
                      <w:snapToGrid w:val="0"/>
                      <w:kern w:val="0"/>
                    </w:rPr>
                  </w:pPr>
                  <w:r>
                    <w:rPr>
                      <w:rFonts w:hint="eastAsia"/>
                      <w:bCs/>
                      <w:sz w:val="21"/>
                      <w:szCs w:val="21"/>
                      <w:lang w:val="en-US" w:eastAsia="zh-CN"/>
                    </w:rPr>
                    <w:t>*</w:t>
                  </w:r>
                </w:p>
              </w:tc>
              <w:tc>
                <w:tcPr>
                  <w:tcW w:w="613" w:type="pct"/>
                  <w:vAlign w:val="center"/>
                </w:tcPr>
                <w:p w14:paraId="70E9D913">
                  <w:pPr>
                    <w:jc w:val="center"/>
                    <w:rPr>
                      <w:rFonts w:eastAsia="Times New Roman"/>
                      <w:snapToGrid w:val="0"/>
                      <w:kern w:val="0"/>
                    </w:rPr>
                  </w:pPr>
                  <w:r>
                    <w:rPr>
                      <w:rFonts w:hint="eastAsia"/>
                      <w:bCs/>
                      <w:sz w:val="21"/>
                      <w:szCs w:val="21"/>
                      <w:lang w:val="en-US" w:eastAsia="zh-CN"/>
                    </w:rPr>
                    <w:t>*</w:t>
                  </w:r>
                </w:p>
              </w:tc>
              <w:tc>
                <w:tcPr>
                  <w:tcW w:w="495" w:type="pct"/>
                  <w:vAlign w:val="center"/>
                </w:tcPr>
                <w:p w14:paraId="23DAA036">
                  <w:pPr>
                    <w:jc w:val="center"/>
                    <w:rPr>
                      <w:rFonts w:eastAsiaTheme="minorEastAsia"/>
                      <w:snapToGrid w:val="0"/>
                      <w:kern w:val="0"/>
                    </w:rPr>
                  </w:pPr>
                  <w:r>
                    <w:rPr>
                      <w:rFonts w:hint="eastAsia"/>
                      <w:bCs/>
                      <w:sz w:val="21"/>
                      <w:szCs w:val="21"/>
                      <w:lang w:val="en-US" w:eastAsia="zh-CN"/>
                    </w:rPr>
                    <w:t>*</w:t>
                  </w:r>
                </w:p>
              </w:tc>
              <w:tc>
                <w:tcPr>
                  <w:tcW w:w="503" w:type="pct"/>
                  <w:vAlign w:val="center"/>
                </w:tcPr>
                <w:p w14:paraId="7F73B4CA">
                  <w:pPr>
                    <w:jc w:val="center"/>
                    <w:rPr>
                      <w:rFonts w:eastAsiaTheme="minorEastAsia"/>
                      <w:snapToGrid w:val="0"/>
                      <w:kern w:val="0"/>
                    </w:rPr>
                  </w:pPr>
                  <w:r>
                    <w:rPr>
                      <w:rFonts w:hint="eastAsia"/>
                      <w:bCs/>
                      <w:sz w:val="21"/>
                      <w:szCs w:val="21"/>
                      <w:lang w:val="en-US" w:eastAsia="zh-CN"/>
                    </w:rPr>
                    <w:t>*</w:t>
                  </w:r>
                </w:p>
              </w:tc>
              <w:tc>
                <w:tcPr>
                  <w:tcW w:w="495" w:type="pct"/>
                  <w:vAlign w:val="center"/>
                </w:tcPr>
                <w:p w14:paraId="032700C9">
                  <w:pPr>
                    <w:jc w:val="center"/>
                    <w:rPr>
                      <w:rFonts w:eastAsiaTheme="minorEastAsia"/>
                      <w:snapToGrid w:val="0"/>
                      <w:kern w:val="0"/>
                    </w:rPr>
                  </w:pPr>
                  <w:r>
                    <w:rPr>
                      <w:rFonts w:hint="eastAsia"/>
                      <w:bCs/>
                      <w:sz w:val="21"/>
                      <w:szCs w:val="21"/>
                      <w:lang w:val="en-US" w:eastAsia="zh-CN"/>
                    </w:rPr>
                    <w:t>*</w:t>
                  </w:r>
                </w:p>
              </w:tc>
              <w:tc>
                <w:tcPr>
                  <w:tcW w:w="560" w:type="pct"/>
                  <w:vAlign w:val="center"/>
                </w:tcPr>
                <w:p w14:paraId="4E6EA0F2">
                  <w:pPr>
                    <w:jc w:val="center"/>
                    <w:rPr>
                      <w:rFonts w:eastAsiaTheme="minorEastAsia"/>
                      <w:snapToGrid w:val="0"/>
                      <w:kern w:val="0"/>
                    </w:rPr>
                  </w:pPr>
                  <w:r>
                    <w:rPr>
                      <w:rFonts w:hint="eastAsia"/>
                      <w:bCs/>
                      <w:sz w:val="21"/>
                      <w:szCs w:val="21"/>
                      <w:lang w:val="en-US" w:eastAsia="zh-CN"/>
                    </w:rPr>
                    <w:t>*</w:t>
                  </w:r>
                </w:p>
              </w:tc>
            </w:tr>
          </w:tbl>
          <w:p w14:paraId="2D698EF0">
            <w:pPr>
              <w:pStyle w:val="19"/>
              <w:numPr>
                <w:ilvl w:val="0"/>
                <w:numId w:val="6"/>
              </w:numPr>
              <w:tabs>
                <w:tab w:val="left" w:pos="0"/>
                <w:tab w:val="left" w:pos="833"/>
              </w:tabs>
              <w:spacing w:before="0" w:after="0" w:line="360" w:lineRule="auto"/>
              <w:ind w:left="0" w:right="0" w:firstLine="0"/>
              <w:jc w:val="center"/>
              <w:rPr>
                <w:b/>
                <w:bCs/>
                <w:sz w:val="21"/>
                <w:szCs w:val="21"/>
              </w:rPr>
            </w:pPr>
            <w:r>
              <w:rPr>
                <w:b/>
                <w:bCs/>
                <w:sz w:val="21"/>
                <w:szCs w:val="21"/>
              </w:rPr>
              <w:t>本项目预计的钻井液量（单位：m</w:t>
            </w:r>
            <w:r>
              <w:rPr>
                <w:b/>
                <w:bCs/>
                <w:sz w:val="21"/>
                <w:szCs w:val="21"/>
                <w:vertAlign w:val="superscript"/>
              </w:rPr>
              <w:t>3</w:t>
            </w:r>
            <w:r>
              <w:rPr>
                <w:b/>
                <w:bCs/>
                <w:sz w:val="21"/>
                <w:szCs w:val="21"/>
              </w:rPr>
              <w:t>）</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067"/>
              <w:gridCol w:w="1067"/>
              <w:gridCol w:w="1065"/>
              <w:gridCol w:w="1067"/>
              <w:gridCol w:w="1080"/>
              <w:gridCol w:w="1080"/>
            </w:tblGrid>
            <w:tr w14:paraId="10B812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279A2F22">
                  <w:pPr>
                    <w:snapToGrid w:val="0"/>
                    <w:jc w:val="center"/>
                    <w:rPr>
                      <w:szCs w:val="21"/>
                    </w:rPr>
                  </w:pPr>
                  <w:r>
                    <w:rPr>
                      <w:szCs w:val="21"/>
                    </w:rPr>
                    <w:t>井段</w:t>
                  </w:r>
                  <w:r>
                    <w:rPr>
                      <w:rFonts w:hint="eastAsia"/>
                      <w:szCs w:val="21"/>
                    </w:rPr>
                    <w:t>（</w:t>
                  </w:r>
                  <w:r>
                    <w:rPr>
                      <w:szCs w:val="21"/>
                    </w:rPr>
                    <w:t>m</w:t>
                  </w:r>
                  <w:r>
                    <w:rPr>
                      <w:rFonts w:hint="eastAsia"/>
                      <w:szCs w:val="21"/>
                    </w:rPr>
                    <w:t>）</w:t>
                  </w:r>
                </w:p>
              </w:tc>
              <w:tc>
                <w:tcPr>
                  <w:tcW w:w="712" w:type="pct"/>
                  <w:vAlign w:val="center"/>
                </w:tcPr>
                <w:p w14:paraId="3FF73243">
                  <w:pPr>
                    <w:snapToGrid w:val="0"/>
                    <w:jc w:val="center"/>
                    <w:rPr>
                      <w:szCs w:val="21"/>
                    </w:rPr>
                  </w:pPr>
                  <w:r>
                    <w:rPr>
                      <w:szCs w:val="21"/>
                    </w:rPr>
                    <w:t>地面系统</w:t>
                  </w:r>
                </w:p>
              </w:tc>
              <w:tc>
                <w:tcPr>
                  <w:tcW w:w="712" w:type="pct"/>
                  <w:vAlign w:val="center"/>
                </w:tcPr>
                <w:p w14:paraId="35166C4F">
                  <w:pPr>
                    <w:snapToGrid w:val="0"/>
                    <w:jc w:val="center"/>
                    <w:rPr>
                      <w:szCs w:val="21"/>
                    </w:rPr>
                  </w:pPr>
                  <w:r>
                    <w:rPr>
                      <w:szCs w:val="21"/>
                    </w:rPr>
                    <w:t>上层套管</w:t>
                  </w:r>
                </w:p>
                <w:p w14:paraId="18C430F5">
                  <w:pPr>
                    <w:snapToGrid w:val="0"/>
                    <w:jc w:val="center"/>
                    <w:rPr>
                      <w:szCs w:val="21"/>
                    </w:rPr>
                  </w:pPr>
                  <w:r>
                    <w:rPr>
                      <w:szCs w:val="21"/>
                    </w:rPr>
                    <w:t>容积</w:t>
                  </w:r>
                </w:p>
              </w:tc>
              <w:tc>
                <w:tcPr>
                  <w:tcW w:w="711" w:type="pct"/>
                  <w:vAlign w:val="center"/>
                </w:tcPr>
                <w:p w14:paraId="49A1FC15">
                  <w:pPr>
                    <w:snapToGrid w:val="0"/>
                    <w:jc w:val="center"/>
                    <w:rPr>
                      <w:szCs w:val="21"/>
                    </w:rPr>
                  </w:pPr>
                  <w:r>
                    <w:rPr>
                      <w:szCs w:val="21"/>
                    </w:rPr>
                    <w:t>裸眼段</w:t>
                  </w:r>
                </w:p>
                <w:p w14:paraId="633ECED8">
                  <w:pPr>
                    <w:snapToGrid w:val="0"/>
                    <w:jc w:val="center"/>
                    <w:rPr>
                      <w:szCs w:val="21"/>
                    </w:rPr>
                  </w:pPr>
                  <w:r>
                    <w:rPr>
                      <w:szCs w:val="21"/>
                    </w:rPr>
                    <w:t>钻井液量</w:t>
                  </w:r>
                </w:p>
              </w:tc>
              <w:tc>
                <w:tcPr>
                  <w:tcW w:w="712" w:type="pct"/>
                  <w:vAlign w:val="center"/>
                </w:tcPr>
                <w:p w14:paraId="5A1F9055">
                  <w:pPr>
                    <w:snapToGrid w:val="0"/>
                    <w:jc w:val="center"/>
                    <w:rPr>
                      <w:szCs w:val="21"/>
                    </w:rPr>
                  </w:pPr>
                  <w:r>
                    <w:rPr>
                      <w:szCs w:val="21"/>
                    </w:rPr>
                    <w:t>井筒容积</w:t>
                  </w:r>
                </w:p>
              </w:tc>
              <w:tc>
                <w:tcPr>
                  <w:tcW w:w="721" w:type="pct"/>
                  <w:vAlign w:val="center"/>
                </w:tcPr>
                <w:p w14:paraId="35C8DABA">
                  <w:pPr>
                    <w:snapToGrid w:val="0"/>
                    <w:jc w:val="center"/>
                    <w:rPr>
                      <w:szCs w:val="21"/>
                    </w:rPr>
                  </w:pPr>
                  <w:r>
                    <w:rPr>
                      <w:szCs w:val="21"/>
                    </w:rPr>
                    <w:t>损耗量</w:t>
                  </w:r>
                </w:p>
              </w:tc>
              <w:tc>
                <w:tcPr>
                  <w:tcW w:w="721" w:type="pct"/>
                  <w:vAlign w:val="center"/>
                </w:tcPr>
                <w:p w14:paraId="6B7C1E15">
                  <w:pPr>
                    <w:snapToGrid w:val="0"/>
                    <w:jc w:val="center"/>
                    <w:rPr>
                      <w:szCs w:val="21"/>
                    </w:rPr>
                  </w:pPr>
                  <w:r>
                    <w:rPr>
                      <w:szCs w:val="21"/>
                    </w:rPr>
                    <w:t>总需要量</w:t>
                  </w:r>
                </w:p>
              </w:tc>
            </w:tr>
            <w:tr w14:paraId="470527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0864D0F0">
                  <w:pPr>
                    <w:snapToGrid w:val="0"/>
                    <w:jc w:val="center"/>
                    <w:rPr>
                      <w:szCs w:val="21"/>
                    </w:rPr>
                  </w:pPr>
                  <w:r>
                    <w:rPr>
                      <w:szCs w:val="21"/>
                    </w:rPr>
                    <w:t>导管</w:t>
                  </w:r>
                </w:p>
              </w:tc>
              <w:tc>
                <w:tcPr>
                  <w:tcW w:w="1355" w:type="dxa"/>
                  <w:vAlign w:val="center"/>
                </w:tcPr>
                <w:p w14:paraId="5B751C93">
                  <w:pPr>
                    <w:snapToGrid w:val="0"/>
                    <w:jc w:val="center"/>
                    <w:rPr>
                      <w:szCs w:val="21"/>
                    </w:rPr>
                  </w:pPr>
                  <w:r>
                    <w:rPr>
                      <w:rFonts w:hint="eastAsia"/>
                      <w:bCs/>
                      <w:sz w:val="21"/>
                      <w:szCs w:val="21"/>
                      <w:lang w:val="en-US" w:eastAsia="zh-CN"/>
                    </w:rPr>
                    <w:t>*</w:t>
                  </w:r>
                </w:p>
              </w:tc>
              <w:tc>
                <w:tcPr>
                  <w:tcW w:w="1355" w:type="dxa"/>
                  <w:vAlign w:val="center"/>
                </w:tcPr>
                <w:p w14:paraId="58012CC5">
                  <w:pPr>
                    <w:snapToGrid w:val="0"/>
                    <w:jc w:val="center"/>
                    <w:rPr>
                      <w:szCs w:val="21"/>
                    </w:rPr>
                  </w:pPr>
                  <w:r>
                    <w:rPr>
                      <w:rFonts w:hint="eastAsia"/>
                      <w:bCs/>
                      <w:sz w:val="21"/>
                      <w:szCs w:val="21"/>
                      <w:lang w:val="en-US" w:eastAsia="zh-CN"/>
                    </w:rPr>
                    <w:t>*</w:t>
                  </w:r>
                </w:p>
              </w:tc>
              <w:tc>
                <w:tcPr>
                  <w:tcW w:w="1353" w:type="dxa"/>
                  <w:vAlign w:val="center"/>
                </w:tcPr>
                <w:p w14:paraId="6ADE5403">
                  <w:pPr>
                    <w:snapToGrid w:val="0"/>
                    <w:jc w:val="center"/>
                    <w:rPr>
                      <w:szCs w:val="21"/>
                    </w:rPr>
                  </w:pPr>
                  <w:r>
                    <w:rPr>
                      <w:rFonts w:hint="eastAsia"/>
                      <w:bCs/>
                      <w:sz w:val="21"/>
                      <w:szCs w:val="21"/>
                      <w:lang w:val="en-US" w:eastAsia="zh-CN"/>
                    </w:rPr>
                    <w:t>*</w:t>
                  </w:r>
                </w:p>
              </w:tc>
              <w:tc>
                <w:tcPr>
                  <w:tcW w:w="1355" w:type="dxa"/>
                  <w:vAlign w:val="center"/>
                </w:tcPr>
                <w:p w14:paraId="3D344675">
                  <w:pPr>
                    <w:snapToGrid w:val="0"/>
                    <w:jc w:val="center"/>
                    <w:rPr>
                      <w:szCs w:val="21"/>
                    </w:rPr>
                  </w:pPr>
                  <w:r>
                    <w:rPr>
                      <w:rFonts w:hint="eastAsia"/>
                      <w:bCs/>
                      <w:sz w:val="21"/>
                      <w:szCs w:val="21"/>
                      <w:lang w:val="en-US" w:eastAsia="zh-CN"/>
                    </w:rPr>
                    <w:t>*</w:t>
                  </w:r>
                </w:p>
              </w:tc>
              <w:tc>
                <w:tcPr>
                  <w:tcW w:w="1372" w:type="dxa"/>
                  <w:vAlign w:val="center"/>
                </w:tcPr>
                <w:p w14:paraId="59E31D6C">
                  <w:pPr>
                    <w:snapToGrid w:val="0"/>
                    <w:jc w:val="center"/>
                    <w:rPr>
                      <w:szCs w:val="21"/>
                    </w:rPr>
                  </w:pPr>
                  <w:r>
                    <w:rPr>
                      <w:rFonts w:hint="eastAsia"/>
                      <w:bCs/>
                      <w:sz w:val="21"/>
                      <w:szCs w:val="21"/>
                      <w:lang w:val="en-US" w:eastAsia="zh-CN"/>
                    </w:rPr>
                    <w:t>*</w:t>
                  </w:r>
                </w:p>
              </w:tc>
              <w:tc>
                <w:tcPr>
                  <w:tcW w:w="1372" w:type="dxa"/>
                  <w:vAlign w:val="center"/>
                </w:tcPr>
                <w:p w14:paraId="11188A52">
                  <w:pPr>
                    <w:snapToGrid w:val="0"/>
                    <w:jc w:val="center"/>
                    <w:rPr>
                      <w:szCs w:val="21"/>
                    </w:rPr>
                  </w:pPr>
                  <w:r>
                    <w:rPr>
                      <w:rFonts w:hint="eastAsia"/>
                      <w:bCs/>
                      <w:sz w:val="21"/>
                      <w:szCs w:val="21"/>
                      <w:lang w:val="en-US" w:eastAsia="zh-CN"/>
                    </w:rPr>
                    <w:t>*</w:t>
                  </w:r>
                </w:p>
              </w:tc>
            </w:tr>
            <w:tr w14:paraId="3185DE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6F20B13F">
                  <w:pPr>
                    <w:snapToGrid w:val="0"/>
                    <w:jc w:val="center"/>
                    <w:rPr>
                      <w:szCs w:val="21"/>
                    </w:rPr>
                  </w:pPr>
                  <w:r>
                    <w:rPr>
                      <w:szCs w:val="21"/>
                    </w:rPr>
                    <w:t>一开</w:t>
                  </w:r>
                </w:p>
              </w:tc>
              <w:tc>
                <w:tcPr>
                  <w:tcW w:w="1355" w:type="dxa"/>
                  <w:vAlign w:val="center"/>
                </w:tcPr>
                <w:p w14:paraId="4974FAC8">
                  <w:pPr>
                    <w:snapToGrid w:val="0"/>
                    <w:jc w:val="center"/>
                    <w:rPr>
                      <w:szCs w:val="21"/>
                    </w:rPr>
                  </w:pPr>
                  <w:r>
                    <w:rPr>
                      <w:rFonts w:hint="eastAsia"/>
                      <w:bCs/>
                      <w:sz w:val="21"/>
                      <w:szCs w:val="21"/>
                      <w:lang w:val="en-US" w:eastAsia="zh-CN"/>
                    </w:rPr>
                    <w:t>*</w:t>
                  </w:r>
                </w:p>
              </w:tc>
              <w:tc>
                <w:tcPr>
                  <w:tcW w:w="1355" w:type="dxa"/>
                  <w:vAlign w:val="center"/>
                </w:tcPr>
                <w:p w14:paraId="330A8C63">
                  <w:pPr>
                    <w:snapToGrid w:val="0"/>
                    <w:jc w:val="center"/>
                    <w:rPr>
                      <w:szCs w:val="21"/>
                    </w:rPr>
                  </w:pPr>
                  <w:r>
                    <w:rPr>
                      <w:rFonts w:hint="eastAsia"/>
                      <w:bCs/>
                      <w:sz w:val="21"/>
                      <w:szCs w:val="21"/>
                      <w:lang w:val="en-US" w:eastAsia="zh-CN"/>
                    </w:rPr>
                    <w:t>*</w:t>
                  </w:r>
                </w:p>
              </w:tc>
              <w:tc>
                <w:tcPr>
                  <w:tcW w:w="1353" w:type="dxa"/>
                  <w:vAlign w:val="center"/>
                </w:tcPr>
                <w:p w14:paraId="5E3293E0">
                  <w:pPr>
                    <w:snapToGrid w:val="0"/>
                    <w:jc w:val="center"/>
                    <w:rPr>
                      <w:szCs w:val="21"/>
                    </w:rPr>
                  </w:pPr>
                  <w:r>
                    <w:rPr>
                      <w:rFonts w:hint="eastAsia"/>
                      <w:bCs/>
                      <w:sz w:val="21"/>
                      <w:szCs w:val="21"/>
                      <w:lang w:val="en-US" w:eastAsia="zh-CN"/>
                    </w:rPr>
                    <w:t>*</w:t>
                  </w:r>
                </w:p>
              </w:tc>
              <w:tc>
                <w:tcPr>
                  <w:tcW w:w="1355" w:type="dxa"/>
                  <w:vAlign w:val="center"/>
                </w:tcPr>
                <w:p w14:paraId="61BA0E41">
                  <w:pPr>
                    <w:snapToGrid w:val="0"/>
                    <w:jc w:val="center"/>
                    <w:rPr>
                      <w:szCs w:val="21"/>
                    </w:rPr>
                  </w:pPr>
                  <w:r>
                    <w:rPr>
                      <w:rFonts w:hint="eastAsia"/>
                      <w:bCs/>
                      <w:sz w:val="21"/>
                      <w:szCs w:val="21"/>
                      <w:lang w:val="en-US" w:eastAsia="zh-CN"/>
                    </w:rPr>
                    <w:t>*</w:t>
                  </w:r>
                </w:p>
              </w:tc>
              <w:tc>
                <w:tcPr>
                  <w:tcW w:w="1372" w:type="dxa"/>
                  <w:vAlign w:val="center"/>
                </w:tcPr>
                <w:p w14:paraId="3EFE3945">
                  <w:pPr>
                    <w:snapToGrid w:val="0"/>
                    <w:jc w:val="center"/>
                    <w:rPr>
                      <w:szCs w:val="21"/>
                    </w:rPr>
                  </w:pPr>
                  <w:r>
                    <w:rPr>
                      <w:rFonts w:hint="eastAsia"/>
                      <w:bCs/>
                      <w:sz w:val="21"/>
                      <w:szCs w:val="21"/>
                      <w:lang w:val="en-US" w:eastAsia="zh-CN"/>
                    </w:rPr>
                    <w:t>*</w:t>
                  </w:r>
                </w:p>
              </w:tc>
              <w:tc>
                <w:tcPr>
                  <w:tcW w:w="1372" w:type="dxa"/>
                  <w:vAlign w:val="center"/>
                </w:tcPr>
                <w:p w14:paraId="7919F84D">
                  <w:pPr>
                    <w:snapToGrid w:val="0"/>
                    <w:jc w:val="center"/>
                    <w:rPr>
                      <w:szCs w:val="21"/>
                    </w:rPr>
                  </w:pPr>
                  <w:r>
                    <w:rPr>
                      <w:rFonts w:hint="eastAsia"/>
                      <w:bCs/>
                      <w:sz w:val="21"/>
                      <w:szCs w:val="21"/>
                      <w:lang w:val="en-US" w:eastAsia="zh-CN"/>
                    </w:rPr>
                    <w:t>*</w:t>
                  </w:r>
                </w:p>
              </w:tc>
            </w:tr>
            <w:tr w14:paraId="30069F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2DCBEDDC">
                  <w:pPr>
                    <w:snapToGrid w:val="0"/>
                    <w:jc w:val="center"/>
                    <w:rPr>
                      <w:szCs w:val="21"/>
                    </w:rPr>
                  </w:pPr>
                  <w:r>
                    <w:rPr>
                      <w:szCs w:val="21"/>
                    </w:rPr>
                    <w:t>二开</w:t>
                  </w:r>
                </w:p>
              </w:tc>
              <w:tc>
                <w:tcPr>
                  <w:tcW w:w="1355" w:type="dxa"/>
                  <w:vAlign w:val="center"/>
                </w:tcPr>
                <w:p w14:paraId="037D90CB">
                  <w:pPr>
                    <w:snapToGrid w:val="0"/>
                    <w:jc w:val="center"/>
                    <w:rPr>
                      <w:szCs w:val="21"/>
                    </w:rPr>
                  </w:pPr>
                  <w:r>
                    <w:rPr>
                      <w:rFonts w:hint="eastAsia"/>
                      <w:bCs/>
                      <w:sz w:val="21"/>
                      <w:szCs w:val="21"/>
                      <w:lang w:val="en-US" w:eastAsia="zh-CN"/>
                    </w:rPr>
                    <w:t>*</w:t>
                  </w:r>
                </w:p>
              </w:tc>
              <w:tc>
                <w:tcPr>
                  <w:tcW w:w="1355" w:type="dxa"/>
                  <w:vAlign w:val="center"/>
                </w:tcPr>
                <w:p w14:paraId="71F25BC1">
                  <w:pPr>
                    <w:snapToGrid w:val="0"/>
                    <w:jc w:val="center"/>
                    <w:rPr>
                      <w:szCs w:val="21"/>
                    </w:rPr>
                  </w:pPr>
                  <w:r>
                    <w:rPr>
                      <w:rFonts w:hint="eastAsia"/>
                      <w:bCs/>
                      <w:sz w:val="21"/>
                      <w:szCs w:val="21"/>
                      <w:lang w:val="en-US" w:eastAsia="zh-CN"/>
                    </w:rPr>
                    <w:t>*</w:t>
                  </w:r>
                </w:p>
              </w:tc>
              <w:tc>
                <w:tcPr>
                  <w:tcW w:w="1353" w:type="dxa"/>
                  <w:vAlign w:val="center"/>
                </w:tcPr>
                <w:p w14:paraId="5F4F7D64">
                  <w:pPr>
                    <w:snapToGrid w:val="0"/>
                    <w:jc w:val="center"/>
                    <w:rPr>
                      <w:szCs w:val="21"/>
                    </w:rPr>
                  </w:pPr>
                  <w:r>
                    <w:rPr>
                      <w:rFonts w:hint="eastAsia"/>
                      <w:bCs/>
                      <w:sz w:val="21"/>
                      <w:szCs w:val="21"/>
                      <w:lang w:val="en-US" w:eastAsia="zh-CN"/>
                    </w:rPr>
                    <w:t>*</w:t>
                  </w:r>
                </w:p>
              </w:tc>
              <w:tc>
                <w:tcPr>
                  <w:tcW w:w="1355" w:type="dxa"/>
                  <w:vAlign w:val="center"/>
                </w:tcPr>
                <w:p w14:paraId="16F2CC87">
                  <w:pPr>
                    <w:snapToGrid w:val="0"/>
                    <w:jc w:val="center"/>
                    <w:rPr>
                      <w:szCs w:val="21"/>
                    </w:rPr>
                  </w:pPr>
                  <w:r>
                    <w:rPr>
                      <w:rFonts w:hint="eastAsia"/>
                      <w:bCs/>
                      <w:sz w:val="21"/>
                      <w:szCs w:val="21"/>
                      <w:lang w:val="en-US" w:eastAsia="zh-CN"/>
                    </w:rPr>
                    <w:t>*</w:t>
                  </w:r>
                </w:p>
              </w:tc>
              <w:tc>
                <w:tcPr>
                  <w:tcW w:w="1372" w:type="dxa"/>
                  <w:vAlign w:val="center"/>
                </w:tcPr>
                <w:p w14:paraId="38AEDEA5">
                  <w:pPr>
                    <w:snapToGrid w:val="0"/>
                    <w:jc w:val="center"/>
                    <w:rPr>
                      <w:szCs w:val="21"/>
                    </w:rPr>
                  </w:pPr>
                  <w:r>
                    <w:rPr>
                      <w:rFonts w:hint="eastAsia"/>
                      <w:bCs/>
                      <w:sz w:val="21"/>
                      <w:szCs w:val="21"/>
                      <w:lang w:val="en-US" w:eastAsia="zh-CN"/>
                    </w:rPr>
                    <w:t>*</w:t>
                  </w:r>
                </w:p>
              </w:tc>
              <w:tc>
                <w:tcPr>
                  <w:tcW w:w="1372" w:type="dxa"/>
                  <w:vAlign w:val="center"/>
                </w:tcPr>
                <w:p w14:paraId="7FFEA4B2">
                  <w:pPr>
                    <w:snapToGrid w:val="0"/>
                    <w:jc w:val="center"/>
                    <w:rPr>
                      <w:szCs w:val="21"/>
                    </w:rPr>
                  </w:pPr>
                  <w:r>
                    <w:rPr>
                      <w:rFonts w:hint="eastAsia"/>
                      <w:bCs/>
                      <w:sz w:val="21"/>
                      <w:szCs w:val="21"/>
                      <w:lang w:val="en-US" w:eastAsia="zh-CN"/>
                    </w:rPr>
                    <w:t>*</w:t>
                  </w:r>
                </w:p>
              </w:tc>
            </w:tr>
            <w:tr w14:paraId="70B31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7DFBD1E6">
                  <w:pPr>
                    <w:snapToGrid w:val="0"/>
                    <w:jc w:val="center"/>
                    <w:rPr>
                      <w:szCs w:val="21"/>
                    </w:rPr>
                  </w:pPr>
                  <w:r>
                    <w:rPr>
                      <w:szCs w:val="21"/>
                    </w:rPr>
                    <w:t>三开</w:t>
                  </w:r>
                </w:p>
              </w:tc>
              <w:tc>
                <w:tcPr>
                  <w:tcW w:w="1355" w:type="dxa"/>
                  <w:vAlign w:val="center"/>
                </w:tcPr>
                <w:p w14:paraId="65380F03">
                  <w:pPr>
                    <w:snapToGrid w:val="0"/>
                    <w:jc w:val="center"/>
                    <w:rPr>
                      <w:szCs w:val="21"/>
                    </w:rPr>
                  </w:pPr>
                  <w:r>
                    <w:rPr>
                      <w:rFonts w:hint="eastAsia"/>
                      <w:bCs/>
                      <w:sz w:val="21"/>
                      <w:szCs w:val="21"/>
                      <w:lang w:val="en-US" w:eastAsia="zh-CN"/>
                    </w:rPr>
                    <w:t>*</w:t>
                  </w:r>
                </w:p>
              </w:tc>
              <w:tc>
                <w:tcPr>
                  <w:tcW w:w="1355" w:type="dxa"/>
                  <w:vAlign w:val="center"/>
                </w:tcPr>
                <w:p w14:paraId="124156FF">
                  <w:pPr>
                    <w:snapToGrid w:val="0"/>
                    <w:jc w:val="center"/>
                    <w:rPr>
                      <w:szCs w:val="21"/>
                    </w:rPr>
                  </w:pPr>
                  <w:r>
                    <w:rPr>
                      <w:rFonts w:hint="eastAsia"/>
                      <w:bCs/>
                      <w:sz w:val="21"/>
                      <w:szCs w:val="21"/>
                      <w:lang w:val="en-US" w:eastAsia="zh-CN"/>
                    </w:rPr>
                    <w:t>*</w:t>
                  </w:r>
                </w:p>
              </w:tc>
              <w:tc>
                <w:tcPr>
                  <w:tcW w:w="1353" w:type="dxa"/>
                  <w:vAlign w:val="center"/>
                </w:tcPr>
                <w:p w14:paraId="356CDED3">
                  <w:pPr>
                    <w:snapToGrid w:val="0"/>
                    <w:jc w:val="center"/>
                    <w:rPr>
                      <w:szCs w:val="21"/>
                    </w:rPr>
                  </w:pPr>
                  <w:r>
                    <w:rPr>
                      <w:rFonts w:hint="eastAsia"/>
                      <w:bCs/>
                      <w:sz w:val="21"/>
                      <w:szCs w:val="21"/>
                      <w:lang w:val="en-US" w:eastAsia="zh-CN"/>
                    </w:rPr>
                    <w:t>*</w:t>
                  </w:r>
                </w:p>
              </w:tc>
              <w:tc>
                <w:tcPr>
                  <w:tcW w:w="1355" w:type="dxa"/>
                  <w:vAlign w:val="center"/>
                </w:tcPr>
                <w:p w14:paraId="4086E6A2">
                  <w:pPr>
                    <w:snapToGrid w:val="0"/>
                    <w:jc w:val="center"/>
                    <w:rPr>
                      <w:szCs w:val="21"/>
                    </w:rPr>
                  </w:pPr>
                  <w:r>
                    <w:rPr>
                      <w:rFonts w:hint="eastAsia"/>
                      <w:bCs/>
                      <w:sz w:val="21"/>
                      <w:szCs w:val="21"/>
                      <w:lang w:val="en-US" w:eastAsia="zh-CN"/>
                    </w:rPr>
                    <w:t>*</w:t>
                  </w:r>
                </w:p>
              </w:tc>
              <w:tc>
                <w:tcPr>
                  <w:tcW w:w="1372" w:type="dxa"/>
                  <w:vAlign w:val="center"/>
                </w:tcPr>
                <w:p w14:paraId="1ADA60CD">
                  <w:pPr>
                    <w:snapToGrid w:val="0"/>
                    <w:jc w:val="center"/>
                    <w:rPr>
                      <w:szCs w:val="21"/>
                    </w:rPr>
                  </w:pPr>
                  <w:r>
                    <w:rPr>
                      <w:rFonts w:hint="eastAsia"/>
                      <w:bCs/>
                      <w:sz w:val="21"/>
                      <w:szCs w:val="21"/>
                      <w:lang w:val="en-US" w:eastAsia="zh-CN"/>
                    </w:rPr>
                    <w:t>*</w:t>
                  </w:r>
                </w:p>
              </w:tc>
              <w:tc>
                <w:tcPr>
                  <w:tcW w:w="1372" w:type="dxa"/>
                  <w:vAlign w:val="center"/>
                </w:tcPr>
                <w:p w14:paraId="1366F653">
                  <w:pPr>
                    <w:snapToGrid w:val="0"/>
                    <w:jc w:val="center"/>
                    <w:rPr>
                      <w:szCs w:val="21"/>
                    </w:rPr>
                  </w:pPr>
                  <w:r>
                    <w:rPr>
                      <w:rFonts w:hint="eastAsia"/>
                      <w:bCs/>
                      <w:sz w:val="21"/>
                      <w:szCs w:val="21"/>
                      <w:lang w:val="en-US" w:eastAsia="zh-CN"/>
                    </w:rPr>
                    <w:t>*</w:t>
                  </w:r>
                </w:p>
              </w:tc>
            </w:tr>
            <w:tr w14:paraId="1473EA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0C41DC3E">
                  <w:pPr>
                    <w:snapToGrid w:val="0"/>
                    <w:jc w:val="center"/>
                    <w:rPr>
                      <w:szCs w:val="21"/>
                    </w:rPr>
                  </w:pPr>
                  <w:r>
                    <w:rPr>
                      <w:rFonts w:hint="eastAsia"/>
                      <w:szCs w:val="21"/>
                    </w:rPr>
                    <w:t>四开导眼</w:t>
                  </w:r>
                </w:p>
              </w:tc>
              <w:tc>
                <w:tcPr>
                  <w:tcW w:w="1355" w:type="dxa"/>
                  <w:vAlign w:val="center"/>
                </w:tcPr>
                <w:p w14:paraId="0F659735">
                  <w:pPr>
                    <w:snapToGrid w:val="0"/>
                    <w:jc w:val="center"/>
                    <w:rPr>
                      <w:szCs w:val="21"/>
                    </w:rPr>
                  </w:pPr>
                  <w:r>
                    <w:rPr>
                      <w:rFonts w:hint="eastAsia"/>
                      <w:bCs/>
                      <w:sz w:val="21"/>
                      <w:szCs w:val="21"/>
                      <w:lang w:val="en-US" w:eastAsia="zh-CN"/>
                    </w:rPr>
                    <w:t>*</w:t>
                  </w:r>
                </w:p>
              </w:tc>
              <w:tc>
                <w:tcPr>
                  <w:tcW w:w="1355" w:type="dxa"/>
                  <w:vAlign w:val="center"/>
                </w:tcPr>
                <w:p w14:paraId="758900F2">
                  <w:pPr>
                    <w:snapToGrid w:val="0"/>
                    <w:jc w:val="center"/>
                    <w:rPr>
                      <w:szCs w:val="21"/>
                    </w:rPr>
                  </w:pPr>
                  <w:r>
                    <w:rPr>
                      <w:rFonts w:hint="eastAsia"/>
                      <w:bCs/>
                      <w:sz w:val="21"/>
                      <w:szCs w:val="21"/>
                      <w:lang w:val="en-US" w:eastAsia="zh-CN"/>
                    </w:rPr>
                    <w:t>*</w:t>
                  </w:r>
                </w:p>
              </w:tc>
              <w:tc>
                <w:tcPr>
                  <w:tcW w:w="1353" w:type="dxa"/>
                  <w:vAlign w:val="center"/>
                </w:tcPr>
                <w:p w14:paraId="4F2D9158">
                  <w:pPr>
                    <w:snapToGrid w:val="0"/>
                    <w:jc w:val="center"/>
                    <w:rPr>
                      <w:szCs w:val="21"/>
                    </w:rPr>
                  </w:pPr>
                  <w:r>
                    <w:rPr>
                      <w:rFonts w:hint="eastAsia"/>
                      <w:bCs/>
                      <w:sz w:val="21"/>
                      <w:szCs w:val="21"/>
                      <w:lang w:val="en-US" w:eastAsia="zh-CN"/>
                    </w:rPr>
                    <w:t>*</w:t>
                  </w:r>
                </w:p>
              </w:tc>
              <w:tc>
                <w:tcPr>
                  <w:tcW w:w="1355" w:type="dxa"/>
                  <w:vAlign w:val="center"/>
                </w:tcPr>
                <w:p w14:paraId="6E7BE019">
                  <w:pPr>
                    <w:snapToGrid w:val="0"/>
                    <w:jc w:val="center"/>
                    <w:rPr>
                      <w:szCs w:val="21"/>
                    </w:rPr>
                  </w:pPr>
                  <w:r>
                    <w:rPr>
                      <w:rFonts w:hint="eastAsia"/>
                      <w:bCs/>
                      <w:sz w:val="21"/>
                      <w:szCs w:val="21"/>
                      <w:lang w:val="en-US" w:eastAsia="zh-CN"/>
                    </w:rPr>
                    <w:t>*</w:t>
                  </w:r>
                </w:p>
              </w:tc>
              <w:tc>
                <w:tcPr>
                  <w:tcW w:w="1372" w:type="dxa"/>
                  <w:vAlign w:val="center"/>
                </w:tcPr>
                <w:p w14:paraId="0006C3E4">
                  <w:pPr>
                    <w:snapToGrid w:val="0"/>
                    <w:jc w:val="center"/>
                    <w:rPr>
                      <w:szCs w:val="21"/>
                    </w:rPr>
                  </w:pPr>
                  <w:r>
                    <w:rPr>
                      <w:rFonts w:hint="eastAsia"/>
                      <w:bCs/>
                      <w:sz w:val="21"/>
                      <w:szCs w:val="21"/>
                      <w:lang w:val="en-US" w:eastAsia="zh-CN"/>
                    </w:rPr>
                    <w:t>*</w:t>
                  </w:r>
                </w:p>
              </w:tc>
              <w:tc>
                <w:tcPr>
                  <w:tcW w:w="1372" w:type="dxa"/>
                  <w:vAlign w:val="center"/>
                </w:tcPr>
                <w:p w14:paraId="7691338E">
                  <w:pPr>
                    <w:snapToGrid w:val="0"/>
                    <w:jc w:val="center"/>
                    <w:rPr>
                      <w:szCs w:val="21"/>
                    </w:rPr>
                  </w:pPr>
                  <w:r>
                    <w:rPr>
                      <w:rFonts w:hint="eastAsia"/>
                      <w:bCs/>
                      <w:sz w:val="21"/>
                      <w:szCs w:val="21"/>
                      <w:lang w:val="en-US" w:eastAsia="zh-CN"/>
                    </w:rPr>
                    <w:t>*</w:t>
                  </w:r>
                </w:p>
              </w:tc>
            </w:tr>
            <w:tr w14:paraId="5A2FFF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0" w:type="pct"/>
                  <w:vAlign w:val="center"/>
                </w:tcPr>
                <w:p w14:paraId="74DDB884">
                  <w:pPr>
                    <w:snapToGrid w:val="0"/>
                    <w:jc w:val="center"/>
                    <w:rPr>
                      <w:szCs w:val="21"/>
                    </w:rPr>
                  </w:pPr>
                  <w:r>
                    <w:rPr>
                      <w:rFonts w:hint="eastAsia"/>
                      <w:szCs w:val="21"/>
                    </w:rPr>
                    <w:t>四开侧钻</w:t>
                  </w:r>
                </w:p>
              </w:tc>
              <w:tc>
                <w:tcPr>
                  <w:tcW w:w="1355" w:type="dxa"/>
                  <w:vAlign w:val="center"/>
                </w:tcPr>
                <w:p w14:paraId="5A18D3C1">
                  <w:pPr>
                    <w:snapToGrid w:val="0"/>
                    <w:jc w:val="center"/>
                    <w:rPr>
                      <w:szCs w:val="21"/>
                    </w:rPr>
                  </w:pPr>
                  <w:r>
                    <w:rPr>
                      <w:rFonts w:hint="eastAsia"/>
                      <w:bCs/>
                      <w:sz w:val="21"/>
                      <w:szCs w:val="21"/>
                      <w:lang w:val="en-US" w:eastAsia="zh-CN"/>
                    </w:rPr>
                    <w:t>*</w:t>
                  </w:r>
                </w:p>
              </w:tc>
              <w:tc>
                <w:tcPr>
                  <w:tcW w:w="1355" w:type="dxa"/>
                  <w:vAlign w:val="center"/>
                </w:tcPr>
                <w:p w14:paraId="66A4F6A7">
                  <w:pPr>
                    <w:snapToGrid w:val="0"/>
                    <w:jc w:val="center"/>
                    <w:rPr>
                      <w:szCs w:val="21"/>
                    </w:rPr>
                  </w:pPr>
                  <w:r>
                    <w:rPr>
                      <w:rFonts w:hint="eastAsia"/>
                      <w:bCs/>
                      <w:sz w:val="21"/>
                      <w:szCs w:val="21"/>
                      <w:lang w:val="en-US" w:eastAsia="zh-CN"/>
                    </w:rPr>
                    <w:t>*</w:t>
                  </w:r>
                </w:p>
              </w:tc>
              <w:tc>
                <w:tcPr>
                  <w:tcW w:w="1353" w:type="dxa"/>
                  <w:vAlign w:val="center"/>
                </w:tcPr>
                <w:p w14:paraId="3E2737E4">
                  <w:pPr>
                    <w:snapToGrid w:val="0"/>
                    <w:jc w:val="center"/>
                    <w:rPr>
                      <w:szCs w:val="21"/>
                    </w:rPr>
                  </w:pPr>
                  <w:r>
                    <w:rPr>
                      <w:rFonts w:hint="eastAsia"/>
                      <w:bCs/>
                      <w:sz w:val="21"/>
                      <w:szCs w:val="21"/>
                      <w:lang w:val="en-US" w:eastAsia="zh-CN"/>
                    </w:rPr>
                    <w:t>*</w:t>
                  </w:r>
                </w:p>
              </w:tc>
              <w:tc>
                <w:tcPr>
                  <w:tcW w:w="1355" w:type="dxa"/>
                  <w:vAlign w:val="center"/>
                </w:tcPr>
                <w:p w14:paraId="38E95008">
                  <w:pPr>
                    <w:snapToGrid w:val="0"/>
                    <w:jc w:val="center"/>
                    <w:rPr>
                      <w:szCs w:val="21"/>
                    </w:rPr>
                  </w:pPr>
                  <w:r>
                    <w:rPr>
                      <w:rFonts w:hint="eastAsia"/>
                      <w:bCs/>
                      <w:sz w:val="21"/>
                      <w:szCs w:val="21"/>
                      <w:lang w:val="en-US" w:eastAsia="zh-CN"/>
                    </w:rPr>
                    <w:t>*</w:t>
                  </w:r>
                </w:p>
              </w:tc>
              <w:tc>
                <w:tcPr>
                  <w:tcW w:w="1372" w:type="dxa"/>
                  <w:vAlign w:val="center"/>
                </w:tcPr>
                <w:p w14:paraId="64BEAA09">
                  <w:pPr>
                    <w:snapToGrid w:val="0"/>
                    <w:jc w:val="center"/>
                    <w:rPr>
                      <w:szCs w:val="21"/>
                    </w:rPr>
                  </w:pPr>
                  <w:r>
                    <w:rPr>
                      <w:rFonts w:hint="eastAsia"/>
                      <w:bCs/>
                      <w:sz w:val="21"/>
                      <w:szCs w:val="21"/>
                      <w:lang w:val="en-US" w:eastAsia="zh-CN"/>
                    </w:rPr>
                    <w:t>*</w:t>
                  </w:r>
                </w:p>
              </w:tc>
              <w:tc>
                <w:tcPr>
                  <w:tcW w:w="1372" w:type="dxa"/>
                  <w:vAlign w:val="center"/>
                </w:tcPr>
                <w:p w14:paraId="7371A02D">
                  <w:pPr>
                    <w:snapToGrid w:val="0"/>
                    <w:jc w:val="center"/>
                    <w:rPr>
                      <w:szCs w:val="21"/>
                    </w:rPr>
                  </w:pPr>
                  <w:r>
                    <w:rPr>
                      <w:rFonts w:hint="eastAsia"/>
                      <w:bCs/>
                      <w:sz w:val="21"/>
                      <w:szCs w:val="21"/>
                      <w:lang w:val="en-US" w:eastAsia="zh-CN"/>
                    </w:rPr>
                    <w:t>*</w:t>
                  </w:r>
                </w:p>
              </w:tc>
            </w:tr>
          </w:tbl>
          <w:p w14:paraId="35BBFFC6">
            <w:pPr>
              <w:pStyle w:val="19"/>
              <w:numPr>
                <w:ilvl w:val="0"/>
                <w:numId w:val="6"/>
              </w:numPr>
              <w:tabs>
                <w:tab w:val="left" w:pos="0"/>
                <w:tab w:val="left" w:pos="833"/>
              </w:tabs>
              <w:spacing w:before="0" w:after="0" w:line="360" w:lineRule="auto"/>
              <w:ind w:left="0" w:right="0" w:firstLine="0"/>
              <w:jc w:val="center"/>
              <w:rPr>
                <w:b/>
                <w:bCs/>
                <w:sz w:val="21"/>
                <w:szCs w:val="21"/>
              </w:rPr>
            </w:pPr>
            <w:r>
              <w:rPr>
                <w:b/>
                <w:bCs/>
                <w:sz w:val="21"/>
                <w:szCs w:val="21"/>
              </w:rPr>
              <w:t>主要原辅材料物理化学特性</w:t>
            </w:r>
          </w:p>
          <w:tbl>
            <w:tblPr>
              <w:tblStyle w:val="44"/>
              <w:tblW w:w="48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524"/>
              <w:gridCol w:w="1088"/>
              <w:gridCol w:w="5691"/>
            </w:tblGrid>
            <w:tr w14:paraId="12928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24" w:type="dxa"/>
                  <w:tcBorders>
                    <w:tl2br w:val="nil"/>
                    <w:tr2bl w:val="nil"/>
                  </w:tcBorders>
                  <w:vAlign w:val="center"/>
                </w:tcPr>
                <w:p w14:paraId="430F111F">
                  <w:pPr>
                    <w:jc w:val="center"/>
                    <w:rPr>
                      <w:bCs/>
                      <w:szCs w:val="21"/>
                    </w:rPr>
                  </w:pPr>
                  <w:r>
                    <w:rPr>
                      <w:bCs/>
                      <w:szCs w:val="21"/>
                    </w:rPr>
                    <w:t>序号</w:t>
                  </w:r>
                </w:p>
              </w:tc>
              <w:tc>
                <w:tcPr>
                  <w:tcW w:w="1088" w:type="dxa"/>
                  <w:tcBorders>
                    <w:tl2br w:val="nil"/>
                    <w:tr2bl w:val="nil"/>
                  </w:tcBorders>
                  <w:vAlign w:val="center"/>
                </w:tcPr>
                <w:p w14:paraId="6F33792F">
                  <w:pPr>
                    <w:jc w:val="center"/>
                    <w:rPr>
                      <w:bCs/>
                      <w:szCs w:val="21"/>
                    </w:rPr>
                  </w:pPr>
                  <w:r>
                    <w:rPr>
                      <w:bCs/>
                      <w:szCs w:val="21"/>
                    </w:rPr>
                    <w:t>材料名称</w:t>
                  </w:r>
                </w:p>
              </w:tc>
              <w:tc>
                <w:tcPr>
                  <w:tcW w:w="5691" w:type="dxa"/>
                  <w:tcBorders>
                    <w:tl2br w:val="nil"/>
                    <w:tr2bl w:val="nil"/>
                  </w:tcBorders>
                  <w:vAlign w:val="center"/>
                </w:tcPr>
                <w:p w14:paraId="6843CFDF">
                  <w:pPr>
                    <w:jc w:val="center"/>
                    <w:rPr>
                      <w:bCs/>
                      <w:szCs w:val="21"/>
                    </w:rPr>
                  </w:pPr>
                  <w:r>
                    <w:rPr>
                      <w:bCs/>
                      <w:szCs w:val="21"/>
                    </w:rPr>
                    <w:t>物理化学特性</w:t>
                  </w:r>
                </w:p>
              </w:tc>
            </w:tr>
            <w:tr w14:paraId="341C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2E75A26F">
                  <w:pPr>
                    <w:jc w:val="center"/>
                    <w:rPr>
                      <w:szCs w:val="21"/>
                    </w:rPr>
                  </w:pPr>
                  <w:r>
                    <w:rPr>
                      <w:szCs w:val="21"/>
                    </w:rPr>
                    <w:t>1</w:t>
                  </w:r>
                </w:p>
              </w:tc>
              <w:tc>
                <w:tcPr>
                  <w:tcW w:w="1088" w:type="dxa"/>
                  <w:tcBorders>
                    <w:tl2br w:val="nil"/>
                    <w:tr2bl w:val="nil"/>
                  </w:tcBorders>
                  <w:vAlign w:val="center"/>
                </w:tcPr>
                <w:p w14:paraId="4723FDFC">
                  <w:pPr>
                    <w:jc w:val="center"/>
                    <w:rPr>
                      <w:szCs w:val="21"/>
                    </w:rPr>
                  </w:pPr>
                  <w:r>
                    <w:rPr>
                      <w:szCs w:val="21"/>
                    </w:rPr>
                    <w:t>柴油</w:t>
                  </w:r>
                </w:p>
              </w:tc>
              <w:tc>
                <w:tcPr>
                  <w:tcW w:w="5691" w:type="dxa"/>
                  <w:tcBorders>
                    <w:tl2br w:val="nil"/>
                    <w:tr2bl w:val="nil"/>
                  </w:tcBorders>
                  <w:vAlign w:val="center"/>
                </w:tcPr>
                <w:p w14:paraId="50F1D3E8">
                  <w:pPr>
                    <w:jc w:val="center"/>
                    <w:rPr>
                      <w:szCs w:val="21"/>
                    </w:rPr>
                  </w:pPr>
                  <w:r>
                    <w:rPr>
                      <w:szCs w:val="21"/>
                    </w:rPr>
                    <w:t>稍有黏性的棕色液体。与水混溶，可混溶于乙醇。熔点：-18℃，沸点：282－338℃，闪点：55℃，引燃温度：257℃，燃烧分解产物：一氧化碳、二氧化碳。禁忌物：强氧化剂、卤素。</w:t>
                  </w:r>
                </w:p>
              </w:tc>
            </w:tr>
            <w:tr w14:paraId="0AC13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68B36673">
                  <w:pPr>
                    <w:jc w:val="center"/>
                    <w:rPr>
                      <w:szCs w:val="21"/>
                    </w:rPr>
                  </w:pPr>
                  <w:r>
                    <w:rPr>
                      <w:rFonts w:hint="eastAsia"/>
                      <w:szCs w:val="21"/>
                    </w:rPr>
                    <w:t>2</w:t>
                  </w:r>
                </w:p>
              </w:tc>
              <w:tc>
                <w:tcPr>
                  <w:tcW w:w="1088" w:type="dxa"/>
                  <w:tcBorders>
                    <w:tl2br w:val="nil"/>
                    <w:tr2bl w:val="nil"/>
                  </w:tcBorders>
                  <w:vAlign w:val="center"/>
                </w:tcPr>
                <w:p w14:paraId="1BEE7FDA">
                  <w:pPr>
                    <w:jc w:val="center"/>
                    <w:rPr>
                      <w:szCs w:val="21"/>
                    </w:rPr>
                  </w:pPr>
                  <w:r>
                    <w:rPr>
                      <w:rFonts w:hint="eastAsia"/>
                      <w:szCs w:val="21"/>
                    </w:rPr>
                    <w:t>膨润土粉</w:t>
                  </w:r>
                </w:p>
              </w:tc>
              <w:tc>
                <w:tcPr>
                  <w:tcW w:w="5691" w:type="dxa"/>
                  <w:tcBorders>
                    <w:tl2br w:val="nil"/>
                    <w:tr2bl w:val="nil"/>
                  </w:tcBorders>
                  <w:vAlign w:val="center"/>
                </w:tcPr>
                <w:p w14:paraId="6888544E">
                  <w:pPr>
                    <w:jc w:val="center"/>
                    <w:rPr>
                      <w:szCs w:val="21"/>
                    </w:rPr>
                  </w:pPr>
                  <w:r>
                    <w:rPr>
                      <w:szCs w:val="21"/>
                    </w:rPr>
                    <w:t>以蒙脱石为主要矿物成分的非金属矿产</w:t>
                  </w:r>
                  <w:r>
                    <w:rPr>
                      <w:rFonts w:hint="eastAsia"/>
                      <w:szCs w:val="21"/>
                    </w:rPr>
                    <w:t>，主要化学成分是二氧化硅、三氧化二铝和水，还含有铁、镁、钙、钠、钾等元素。</w:t>
                  </w:r>
                </w:p>
              </w:tc>
            </w:tr>
            <w:tr w14:paraId="7848E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4DD3FEE5">
                  <w:pPr>
                    <w:jc w:val="center"/>
                    <w:rPr>
                      <w:szCs w:val="21"/>
                    </w:rPr>
                  </w:pPr>
                  <w:r>
                    <w:rPr>
                      <w:rFonts w:hint="eastAsia"/>
                      <w:szCs w:val="21"/>
                    </w:rPr>
                    <w:t>3</w:t>
                  </w:r>
                </w:p>
              </w:tc>
              <w:tc>
                <w:tcPr>
                  <w:tcW w:w="1088" w:type="dxa"/>
                  <w:tcBorders>
                    <w:tl2br w:val="nil"/>
                    <w:tr2bl w:val="nil"/>
                  </w:tcBorders>
                  <w:shd w:val="clear" w:color="auto" w:fill="auto"/>
                  <w:vAlign w:val="center"/>
                </w:tcPr>
                <w:p w14:paraId="771E37A3">
                  <w:pPr>
                    <w:jc w:val="center"/>
                    <w:rPr>
                      <w:szCs w:val="21"/>
                    </w:rPr>
                  </w:pPr>
                  <w:r>
                    <w:rPr>
                      <w:szCs w:val="21"/>
                    </w:rPr>
                    <w:t>纯碱</w:t>
                  </w:r>
                </w:p>
              </w:tc>
              <w:tc>
                <w:tcPr>
                  <w:tcW w:w="5691" w:type="dxa"/>
                  <w:tcBorders>
                    <w:tl2br w:val="nil"/>
                    <w:tr2bl w:val="nil"/>
                  </w:tcBorders>
                  <w:shd w:val="clear" w:color="auto" w:fill="auto"/>
                  <w:vAlign w:val="center"/>
                </w:tcPr>
                <w:p w14:paraId="571B3372">
                  <w:pPr>
                    <w:jc w:val="center"/>
                    <w:rPr>
                      <w:szCs w:val="21"/>
                    </w:rPr>
                  </w:pPr>
                  <w:r>
                    <w:rPr>
                      <w:szCs w:val="21"/>
                    </w:rPr>
                    <w:t>碳酸钠</w:t>
                  </w:r>
                  <w:r>
                    <w:rPr>
                      <w:rFonts w:hint="eastAsia"/>
                      <w:szCs w:val="21"/>
                    </w:rPr>
                    <w:t>（</w:t>
                  </w:r>
                  <w:r>
                    <w:rPr>
                      <w:szCs w:val="21"/>
                    </w:rPr>
                    <w:t>Sodium Carbonate</w:t>
                  </w:r>
                  <w:r>
                    <w:rPr>
                      <w:rFonts w:hint="eastAsia"/>
                      <w:szCs w:val="21"/>
                    </w:rPr>
                    <w:t>）</w:t>
                  </w:r>
                  <w:r>
                    <w:rPr>
                      <w:szCs w:val="21"/>
                    </w:rPr>
                    <w:t>，是一种</w:t>
                  </w:r>
                  <w:r>
                    <w:fldChar w:fldCharType="begin"/>
                  </w:r>
                  <w:r>
                    <w:instrText xml:space="preserve"> HYPERLINK "https://baike.baidu.com/item/%E6%97%A0%E6%9C%BA%E5%8C%96%E5%90%88%E7%89%A9/10716655?fromModule=lemma_inlink" \t "https://baike.baidu.com/item/_blank" </w:instrText>
                  </w:r>
                  <w:r>
                    <w:fldChar w:fldCharType="separate"/>
                  </w:r>
                  <w:r>
                    <w:rPr>
                      <w:szCs w:val="21"/>
                    </w:rPr>
                    <w:t>无机化合物</w:t>
                  </w:r>
                  <w:r>
                    <w:rPr>
                      <w:szCs w:val="21"/>
                    </w:rPr>
                    <w:fldChar w:fldCharType="end"/>
                  </w:r>
                  <w:r>
                    <w:rPr>
                      <w:szCs w:val="21"/>
                    </w:rPr>
                    <w:t>。化学式为Na</w:t>
                  </w:r>
                  <w:r>
                    <w:rPr>
                      <w:szCs w:val="21"/>
                      <w:vertAlign w:val="subscript"/>
                    </w:rPr>
                    <w:t>2</w:t>
                  </w:r>
                  <w:r>
                    <w:rPr>
                      <w:szCs w:val="21"/>
                    </w:rPr>
                    <w:t>CO</w:t>
                  </w:r>
                  <w:r>
                    <w:rPr>
                      <w:szCs w:val="21"/>
                      <w:vertAlign w:val="subscript"/>
                    </w:rPr>
                    <w:t>3</w:t>
                  </w:r>
                  <w:r>
                    <w:rPr>
                      <w:szCs w:val="21"/>
                    </w:rPr>
                    <w:t>，分子量105.99 ，又叫纯碱，但分类属于盐，不属于碱，国际贸易中又名苏打或碱灰。碳酸钠是一种白色粉末，无味无臭，易溶于水，水溶液呈强碱性，在潮湿的空气里会吸潮结块，部分变为</w:t>
                  </w:r>
                  <w:r>
                    <w:fldChar w:fldCharType="begin"/>
                  </w:r>
                  <w:r>
                    <w:instrText xml:space="preserve"> HYPERLINK "https://baike.baidu.com/item/%E7%A2%B3%E9%85%B8%E6%B0%A2%E9%92%A0/2735773?fromModule=lemma_inlink" \t "https://baike.baidu.com/item/_blank" </w:instrText>
                  </w:r>
                  <w:r>
                    <w:fldChar w:fldCharType="separate"/>
                  </w:r>
                  <w:r>
                    <w:rPr>
                      <w:szCs w:val="21"/>
                    </w:rPr>
                    <w:t>碳酸氢钠</w:t>
                  </w:r>
                  <w:r>
                    <w:rPr>
                      <w:szCs w:val="21"/>
                    </w:rPr>
                    <w:fldChar w:fldCharType="end"/>
                  </w:r>
                  <w:r>
                    <w:rPr>
                      <w:szCs w:val="21"/>
                    </w:rPr>
                    <w:t>。碳酸钠的制法有</w:t>
                  </w:r>
                  <w:r>
                    <w:fldChar w:fldCharType="begin"/>
                  </w:r>
                  <w:r>
                    <w:instrText xml:space="preserve"> HYPERLINK "https://baike.baidu.com/item/%E8%81%94%E5%90%88%E5%88%B6%E7%A2%B1%E6%B3%95/10370731?fromModule=lemma_inlink" \t "https://baike.baidu.com/item/_blank" </w:instrText>
                  </w:r>
                  <w:r>
                    <w:fldChar w:fldCharType="separate"/>
                  </w:r>
                  <w:r>
                    <w:rPr>
                      <w:szCs w:val="21"/>
                    </w:rPr>
                    <w:t>联合制碱法</w:t>
                  </w:r>
                  <w:r>
                    <w:rPr>
                      <w:szCs w:val="21"/>
                    </w:rPr>
                    <w:fldChar w:fldCharType="end"/>
                  </w:r>
                  <w:r>
                    <w:rPr>
                      <w:szCs w:val="21"/>
                    </w:rPr>
                    <w:t>、氨碱法、路布兰法等，也可由天然碱加工精制。</w:t>
                  </w:r>
                </w:p>
              </w:tc>
            </w:tr>
            <w:tr w14:paraId="7D504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07BC9E51">
                  <w:pPr>
                    <w:jc w:val="center"/>
                    <w:rPr>
                      <w:szCs w:val="21"/>
                    </w:rPr>
                  </w:pPr>
                  <w:r>
                    <w:rPr>
                      <w:rFonts w:hint="eastAsia"/>
                      <w:szCs w:val="21"/>
                    </w:rPr>
                    <w:t>4</w:t>
                  </w:r>
                </w:p>
              </w:tc>
              <w:tc>
                <w:tcPr>
                  <w:tcW w:w="1088" w:type="dxa"/>
                  <w:tcBorders>
                    <w:tl2br w:val="nil"/>
                    <w:tr2bl w:val="nil"/>
                  </w:tcBorders>
                  <w:shd w:val="clear" w:color="auto" w:fill="auto"/>
                  <w:vAlign w:val="center"/>
                </w:tcPr>
                <w:p w14:paraId="16FBAFF1">
                  <w:pPr>
                    <w:jc w:val="center"/>
                    <w:rPr>
                      <w:szCs w:val="21"/>
                    </w:rPr>
                  </w:pPr>
                  <w:r>
                    <w:rPr>
                      <w:szCs w:val="21"/>
                    </w:rPr>
                    <w:t>氢氧化钠NaOH</w:t>
                  </w:r>
                </w:p>
              </w:tc>
              <w:tc>
                <w:tcPr>
                  <w:tcW w:w="5691" w:type="dxa"/>
                  <w:tcBorders>
                    <w:tl2br w:val="nil"/>
                    <w:tr2bl w:val="nil"/>
                  </w:tcBorders>
                  <w:shd w:val="clear" w:color="auto" w:fill="auto"/>
                  <w:vAlign w:val="center"/>
                </w:tcPr>
                <w:p w14:paraId="06D02FCA">
                  <w:pPr>
                    <w:jc w:val="center"/>
                    <w:rPr>
                      <w:szCs w:val="21"/>
                    </w:rPr>
                  </w:pPr>
                  <w:r>
                    <w:rPr>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p>
              </w:tc>
            </w:tr>
            <w:tr w14:paraId="6D432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6BB0048F">
                  <w:pPr>
                    <w:jc w:val="center"/>
                    <w:rPr>
                      <w:szCs w:val="21"/>
                    </w:rPr>
                  </w:pPr>
                  <w:r>
                    <w:rPr>
                      <w:rFonts w:hint="eastAsia"/>
                      <w:szCs w:val="21"/>
                    </w:rPr>
                    <w:t>5</w:t>
                  </w:r>
                </w:p>
              </w:tc>
              <w:tc>
                <w:tcPr>
                  <w:tcW w:w="1088" w:type="dxa"/>
                  <w:tcBorders>
                    <w:tl2br w:val="nil"/>
                    <w:tr2bl w:val="nil"/>
                  </w:tcBorders>
                  <w:shd w:val="clear" w:color="auto" w:fill="auto"/>
                  <w:vAlign w:val="center"/>
                </w:tcPr>
                <w:p w14:paraId="42E5A061">
                  <w:pPr>
                    <w:jc w:val="center"/>
                    <w:rPr>
                      <w:szCs w:val="21"/>
                    </w:rPr>
                  </w:pPr>
                  <w:r>
                    <w:rPr>
                      <w:rFonts w:hint="eastAsia"/>
                      <w:szCs w:val="21"/>
                    </w:rPr>
                    <w:t>氯化钾</w:t>
                  </w:r>
                </w:p>
              </w:tc>
              <w:tc>
                <w:tcPr>
                  <w:tcW w:w="5691" w:type="dxa"/>
                  <w:tcBorders>
                    <w:tl2br w:val="nil"/>
                    <w:tr2bl w:val="nil"/>
                  </w:tcBorders>
                  <w:shd w:val="clear" w:color="auto" w:fill="auto"/>
                  <w:vAlign w:val="center"/>
                </w:tcPr>
                <w:p w14:paraId="7A6B69D2">
                  <w:pPr>
                    <w:jc w:val="center"/>
                    <w:rPr>
                      <w:szCs w:val="21"/>
                    </w:rPr>
                  </w:pPr>
                  <w:r>
                    <w:rPr>
                      <w:szCs w:val="21"/>
                    </w:rPr>
                    <w:t>白色晶体，味极咸，无臭无毒性。易溶于水和甘油，微溶于醇，不溶于醚、丙酮和盐酸。有吸湿性，易结块；在水中的溶解度随温度的升高而迅速地增加，与钠盐常起复分解作用而生成新的钾盐</w:t>
                  </w:r>
                  <w:r>
                    <w:rPr>
                      <w:rFonts w:hint="eastAsia"/>
                      <w:szCs w:val="21"/>
                    </w:rPr>
                    <w:t>。</w:t>
                  </w:r>
                </w:p>
              </w:tc>
            </w:tr>
            <w:tr w14:paraId="093AD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43243658">
                  <w:pPr>
                    <w:jc w:val="center"/>
                    <w:rPr>
                      <w:szCs w:val="21"/>
                    </w:rPr>
                  </w:pPr>
                  <w:r>
                    <w:rPr>
                      <w:rFonts w:hint="eastAsia"/>
                      <w:szCs w:val="21"/>
                    </w:rPr>
                    <w:t>6</w:t>
                  </w:r>
                </w:p>
              </w:tc>
              <w:tc>
                <w:tcPr>
                  <w:tcW w:w="1088" w:type="dxa"/>
                  <w:tcBorders>
                    <w:tl2br w:val="nil"/>
                    <w:tr2bl w:val="nil"/>
                  </w:tcBorders>
                  <w:shd w:val="clear" w:color="auto" w:fill="auto"/>
                  <w:vAlign w:val="center"/>
                </w:tcPr>
                <w:p w14:paraId="52148DE5">
                  <w:pPr>
                    <w:jc w:val="center"/>
                    <w:rPr>
                      <w:szCs w:val="21"/>
                    </w:rPr>
                  </w:pPr>
                  <w:r>
                    <w:rPr>
                      <w:rFonts w:hint="eastAsia"/>
                      <w:szCs w:val="21"/>
                    </w:rPr>
                    <w:t>生石灰</w:t>
                  </w:r>
                </w:p>
              </w:tc>
              <w:tc>
                <w:tcPr>
                  <w:tcW w:w="5691" w:type="dxa"/>
                  <w:tcBorders>
                    <w:tl2br w:val="nil"/>
                    <w:tr2bl w:val="nil"/>
                  </w:tcBorders>
                  <w:shd w:val="clear" w:color="auto" w:fill="auto"/>
                  <w:vAlign w:val="center"/>
                </w:tcPr>
                <w:p w14:paraId="2A11AAF4">
                  <w:pPr>
                    <w:jc w:val="center"/>
                    <w:rPr>
                      <w:szCs w:val="21"/>
                    </w:rPr>
                  </w:pPr>
                  <w:r>
                    <w:rPr>
                      <w:szCs w:val="21"/>
                    </w:rPr>
                    <w:t>外形为白色（或灰色、棕白），无定形，在空气中吸收水和</w:t>
                  </w:r>
                  <w:r>
                    <w:rPr>
                      <w:szCs w:val="21"/>
                    </w:rPr>
                    <w:fldChar w:fldCharType="begin"/>
                  </w:r>
                  <w:r>
                    <w:rPr>
                      <w:szCs w:val="21"/>
                    </w:rPr>
                    <w:instrText xml:space="preserve"> HYPERLINK "https://baike.baidu.com/item/%E4%BA%8C%E6%B0%A7%E5%8C%96%E7%A2%B3/349143?fromModule=lemma_inlink" \t "https://baike.baidu.com/item/%E7%94%9F%E7%9F%B3%E7%81%B0/_blank" </w:instrText>
                  </w:r>
                  <w:r>
                    <w:rPr>
                      <w:szCs w:val="21"/>
                    </w:rPr>
                    <w:fldChar w:fldCharType="separate"/>
                  </w:r>
                  <w:r>
                    <w:rPr>
                      <w:szCs w:val="21"/>
                    </w:rPr>
                    <w:t>二氧化碳</w:t>
                  </w:r>
                  <w:r>
                    <w:rPr>
                      <w:szCs w:val="21"/>
                    </w:rPr>
                    <w:fldChar w:fldCharType="end"/>
                  </w:r>
                  <w:r>
                    <w:rPr>
                      <w:szCs w:val="21"/>
                    </w:rPr>
                    <w:t>。氧化钙与水作用生成氢氧化钙，并放出热量。溶于酸水，不溶于醇。系属无机碱性蚀物品</w:t>
                  </w:r>
                  <w:r>
                    <w:rPr>
                      <w:rFonts w:hint="eastAsia"/>
                      <w:szCs w:val="21"/>
                    </w:rPr>
                    <w:t>。</w:t>
                  </w:r>
                </w:p>
              </w:tc>
            </w:tr>
            <w:tr w14:paraId="6B354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0B7D9C9A">
                  <w:pPr>
                    <w:jc w:val="center"/>
                    <w:rPr>
                      <w:szCs w:val="21"/>
                    </w:rPr>
                  </w:pPr>
                  <w:r>
                    <w:rPr>
                      <w:rFonts w:hint="eastAsia"/>
                      <w:szCs w:val="21"/>
                    </w:rPr>
                    <w:t>7</w:t>
                  </w:r>
                </w:p>
              </w:tc>
              <w:tc>
                <w:tcPr>
                  <w:tcW w:w="1088" w:type="dxa"/>
                  <w:tcBorders>
                    <w:tl2br w:val="nil"/>
                    <w:tr2bl w:val="nil"/>
                  </w:tcBorders>
                  <w:shd w:val="clear" w:color="auto" w:fill="auto"/>
                  <w:vAlign w:val="center"/>
                </w:tcPr>
                <w:p w14:paraId="1A0AB7DD">
                  <w:pPr>
                    <w:jc w:val="center"/>
                    <w:rPr>
                      <w:szCs w:val="21"/>
                    </w:rPr>
                  </w:pPr>
                  <w:r>
                    <w:rPr>
                      <w:szCs w:val="21"/>
                    </w:rPr>
                    <w:t>聚丙烯酰胺</w:t>
                  </w:r>
                </w:p>
              </w:tc>
              <w:tc>
                <w:tcPr>
                  <w:tcW w:w="5691" w:type="dxa"/>
                  <w:tcBorders>
                    <w:tl2br w:val="nil"/>
                    <w:tr2bl w:val="nil"/>
                  </w:tcBorders>
                  <w:shd w:val="clear" w:color="auto" w:fill="auto"/>
                  <w:vAlign w:val="center"/>
                </w:tcPr>
                <w:p w14:paraId="1FD6F68A">
                  <w:pPr>
                    <w:jc w:val="center"/>
                    <w:rPr>
                      <w:szCs w:val="21"/>
                    </w:rPr>
                  </w:pPr>
                  <w:r>
                    <w:rPr>
                      <w:szCs w:val="21"/>
                    </w:rPr>
                    <w:t>是一种线性高分子</w:t>
                  </w:r>
                  <w:r>
                    <w:fldChar w:fldCharType="begin"/>
                  </w:r>
                  <w:r>
                    <w:instrText xml:space="preserve"> HYPERLINK "https://baike.baidu.com/item/%E8%81%9A%E5%90%88%E7%89%A9/6252844?fromModule=lemma_inlink" \t "https://baike.baidu.com/item/%E8%81%9A%E4%B8%99%E7%83%AF%E9%85%B0%E8%83%BA/_blank" </w:instrText>
                  </w:r>
                  <w:r>
                    <w:fldChar w:fldCharType="separate"/>
                  </w:r>
                  <w:r>
                    <w:rPr>
                      <w:szCs w:val="21"/>
                    </w:rPr>
                    <w:t>聚合物</w:t>
                  </w:r>
                  <w:r>
                    <w:rPr>
                      <w:szCs w:val="21"/>
                    </w:rPr>
                    <w:fldChar w:fldCharType="end"/>
                  </w:r>
                  <w:r>
                    <w:rPr>
                      <w:szCs w:val="21"/>
                    </w:rPr>
                    <w:t>，化学式为</w:t>
                  </w:r>
                  <w:r>
                    <w:rPr>
                      <w:rFonts w:hint="eastAsia"/>
                      <w:szCs w:val="21"/>
                    </w:rPr>
                    <w:t>（</w:t>
                  </w:r>
                  <w:r>
                    <w:rPr>
                      <w:szCs w:val="21"/>
                    </w:rPr>
                    <w:t>C</w:t>
                  </w:r>
                  <w:r>
                    <w:rPr>
                      <w:szCs w:val="21"/>
                      <w:vertAlign w:val="subscript"/>
                    </w:rPr>
                    <w:t>3</w:t>
                  </w:r>
                  <w:r>
                    <w:rPr>
                      <w:szCs w:val="21"/>
                    </w:rPr>
                    <w:t>H</w:t>
                  </w:r>
                  <w:r>
                    <w:rPr>
                      <w:szCs w:val="21"/>
                      <w:vertAlign w:val="subscript"/>
                    </w:rPr>
                    <w:t>5</w:t>
                  </w:r>
                  <w:r>
                    <w:rPr>
                      <w:szCs w:val="21"/>
                    </w:rPr>
                    <w:t>NO</w:t>
                  </w:r>
                  <w:r>
                    <w:rPr>
                      <w:rFonts w:hint="eastAsia"/>
                      <w:szCs w:val="21"/>
                    </w:rPr>
                    <w:t>）</w:t>
                  </w:r>
                  <w:r>
                    <w:rPr>
                      <w:szCs w:val="21"/>
                    </w:rPr>
                    <w:t>n，丙烯酰胺作为润滑剂、悬浮剂、粘土稳定剂、驱油剂、降失水剂和增稠剂，在钻井、酸化、压裂、堵水、固井及二次采油、三次采油中得到了广泛应用，是一种极为重要的</w:t>
                  </w:r>
                  <w:r>
                    <w:fldChar w:fldCharType="begin"/>
                  </w:r>
                  <w:r>
                    <w:instrText xml:space="preserve"> HYPERLINK "https://baike.baidu.com/item/%E6%B2%B9%E7%94%B0%E5%8C%96%E5%AD%A6%E5%93%81/3822611?fromModule=lemma_inlink" \t "https://baike.baidu.com/item/%E8%81%9A%E4%B8%99%E7%83%AF%E9%85%B0%E8%83%BA/_blank" </w:instrText>
                  </w:r>
                  <w:r>
                    <w:fldChar w:fldCharType="separate"/>
                  </w:r>
                  <w:r>
                    <w:rPr>
                      <w:szCs w:val="21"/>
                    </w:rPr>
                    <w:t>油田化学品</w:t>
                  </w:r>
                  <w:r>
                    <w:rPr>
                      <w:szCs w:val="21"/>
                    </w:rPr>
                    <w:fldChar w:fldCharType="end"/>
                  </w:r>
                  <w:r>
                    <w:rPr>
                      <w:szCs w:val="21"/>
                    </w:rPr>
                    <w:t>，</w:t>
                  </w:r>
                </w:p>
              </w:tc>
            </w:tr>
            <w:tr w14:paraId="18976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2DE8EC08">
                  <w:pPr>
                    <w:jc w:val="center"/>
                    <w:rPr>
                      <w:szCs w:val="21"/>
                    </w:rPr>
                  </w:pPr>
                  <w:r>
                    <w:rPr>
                      <w:rFonts w:hint="eastAsia"/>
                      <w:szCs w:val="21"/>
                    </w:rPr>
                    <w:t>8</w:t>
                  </w:r>
                </w:p>
              </w:tc>
              <w:tc>
                <w:tcPr>
                  <w:tcW w:w="1088" w:type="dxa"/>
                  <w:tcBorders>
                    <w:tl2br w:val="nil"/>
                    <w:tr2bl w:val="nil"/>
                  </w:tcBorders>
                  <w:shd w:val="clear" w:color="auto" w:fill="auto"/>
                  <w:vAlign w:val="center"/>
                </w:tcPr>
                <w:p w14:paraId="44B00961">
                  <w:pPr>
                    <w:jc w:val="center"/>
                    <w:rPr>
                      <w:szCs w:val="21"/>
                    </w:rPr>
                  </w:pPr>
                  <w:r>
                    <w:rPr>
                      <w:szCs w:val="21"/>
                    </w:rPr>
                    <w:t>高分子包被剂</w:t>
                  </w:r>
                  <w:r>
                    <w:rPr>
                      <w:rFonts w:hint="eastAsia"/>
                      <w:szCs w:val="21"/>
                    </w:rPr>
                    <w:t xml:space="preserve"> </w:t>
                  </w:r>
                </w:p>
              </w:tc>
              <w:tc>
                <w:tcPr>
                  <w:tcW w:w="5691" w:type="dxa"/>
                  <w:tcBorders>
                    <w:tl2br w:val="nil"/>
                    <w:tr2bl w:val="nil"/>
                  </w:tcBorders>
                  <w:shd w:val="clear" w:color="auto" w:fill="auto"/>
                  <w:vAlign w:val="center"/>
                </w:tcPr>
                <w:p w14:paraId="476FF4AF">
                  <w:pPr>
                    <w:jc w:val="center"/>
                    <w:rPr>
                      <w:szCs w:val="21"/>
                    </w:rPr>
                  </w:pPr>
                  <w:r>
                    <w:rPr>
                      <w:szCs w:val="21"/>
                    </w:rPr>
                    <w:t>包被剂</w:t>
                  </w:r>
                  <w:r>
                    <w:rPr>
                      <w:rFonts w:hint="eastAsia"/>
                      <w:szCs w:val="21"/>
                    </w:rPr>
                    <w:t>（</w:t>
                  </w:r>
                  <w:r>
                    <w:rPr>
                      <w:szCs w:val="21"/>
                    </w:rPr>
                    <w:t>SBB</w:t>
                  </w:r>
                  <w:r>
                    <w:rPr>
                      <w:rFonts w:hint="eastAsia"/>
                      <w:szCs w:val="21"/>
                    </w:rPr>
                    <w:t>）</w:t>
                  </w:r>
                  <w:r>
                    <w:rPr>
                      <w:szCs w:val="21"/>
                    </w:rPr>
                    <w:t>是一种由丙烯酸、丙烯酰胺等单体的共聚物，是最常用的钻井液抑制剂之一，其外观是白色或淡黄色粉末。</w:t>
                  </w:r>
                </w:p>
              </w:tc>
            </w:tr>
            <w:tr w14:paraId="3A011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5504EB2E">
                  <w:pPr>
                    <w:jc w:val="center"/>
                    <w:rPr>
                      <w:szCs w:val="21"/>
                    </w:rPr>
                  </w:pPr>
                  <w:r>
                    <w:rPr>
                      <w:rFonts w:hint="eastAsia"/>
                      <w:szCs w:val="21"/>
                    </w:rPr>
                    <w:t>9</w:t>
                  </w:r>
                </w:p>
              </w:tc>
              <w:tc>
                <w:tcPr>
                  <w:tcW w:w="1088" w:type="dxa"/>
                  <w:tcBorders>
                    <w:tl2br w:val="nil"/>
                    <w:tr2bl w:val="nil"/>
                  </w:tcBorders>
                  <w:shd w:val="clear" w:color="auto" w:fill="auto"/>
                  <w:vAlign w:val="center"/>
                </w:tcPr>
                <w:p w14:paraId="200E7B09">
                  <w:pPr>
                    <w:jc w:val="center"/>
                    <w:rPr>
                      <w:szCs w:val="21"/>
                    </w:rPr>
                  </w:pPr>
                  <w:r>
                    <w:rPr>
                      <w:szCs w:val="21"/>
                    </w:rPr>
                    <w:t>聚胺抑制剂</w:t>
                  </w:r>
                </w:p>
              </w:tc>
              <w:tc>
                <w:tcPr>
                  <w:tcW w:w="5691" w:type="dxa"/>
                  <w:tcBorders>
                    <w:tl2br w:val="nil"/>
                    <w:tr2bl w:val="nil"/>
                  </w:tcBorders>
                  <w:shd w:val="clear" w:color="auto" w:fill="auto"/>
                  <w:vAlign w:val="center"/>
                </w:tcPr>
                <w:p w14:paraId="28622640">
                  <w:pPr>
                    <w:jc w:val="center"/>
                    <w:rPr>
                      <w:szCs w:val="21"/>
                    </w:rPr>
                  </w:pPr>
                  <w:r>
                    <w:rPr>
                      <w:szCs w:val="21"/>
                    </w:rPr>
                    <w:t>是一种含有小分子量聚合物复合体的液相产品，它的主要成分是聚维酮和聚胺衍生物，用于高性能水基钻井液中提供超强的活性黏土抑制、降低敏感性页岩膨胀率</w:t>
                  </w:r>
                  <w:r>
                    <w:rPr>
                      <w:rFonts w:hint="eastAsia"/>
                      <w:szCs w:val="21"/>
                    </w:rPr>
                    <w:t>。</w:t>
                  </w:r>
                </w:p>
              </w:tc>
            </w:tr>
            <w:tr w14:paraId="45661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77CAE125">
                  <w:pPr>
                    <w:jc w:val="center"/>
                    <w:rPr>
                      <w:szCs w:val="21"/>
                    </w:rPr>
                  </w:pPr>
                  <w:r>
                    <w:rPr>
                      <w:rFonts w:hint="eastAsia"/>
                      <w:szCs w:val="21"/>
                    </w:rPr>
                    <w:t>10</w:t>
                  </w:r>
                </w:p>
              </w:tc>
              <w:tc>
                <w:tcPr>
                  <w:tcW w:w="1088" w:type="dxa"/>
                  <w:tcBorders>
                    <w:tl2br w:val="nil"/>
                    <w:tr2bl w:val="nil"/>
                  </w:tcBorders>
                  <w:shd w:val="clear" w:color="auto" w:fill="auto"/>
                  <w:vAlign w:val="center"/>
                </w:tcPr>
                <w:p w14:paraId="604DF7D2">
                  <w:pPr>
                    <w:jc w:val="center"/>
                    <w:rPr>
                      <w:szCs w:val="21"/>
                    </w:rPr>
                  </w:pPr>
                  <w:r>
                    <w:rPr>
                      <w:szCs w:val="21"/>
                    </w:rPr>
                    <w:t>聚合物类降失水剂</w:t>
                  </w:r>
                </w:p>
              </w:tc>
              <w:tc>
                <w:tcPr>
                  <w:tcW w:w="5691" w:type="dxa"/>
                  <w:tcBorders>
                    <w:tl2br w:val="nil"/>
                    <w:tr2bl w:val="nil"/>
                  </w:tcBorders>
                  <w:shd w:val="clear" w:color="auto" w:fill="auto"/>
                  <w:vAlign w:val="center"/>
                </w:tcPr>
                <w:p w14:paraId="69B2BA35">
                  <w:pPr>
                    <w:jc w:val="center"/>
                    <w:rPr>
                      <w:szCs w:val="21"/>
                    </w:rPr>
                  </w:pPr>
                  <w:r>
                    <w:rPr>
                      <w:szCs w:val="21"/>
                    </w:rPr>
                    <w:t>包括聚丙烯酰胺、聚乙烯醇、聚醋酸乙烯酯等。这类</w:t>
                  </w:r>
                  <w:r>
                    <w:fldChar w:fldCharType="begin"/>
                  </w:r>
                  <w:r>
                    <w:instrText xml:space="preserve"> HYPERLINK "http://u237201.admin.ish168.com/Product/538841.html" \t "https://www.kelioil.com/NewsDetail/_self" </w:instrText>
                  </w:r>
                  <w:r>
                    <w:fldChar w:fldCharType="separate"/>
                  </w:r>
                  <w:r>
                    <w:rPr>
                      <w:szCs w:val="21"/>
                    </w:rPr>
                    <w:t>降失水剂</w:t>
                  </w:r>
                  <w:r>
                    <w:rPr>
                      <w:szCs w:val="21"/>
                    </w:rPr>
                    <w:fldChar w:fldCharType="end"/>
                  </w:r>
                  <w:r>
                    <w:rPr>
                      <w:szCs w:val="21"/>
                    </w:rPr>
                    <w:t>通常具有更好的耐温、耐盐和抗剪切性能</w:t>
                  </w:r>
                  <w:r>
                    <w:rPr>
                      <w:rFonts w:hint="eastAsia"/>
                      <w:szCs w:val="21"/>
                    </w:rPr>
                    <w:t>，</w:t>
                  </w:r>
                  <w:r>
                    <w:rPr>
                      <w:szCs w:val="21"/>
                    </w:rPr>
                    <w:t>适用于更恶劣的井下条件</w:t>
                  </w:r>
                </w:p>
              </w:tc>
            </w:tr>
            <w:tr w14:paraId="7BEFE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566D4D37">
                  <w:pPr>
                    <w:jc w:val="center"/>
                    <w:rPr>
                      <w:szCs w:val="21"/>
                    </w:rPr>
                  </w:pPr>
                  <w:r>
                    <w:rPr>
                      <w:rFonts w:hint="eastAsia"/>
                      <w:szCs w:val="21"/>
                    </w:rPr>
                    <w:t>11</w:t>
                  </w:r>
                </w:p>
              </w:tc>
              <w:tc>
                <w:tcPr>
                  <w:tcW w:w="1088" w:type="dxa"/>
                  <w:tcBorders>
                    <w:tl2br w:val="nil"/>
                    <w:tr2bl w:val="nil"/>
                  </w:tcBorders>
                  <w:shd w:val="clear" w:color="auto" w:fill="auto"/>
                  <w:vAlign w:val="center"/>
                </w:tcPr>
                <w:p w14:paraId="4EAA1678">
                  <w:pPr>
                    <w:jc w:val="center"/>
                    <w:rPr>
                      <w:szCs w:val="21"/>
                    </w:rPr>
                  </w:pPr>
                  <w:r>
                    <w:rPr>
                      <w:szCs w:val="21"/>
                    </w:rPr>
                    <w:t>羧甲基纤维素钠盐</w:t>
                  </w:r>
                </w:p>
              </w:tc>
              <w:tc>
                <w:tcPr>
                  <w:tcW w:w="5691" w:type="dxa"/>
                  <w:tcBorders>
                    <w:tl2br w:val="nil"/>
                    <w:tr2bl w:val="nil"/>
                  </w:tcBorders>
                  <w:shd w:val="clear" w:color="auto" w:fill="auto"/>
                  <w:vAlign w:val="center"/>
                </w:tcPr>
                <w:p w14:paraId="3C177E31">
                  <w:pPr>
                    <w:jc w:val="center"/>
                    <w:rPr>
                      <w:szCs w:val="21"/>
                    </w:rPr>
                  </w:pPr>
                  <w:r>
                    <w:rPr>
                      <w:szCs w:val="21"/>
                    </w:rPr>
                    <w:t>天然的纤维素和</w:t>
                  </w:r>
                  <w:r>
                    <w:fldChar w:fldCharType="begin"/>
                  </w:r>
                  <w:r>
                    <w:instrText xml:space="preserve"> HYPERLINK "https://baike.baidu.com/item/%E8%8B%9B%E6%80%A7%E7%A2%B1/914711?fromModule=lemma_inlink" \t "https://baike.baidu.com/item/%E7%BE%A7%E7%94%B2%E5%9F%BA%E7%BA%A4%E7%BB%B4%E7%B4%A0%E9%92%A0/_blank" </w:instrText>
                  </w:r>
                  <w:r>
                    <w:fldChar w:fldCharType="separate"/>
                  </w:r>
                  <w:r>
                    <w:rPr>
                      <w:szCs w:val="21"/>
                    </w:rPr>
                    <w:t>苛性碱</w:t>
                  </w:r>
                  <w:r>
                    <w:rPr>
                      <w:szCs w:val="21"/>
                    </w:rPr>
                    <w:fldChar w:fldCharType="end"/>
                  </w:r>
                  <w:r>
                    <w:rPr>
                      <w:szCs w:val="21"/>
                    </w:rPr>
                    <w:t>及</w:t>
                  </w:r>
                  <w:r>
                    <w:fldChar w:fldCharType="begin"/>
                  </w:r>
                  <w:r>
                    <w:instrText xml:space="preserve"> HYPERLINK "https://baike.baidu.com/item/%E4%B8%80%E6%B0%AF%E9%86%8B%E9%85%B8/2672144?fromModule=lemma_inlink" \t "https://baike.baidu.com/item/%E7%BE%A7%E7%94%B2%E5%9F%BA%E7%BA%A4%E7%BB%B4%E7%B4%A0%E9%92%A0/_blank" </w:instrText>
                  </w:r>
                  <w:r>
                    <w:fldChar w:fldCharType="separate"/>
                  </w:r>
                  <w:r>
                    <w:rPr>
                      <w:szCs w:val="21"/>
                    </w:rPr>
                    <w:t>一氯醋酸</w:t>
                  </w:r>
                  <w:r>
                    <w:rPr>
                      <w:szCs w:val="21"/>
                    </w:rPr>
                    <w:fldChar w:fldCharType="end"/>
                  </w:r>
                  <w:r>
                    <w:rPr>
                      <w:szCs w:val="21"/>
                    </w:rPr>
                    <w:t>反应后而制得的一种阴离子型</w:t>
                  </w:r>
                  <w:r>
                    <w:fldChar w:fldCharType="begin"/>
                  </w:r>
                  <w:r>
                    <w:instrText xml:space="preserve"> HYPERLINK "https://baike.baidu.com/item/%E9%AB%98%E5%88%86%E5%AD%90%E5%8C%96%E5%90%88%E7%89%A9/273389?fromModule=lemma_inlink" \t "https://baike.baidu.com/item/%E7%BE%A7%E7%94%B2%E5%9F%BA%E7%BA%A4%E7%BB%B4%E7%B4%A0%E9%92%A0/_blank" </w:instrText>
                  </w:r>
                  <w:r>
                    <w:fldChar w:fldCharType="separate"/>
                  </w:r>
                  <w:r>
                    <w:rPr>
                      <w:szCs w:val="21"/>
                    </w:rPr>
                    <w:t>高分子化合物</w:t>
                  </w:r>
                  <w:r>
                    <w:rPr>
                      <w:szCs w:val="21"/>
                    </w:rPr>
                    <w:fldChar w:fldCharType="end"/>
                  </w:r>
                  <w:r>
                    <w:rPr>
                      <w:szCs w:val="21"/>
                    </w:rPr>
                    <w:t>，分子量由几千到百万。CMC-Na为白色纤维状或颗粒状粉末，</w:t>
                  </w:r>
                  <w:r>
                    <w:rPr>
                      <w:szCs w:val="21"/>
                    </w:rPr>
                    <w:fldChar w:fldCharType="begin"/>
                  </w:r>
                  <w:r>
                    <w:rPr>
                      <w:szCs w:val="21"/>
                    </w:rPr>
                    <w:instrText xml:space="preserve"> HYPERLINK "https://baike.baidu.com/item/%E6%97%A0%E8%87%AD/56321378?fromModule=lemma_inlink" \t "https://baike.baidu.com/item/%E7%BE%A7%E7%94%B2%E5%9F%BA%E7%BA%A4%E7%BB%B4%E7%B4%A0%E9%92%A0/_blank" </w:instrText>
                  </w:r>
                  <w:r>
                    <w:rPr>
                      <w:szCs w:val="21"/>
                    </w:rPr>
                    <w:fldChar w:fldCharType="separate"/>
                  </w:r>
                  <w:r>
                    <w:rPr>
                      <w:szCs w:val="21"/>
                    </w:rPr>
                    <w:t>无臭</w:t>
                  </w:r>
                  <w:r>
                    <w:rPr>
                      <w:szCs w:val="21"/>
                    </w:rPr>
                    <w:fldChar w:fldCharType="end"/>
                  </w:r>
                  <w:r>
                    <w:rPr>
                      <w:szCs w:val="21"/>
                    </w:rPr>
                    <w:t>、无味、有</w:t>
                  </w:r>
                  <w:r>
                    <w:fldChar w:fldCharType="begin"/>
                  </w:r>
                  <w:r>
                    <w:instrText xml:space="preserve"> HYPERLINK "https://baike.baidu.com/item/%E5%90%B8%E6%B9%BF%E6%80%A7/10930709?fromModule=lemma_inlink" \t "https://baike.baidu.com/item/%E7%BE%A7%E7%94%B2%E5%9F%BA%E7%BA%A4%E7%BB%B4%E7%B4%A0%E9%92%A0/_blank" </w:instrText>
                  </w:r>
                  <w:r>
                    <w:fldChar w:fldCharType="separate"/>
                  </w:r>
                  <w:r>
                    <w:rPr>
                      <w:szCs w:val="21"/>
                    </w:rPr>
                    <w:t>吸湿性</w:t>
                  </w:r>
                  <w:r>
                    <w:rPr>
                      <w:szCs w:val="21"/>
                    </w:rPr>
                    <w:fldChar w:fldCharType="end"/>
                  </w:r>
                  <w:r>
                    <w:rPr>
                      <w:szCs w:val="21"/>
                    </w:rPr>
                    <w:t>，易于分散在水中形成透明的</w:t>
                  </w:r>
                  <w:r>
                    <w:fldChar w:fldCharType="begin"/>
                  </w:r>
                  <w:r>
                    <w:instrText xml:space="preserve"> HYPERLINK "https://baike.baidu.com/item/%E8%83%B6%E4%BD%93%E6%BA%B6%E6%B6%B2/8073934?fromModule=lemma_inlink" \t "https://baike.baidu.com/item/%E7%BE%A7%E7%94%B2%E5%9F%BA%E7%BA%A4%E7%BB%B4%E7%B4%A0%E9%92%A0/_blank" </w:instrText>
                  </w:r>
                  <w:r>
                    <w:fldChar w:fldCharType="separate"/>
                  </w:r>
                  <w:r>
                    <w:rPr>
                      <w:szCs w:val="21"/>
                    </w:rPr>
                    <w:t>胶体溶液</w:t>
                  </w:r>
                  <w:r>
                    <w:rPr>
                      <w:szCs w:val="21"/>
                    </w:rPr>
                    <w:fldChar w:fldCharType="end"/>
                  </w:r>
                  <w:r>
                    <w:rPr>
                      <w:szCs w:val="21"/>
                    </w:rPr>
                    <w:t>。</w:t>
                  </w:r>
                </w:p>
              </w:tc>
            </w:tr>
            <w:tr w14:paraId="629AF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632D08D7">
                  <w:pPr>
                    <w:jc w:val="center"/>
                    <w:rPr>
                      <w:szCs w:val="21"/>
                    </w:rPr>
                  </w:pPr>
                  <w:r>
                    <w:rPr>
                      <w:rFonts w:hint="eastAsia"/>
                      <w:szCs w:val="21"/>
                    </w:rPr>
                    <w:t>12</w:t>
                  </w:r>
                </w:p>
              </w:tc>
              <w:tc>
                <w:tcPr>
                  <w:tcW w:w="1088" w:type="dxa"/>
                  <w:tcBorders>
                    <w:tl2br w:val="nil"/>
                    <w:tr2bl w:val="nil"/>
                  </w:tcBorders>
                  <w:shd w:val="clear" w:color="auto" w:fill="auto"/>
                  <w:vAlign w:val="center"/>
                </w:tcPr>
                <w:p w14:paraId="07AC3F48">
                  <w:pPr>
                    <w:jc w:val="center"/>
                    <w:rPr>
                      <w:szCs w:val="21"/>
                    </w:rPr>
                  </w:pPr>
                  <w:r>
                    <w:rPr>
                      <w:szCs w:val="21"/>
                    </w:rPr>
                    <w:t>水解聚丙烯腈-铵盐</w:t>
                  </w:r>
                </w:p>
              </w:tc>
              <w:tc>
                <w:tcPr>
                  <w:tcW w:w="5691" w:type="dxa"/>
                  <w:tcBorders>
                    <w:tl2br w:val="nil"/>
                    <w:tr2bl w:val="nil"/>
                  </w:tcBorders>
                  <w:shd w:val="clear" w:color="auto" w:fill="auto"/>
                  <w:vAlign w:val="center"/>
                </w:tcPr>
                <w:p w14:paraId="1E66C6B2">
                  <w:pPr>
                    <w:jc w:val="center"/>
                    <w:rPr>
                      <w:szCs w:val="21"/>
                    </w:rPr>
                  </w:pPr>
                  <w:r>
                    <w:rPr>
                      <w:szCs w:val="21"/>
                    </w:rPr>
                    <w:t>由腈纶丝高温高压下水解制得，为淡黄色粉末。含有——COOH、COONH</w:t>
                  </w:r>
                  <w:r>
                    <w:rPr>
                      <w:szCs w:val="21"/>
                      <w:vertAlign w:val="subscript"/>
                    </w:rPr>
                    <w:t>4</w:t>
                  </w:r>
                  <w:r>
                    <w:rPr>
                      <w:szCs w:val="21"/>
                    </w:rPr>
                    <w:t>、CONH</w:t>
                  </w:r>
                  <w:r>
                    <w:rPr>
                      <w:szCs w:val="21"/>
                      <w:vertAlign w:val="subscript"/>
                    </w:rPr>
                    <w:t>2</w:t>
                  </w:r>
                  <w:r>
                    <w:rPr>
                      <w:szCs w:val="21"/>
                    </w:rPr>
                    <w:t>、CN等基团构成，具有一定的抗温和抗盐能力。并且具有耐光、耐腐蚀的功能，由于NH</w:t>
                  </w:r>
                  <w:r>
                    <w:rPr>
                      <w:szCs w:val="21"/>
                      <w:vertAlign w:val="superscript"/>
                    </w:rPr>
                    <w:t>4+</w:t>
                  </w:r>
                  <w:r>
                    <w:rPr>
                      <w:szCs w:val="21"/>
                    </w:rPr>
                    <w:t>在页岩中的镶嵌作用，具有一定的防塌效果</w:t>
                  </w:r>
                </w:p>
              </w:tc>
            </w:tr>
            <w:tr w14:paraId="0F89B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shd w:val="clear" w:color="auto" w:fill="auto"/>
                  <w:vAlign w:val="center"/>
                </w:tcPr>
                <w:p w14:paraId="13FEE690">
                  <w:pPr>
                    <w:jc w:val="center"/>
                    <w:rPr>
                      <w:szCs w:val="21"/>
                    </w:rPr>
                  </w:pPr>
                  <w:r>
                    <w:rPr>
                      <w:rFonts w:hint="eastAsia"/>
                      <w:szCs w:val="21"/>
                    </w:rPr>
                    <w:t>13</w:t>
                  </w:r>
                </w:p>
              </w:tc>
              <w:tc>
                <w:tcPr>
                  <w:tcW w:w="1088" w:type="dxa"/>
                  <w:tcBorders>
                    <w:tl2br w:val="nil"/>
                    <w:tr2bl w:val="nil"/>
                  </w:tcBorders>
                  <w:shd w:val="clear" w:color="auto" w:fill="auto"/>
                  <w:vAlign w:val="center"/>
                </w:tcPr>
                <w:p w14:paraId="5F2CF56C">
                  <w:pPr>
                    <w:jc w:val="center"/>
                    <w:rPr>
                      <w:szCs w:val="21"/>
                    </w:rPr>
                  </w:pPr>
                  <w:r>
                    <w:rPr>
                      <w:szCs w:val="21"/>
                    </w:rPr>
                    <w:t>碳酸钙</w:t>
                  </w:r>
                </w:p>
              </w:tc>
              <w:tc>
                <w:tcPr>
                  <w:tcW w:w="5691" w:type="dxa"/>
                  <w:tcBorders>
                    <w:tl2br w:val="nil"/>
                    <w:tr2bl w:val="nil"/>
                  </w:tcBorders>
                  <w:shd w:val="clear" w:color="auto" w:fill="auto"/>
                  <w:vAlign w:val="center"/>
                </w:tcPr>
                <w:p w14:paraId="2BCB0F9A">
                  <w:pPr>
                    <w:jc w:val="center"/>
                    <w:rPr>
                      <w:szCs w:val="21"/>
                    </w:rPr>
                  </w:pPr>
                  <w:r>
                    <w:rPr>
                      <w:szCs w:val="21"/>
                    </w:rPr>
                    <w:t>通常为白色晶体，无味，基本上不溶于水，易与酸反应放出二氧化</w:t>
                  </w:r>
                  <w:r>
                    <w:rPr>
                      <w:rFonts w:hint="eastAsia"/>
                      <w:szCs w:val="21"/>
                    </w:rPr>
                    <w:t>碳。</w:t>
                  </w:r>
                </w:p>
              </w:tc>
            </w:tr>
            <w:tr w14:paraId="3F991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5CD41A2D">
                  <w:pPr>
                    <w:jc w:val="center"/>
                    <w:rPr>
                      <w:szCs w:val="21"/>
                    </w:rPr>
                  </w:pPr>
                  <w:r>
                    <w:rPr>
                      <w:rFonts w:hint="eastAsia"/>
                      <w:szCs w:val="21"/>
                    </w:rPr>
                    <w:t>14</w:t>
                  </w:r>
                </w:p>
              </w:tc>
              <w:tc>
                <w:tcPr>
                  <w:tcW w:w="1088" w:type="dxa"/>
                  <w:tcBorders>
                    <w:tl2br w:val="nil"/>
                    <w:tr2bl w:val="nil"/>
                  </w:tcBorders>
                  <w:vAlign w:val="center"/>
                </w:tcPr>
                <w:p w14:paraId="423594AA">
                  <w:pPr>
                    <w:jc w:val="center"/>
                    <w:rPr>
                      <w:szCs w:val="21"/>
                    </w:rPr>
                  </w:pPr>
                  <w:r>
                    <w:rPr>
                      <w:szCs w:val="21"/>
                    </w:rPr>
                    <w:t>重晶石粉BaSO</w:t>
                  </w:r>
                  <w:r>
                    <w:rPr>
                      <w:szCs w:val="21"/>
                      <w:vertAlign w:val="subscript"/>
                    </w:rPr>
                    <w:t>4</w:t>
                  </w:r>
                </w:p>
              </w:tc>
              <w:tc>
                <w:tcPr>
                  <w:tcW w:w="5691" w:type="dxa"/>
                  <w:tcBorders>
                    <w:tl2br w:val="nil"/>
                    <w:tr2bl w:val="nil"/>
                  </w:tcBorders>
                  <w:vAlign w:val="center"/>
                </w:tcPr>
                <w:p w14:paraId="68AB190D">
                  <w:pPr>
                    <w:jc w:val="center"/>
                    <w:rPr>
                      <w:szCs w:val="21"/>
                    </w:rPr>
                  </w:pPr>
                  <w:r>
                    <w:rPr>
                      <w:szCs w:val="21"/>
                    </w:rPr>
                    <w:t>BaSO</w:t>
                  </w:r>
                  <w:r>
                    <w:rPr>
                      <w:szCs w:val="21"/>
                      <w:vertAlign w:val="subscript"/>
                    </w:rPr>
                    <w:t>4</w:t>
                  </w:r>
                  <w:r>
                    <w:rPr>
                      <w:szCs w:val="21"/>
                    </w:rPr>
                    <w:t>，石油钻探油气井旋转钻探中的环流泥浆加重剂冷却钻头，带走切削下来的碎屑物，润滑钻杆，封闭孔壁，控制油气压力，防止油井自喷。</w:t>
                  </w:r>
                </w:p>
              </w:tc>
            </w:tr>
            <w:tr w14:paraId="416BF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14:paraId="025C7824">
                  <w:pPr>
                    <w:jc w:val="center"/>
                    <w:rPr>
                      <w:szCs w:val="21"/>
                    </w:rPr>
                  </w:pPr>
                  <w:r>
                    <w:rPr>
                      <w:rFonts w:hint="eastAsia"/>
                      <w:szCs w:val="21"/>
                    </w:rPr>
                    <w:t>15</w:t>
                  </w:r>
                </w:p>
              </w:tc>
              <w:tc>
                <w:tcPr>
                  <w:tcW w:w="1088" w:type="dxa"/>
                  <w:tcBorders>
                    <w:tl2br w:val="nil"/>
                    <w:tr2bl w:val="nil"/>
                  </w:tcBorders>
                  <w:vAlign w:val="center"/>
                </w:tcPr>
                <w:p w14:paraId="53ED135D">
                  <w:pPr>
                    <w:jc w:val="center"/>
                    <w:rPr>
                      <w:szCs w:val="21"/>
                    </w:rPr>
                  </w:pPr>
                  <w:r>
                    <w:rPr>
                      <w:rFonts w:hint="eastAsia"/>
                      <w:szCs w:val="21"/>
                    </w:rPr>
                    <w:t>盐酸HCl</w:t>
                  </w:r>
                </w:p>
              </w:tc>
              <w:tc>
                <w:tcPr>
                  <w:tcW w:w="5691" w:type="dxa"/>
                  <w:tcBorders>
                    <w:tl2br w:val="nil"/>
                    <w:tr2bl w:val="nil"/>
                  </w:tcBorders>
                  <w:vAlign w:val="center"/>
                </w:tcPr>
                <w:p w14:paraId="259C19FB">
                  <w:pPr>
                    <w:jc w:val="center"/>
                    <w:rPr>
                      <w:szCs w:val="21"/>
                    </w:rPr>
                  </w:pPr>
                  <w:r>
                    <w:rPr>
                      <w:szCs w:val="21"/>
                    </w:rPr>
                    <w:t>为氯化氢的水溶液,浓盐酸在空气中发烟，有刺激性气味，味酸,能与水及乙醇任意</w:t>
                  </w:r>
                  <w:r>
                    <w:rPr>
                      <w:rFonts w:hint="eastAsia"/>
                      <w:szCs w:val="21"/>
                      <w:lang w:val="en-US" w:eastAsia="zh-CN"/>
                    </w:rPr>
                    <w:t>混合</w:t>
                  </w:r>
                  <w:r>
                    <w:rPr>
                      <w:szCs w:val="21"/>
                    </w:rPr>
                    <w:t>，有强烈的腐蚀性，呈强酸性，能与许多金属和金属的氧化物、碱类和大部分盐类起化学作用，能与碱中和，与磷、硫等非金属均无作用。</w:t>
                  </w:r>
                  <w:r>
                    <w:rPr>
                      <w:rFonts w:hint="eastAsia"/>
                      <w:szCs w:val="21"/>
                    </w:rPr>
                    <w:t>本项目使用盐酸浓度为15%。</w:t>
                  </w:r>
                </w:p>
              </w:tc>
            </w:tr>
          </w:tbl>
          <w:p w14:paraId="63207BEF">
            <w:pPr>
              <w:spacing w:line="360" w:lineRule="auto"/>
              <w:jc w:val="left"/>
              <w:rPr>
                <w:b/>
                <w:sz w:val="24"/>
              </w:rPr>
            </w:pPr>
            <w:r>
              <w:rPr>
                <w:b/>
                <w:sz w:val="24"/>
              </w:rPr>
              <w:t>2.7公用工程</w:t>
            </w:r>
          </w:p>
          <w:p w14:paraId="3E37F99D">
            <w:pPr>
              <w:spacing w:line="360" w:lineRule="auto"/>
              <w:ind w:firstLine="480" w:firstLineChars="200"/>
              <w:rPr>
                <w:bCs/>
                <w:sz w:val="24"/>
              </w:rPr>
            </w:pPr>
            <w:bookmarkStart w:id="16" w:name="_Hlk86168349"/>
            <w:bookmarkStart w:id="17" w:name="_Hlk80691261"/>
            <w:r>
              <w:rPr>
                <w:bCs/>
                <w:sz w:val="24"/>
              </w:rPr>
              <w:t>（1）供电</w:t>
            </w:r>
          </w:p>
          <w:p w14:paraId="68177EF5">
            <w:pPr>
              <w:spacing w:line="360" w:lineRule="auto"/>
              <w:ind w:firstLine="480" w:firstLineChars="200"/>
              <w:rPr>
                <w:bCs/>
                <w:sz w:val="24"/>
              </w:rPr>
            </w:pPr>
            <w:r>
              <w:rPr>
                <w:bCs/>
                <w:sz w:val="24"/>
              </w:rPr>
              <w:t>本项目优先采用网电钻井，备用柴油发电机发电，井场内配置3台柴油电动机组，2用1备，功率为810KW，柴油电动机组设置在发电机房内。</w:t>
            </w:r>
          </w:p>
          <w:p w14:paraId="5F038F1A">
            <w:pPr>
              <w:spacing w:line="360" w:lineRule="auto"/>
              <w:ind w:firstLine="480" w:firstLineChars="200"/>
              <w:rPr>
                <w:bCs/>
                <w:sz w:val="24"/>
              </w:rPr>
            </w:pPr>
            <w:r>
              <w:rPr>
                <w:bCs/>
                <w:sz w:val="24"/>
              </w:rPr>
              <w:t>（2）给水工程</w:t>
            </w:r>
          </w:p>
          <w:p w14:paraId="59585EED">
            <w:pPr>
              <w:spacing w:line="360" w:lineRule="auto"/>
              <w:ind w:firstLine="480" w:firstLineChars="200"/>
              <w:rPr>
                <w:sz w:val="24"/>
              </w:rPr>
            </w:pPr>
            <w:r>
              <w:rPr>
                <w:sz w:val="24"/>
              </w:rPr>
              <w:t>本项目用水包括作业用水和生活用水，生活用水从附近场镇购买，作业用水取自井场附近的河流，然后通过罐车拉运至井场；本评价要求建设单位或施工单位在项目施工前办理相关取水许可，并节约用水。</w:t>
            </w:r>
          </w:p>
          <w:p w14:paraId="26F8AD1B">
            <w:pPr>
              <w:spacing w:line="360" w:lineRule="auto"/>
              <w:ind w:firstLine="480" w:firstLineChars="200"/>
              <w:rPr>
                <w:sz w:val="24"/>
              </w:rPr>
            </w:pPr>
            <w:r>
              <w:rPr>
                <w:sz w:val="24"/>
              </w:rPr>
              <w:t>（3）排水工程</w:t>
            </w:r>
          </w:p>
          <w:p w14:paraId="23626C56">
            <w:pPr>
              <w:spacing w:line="360" w:lineRule="auto"/>
              <w:ind w:firstLine="480" w:firstLineChars="200"/>
              <w:rPr>
                <w:sz w:val="24"/>
              </w:rPr>
            </w:pPr>
            <w:r>
              <w:rPr>
                <w:sz w:val="24"/>
              </w:rPr>
              <w:t>井场采用清污分流、雨污分流制。</w:t>
            </w:r>
          </w:p>
          <w:p w14:paraId="05C973F9">
            <w:pPr>
              <w:spacing w:line="360" w:lineRule="auto"/>
              <w:ind w:firstLine="480" w:firstLineChars="200"/>
              <w:rPr>
                <w:sz w:val="24"/>
              </w:rPr>
            </w:pPr>
            <w:bookmarkStart w:id="18" w:name="_Hlk69130998"/>
            <w:r>
              <w:rPr>
                <w:sz w:val="24"/>
              </w:rPr>
              <w:t>新建场外排水沟3</w:t>
            </w:r>
            <w:r>
              <w:rPr>
                <w:rFonts w:hint="eastAsia"/>
                <w:sz w:val="24"/>
              </w:rPr>
              <w:t>96</w:t>
            </w:r>
            <w:r>
              <w:rPr>
                <w:sz w:val="24"/>
              </w:rPr>
              <w:t>m，规格为700mm宽×500mm深，场外雨水通过场外排水沟排入自然水系。新建1m宽坡顶截水沟</w:t>
            </w:r>
            <w:r>
              <w:rPr>
                <w:rFonts w:hint="eastAsia"/>
                <w:sz w:val="24"/>
              </w:rPr>
              <w:t>21</w:t>
            </w:r>
            <w:r>
              <w:rPr>
                <w:sz w:val="24"/>
              </w:rPr>
              <w:t>0m，放坡坡度i=0.2%。</w:t>
            </w:r>
          </w:p>
          <w:p w14:paraId="05706793">
            <w:pPr>
              <w:spacing w:line="360" w:lineRule="auto"/>
              <w:ind w:firstLine="480" w:firstLineChars="200"/>
              <w:rPr>
                <w:kern w:val="0"/>
                <w:szCs w:val="21"/>
              </w:rPr>
            </w:pPr>
            <w:r>
              <w:rPr>
                <w:sz w:val="24"/>
              </w:rPr>
              <w:t>场内排污沟规格为350mm宽×200mm深，总长495m环状排污沟，放坡坡度i=0.5%。场内排水沟及环境监测池实现井场范围内清水与污水分流。井场内产污区和泥浆不落地平台设置挡水墙与井场清洁区分隔，产污区的废水经</w:t>
            </w:r>
            <w:r>
              <w:rPr>
                <w:rFonts w:hint="eastAsia"/>
                <w:sz w:val="24"/>
              </w:rPr>
              <w:t>场内排水沟汇集至集水坑</w:t>
            </w:r>
            <w:r>
              <w:rPr>
                <w:sz w:val="24"/>
              </w:rPr>
              <w:t>，通过集水坑泵入泥浆不落地平台处理回用。井场清洁区雨水通过排水沟和环境监测池</w:t>
            </w:r>
            <w:r>
              <w:rPr>
                <w:rFonts w:hint="eastAsia"/>
                <w:sz w:val="24"/>
              </w:rPr>
              <w:t>排放</w:t>
            </w:r>
            <w:r>
              <w:rPr>
                <w:sz w:val="24"/>
              </w:rPr>
              <w:t>。生活污水经生态一体化厕所收集后由吸污车拉运至</w:t>
            </w:r>
            <w:r>
              <w:rPr>
                <w:rFonts w:hint="eastAsia"/>
                <w:sz w:val="24"/>
              </w:rPr>
              <w:t>君塘镇</w:t>
            </w:r>
            <w:r>
              <w:rPr>
                <w:sz w:val="24"/>
              </w:rPr>
              <w:t>污水处理厂处理后排放。厨房废水经隔油池处理后同生活污水处置。</w:t>
            </w:r>
            <w:bookmarkEnd w:id="16"/>
            <w:bookmarkEnd w:id="17"/>
            <w:bookmarkEnd w:id="18"/>
          </w:p>
        </w:tc>
      </w:tr>
      <w:tr w14:paraId="7DBF5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80" w:type="dxa"/>
            <w:vAlign w:val="center"/>
          </w:tcPr>
          <w:p w14:paraId="4DFB6236">
            <w:pPr>
              <w:adjustRightInd w:val="0"/>
              <w:snapToGrid w:val="0"/>
              <w:jc w:val="center"/>
              <w:rPr>
                <w:kern w:val="0"/>
                <w:szCs w:val="21"/>
              </w:rPr>
            </w:pPr>
            <w:r>
              <w:rPr>
                <w:kern w:val="0"/>
                <w:szCs w:val="21"/>
              </w:rPr>
              <w:t>总平面及现场布置</w:t>
            </w:r>
          </w:p>
        </w:tc>
        <w:tc>
          <w:tcPr>
            <w:tcW w:w="7707" w:type="dxa"/>
            <w:vAlign w:val="center"/>
          </w:tcPr>
          <w:p w14:paraId="3E0A1C55">
            <w:pPr>
              <w:spacing w:line="360" w:lineRule="auto"/>
              <w:rPr>
                <w:b/>
                <w:sz w:val="24"/>
              </w:rPr>
            </w:pPr>
            <w:r>
              <w:rPr>
                <w:b/>
                <w:sz w:val="24"/>
              </w:rPr>
              <w:t>2.8工程占地与土石方平衡</w:t>
            </w:r>
          </w:p>
          <w:p w14:paraId="59D765C4">
            <w:pPr>
              <w:spacing w:line="360" w:lineRule="auto"/>
              <w:ind w:firstLine="480" w:firstLineChars="200"/>
              <w:rPr>
                <w:bCs/>
                <w:sz w:val="24"/>
              </w:rPr>
            </w:pPr>
            <w:r>
              <w:rPr>
                <w:bCs/>
                <w:sz w:val="24"/>
              </w:rPr>
              <w:t>（1）工程占地情况</w:t>
            </w:r>
          </w:p>
          <w:p w14:paraId="09F5DB21">
            <w:pPr>
              <w:pStyle w:val="215"/>
              <w:rPr>
                <w:rFonts w:ascii="Times New Roman" w:hAnsi="Times New Roman" w:cs="Times New Roman"/>
                <w:lang w:bidi="ar"/>
              </w:rPr>
            </w:pPr>
            <w:r>
              <w:rPr>
                <w:rFonts w:hint="eastAsia" w:ascii="Times New Roman" w:hAnsi="Times New Roman" w:cs="Times New Roman"/>
                <w:lang w:bidi="ar"/>
              </w:rPr>
              <w:t>双庙页1HF井</w:t>
            </w:r>
            <w:r>
              <w:rPr>
                <w:rFonts w:ascii="Times New Roman" w:hAnsi="Times New Roman" w:cs="Times New Roman"/>
                <w:lang w:bidi="ar"/>
              </w:rPr>
              <w:t>新增临时占地</w:t>
            </w:r>
            <w:r>
              <w:rPr>
                <w:rFonts w:hint="eastAsia" w:ascii="Times New Roman" w:hAnsi="Times New Roman" w:cs="Times New Roman"/>
                <w:lang w:bidi="ar"/>
              </w:rPr>
              <w:t>21867</w:t>
            </w:r>
            <w:r>
              <w:rPr>
                <w:rFonts w:ascii="Times New Roman" w:hAnsi="Times New Roman" w:cs="Times New Roman"/>
                <w:lang w:bidi="ar"/>
              </w:rPr>
              <w:t>m</w:t>
            </w:r>
            <w:r>
              <w:rPr>
                <w:rFonts w:ascii="Times New Roman" w:hAnsi="Times New Roman" w:cs="Times New Roman"/>
                <w:vertAlign w:val="superscript"/>
                <w:lang w:bidi="ar"/>
              </w:rPr>
              <w:t>2</w:t>
            </w:r>
            <w:r>
              <w:rPr>
                <w:rFonts w:ascii="Times New Roman" w:hAnsi="Times New Roman" w:cs="Times New Roman"/>
                <w:lang w:bidi="ar"/>
              </w:rPr>
              <w:t>。施工期间用地均为临时用地。根据钻前设计资料，以旱地、水田为主，</w:t>
            </w:r>
            <w:r>
              <w:rPr>
                <w:rFonts w:hint="eastAsia" w:ascii="Times New Roman" w:hAnsi="Times New Roman" w:cs="Times New Roman"/>
                <w:lang w:bidi="ar"/>
              </w:rPr>
              <w:t>项目用地</w:t>
            </w:r>
            <w:r>
              <w:rPr>
                <w:rFonts w:ascii="Times New Roman" w:hAnsi="Times New Roman" w:cs="Times New Roman"/>
                <w:lang w:bidi="ar"/>
              </w:rPr>
              <w:t>不占用自然保护区、</w:t>
            </w:r>
            <w:r>
              <w:rPr>
                <w:rFonts w:hint="eastAsia" w:ascii="Times New Roman" w:hAnsi="Times New Roman" w:cs="Times New Roman"/>
                <w:lang w:bidi="ar"/>
              </w:rPr>
              <w:t>永久基本农田</w:t>
            </w:r>
            <w:r>
              <w:rPr>
                <w:rFonts w:ascii="Times New Roman" w:hAnsi="Times New Roman" w:cs="Times New Roman"/>
                <w:lang w:bidi="ar"/>
              </w:rPr>
              <w:t>等。</w:t>
            </w:r>
            <w:r>
              <w:rPr>
                <w:rFonts w:hint="eastAsia" w:ascii="Times New Roman" w:hAnsi="Times New Roman" w:cs="Times New Roman"/>
                <w:color w:val="4472C4" w:themeColor="accent5"/>
                <w:lang w:bidi="ar"/>
                <w14:textFill>
                  <w14:solidFill>
                    <w14:schemeClr w14:val="accent5"/>
                  </w14:solidFill>
                </w14:textFill>
              </w:rPr>
              <w:t>项目临时占用200m</w:t>
            </w:r>
            <w:r>
              <w:rPr>
                <w:rFonts w:hint="eastAsia" w:ascii="Times New Roman" w:hAnsi="Times New Roman" w:cs="Times New Roman"/>
                <w:color w:val="4472C4" w:themeColor="accent5"/>
                <w:vertAlign w:val="superscript"/>
                <w:lang w:bidi="ar"/>
                <w14:textFill>
                  <w14:solidFill>
                    <w14:schemeClr w14:val="accent5"/>
                  </w14:solidFill>
                </w14:textFill>
              </w:rPr>
              <w:t>2</w:t>
            </w:r>
            <w:r>
              <w:rPr>
                <w:rFonts w:hint="eastAsia" w:ascii="Times New Roman" w:hAnsi="Times New Roman" w:cs="Times New Roman"/>
                <w:color w:val="4472C4" w:themeColor="accent5"/>
                <w:lang w:bidi="ar"/>
                <w14:textFill>
                  <w14:solidFill>
                    <w14:schemeClr w14:val="accent5"/>
                  </w14:solidFill>
                </w14:textFill>
              </w:rPr>
              <w:t>林地，钻井施工前将完善相关林地使用手续。</w:t>
            </w:r>
            <w:r>
              <w:rPr>
                <w:rFonts w:ascii="Times New Roman" w:hAnsi="Times New Roman" w:cs="Times New Roman"/>
                <w:lang w:bidi="ar"/>
              </w:rPr>
              <w:t>旱地内主要种植着季节性蔬菜等农作物，建设单位根据占地面积对当地农户进行赔偿。本项目属陆地矿产资源地质勘查（含油气资源勘探），按《中华人民共和国土地管理法</w:t>
            </w:r>
            <w:r>
              <w:rPr>
                <w:rFonts w:hint="eastAsia" w:ascii="Times New Roman" w:hAnsi="Times New Roman" w:cs="Times New Roman"/>
                <w:lang w:bidi="ar"/>
              </w:rPr>
              <w:t>》《</w:t>
            </w:r>
            <w:r>
              <w:rPr>
                <w:rFonts w:ascii="Times New Roman" w:hAnsi="Times New Roman" w:cs="Times New Roman"/>
                <w:lang w:bidi="ar"/>
              </w:rPr>
              <w:t>四川土地管理实施办法》，办理相关临时用地手续。建设单位应在工程实施前办理临时用地协议。项目占地情况详见下表。</w:t>
            </w:r>
          </w:p>
          <w:p w14:paraId="7860B25A">
            <w:pPr>
              <w:pStyle w:val="19"/>
              <w:numPr>
                <w:ilvl w:val="0"/>
                <w:numId w:val="6"/>
              </w:numPr>
              <w:tabs>
                <w:tab w:val="left" w:pos="0"/>
                <w:tab w:val="left" w:pos="833"/>
              </w:tabs>
              <w:spacing w:before="0" w:after="0" w:line="360" w:lineRule="auto"/>
              <w:ind w:left="0" w:right="0" w:firstLine="0"/>
              <w:jc w:val="center"/>
              <w:rPr>
                <w:b/>
                <w:bCs/>
                <w:sz w:val="21"/>
                <w:szCs w:val="21"/>
              </w:rPr>
            </w:pPr>
            <w:r>
              <w:rPr>
                <w:b/>
                <w:bCs/>
                <w:sz w:val="21"/>
                <w:szCs w:val="21"/>
              </w:rPr>
              <w:t>本工程占地类型一览表     单位：m</w:t>
            </w:r>
            <w:r>
              <w:rPr>
                <w:b/>
                <w:bCs/>
                <w:sz w:val="21"/>
                <w:szCs w:val="21"/>
                <w:vertAlign w:val="superscript"/>
              </w:rPr>
              <w:t>2</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057"/>
              <w:gridCol w:w="1097"/>
              <w:gridCol w:w="1090"/>
              <w:gridCol w:w="1090"/>
              <w:gridCol w:w="1092"/>
              <w:gridCol w:w="1092"/>
            </w:tblGrid>
            <w:tr w14:paraId="5560C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restart"/>
                  <w:tcBorders>
                    <w:tl2br w:val="nil"/>
                    <w:tr2bl w:val="nil"/>
                  </w:tcBorders>
                  <w:vAlign w:val="center"/>
                </w:tcPr>
                <w:p w14:paraId="3EE34CC2">
                  <w:pPr>
                    <w:jc w:val="center"/>
                    <w:rPr>
                      <w:szCs w:val="21"/>
                    </w:rPr>
                  </w:pPr>
                  <w:r>
                    <w:rPr>
                      <w:szCs w:val="21"/>
                    </w:rPr>
                    <w:t>项目组成</w:t>
                  </w:r>
                </w:p>
              </w:tc>
              <w:tc>
                <w:tcPr>
                  <w:tcW w:w="4334" w:type="dxa"/>
                  <w:gridSpan w:val="4"/>
                  <w:tcBorders>
                    <w:tl2br w:val="nil"/>
                    <w:tr2bl w:val="nil"/>
                  </w:tcBorders>
                  <w:vAlign w:val="center"/>
                </w:tcPr>
                <w:p w14:paraId="01B34721">
                  <w:pPr>
                    <w:jc w:val="center"/>
                    <w:rPr>
                      <w:szCs w:val="21"/>
                    </w:rPr>
                  </w:pPr>
                  <w:r>
                    <w:rPr>
                      <w:szCs w:val="21"/>
                    </w:rPr>
                    <w:t>占地类型</w:t>
                  </w:r>
                </w:p>
              </w:tc>
              <w:tc>
                <w:tcPr>
                  <w:tcW w:w="1092" w:type="dxa"/>
                  <w:vMerge w:val="restart"/>
                  <w:tcBorders>
                    <w:tl2br w:val="nil"/>
                    <w:tr2bl w:val="nil"/>
                  </w:tcBorders>
                  <w:vAlign w:val="center"/>
                </w:tcPr>
                <w:p w14:paraId="65AF455E">
                  <w:pPr>
                    <w:jc w:val="center"/>
                    <w:rPr>
                      <w:szCs w:val="21"/>
                    </w:rPr>
                  </w:pPr>
                  <w:r>
                    <w:rPr>
                      <w:szCs w:val="21"/>
                    </w:rPr>
                    <w:t>合计</w:t>
                  </w:r>
                </w:p>
              </w:tc>
              <w:tc>
                <w:tcPr>
                  <w:tcW w:w="1092" w:type="dxa"/>
                  <w:vMerge w:val="restart"/>
                  <w:tcBorders>
                    <w:tl2br w:val="nil"/>
                    <w:tr2bl w:val="nil"/>
                  </w:tcBorders>
                  <w:vAlign w:val="center"/>
                </w:tcPr>
                <w:p w14:paraId="24DD8612">
                  <w:pPr>
                    <w:jc w:val="center"/>
                    <w:rPr>
                      <w:szCs w:val="21"/>
                    </w:rPr>
                  </w:pPr>
                  <w:r>
                    <w:rPr>
                      <w:szCs w:val="21"/>
                    </w:rPr>
                    <w:t>占地性质</w:t>
                  </w:r>
                </w:p>
              </w:tc>
            </w:tr>
            <w:tr w14:paraId="439C4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continue"/>
                  <w:tcBorders>
                    <w:tl2br w:val="nil"/>
                    <w:tr2bl w:val="nil"/>
                  </w:tcBorders>
                  <w:vAlign w:val="center"/>
                </w:tcPr>
                <w:p w14:paraId="42DD9210">
                  <w:pPr>
                    <w:jc w:val="center"/>
                    <w:rPr>
                      <w:szCs w:val="21"/>
                    </w:rPr>
                  </w:pPr>
                </w:p>
              </w:tc>
              <w:tc>
                <w:tcPr>
                  <w:tcW w:w="1057" w:type="dxa"/>
                  <w:tcBorders>
                    <w:tl2br w:val="nil"/>
                    <w:tr2bl w:val="nil"/>
                  </w:tcBorders>
                  <w:vAlign w:val="center"/>
                </w:tcPr>
                <w:p w14:paraId="2738CED3">
                  <w:pPr>
                    <w:jc w:val="center"/>
                    <w:rPr>
                      <w:szCs w:val="21"/>
                    </w:rPr>
                  </w:pPr>
                  <w:r>
                    <w:rPr>
                      <w:rFonts w:hint="eastAsia"/>
                      <w:szCs w:val="21"/>
                    </w:rPr>
                    <w:t>乔木</w:t>
                  </w:r>
                  <w:r>
                    <w:rPr>
                      <w:szCs w:val="21"/>
                    </w:rPr>
                    <w:t>林地</w:t>
                  </w:r>
                </w:p>
              </w:tc>
              <w:tc>
                <w:tcPr>
                  <w:tcW w:w="1097" w:type="dxa"/>
                  <w:tcBorders>
                    <w:tl2br w:val="nil"/>
                    <w:tr2bl w:val="nil"/>
                  </w:tcBorders>
                  <w:vAlign w:val="center"/>
                </w:tcPr>
                <w:p w14:paraId="35D68D0B">
                  <w:pPr>
                    <w:jc w:val="center"/>
                    <w:rPr>
                      <w:szCs w:val="21"/>
                    </w:rPr>
                  </w:pPr>
                  <w:r>
                    <w:rPr>
                      <w:rFonts w:hint="eastAsia"/>
                      <w:szCs w:val="21"/>
                    </w:rPr>
                    <w:t>旱地</w:t>
                  </w:r>
                </w:p>
              </w:tc>
              <w:tc>
                <w:tcPr>
                  <w:tcW w:w="1090" w:type="dxa"/>
                  <w:tcBorders>
                    <w:tl2br w:val="nil"/>
                    <w:tr2bl w:val="nil"/>
                  </w:tcBorders>
                  <w:vAlign w:val="center"/>
                </w:tcPr>
                <w:p w14:paraId="6BA7FA9F">
                  <w:pPr>
                    <w:jc w:val="center"/>
                    <w:rPr>
                      <w:szCs w:val="21"/>
                    </w:rPr>
                  </w:pPr>
                  <w:r>
                    <w:rPr>
                      <w:rFonts w:hint="eastAsia"/>
                      <w:szCs w:val="21"/>
                    </w:rPr>
                    <w:t>灌木林地</w:t>
                  </w:r>
                </w:p>
              </w:tc>
              <w:tc>
                <w:tcPr>
                  <w:tcW w:w="1090" w:type="dxa"/>
                  <w:tcBorders>
                    <w:tl2br w:val="nil"/>
                    <w:tr2bl w:val="nil"/>
                  </w:tcBorders>
                  <w:vAlign w:val="center"/>
                </w:tcPr>
                <w:p w14:paraId="4E4A1AC7">
                  <w:pPr>
                    <w:jc w:val="center"/>
                    <w:rPr>
                      <w:szCs w:val="21"/>
                    </w:rPr>
                  </w:pPr>
                  <w:r>
                    <w:rPr>
                      <w:szCs w:val="21"/>
                    </w:rPr>
                    <w:t>其他用地</w:t>
                  </w:r>
                </w:p>
              </w:tc>
              <w:tc>
                <w:tcPr>
                  <w:tcW w:w="1092" w:type="dxa"/>
                  <w:vMerge w:val="continue"/>
                  <w:tcBorders>
                    <w:tl2br w:val="nil"/>
                    <w:tr2bl w:val="nil"/>
                  </w:tcBorders>
                  <w:vAlign w:val="center"/>
                </w:tcPr>
                <w:p w14:paraId="52827A94">
                  <w:pPr>
                    <w:jc w:val="center"/>
                    <w:rPr>
                      <w:szCs w:val="21"/>
                    </w:rPr>
                  </w:pPr>
                </w:p>
              </w:tc>
              <w:tc>
                <w:tcPr>
                  <w:tcW w:w="1092" w:type="dxa"/>
                  <w:vMerge w:val="continue"/>
                  <w:tcBorders>
                    <w:tl2br w:val="nil"/>
                    <w:tr2bl w:val="nil"/>
                  </w:tcBorders>
                  <w:vAlign w:val="center"/>
                </w:tcPr>
                <w:p w14:paraId="2BFD6F9B">
                  <w:pPr>
                    <w:jc w:val="center"/>
                    <w:rPr>
                      <w:szCs w:val="21"/>
                    </w:rPr>
                  </w:pPr>
                </w:p>
              </w:tc>
            </w:tr>
            <w:tr w14:paraId="3FCFD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tcBorders>
                    <w:tl2br w:val="nil"/>
                    <w:tr2bl w:val="nil"/>
                  </w:tcBorders>
                  <w:vAlign w:val="center"/>
                </w:tcPr>
                <w:p w14:paraId="05255255">
                  <w:pPr>
                    <w:jc w:val="center"/>
                    <w:rPr>
                      <w:szCs w:val="21"/>
                    </w:rPr>
                  </w:pPr>
                  <w:r>
                    <w:rPr>
                      <w:szCs w:val="21"/>
                    </w:rPr>
                    <w:t>井场工程</w:t>
                  </w:r>
                </w:p>
              </w:tc>
              <w:tc>
                <w:tcPr>
                  <w:tcW w:w="1057" w:type="dxa"/>
                  <w:tcBorders>
                    <w:tl2br w:val="nil"/>
                    <w:tr2bl w:val="nil"/>
                  </w:tcBorders>
                  <w:vAlign w:val="center"/>
                </w:tcPr>
                <w:p w14:paraId="57F9326C">
                  <w:pPr>
                    <w:jc w:val="center"/>
                    <w:rPr>
                      <w:szCs w:val="21"/>
                    </w:rPr>
                  </w:pPr>
                  <w:r>
                    <w:rPr>
                      <w:rFonts w:hint="eastAsia"/>
                      <w:bCs/>
                      <w:sz w:val="21"/>
                      <w:szCs w:val="21"/>
                      <w:lang w:val="en-US" w:eastAsia="zh-CN"/>
                    </w:rPr>
                    <w:t>*</w:t>
                  </w:r>
                </w:p>
              </w:tc>
              <w:tc>
                <w:tcPr>
                  <w:tcW w:w="1097" w:type="dxa"/>
                  <w:tcBorders>
                    <w:tl2br w:val="nil"/>
                    <w:tr2bl w:val="nil"/>
                  </w:tcBorders>
                  <w:vAlign w:val="center"/>
                </w:tcPr>
                <w:p w14:paraId="738BEE3D">
                  <w:pPr>
                    <w:jc w:val="center"/>
                    <w:rPr>
                      <w:szCs w:val="21"/>
                    </w:rPr>
                  </w:pPr>
                  <w:r>
                    <w:rPr>
                      <w:rFonts w:hint="eastAsia"/>
                      <w:bCs/>
                      <w:sz w:val="21"/>
                      <w:szCs w:val="21"/>
                      <w:lang w:val="en-US" w:eastAsia="zh-CN"/>
                    </w:rPr>
                    <w:t>*</w:t>
                  </w:r>
                </w:p>
              </w:tc>
              <w:tc>
                <w:tcPr>
                  <w:tcW w:w="1090" w:type="dxa"/>
                  <w:tcBorders>
                    <w:tl2br w:val="nil"/>
                    <w:tr2bl w:val="nil"/>
                  </w:tcBorders>
                  <w:vAlign w:val="center"/>
                </w:tcPr>
                <w:p w14:paraId="1F29F346">
                  <w:pPr>
                    <w:jc w:val="center"/>
                    <w:rPr>
                      <w:szCs w:val="21"/>
                    </w:rPr>
                  </w:pPr>
                  <w:r>
                    <w:rPr>
                      <w:rFonts w:hint="eastAsia"/>
                      <w:bCs/>
                      <w:sz w:val="21"/>
                      <w:szCs w:val="21"/>
                      <w:lang w:val="en-US" w:eastAsia="zh-CN"/>
                    </w:rPr>
                    <w:t>*</w:t>
                  </w:r>
                </w:p>
              </w:tc>
              <w:tc>
                <w:tcPr>
                  <w:tcW w:w="1090" w:type="dxa"/>
                  <w:tcBorders>
                    <w:tl2br w:val="nil"/>
                    <w:tr2bl w:val="nil"/>
                  </w:tcBorders>
                  <w:vAlign w:val="center"/>
                </w:tcPr>
                <w:p w14:paraId="4B0F48BE">
                  <w:pPr>
                    <w:jc w:val="center"/>
                    <w:rPr>
                      <w:szCs w:val="21"/>
                    </w:rPr>
                  </w:pPr>
                  <w:r>
                    <w:rPr>
                      <w:rFonts w:hint="eastAsia"/>
                      <w:bCs/>
                      <w:sz w:val="21"/>
                      <w:szCs w:val="21"/>
                      <w:lang w:val="en-US" w:eastAsia="zh-CN"/>
                    </w:rPr>
                    <w:t>*</w:t>
                  </w:r>
                </w:p>
              </w:tc>
              <w:tc>
                <w:tcPr>
                  <w:tcW w:w="1092" w:type="dxa"/>
                  <w:tcBorders>
                    <w:tl2br w:val="nil"/>
                    <w:tr2bl w:val="nil"/>
                  </w:tcBorders>
                  <w:vAlign w:val="center"/>
                </w:tcPr>
                <w:p w14:paraId="1A2360C7">
                  <w:pPr>
                    <w:jc w:val="center"/>
                    <w:rPr>
                      <w:szCs w:val="21"/>
                    </w:rPr>
                  </w:pPr>
                  <w:r>
                    <w:rPr>
                      <w:rFonts w:hint="eastAsia"/>
                      <w:bCs/>
                      <w:sz w:val="21"/>
                      <w:szCs w:val="21"/>
                      <w:lang w:val="en-US" w:eastAsia="zh-CN"/>
                    </w:rPr>
                    <w:t>*</w:t>
                  </w:r>
                </w:p>
              </w:tc>
              <w:tc>
                <w:tcPr>
                  <w:tcW w:w="1092" w:type="dxa"/>
                  <w:tcBorders>
                    <w:tl2br w:val="nil"/>
                    <w:tr2bl w:val="nil"/>
                  </w:tcBorders>
                  <w:vAlign w:val="center"/>
                </w:tcPr>
                <w:p w14:paraId="03DE1AD6">
                  <w:pPr>
                    <w:jc w:val="center"/>
                    <w:rPr>
                      <w:szCs w:val="21"/>
                    </w:rPr>
                  </w:pPr>
                  <w:r>
                    <w:rPr>
                      <w:szCs w:val="21"/>
                    </w:rPr>
                    <w:t>临时占地</w:t>
                  </w:r>
                </w:p>
              </w:tc>
            </w:tr>
            <w:tr w14:paraId="12BCC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3B19AFA8">
                  <w:pPr>
                    <w:jc w:val="center"/>
                    <w:rPr>
                      <w:szCs w:val="21"/>
                    </w:rPr>
                  </w:pPr>
                  <w:r>
                    <w:rPr>
                      <w:szCs w:val="21"/>
                    </w:rPr>
                    <w:t>清水池</w:t>
                  </w:r>
                </w:p>
              </w:tc>
              <w:tc>
                <w:tcPr>
                  <w:tcW w:w="1057" w:type="dxa"/>
                  <w:tcBorders>
                    <w:tl2br w:val="nil"/>
                    <w:tr2bl w:val="nil"/>
                  </w:tcBorders>
                  <w:vAlign w:val="center"/>
                </w:tcPr>
                <w:p w14:paraId="32C01057">
                  <w:pPr>
                    <w:jc w:val="center"/>
                    <w:rPr>
                      <w:szCs w:val="21"/>
                    </w:rPr>
                  </w:pPr>
                  <w:r>
                    <w:rPr>
                      <w:rFonts w:hint="eastAsia"/>
                      <w:bCs/>
                      <w:sz w:val="21"/>
                      <w:szCs w:val="21"/>
                      <w:lang w:val="en-US" w:eastAsia="zh-CN"/>
                    </w:rPr>
                    <w:t>*</w:t>
                  </w:r>
                </w:p>
              </w:tc>
              <w:tc>
                <w:tcPr>
                  <w:tcW w:w="1097" w:type="dxa"/>
                  <w:tcBorders>
                    <w:tl2br w:val="nil"/>
                    <w:tr2bl w:val="nil"/>
                  </w:tcBorders>
                  <w:vAlign w:val="center"/>
                </w:tcPr>
                <w:p w14:paraId="13DCFBDB">
                  <w:pPr>
                    <w:jc w:val="center"/>
                    <w:rPr>
                      <w:szCs w:val="21"/>
                    </w:rPr>
                  </w:pPr>
                  <w:r>
                    <w:rPr>
                      <w:rFonts w:hint="eastAsia"/>
                      <w:bCs/>
                      <w:sz w:val="21"/>
                      <w:szCs w:val="21"/>
                      <w:lang w:val="en-US" w:eastAsia="zh-CN"/>
                    </w:rPr>
                    <w:t>*</w:t>
                  </w:r>
                </w:p>
              </w:tc>
              <w:tc>
                <w:tcPr>
                  <w:tcW w:w="1090" w:type="dxa"/>
                  <w:tcBorders>
                    <w:tl2br w:val="nil"/>
                    <w:tr2bl w:val="nil"/>
                  </w:tcBorders>
                  <w:vAlign w:val="center"/>
                </w:tcPr>
                <w:p w14:paraId="253A5A23">
                  <w:pPr>
                    <w:jc w:val="center"/>
                    <w:rPr>
                      <w:szCs w:val="21"/>
                    </w:rPr>
                  </w:pPr>
                  <w:r>
                    <w:rPr>
                      <w:rFonts w:hint="eastAsia"/>
                      <w:bCs/>
                      <w:sz w:val="21"/>
                      <w:szCs w:val="21"/>
                      <w:lang w:val="en-US" w:eastAsia="zh-CN"/>
                    </w:rPr>
                    <w:t>*</w:t>
                  </w:r>
                </w:p>
              </w:tc>
              <w:tc>
                <w:tcPr>
                  <w:tcW w:w="1090" w:type="dxa"/>
                  <w:tcBorders>
                    <w:tl2br w:val="nil"/>
                    <w:tr2bl w:val="nil"/>
                  </w:tcBorders>
                  <w:vAlign w:val="center"/>
                </w:tcPr>
                <w:p w14:paraId="6998B85E">
                  <w:pPr>
                    <w:jc w:val="center"/>
                    <w:rPr>
                      <w:szCs w:val="21"/>
                    </w:rPr>
                  </w:pPr>
                  <w:r>
                    <w:rPr>
                      <w:rFonts w:hint="eastAsia"/>
                      <w:bCs/>
                      <w:sz w:val="21"/>
                      <w:szCs w:val="21"/>
                      <w:lang w:val="en-US" w:eastAsia="zh-CN"/>
                    </w:rPr>
                    <w:t>*</w:t>
                  </w:r>
                </w:p>
              </w:tc>
              <w:tc>
                <w:tcPr>
                  <w:tcW w:w="1092" w:type="dxa"/>
                  <w:tcBorders>
                    <w:tl2br w:val="nil"/>
                    <w:tr2bl w:val="nil"/>
                  </w:tcBorders>
                  <w:vAlign w:val="center"/>
                </w:tcPr>
                <w:p w14:paraId="6AA65412">
                  <w:pPr>
                    <w:jc w:val="center"/>
                    <w:rPr>
                      <w:szCs w:val="21"/>
                    </w:rPr>
                  </w:pPr>
                  <w:r>
                    <w:rPr>
                      <w:rFonts w:hint="eastAsia"/>
                      <w:bCs/>
                      <w:sz w:val="21"/>
                      <w:szCs w:val="21"/>
                      <w:lang w:val="en-US" w:eastAsia="zh-CN"/>
                    </w:rPr>
                    <w:t>*</w:t>
                  </w:r>
                </w:p>
              </w:tc>
              <w:tc>
                <w:tcPr>
                  <w:tcW w:w="1092" w:type="dxa"/>
                  <w:tcBorders>
                    <w:tl2br w:val="nil"/>
                    <w:tr2bl w:val="nil"/>
                  </w:tcBorders>
                  <w:vAlign w:val="center"/>
                </w:tcPr>
                <w:p w14:paraId="59C4D8A6">
                  <w:pPr>
                    <w:jc w:val="center"/>
                    <w:rPr>
                      <w:szCs w:val="21"/>
                    </w:rPr>
                  </w:pPr>
                  <w:r>
                    <w:rPr>
                      <w:szCs w:val="21"/>
                    </w:rPr>
                    <w:t>临时占地</w:t>
                  </w:r>
                </w:p>
              </w:tc>
            </w:tr>
            <w:tr w14:paraId="1E569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4A750FE4">
                  <w:pPr>
                    <w:jc w:val="center"/>
                    <w:rPr>
                      <w:szCs w:val="21"/>
                    </w:rPr>
                  </w:pPr>
                  <w:r>
                    <w:rPr>
                      <w:szCs w:val="21"/>
                    </w:rPr>
                    <w:t>放喷池</w:t>
                  </w:r>
                </w:p>
              </w:tc>
              <w:tc>
                <w:tcPr>
                  <w:tcW w:w="1057" w:type="dxa"/>
                  <w:tcBorders>
                    <w:tl2br w:val="nil"/>
                    <w:tr2bl w:val="nil"/>
                  </w:tcBorders>
                  <w:vAlign w:val="center"/>
                </w:tcPr>
                <w:p w14:paraId="6B406E2F">
                  <w:pPr>
                    <w:jc w:val="center"/>
                    <w:rPr>
                      <w:szCs w:val="21"/>
                    </w:rPr>
                  </w:pPr>
                  <w:r>
                    <w:rPr>
                      <w:rFonts w:hint="eastAsia"/>
                      <w:bCs/>
                      <w:sz w:val="21"/>
                      <w:szCs w:val="21"/>
                      <w:lang w:val="en-US" w:eastAsia="zh-CN"/>
                    </w:rPr>
                    <w:t>*</w:t>
                  </w:r>
                </w:p>
              </w:tc>
              <w:tc>
                <w:tcPr>
                  <w:tcW w:w="1097" w:type="dxa"/>
                  <w:tcBorders>
                    <w:tl2br w:val="nil"/>
                    <w:tr2bl w:val="nil"/>
                  </w:tcBorders>
                  <w:vAlign w:val="center"/>
                </w:tcPr>
                <w:p w14:paraId="1D7CB65B">
                  <w:pPr>
                    <w:jc w:val="center"/>
                    <w:rPr>
                      <w:szCs w:val="21"/>
                    </w:rPr>
                  </w:pPr>
                  <w:r>
                    <w:rPr>
                      <w:rFonts w:hint="eastAsia"/>
                      <w:bCs/>
                      <w:sz w:val="21"/>
                      <w:szCs w:val="21"/>
                      <w:lang w:val="en-US" w:eastAsia="zh-CN"/>
                    </w:rPr>
                    <w:t>*</w:t>
                  </w:r>
                </w:p>
              </w:tc>
              <w:tc>
                <w:tcPr>
                  <w:tcW w:w="1090" w:type="dxa"/>
                  <w:tcBorders>
                    <w:tl2br w:val="nil"/>
                    <w:tr2bl w:val="nil"/>
                  </w:tcBorders>
                  <w:vAlign w:val="center"/>
                </w:tcPr>
                <w:p w14:paraId="6E5C734D">
                  <w:pPr>
                    <w:jc w:val="center"/>
                    <w:rPr>
                      <w:szCs w:val="21"/>
                    </w:rPr>
                  </w:pPr>
                  <w:r>
                    <w:rPr>
                      <w:rFonts w:hint="eastAsia"/>
                      <w:bCs/>
                      <w:sz w:val="21"/>
                      <w:szCs w:val="21"/>
                      <w:lang w:val="en-US" w:eastAsia="zh-CN"/>
                    </w:rPr>
                    <w:t>*</w:t>
                  </w:r>
                </w:p>
              </w:tc>
              <w:tc>
                <w:tcPr>
                  <w:tcW w:w="1090" w:type="dxa"/>
                  <w:tcBorders>
                    <w:tl2br w:val="nil"/>
                    <w:tr2bl w:val="nil"/>
                  </w:tcBorders>
                  <w:vAlign w:val="center"/>
                </w:tcPr>
                <w:p w14:paraId="4EE2F213">
                  <w:pPr>
                    <w:jc w:val="center"/>
                    <w:rPr>
                      <w:szCs w:val="21"/>
                    </w:rPr>
                  </w:pPr>
                  <w:r>
                    <w:rPr>
                      <w:rFonts w:hint="eastAsia"/>
                      <w:bCs/>
                      <w:sz w:val="21"/>
                      <w:szCs w:val="21"/>
                      <w:lang w:val="en-US" w:eastAsia="zh-CN"/>
                    </w:rPr>
                    <w:t>*</w:t>
                  </w:r>
                </w:p>
              </w:tc>
              <w:tc>
                <w:tcPr>
                  <w:tcW w:w="1092" w:type="dxa"/>
                  <w:tcBorders>
                    <w:tl2br w:val="nil"/>
                    <w:tr2bl w:val="nil"/>
                  </w:tcBorders>
                  <w:vAlign w:val="center"/>
                </w:tcPr>
                <w:p w14:paraId="4F9F5155">
                  <w:pPr>
                    <w:jc w:val="center"/>
                    <w:rPr>
                      <w:szCs w:val="21"/>
                    </w:rPr>
                  </w:pPr>
                  <w:r>
                    <w:rPr>
                      <w:rFonts w:hint="eastAsia"/>
                      <w:bCs/>
                      <w:sz w:val="21"/>
                      <w:szCs w:val="21"/>
                      <w:lang w:val="en-US" w:eastAsia="zh-CN"/>
                    </w:rPr>
                    <w:t>*</w:t>
                  </w:r>
                </w:p>
              </w:tc>
              <w:tc>
                <w:tcPr>
                  <w:tcW w:w="1092" w:type="dxa"/>
                  <w:tcBorders>
                    <w:tl2br w:val="nil"/>
                    <w:tr2bl w:val="nil"/>
                  </w:tcBorders>
                  <w:vAlign w:val="center"/>
                </w:tcPr>
                <w:p w14:paraId="32EE1297">
                  <w:pPr>
                    <w:jc w:val="center"/>
                    <w:rPr>
                      <w:szCs w:val="21"/>
                    </w:rPr>
                  </w:pPr>
                  <w:r>
                    <w:rPr>
                      <w:szCs w:val="21"/>
                    </w:rPr>
                    <w:t>临时占地</w:t>
                  </w:r>
                </w:p>
              </w:tc>
            </w:tr>
            <w:tr w14:paraId="09985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77891159">
                  <w:pPr>
                    <w:jc w:val="center"/>
                    <w:rPr>
                      <w:szCs w:val="21"/>
                    </w:rPr>
                  </w:pPr>
                  <w:r>
                    <w:rPr>
                      <w:szCs w:val="21"/>
                    </w:rPr>
                    <w:t>生活区</w:t>
                  </w:r>
                </w:p>
              </w:tc>
              <w:tc>
                <w:tcPr>
                  <w:tcW w:w="1057" w:type="dxa"/>
                  <w:tcBorders>
                    <w:tl2br w:val="nil"/>
                    <w:tr2bl w:val="nil"/>
                  </w:tcBorders>
                  <w:vAlign w:val="center"/>
                </w:tcPr>
                <w:p w14:paraId="60094D40">
                  <w:pPr>
                    <w:jc w:val="center"/>
                    <w:rPr>
                      <w:szCs w:val="21"/>
                    </w:rPr>
                  </w:pPr>
                  <w:r>
                    <w:rPr>
                      <w:rFonts w:hint="eastAsia"/>
                      <w:bCs/>
                      <w:sz w:val="21"/>
                      <w:szCs w:val="21"/>
                      <w:lang w:val="en-US" w:eastAsia="zh-CN"/>
                    </w:rPr>
                    <w:t>*</w:t>
                  </w:r>
                </w:p>
              </w:tc>
              <w:tc>
                <w:tcPr>
                  <w:tcW w:w="1097" w:type="dxa"/>
                  <w:tcBorders>
                    <w:tl2br w:val="nil"/>
                    <w:tr2bl w:val="nil"/>
                  </w:tcBorders>
                  <w:vAlign w:val="center"/>
                </w:tcPr>
                <w:p w14:paraId="7F0EC299">
                  <w:pPr>
                    <w:jc w:val="center"/>
                    <w:rPr>
                      <w:szCs w:val="21"/>
                    </w:rPr>
                  </w:pPr>
                  <w:r>
                    <w:rPr>
                      <w:rFonts w:hint="eastAsia"/>
                      <w:bCs/>
                      <w:sz w:val="21"/>
                      <w:szCs w:val="21"/>
                      <w:lang w:val="en-US" w:eastAsia="zh-CN"/>
                    </w:rPr>
                    <w:t>*</w:t>
                  </w:r>
                </w:p>
              </w:tc>
              <w:tc>
                <w:tcPr>
                  <w:tcW w:w="1090" w:type="dxa"/>
                  <w:tcBorders>
                    <w:tl2br w:val="nil"/>
                    <w:tr2bl w:val="nil"/>
                  </w:tcBorders>
                  <w:vAlign w:val="center"/>
                </w:tcPr>
                <w:p w14:paraId="0069EB22">
                  <w:pPr>
                    <w:jc w:val="center"/>
                    <w:rPr>
                      <w:szCs w:val="21"/>
                    </w:rPr>
                  </w:pPr>
                  <w:r>
                    <w:rPr>
                      <w:rFonts w:hint="eastAsia"/>
                      <w:bCs/>
                      <w:sz w:val="21"/>
                      <w:szCs w:val="21"/>
                      <w:lang w:val="en-US" w:eastAsia="zh-CN"/>
                    </w:rPr>
                    <w:t>*</w:t>
                  </w:r>
                </w:p>
              </w:tc>
              <w:tc>
                <w:tcPr>
                  <w:tcW w:w="1090" w:type="dxa"/>
                  <w:tcBorders>
                    <w:tl2br w:val="nil"/>
                    <w:tr2bl w:val="nil"/>
                  </w:tcBorders>
                  <w:vAlign w:val="center"/>
                </w:tcPr>
                <w:p w14:paraId="6B4FD141">
                  <w:pPr>
                    <w:jc w:val="center"/>
                    <w:rPr>
                      <w:szCs w:val="21"/>
                    </w:rPr>
                  </w:pPr>
                  <w:r>
                    <w:rPr>
                      <w:rFonts w:hint="eastAsia"/>
                      <w:bCs/>
                      <w:sz w:val="21"/>
                      <w:szCs w:val="21"/>
                      <w:lang w:val="en-US" w:eastAsia="zh-CN"/>
                    </w:rPr>
                    <w:t>*</w:t>
                  </w:r>
                </w:p>
              </w:tc>
              <w:tc>
                <w:tcPr>
                  <w:tcW w:w="1092" w:type="dxa"/>
                  <w:tcBorders>
                    <w:tl2br w:val="nil"/>
                    <w:tr2bl w:val="nil"/>
                  </w:tcBorders>
                  <w:vAlign w:val="center"/>
                </w:tcPr>
                <w:p w14:paraId="4F0264CA">
                  <w:pPr>
                    <w:jc w:val="center"/>
                    <w:rPr>
                      <w:szCs w:val="21"/>
                    </w:rPr>
                  </w:pPr>
                  <w:r>
                    <w:rPr>
                      <w:rFonts w:hint="eastAsia"/>
                      <w:bCs/>
                      <w:sz w:val="21"/>
                      <w:szCs w:val="21"/>
                      <w:lang w:val="en-US" w:eastAsia="zh-CN"/>
                    </w:rPr>
                    <w:t>*</w:t>
                  </w:r>
                </w:p>
              </w:tc>
              <w:tc>
                <w:tcPr>
                  <w:tcW w:w="1092" w:type="dxa"/>
                  <w:tcBorders>
                    <w:tl2br w:val="nil"/>
                    <w:tr2bl w:val="nil"/>
                  </w:tcBorders>
                  <w:vAlign w:val="center"/>
                </w:tcPr>
                <w:p w14:paraId="03180640">
                  <w:pPr>
                    <w:jc w:val="center"/>
                    <w:rPr>
                      <w:szCs w:val="21"/>
                    </w:rPr>
                  </w:pPr>
                  <w:r>
                    <w:rPr>
                      <w:szCs w:val="21"/>
                    </w:rPr>
                    <w:t>临时占地</w:t>
                  </w:r>
                </w:p>
              </w:tc>
            </w:tr>
            <w:tr w14:paraId="29A83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1CFF08FA">
                  <w:pPr>
                    <w:jc w:val="center"/>
                    <w:rPr>
                      <w:szCs w:val="21"/>
                    </w:rPr>
                  </w:pPr>
                  <w:r>
                    <w:rPr>
                      <w:szCs w:val="21"/>
                    </w:rPr>
                    <w:t>道路工程</w:t>
                  </w:r>
                </w:p>
              </w:tc>
              <w:tc>
                <w:tcPr>
                  <w:tcW w:w="1057" w:type="dxa"/>
                  <w:tcBorders>
                    <w:tl2br w:val="nil"/>
                    <w:tr2bl w:val="nil"/>
                  </w:tcBorders>
                  <w:vAlign w:val="center"/>
                </w:tcPr>
                <w:p w14:paraId="50662389">
                  <w:pPr>
                    <w:jc w:val="center"/>
                    <w:rPr>
                      <w:szCs w:val="21"/>
                    </w:rPr>
                  </w:pPr>
                  <w:r>
                    <w:rPr>
                      <w:rFonts w:hint="eastAsia"/>
                      <w:bCs/>
                      <w:sz w:val="21"/>
                      <w:szCs w:val="21"/>
                      <w:lang w:val="en-US" w:eastAsia="zh-CN"/>
                    </w:rPr>
                    <w:t>*</w:t>
                  </w:r>
                </w:p>
              </w:tc>
              <w:tc>
                <w:tcPr>
                  <w:tcW w:w="1097" w:type="dxa"/>
                  <w:tcBorders>
                    <w:tl2br w:val="nil"/>
                    <w:tr2bl w:val="nil"/>
                  </w:tcBorders>
                  <w:vAlign w:val="center"/>
                </w:tcPr>
                <w:p w14:paraId="32CEB8FD">
                  <w:pPr>
                    <w:jc w:val="center"/>
                    <w:rPr>
                      <w:szCs w:val="21"/>
                    </w:rPr>
                  </w:pPr>
                  <w:r>
                    <w:rPr>
                      <w:rFonts w:hint="eastAsia"/>
                      <w:bCs/>
                      <w:sz w:val="21"/>
                      <w:szCs w:val="21"/>
                      <w:lang w:val="en-US" w:eastAsia="zh-CN"/>
                    </w:rPr>
                    <w:t>*</w:t>
                  </w:r>
                </w:p>
              </w:tc>
              <w:tc>
                <w:tcPr>
                  <w:tcW w:w="1090" w:type="dxa"/>
                  <w:tcBorders>
                    <w:tl2br w:val="nil"/>
                    <w:tr2bl w:val="nil"/>
                  </w:tcBorders>
                  <w:vAlign w:val="center"/>
                </w:tcPr>
                <w:p w14:paraId="0940C607">
                  <w:pPr>
                    <w:jc w:val="center"/>
                    <w:rPr>
                      <w:szCs w:val="21"/>
                    </w:rPr>
                  </w:pPr>
                  <w:r>
                    <w:rPr>
                      <w:rFonts w:hint="eastAsia"/>
                      <w:bCs/>
                      <w:sz w:val="21"/>
                      <w:szCs w:val="21"/>
                      <w:lang w:val="en-US" w:eastAsia="zh-CN"/>
                    </w:rPr>
                    <w:t>*</w:t>
                  </w:r>
                </w:p>
              </w:tc>
              <w:tc>
                <w:tcPr>
                  <w:tcW w:w="1090" w:type="dxa"/>
                  <w:tcBorders>
                    <w:tl2br w:val="nil"/>
                    <w:tr2bl w:val="nil"/>
                  </w:tcBorders>
                  <w:vAlign w:val="center"/>
                </w:tcPr>
                <w:p w14:paraId="2ED8AEFB">
                  <w:pPr>
                    <w:jc w:val="center"/>
                    <w:rPr>
                      <w:szCs w:val="21"/>
                    </w:rPr>
                  </w:pPr>
                  <w:r>
                    <w:rPr>
                      <w:rFonts w:hint="eastAsia"/>
                      <w:bCs/>
                      <w:sz w:val="21"/>
                      <w:szCs w:val="21"/>
                      <w:lang w:val="en-US" w:eastAsia="zh-CN"/>
                    </w:rPr>
                    <w:t>*</w:t>
                  </w:r>
                </w:p>
              </w:tc>
              <w:tc>
                <w:tcPr>
                  <w:tcW w:w="1092" w:type="dxa"/>
                  <w:tcBorders>
                    <w:tl2br w:val="nil"/>
                    <w:tr2bl w:val="nil"/>
                  </w:tcBorders>
                  <w:vAlign w:val="center"/>
                </w:tcPr>
                <w:p w14:paraId="7F8850A3">
                  <w:pPr>
                    <w:jc w:val="center"/>
                    <w:rPr>
                      <w:szCs w:val="21"/>
                    </w:rPr>
                  </w:pPr>
                  <w:r>
                    <w:rPr>
                      <w:rFonts w:hint="eastAsia"/>
                      <w:bCs/>
                      <w:sz w:val="21"/>
                      <w:szCs w:val="21"/>
                      <w:lang w:val="en-US" w:eastAsia="zh-CN"/>
                    </w:rPr>
                    <w:t>*</w:t>
                  </w:r>
                </w:p>
              </w:tc>
              <w:tc>
                <w:tcPr>
                  <w:tcW w:w="1092" w:type="dxa"/>
                  <w:tcBorders>
                    <w:tl2br w:val="nil"/>
                    <w:tr2bl w:val="nil"/>
                  </w:tcBorders>
                  <w:vAlign w:val="center"/>
                </w:tcPr>
                <w:p w14:paraId="11D9FB6E">
                  <w:pPr>
                    <w:jc w:val="center"/>
                    <w:rPr>
                      <w:szCs w:val="21"/>
                    </w:rPr>
                  </w:pPr>
                  <w:r>
                    <w:rPr>
                      <w:szCs w:val="21"/>
                    </w:rPr>
                    <w:t>临时占地</w:t>
                  </w:r>
                </w:p>
              </w:tc>
            </w:tr>
            <w:tr w14:paraId="3381A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1ADEC426">
                  <w:pPr>
                    <w:jc w:val="center"/>
                    <w:rPr>
                      <w:szCs w:val="21"/>
                    </w:rPr>
                  </w:pPr>
                  <w:r>
                    <w:rPr>
                      <w:szCs w:val="21"/>
                    </w:rPr>
                    <w:t>耕植土堆放区</w:t>
                  </w:r>
                </w:p>
              </w:tc>
              <w:tc>
                <w:tcPr>
                  <w:tcW w:w="1057" w:type="dxa"/>
                  <w:tcBorders>
                    <w:tl2br w:val="nil"/>
                    <w:tr2bl w:val="nil"/>
                  </w:tcBorders>
                  <w:vAlign w:val="center"/>
                </w:tcPr>
                <w:p w14:paraId="716AAA8E">
                  <w:pPr>
                    <w:jc w:val="center"/>
                    <w:rPr>
                      <w:szCs w:val="21"/>
                    </w:rPr>
                  </w:pPr>
                  <w:r>
                    <w:rPr>
                      <w:rFonts w:hint="eastAsia"/>
                      <w:bCs/>
                      <w:sz w:val="21"/>
                      <w:szCs w:val="21"/>
                      <w:lang w:val="en-US" w:eastAsia="zh-CN"/>
                    </w:rPr>
                    <w:t>*</w:t>
                  </w:r>
                </w:p>
              </w:tc>
              <w:tc>
                <w:tcPr>
                  <w:tcW w:w="1097" w:type="dxa"/>
                  <w:tcBorders>
                    <w:tl2br w:val="nil"/>
                    <w:tr2bl w:val="nil"/>
                  </w:tcBorders>
                  <w:vAlign w:val="center"/>
                </w:tcPr>
                <w:p w14:paraId="2FE9EC78">
                  <w:pPr>
                    <w:jc w:val="center"/>
                    <w:rPr>
                      <w:szCs w:val="21"/>
                    </w:rPr>
                  </w:pPr>
                  <w:r>
                    <w:rPr>
                      <w:rFonts w:hint="eastAsia"/>
                      <w:bCs/>
                      <w:sz w:val="21"/>
                      <w:szCs w:val="21"/>
                      <w:lang w:val="en-US" w:eastAsia="zh-CN"/>
                    </w:rPr>
                    <w:t>*</w:t>
                  </w:r>
                </w:p>
              </w:tc>
              <w:tc>
                <w:tcPr>
                  <w:tcW w:w="1090" w:type="dxa"/>
                  <w:tcBorders>
                    <w:tl2br w:val="nil"/>
                    <w:tr2bl w:val="nil"/>
                  </w:tcBorders>
                  <w:vAlign w:val="center"/>
                </w:tcPr>
                <w:p w14:paraId="1604BBE5">
                  <w:pPr>
                    <w:jc w:val="center"/>
                    <w:rPr>
                      <w:szCs w:val="21"/>
                    </w:rPr>
                  </w:pPr>
                  <w:r>
                    <w:rPr>
                      <w:rFonts w:hint="eastAsia"/>
                      <w:bCs/>
                      <w:sz w:val="21"/>
                      <w:szCs w:val="21"/>
                      <w:lang w:val="en-US" w:eastAsia="zh-CN"/>
                    </w:rPr>
                    <w:t>*</w:t>
                  </w:r>
                </w:p>
              </w:tc>
              <w:tc>
                <w:tcPr>
                  <w:tcW w:w="1090" w:type="dxa"/>
                  <w:tcBorders>
                    <w:tl2br w:val="nil"/>
                    <w:tr2bl w:val="nil"/>
                  </w:tcBorders>
                  <w:vAlign w:val="center"/>
                </w:tcPr>
                <w:p w14:paraId="55C1E343">
                  <w:pPr>
                    <w:jc w:val="center"/>
                    <w:rPr>
                      <w:szCs w:val="21"/>
                    </w:rPr>
                  </w:pPr>
                  <w:r>
                    <w:rPr>
                      <w:rFonts w:hint="eastAsia"/>
                      <w:bCs/>
                      <w:sz w:val="21"/>
                      <w:szCs w:val="21"/>
                      <w:lang w:val="en-US" w:eastAsia="zh-CN"/>
                    </w:rPr>
                    <w:t>*</w:t>
                  </w:r>
                </w:p>
              </w:tc>
              <w:tc>
                <w:tcPr>
                  <w:tcW w:w="1092" w:type="dxa"/>
                  <w:tcBorders>
                    <w:tl2br w:val="nil"/>
                    <w:tr2bl w:val="nil"/>
                  </w:tcBorders>
                  <w:vAlign w:val="center"/>
                </w:tcPr>
                <w:p w14:paraId="6D2846E1">
                  <w:pPr>
                    <w:jc w:val="center"/>
                    <w:rPr>
                      <w:szCs w:val="21"/>
                    </w:rPr>
                  </w:pPr>
                  <w:r>
                    <w:rPr>
                      <w:rFonts w:hint="eastAsia"/>
                      <w:bCs/>
                      <w:sz w:val="21"/>
                      <w:szCs w:val="21"/>
                      <w:lang w:val="en-US" w:eastAsia="zh-CN"/>
                    </w:rPr>
                    <w:t>*</w:t>
                  </w:r>
                </w:p>
              </w:tc>
              <w:tc>
                <w:tcPr>
                  <w:tcW w:w="1092" w:type="dxa"/>
                  <w:tcBorders>
                    <w:tl2br w:val="nil"/>
                    <w:tr2bl w:val="nil"/>
                  </w:tcBorders>
                  <w:vAlign w:val="center"/>
                </w:tcPr>
                <w:p w14:paraId="404BBA31">
                  <w:pPr>
                    <w:jc w:val="center"/>
                    <w:rPr>
                      <w:szCs w:val="21"/>
                    </w:rPr>
                  </w:pPr>
                  <w:r>
                    <w:rPr>
                      <w:szCs w:val="21"/>
                    </w:rPr>
                    <w:t>临时占地</w:t>
                  </w:r>
                </w:p>
              </w:tc>
            </w:tr>
            <w:tr w14:paraId="4049F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63CE5846">
                  <w:pPr>
                    <w:jc w:val="center"/>
                    <w:rPr>
                      <w:szCs w:val="21"/>
                    </w:rPr>
                  </w:pPr>
                  <w:r>
                    <w:rPr>
                      <w:szCs w:val="21"/>
                    </w:rPr>
                    <w:t>其他用地</w:t>
                  </w:r>
                </w:p>
              </w:tc>
              <w:tc>
                <w:tcPr>
                  <w:tcW w:w="1057" w:type="dxa"/>
                  <w:tcBorders>
                    <w:tl2br w:val="nil"/>
                    <w:tr2bl w:val="nil"/>
                  </w:tcBorders>
                  <w:vAlign w:val="center"/>
                </w:tcPr>
                <w:p w14:paraId="46EE8201">
                  <w:pPr>
                    <w:jc w:val="center"/>
                    <w:rPr>
                      <w:szCs w:val="21"/>
                    </w:rPr>
                  </w:pPr>
                  <w:r>
                    <w:rPr>
                      <w:rFonts w:hint="eastAsia"/>
                      <w:bCs/>
                      <w:sz w:val="21"/>
                      <w:szCs w:val="21"/>
                      <w:lang w:val="en-US" w:eastAsia="zh-CN"/>
                    </w:rPr>
                    <w:t>*</w:t>
                  </w:r>
                </w:p>
              </w:tc>
              <w:tc>
                <w:tcPr>
                  <w:tcW w:w="1097" w:type="dxa"/>
                  <w:tcBorders>
                    <w:tl2br w:val="nil"/>
                    <w:tr2bl w:val="nil"/>
                  </w:tcBorders>
                  <w:vAlign w:val="center"/>
                </w:tcPr>
                <w:p w14:paraId="7B4F8D6F">
                  <w:pPr>
                    <w:jc w:val="center"/>
                    <w:rPr>
                      <w:szCs w:val="21"/>
                    </w:rPr>
                  </w:pPr>
                  <w:r>
                    <w:rPr>
                      <w:rFonts w:hint="eastAsia"/>
                      <w:bCs/>
                      <w:sz w:val="21"/>
                      <w:szCs w:val="21"/>
                      <w:lang w:val="en-US" w:eastAsia="zh-CN"/>
                    </w:rPr>
                    <w:t>*</w:t>
                  </w:r>
                </w:p>
              </w:tc>
              <w:tc>
                <w:tcPr>
                  <w:tcW w:w="1090" w:type="dxa"/>
                  <w:tcBorders>
                    <w:tl2br w:val="nil"/>
                    <w:tr2bl w:val="nil"/>
                  </w:tcBorders>
                  <w:vAlign w:val="center"/>
                </w:tcPr>
                <w:p w14:paraId="25EF8FB6">
                  <w:pPr>
                    <w:jc w:val="center"/>
                    <w:rPr>
                      <w:szCs w:val="21"/>
                    </w:rPr>
                  </w:pPr>
                  <w:r>
                    <w:rPr>
                      <w:rFonts w:hint="eastAsia"/>
                      <w:bCs/>
                      <w:sz w:val="21"/>
                      <w:szCs w:val="21"/>
                      <w:lang w:val="en-US" w:eastAsia="zh-CN"/>
                    </w:rPr>
                    <w:t>*</w:t>
                  </w:r>
                </w:p>
              </w:tc>
              <w:tc>
                <w:tcPr>
                  <w:tcW w:w="1090" w:type="dxa"/>
                  <w:tcBorders>
                    <w:tl2br w:val="nil"/>
                    <w:tr2bl w:val="nil"/>
                  </w:tcBorders>
                  <w:vAlign w:val="center"/>
                </w:tcPr>
                <w:p w14:paraId="4E0DB997">
                  <w:pPr>
                    <w:jc w:val="center"/>
                    <w:rPr>
                      <w:szCs w:val="21"/>
                    </w:rPr>
                  </w:pPr>
                  <w:r>
                    <w:rPr>
                      <w:rFonts w:hint="eastAsia"/>
                      <w:bCs/>
                      <w:sz w:val="21"/>
                      <w:szCs w:val="21"/>
                      <w:lang w:val="en-US" w:eastAsia="zh-CN"/>
                    </w:rPr>
                    <w:t>*</w:t>
                  </w:r>
                </w:p>
              </w:tc>
              <w:tc>
                <w:tcPr>
                  <w:tcW w:w="1092" w:type="dxa"/>
                  <w:tcBorders>
                    <w:tl2br w:val="nil"/>
                    <w:tr2bl w:val="nil"/>
                  </w:tcBorders>
                  <w:vAlign w:val="center"/>
                </w:tcPr>
                <w:p w14:paraId="2B877241">
                  <w:pPr>
                    <w:jc w:val="center"/>
                    <w:rPr>
                      <w:szCs w:val="21"/>
                    </w:rPr>
                  </w:pPr>
                  <w:r>
                    <w:rPr>
                      <w:rFonts w:hint="eastAsia"/>
                      <w:bCs/>
                      <w:sz w:val="21"/>
                      <w:szCs w:val="21"/>
                      <w:lang w:val="en-US" w:eastAsia="zh-CN"/>
                    </w:rPr>
                    <w:t>*</w:t>
                  </w:r>
                </w:p>
              </w:tc>
              <w:tc>
                <w:tcPr>
                  <w:tcW w:w="1092" w:type="dxa"/>
                  <w:tcBorders>
                    <w:tl2br w:val="nil"/>
                    <w:tr2bl w:val="nil"/>
                  </w:tcBorders>
                  <w:vAlign w:val="center"/>
                </w:tcPr>
                <w:p w14:paraId="7E9D7843">
                  <w:pPr>
                    <w:jc w:val="center"/>
                    <w:rPr>
                      <w:szCs w:val="21"/>
                    </w:rPr>
                  </w:pPr>
                  <w:r>
                    <w:rPr>
                      <w:szCs w:val="21"/>
                    </w:rPr>
                    <w:t>临时占地</w:t>
                  </w:r>
                </w:p>
              </w:tc>
            </w:tr>
            <w:tr w14:paraId="68926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14:paraId="155DFBC0">
                  <w:pPr>
                    <w:jc w:val="center"/>
                    <w:rPr>
                      <w:szCs w:val="21"/>
                    </w:rPr>
                  </w:pPr>
                  <w:r>
                    <w:rPr>
                      <w:szCs w:val="21"/>
                    </w:rPr>
                    <w:t>合计</w:t>
                  </w:r>
                </w:p>
              </w:tc>
              <w:tc>
                <w:tcPr>
                  <w:tcW w:w="1057" w:type="dxa"/>
                  <w:tcBorders>
                    <w:tl2br w:val="nil"/>
                    <w:tr2bl w:val="nil"/>
                  </w:tcBorders>
                  <w:vAlign w:val="center"/>
                </w:tcPr>
                <w:p w14:paraId="723C5631">
                  <w:pPr>
                    <w:jc w:val="center"/>
                    <w:rPr>
                      <w:szCs w:val="21"/>
                    </w:rPr>
                  </w:pPr>
                  <w:r>
                    <w:rPr>
                      <w:rFonts w:hint="eastAsia"/>
                      <w:bCs/>
                      <w:sz w:val="21"/>
                      <w:szCs w:val="21"/>
                      <w:lang w:val="en-US" w:eastAsia="zh-CN"/>
                    </w:rPr>
                    <w:t>*</w:t>
                  </w:r>
                </w:p>
              </w:tc>
              <w:tc>
                <w:tcPr>
                  <w:tcW w:w="1097" w:type="dxa"/>
                  <w:tcBorders>
                    <w:tl2br w:val="nil"/>
                    <w:tr2bl w:val="nil"/>
                  </w:tcBorders>
                  <w:vAlign w:val="center"/>
                </w:tcPr>
                <w:p w14:paraId="12663662">
                  <w:pPr>
                    <w:jc w:val="center"/>
                    <w:rPr>
                      <w:szCs w:val="21"/>
                    </w:rPr>
                  </w:pPr>
                  <w:r>
                    <w:rPr>
                      <w:rFonts w:hint="eastAsia"/>
                      <w:bCs/>
                      <w:sz w:val="21"/>
                      <w:szCs w:val="21"/>
                      <w:lang w:val="en-US" w:eastAsia="zh-CN"/>
                    </w:rPr>
                    <w:t>*</w:t>
                  </w:r>
                </w:p>
              </w:tc>
              <w:tc>
                <w:tcPr>
                  <w:tcW w:w="1090" w:type="dxa"/>
                  <w:tcBorders>
                    <w:tl2br w:val="nil"/>
                    <w:tr2bl w:val="nil"/>
                  </w:tcBorders>
                  <w:vAlign w:val="center"/>
                </w:tcPr>
                <w:p w14:paraId="0F8694B0">
                  <w:pPr>
                    <w:jc w:val="center"/>
                    <w:rPr>
                      <w:szCs w:val="21"/>
                    </w:rPr>
                  </w:pPr>
                  <w:r>
                    <w:rPr>
                      <w:rFonts w:hint="eastAsia"/>
                      <w:bCs/>
                      <w:sz w:val="21"/>
                      <w:szCs w:val="21"/>
                      <w:lang w:val="en-US" w:eastAsia="zh-CN"/>
                    </w:rPr>
                    <w:t>*</w:t>
                  </w:r>
                </w:p>
              </w:tc>
              <w:tc>
                <w:tcPr>
                  <w:tcW w:w="1090" w:type="dxa"/>
                  <w:tcBorders>
                    <w:tl2br w:val="nil"/>
                    <w:tr2bl w:val="nil"/>
                  </w:tcBorders>
                  <w:vAlign w:val="center"/>
                </w:tcPr>
                <w:p w14:paraId="7B79C066">
                  <w:pPr>
                    <w:jc w:val="center"/>
                    <w:rPr>
                      <w:szCs w:val="21"/>
                    </w:rPr>
                  </w:pPr>
                  <w:r>
                    <w:rPr>
                      <w:rFonts w:hint="eastAsia"/>
                      <w:bCs/>
                      <w:sz w:val="21"/>
                      <w:szCs w:val="21"/>
                      <w:lang w:val="en-US" w:eastAsia="zh-CN"/>
                    </w:rPr>
                    <w:t>*</w:t>
                  </w:r>
                </w:p>
              </w:tc>
              <w:tc>
                <w:tcPr>
                  <w:tcW w:w="1092" w:type="dxa"/>
                  <w:tcBorders>
                    <w:tl2br w:val="nil"/>
                    <w:tr2bl w:val="nil"/>
                  </w:tcBorders>
                  <w:vAlign w:val="center"/>
                </w:tcPr>
                <w:p w14:paraId="3E1AAB76">
                  <w:pPr>
                    <w:jc w:val="center"/>
                    <w:rPr>
                      <w:szCs w:val="21"/>
                    </w:rPr>
                  </w:pPr>
                  <w:r>
                    <w:rPr>
                      <w:rFonts w:hint="eastAsia"/>
                      <w:bCs/>
                      <w:sz w:val="21"/>
                      <w:szCs w:val="21"/>
                      <w:lang w:val="en-US" w:eastAsia="zh-CN"/>
                    </w:rPr>
                    <w:t>*</w:t>
                  </w:r>
                </w:p>
              </w:tc>
              <w:tc>
                <w:tcPr>
                  <w:tcW w:w="1092" w:type="dxa"/>
                  <w:tcBorders>
                    <w:tl2br w:val="nil"/>
                    <w:tr2bl w:val="nil"/>
                  </w:tcBorders>
                  <w:vAlign w:val="center"/>
                </w:tcPr>
                <w:p w14:paraId="5F38C76E">
                  <w:pPr>
                    <w:jc w:val="center"/>
                    <w:rPr>
                      <w:szCs w:val="21"/>
                    </w:rPr>
                  </w:pPr>
                </w:p>
              </w:tc>
            </w:tr>
          </w:tbl>
          <w:p w14:paraId="35DF57EE">
            <w:pPr>
              <w:pStyle w:val="215"/>
              <w:rPr>
                <w:rFonts w:ascii="Times New Roman" w:hAnsi="Times New Roman" w:cs="Times New Roman"/>
                <w:lang w:bidi="ar"/>
              </w:rPr>
            </w:pPr>
            <w:r>
              <w:rPr>
                <w:rFonts w:ascii="Times New Roman" w:hAnsi="Times New Roman" w:cs="Times New Roman"/>
                <w:lang w:bidi="ar"/>
              </w:rPr>
              <w:t>根据钻前设计，本工程用地均为临时用地，若完井测试结果表明气井有开采价值，则再行征用工艺装置区用地。</w:t>
            </w:r>
          </w:p>
          <w:p w14:paraId="1411C9B0">
            <w:pPr>
              <w:spacing w:line="360" w:lineRule="auto"/>
              <w:ind w:firstLine="480" w:firstLineChars="200"/>
              <w:rPr>
                <w:bCs/>
                <w:sz w:val="24"/>
              </w:rPr>
            </w:pPr>
            <w:r>
              <w:rPr>
                <w:bCs/>
                <w:sz w:val="24"/>
              </w:rPr>
              <w:t>（2）项目土石方平衡</w:t>
            </w:r>
          </w:p>
          <w:p w14:paraId="42D317E5">
            <w:pPr>
              <w:pStyle w:val="215"/>
              <w:rPr>
                <w:rFonts w:ascii="Times New Roman" w:hAnsi="Times New Roman" w:cs="Times New Roman"/>
                <w:szCs w:val="24"/>
                <w:lang w:bidi="ar"/>
              </w:rPr>
            </w:pPr>
            <w:r>
              <w:rPr>
                <w:rFonts w:ascii="Times New Roman" w:hAnsi="Times New Roman" w:cs="Times New Roman"/>
                <w:szCs w:val="24"/>
                <w:lang w:bidi="ar"/>
              </w:rPr>
              <w:t>本工程实现土石方挖填平衡，井场新建及放喷管线建设过程开挖的耕植土，根据设计单位提供资料，耕植土开挖量约</w:t>
            </w:r>
            <w:r>
              <w:rPr>
                <w:rFonts w:hint="eastAsia" w:ascii="Times New Roman" w:hAnsi="Times New Roman" w:cs="Times New Roman"/>
                <w:szCs w:val="24"/>
                <w:lang w:bidi="ar"/>
              </w:rPr>
              <w:t>16261.3</w:t>
            </w:r>
            <w:r>
              <w:rPr>
                <w:rFonts w:ascii="Times New Roman" w:hAnsi="Times New Roman" w:cs="Times New Roman"/>
                <w:szCs w:val="24"/>
                <w:lang w:bidi="ar"/>
              </w:rPr>
              <w:t>m</w:t>
            </w:r>
            <w:r>
              <w:rPr>
                <w:rFonts w:ascii="Times New Roman" w:hAnsi="Times New Roman" w:cs="Times New Roman"/>
                <w:szCs w:val="24"/>
                <w:vertAlign w:val="superscript"/>
                <w:lang w:bidi="ar"/>
              </w:rPr>
              <w:t>3</w:t>
            </w:r>
            <w:r>
              <w:rPr>
                <w:rFonts w:ascii="Times New Roman" w:hAnsi="Times New Roman" w:cs="Times New Roman"/>
                <w:szCs w:val="24"/>
                <w:lang w:bidi="ar"/>
              </w:rPr>
              <w:t>，临时堆放耕植土堆放区面积为</w:t>
            </w:r>
            <w:r>
              <w:rPr>
                <w:rFonts w:hint="eastAsia" w:ascii="Times New Roman" w:hAnsi="Times New Roman" w:cs="Times New Roman"/>
                <w:szCs w:val="24"/>
                <w:lang w:bidi="ar"/>
              </w:rPr>
              <w:t>2667</w:t>
            </w:r>
            <w:r>
              <w:rPr>
                <w:rFonts w:ascii="Times New Roman" w:hAnsi="Times New Roman" w:cs="Times New Roman"/>
                <w:szCs w:val="24"/>
                <w:lang w:bidi="ar"/>
              </w:rPr>
              <w:t>m</w:t>
            </w:r>
            <w:r>
              <w:rPr>
                <w:rFonts w:ascii="Times New Roman" w:hAnsi="Times New Roman" w:cs="Times New Roman"/>
                <w:szCs w:val="24"/>
                <w:vertAlign w:val="superscript"/>
                <w:lang w:bidi="ar"/>
              </w:rPr>
              <w:t>2</w:t>
            </w:r>
            <w:r>
              <w:rPr>
                <w:rFonts w:ascii="Times New Roman" w:hAnsi="Times New Roman" w:cs="Times New Roman"/>
                <w:szCs w:val="24"/>
                <w:lang w:bidi="ar"/>
              </w:rPr>
              <w:t>，设计堆放高度为</w:t>
            </w:r>
            <w:r>
              <w:rPr>
                <w:rFonts w:hint="eastAsia" w:ascii="Times New Roman" w:hAnsi="Times New Roman" w:cs="Times New Roman"/>
                <w:szCs w:val="24"/>
                <w:lang w:bidi="ar"/>
              </w:rPr>
              <w:t>1.5</w:t>
            </w:r>
            <w:r>
              <w:rPr>
                <w:rFonts w:ascii="Times New Roman" w:hAnsi="Times New Roman" w:cs="Times New Roman"/>
                <w:szCs w:val="24"/>
                <w:lang w:bidi="ar"/>
              </w:rPr>
              <w:t>m，合计最大堆放量</w:t>
            </w:r>
            <w:r>
              <w:rPr>
                <w:rFonts w:hint="eastAsia" w:ascii="Times New Roman" w:hAnsi="Times New Roman" w:cs="Times New Roman"/>
                <w:szCs w:val="24"/>
                <w:lang w:bidi="ar"/>
              </w:rPr>
              <w:t>4000</w:t>
            </w:r>
            <w:r>
              <w:rPr>
                <w:rFonts w:ascii="Times New Roman" w:hAnsi="Times New Roman" w:cs="Times New Roman"/>
                <w:szCs w:val="24"/>
                <w:lang w:bidi="ar"/>
              </w:rPr>
              <w:t>m</w:t>
            </w:r>
            <w:r>
              <w:rPr>
                <w:rFonts w:ascii="Times New Roman" w:hAnsi="Times New Roman" w:cs="Times New Roman"/>
                <w:szCs w:val="24"/>
                <w:vertAlign w:val="superscript"/>
                <w:lang w:bidi="ar"/>
              </w:rPr>
              <w:t>3</w:t>
            </w:r>
            <w:r>
              <w:rPr>
                <w:rFonts w:ascii="Times New Roman" w:hAnsi="Times New Roman" w:cs="Times New Roman"/>
                <w:szCs w:val="24"/>
                <w:lang w:bidi="ar"/>
              </w:rPr>
              <w:t>，能够满足堆放需求，耕植土堆放区较低区域修建挡土墙；井场土边坡区域、道路土边坡区域、耕植土堆放区在土建工程完工后，及时播撒草种或覆盖，防止地表水冲刷造成水土流失和边坡失稳。井场建设过程中多余土石方经弃土场堆放。钻前工程土石方工程量见下表。</w:t>
            </w:r>
          </w:p>
          <w:p w14:paraId="158E49C0">
            <w:pPr>
              <w:pStyle w:val="19"/>
              <w:numPr>
                <w:ilvl w:val="0"/>
                <w:numId w:val="6"/>
              </w:numPr>
              <w:tabs>
                <w:tab w:val="left" w:pos="0"/>
                <w:tab w:val="left" w:pos="833"/>
              </w:tabs>
              <w:spacing w:before="0" w:after="0" w:line="360" w:lineRule="auto"/>
              <w:ind w:left="0" w:right="0" w:firstLine="0"/>
              <w:jc w:val="center"/>
              <w:rPr>
                <w:b/>
                <w:bCs/>
                <w:sz w:val="21"/>
                <w:szCs w:val="21"/>
              </w:rPr>
            </w:pPr>
            <w:r>
              <w:rPr>
                <w:b/>
                <w:bCs/>
                <w:sz w:val="21"/>
                <w:szCs w:val="21"/>
              </w:rPr>
              <w:t>土石方工程量表  单位：m</w:t>
            </w:r>
            <w:r>
              <w:rPr>
                <w:b/>
                <w:bCs/>
                <w:sz w:val="21"/>
                <w:szCs w:val="21"/>
                <w:vertAlign w:val="superscript"/>
              </w:rPr>
              <w:t>3</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1647"/>
              <w:gridCol w:w="1097"/>
              <w:gridCol w:w="1360"/>
              <w:gridCol w:w="760"/>
            </w:tblGrid>
            <w:tr w14:paraId="705D8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31F82C84">
                  <w:pPr>
                    <w:jc w:val="center"/>
                    <w:rPr>
                      <w:szCs w:val="21"/>
                    </w:rPr>
                  </w:pPr>
                  <w:r>
                    <w:rPr>
                      <w:szCs w:val="21"/>
                    </w:rPr>
                    <w:t>分区</w:t>
                  </w:r>
                </w:p>
              </w:tc>
              <w:tc>
                <w:tcPr>
                  <w:tcW w:w="1647" w:type="dxa"/>
                  <w:tcBorders>
                    <w:tl2br w:val="nil"/>
                    <w:tr2bl w:val="nil"/>
                  </w:tcBorders>
                  <w:vAlign w:val="center"/>
                </w:tcPr>
                <w:p w14:paraId="6C56EC7C">
                  <w:pPr>
                    <w:jc w:val="center"/>
                    <w:rPr>
                      <w:szCs w:val="21"/>
                    </w:rPr>
                  </w:pPr>
                  <w:r>
                    <w:rPr>
                      <w:szCs w:val="21"/>
                    </w:rPr>
                    <w:t>挖方（含耕植土）</w:t>
                  </w:r>
                </w:p>
              </w:tc>
              <w:tc>
                <w:tcPr>
                  <w:tcW w:w="1097" w:type="dxa"/>
                  <w:tcBorders>
                    <w:tl2br w:val="nil"/>
                    <w:tr2bl w:val="nil"/>
                  </w:tcBorders>
                  <w:vAlign w:val="center"/>
                </w:tcPr>
                <w:p w14:paraId="6995A474">
                  <w:pPr>
                    <w:jc w:val="center"/>
                    <w:rPr>
                      <w:szCs w:val="21"/>
                    </w:rPr>
                  </w:pPr>
                  <w:r>
                    <w:rPr>
                      <w:szCs w:val="21"/>
                    </w:rPr>
                    <w:t>填方</w:t>
                  </w:r>
                </w:p>
              </w:tc>
              <w:tc>
                <w:tcPr>
                  <w:tcW w:w="1360" w:type="dxa"/>
                  <w:tcBorders>
                    <w:tl2br w:val="nil"/>
                    <w:tr2bl w:val="nil"/>
                  </w:tcBorders>
                  <w:vAlign w:val="center"/>
                </w:tcPr>
                <w:p w14:paraId="44804E73">
                  <w:pPr>
                    <w:jc w:val="center"/>
                    <w:rPr>
                      <w:szCs w:val="21"/>
                    </w:rPr>
                  </w:pPr>
                  <w:r>
                    <w:rPr>
                      <w:szCs w:val="21"/>
                    </w:rPr>
                    <w:t>耕植土回填</w:t>
                  </w:r>
                </w:p>
              </w:tc>
              <w:tc>
                <w:tcPr>
                  <w:tcW w:w="760" w:type="dxa"/>
                  <w:tcBorders>
                    <w:tl2br w:val="nil"/>
                    <w:tr2bl w:val="nil"/>
                  </w:tcBorders>
                  <w:vAlign w:val="center"/>
                </w:tcPr>
                <w:p w14:paraId="2ADF69A7">
                  <w:pPr>
                    <w:jc w:val="center"/>
                    <w:rPr>
                      <w:szCs w:val="21"/>
                    </w:rPr>
                  </w:pPr>
                  <w:r>
                    <w:rPr>
                      <w:szCs w:val="21"/>
                    </w:rPr>
                    <w:t>余方</w:t>
                  </w:r>
                </w:p>
              </w:tc>
            </w:tr>
            <w:tr w14:paraId="516CB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5AE253BA">
                  <w:pPr>
                    <w:jc w:val="center"/>
                    <w:rPr>
                      <w:szCs w:val="21"/>
                    </w:rPr>
                  </w:pPr>
                  <w:r>
                    <w:rPr>
                      <w:szCs w:val="21"/>
                    </w:rPr>
                    <w:t>井场工程建设（含边角地）</w:t>
                  </w:r>
                </w:p>
              </w:tc>
              <w:tc>
                <w:tcPr>
                  <w:tcW w:w="1647" w:type="dxa"/>
                  <w:tcBorders>
                    <w:tl2br w:val="nil"/>
                    <w:tr2bl w:val="nil"/>
                  </w:tcBorders>
                  <w:vAlign w:val="center"/>
                </w:tcPr>
                <w:p w14:paraId="406322F1">
                  <w:pPr>
                    <w:widowControl/>
                    <w:jc w:val="center"/>
                    <w:textAlignment w:val="center"/>
                    <w:rPr>
                      <w:szCs w:val="21"/>
                    </w:rPr>
                  </w:pPr>
                  <w:r>
                    <w:rPr>
                      <w:rFonts w:hint="eastAsia"/>
                      <w:bCs/>
                      <w:sz w:val="21"/>
                      <w:szCs w:val="21"/>
                      <w:lang w:val="en-US" w:eastAsia="zh-CN"/>
                    </w:rPr>
                    <w:t>*</w:t>
                  </w:r>
                </w:p>
              </w:tc>
              <w:tc>
                <w:tcPr>
                  <w:tcW w:w="1097" w:type="dxa"/>
                  <w:tcBorders>
                    <w:tl2br w:val="nil"/>
                    <w:tr2bl w:val="nil"/>
                  </w:tcBorders>
                  <w:vAlign w:val="center"/>
                </w:tcPr>
                <w:p w14:paraId="2C3F6A9F">
                  <w:pPr>
                    <w:widowControl/>
                    <w:jc w:val="center"/>
                    <w:textAlignment w:val="center"/>
                  </w:pPr>
                  <w:r>
                    <w:rPr>
                      <w:rFonts w:hint="eastAsia"/>
                      <w:bCs/>
                      <w:sz w:val="21"/>
                      <w:szCs w:val="21"/>
                      <w:lang w:val="en-US" w:eastAsia="zh-CN"/>
                    </w:rPr>
                    <w:t>*</w:t>
                  </w:r>
                </w:p>
              </w:tc>
              <w:tc>
                <w:tcPr>
                  <w:tcW w:w="1360" w:type="dxa"/>
                  <w:vMerge w:val="restart"/>
                  <w:tcBorders>
                    <w:tl2br w:val="nil"/>
                    <w:tr2bl w:val="nil"/>
                  </w:tcBorders>
                  <w:vAlign w:val="center"/>
                </w:tcPr>
                <w:p w14:paraId="225A9910">
                  <w:pPr>
                    <w:jc w:val="center"/>
                    <w:rPr>
                      <w:rFonts w:hint="eastAsia"/>
                      <w:bCs/>
                      <w:sz w:val="21"/>
                      <w:szCs w:val="21"/>
                      <w:lang w:val="en-US" w:eastAsia="zh-CN"/>
                    </w:rPr>
                  </w:pPr>
                  <w:r>
                    <w:rPr>
                      <w:rFonts w:hint="eastAsia"/>
                      <w:bCs/>
                      <w:sz w:val="21"/>
                      <w:szCs w:val="21"/>
                      <w:lang w:val="en-US" w:eastAsia="zh-CN"/>
                    </w:rPr>
                    <w:t>*</w:t>
                  </w:r>
                </w:p>
                <w:p w14:paraId="4D1921D4">
                  <w:pPr>
                    <w:jc w:val="center"/>
                    <w:rPr>
                      <w:rFonts w:hint="eastAsia"/>
                      <w:bCs/>
                      <w:sz w:val="21"/>
                      <w:szCs w:val="21"/>
                      <w:lang w:val="en-US" w:eastAsia="zh-CN"/>
                    </w:rPr>
                  </w:pPr>
                  <w:r>
                    <w:rPr>
                      <w:rFonts w:hint="eastAsia"/>
                      <w:bCs/>
                      <w:sz w:val="21"/>
                      <w:szCs w:val="21"/>
                      <w:lang w:val="en-US" w:eastAsia="zh-CN"/>
                    </w:rPr>
                    <w:t>*</w:t>
                  </w:r>
                </w:p>
                <w:p w14:paraId="41388209">
                  <w:pPr>
                    <w:jc w:val="center"/>
                    <w:rPr>
                      <w:rFonts w:hint="eastAsia"/>
                      <w:bCs/>
                      <w:sz w:val="21"/>
                      <w:szCs w:val="21"/>
                      <w:lang w:val="en-US" w:eastAsia="zh-CN"/>
                    </w:rPr>
                  </w:pPr>
                  <w:r>
                    <w:rPr>
                      <w:rFonts w:hint="eastAsia"/>
                      <w:bCs/>
                      <w:sz w:val="21"/>
                      <w:szCs w:val="21"/>
                      <w:lang w:val="en-US" w:eastAsia="zh-CN"/>
                    </w:rPr>
                    <w:t>*</w:t>
                  </w:r>
                </w:p>
                <w:p w14:paraId="47B6739F">
                  <w:pPr>
                    <w:jc w:val="center"/>
                    <w:rPr>
                      <w:rFonts w:hint="eastAsia"/>
                      <w:bCs/>
                      <w:sz w:val="21"/>
                      <w:szCs w:val="21"/>
                      <w:lang w:val="en-US" w:eastAsia="zh-CN"/>
                    </w:rPr>
                  </w:pPr>
                  <w:r>
                    <w:rPr>
                      <w:rFonts w:hint="eastAsia"/>
                      <w:bCs/>
                      <w:sz w:val="21"/>
                      <w:szCs w:val="21"/>
                      <w:lang w:val="en-US" w:eastAsia="zh-CN"/>
                    </w:rPr>
                    <w:t>*</w:t>
                  </w:r>
                </w:p>
              </w:tc>
              <w:tc>
                <w:tcPr>
                  <w:tcW w:w="760" w:type="dxa"/>
                  <w:tcBorders>
                    <w:tl2br w:val="nil"/>
                    <w:tr2bl w:val="nil"/>
                  </w:tcBorders>
                  <w:vAlign w:val="center"/>
                </w:tcPr>
                <w:p w14:paraId="26BA8971">
                  <w:pPr>
                    <w:jc w:val="center"/>
                    <w:rPr>
                      <w:szCs w:val="21"/>
                    </w:rPr>
                  </w:pPr>
                  <w:r>
                    <w:rPr>
                      <w:rFonts w:hint="eastAsia"/>
                      <w:bCs/>
                      <w:sz w:val="21"/>
                      <w:szCs w:val="21"/>
                      <w:lang w:val="en-US" w:eastAsia="zh-CN"/>
                    </w:rPr>
                    <w:t>*</w:t>
                  </w:r>
                </w:p>
              </w:tc>
            </w:tr>
            <w:tr w14:paraId="2DF8D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760E2374">
                  <w:pPr>
                    <w:jc w:val="center"/>
                    <w:rPr>
                      <w:szCs w:val="21"/>
                    </w:rPr>
                  </w:pPr>
                  <w:r>
                    <w:rPr>
                      <w:szCs w:val="21"/>
                    </w:rPr>
                    <w:t>清水池建设</w:t>
                  </w:r>
                </w:p>
              </w:tc>
              <w:tc>
                <w:tcPr>
                  <w:tcW w:w="1647" w:type="dxa"/>
                  <w:tcBorders>
                    <w:tl2br w:val="nil"/>
                    <w:tr2bl w:val="nil"/>
                  </w:tcBorders>
                  <w:vAlign w:val="center"/>
                </w:tcPr>
                <w:p w14:paraId="7CBE74B2">
                  <w:pPr>
                    <w:widowControl/>
                    <w:jc w:val="center"/>
                    <w:textAlignment w:val="center"/>
                    <w:rPr>
                      <w:szCs w:val="21"/>
                    </w:rPr>
                  </w:pPr>
                  <w:r>
                    <w:rPr>
                      <w:rFonts w:hint="eastAsia"/>
                      <w:bCs/>
                      <w:sz w:val="21"/>
                      <w:szCs w:val="21"/>
                      <w:lang w:val="en-US" w:eastAsia="zh-CN"/>
                    </w:rPr>
                    <w:t>*</w:t>
                  </w:r>
                </w:p>
              </w:tc>
              <w:tc>
                <w:tcPr>
                  <w:tcW w:w="1097" w:type="dxa"/>
                  <w:tcBorders>
                    <w:tl2br w:val="nil"/>
                    <w:tr2bl w:val="nil"/>
                  </w:tcBorders>
                  <w:vAlign w:val="center"/>
                </w:tcPr>
                <w:p w14:paraId="0CA0008C">
                  <w:pPr>
                    <w:widowControl/>
                    <w:jc w:val="center"/>
                    <w:textAlignment w:val="center"/>
                    <w:rPr>
                      <w:szCs w:val="21"/>
                    </w:rPr>
                  </w:pPr>
                  <w:r>
                    <w:rPr>
                      <w:rFonts w:hint="eastAsia"/>
                      <w:bCs/>
                      <w:sz w:val="21"/>
                      <w:szCs w:val="21"/>
                      <w:lang w:val="en-US" w:eastAsia="zh-CN"/>
                    </w:rPr>
                    <w:t>*</w:t>
                  </w:r>
                </w:p>
              </w:tc>
              <w:tc>
                <w:tcPr>
                  <w:tcW w:w="1360" w:type="dxa"/>
                  <w:vMerge w:val="continue"/>
                  <w:tcBorders>
                    <w:tl2br w:val="nil"/>
                    <w:tr2bl w:val="nil"/>
                  </w:tcBorders>
                  <w:vAlign w:val="center"/>
                </w:tcPr>
                <w:p w14:paraId="2382B30B">
                  <w:pPr>
                    <w:jc w:val="center"/>
                    <w:rPr>
                      <w:szCs w:val="21"/>
                    </w:rPr>
                  </w:pPr>
                </w:p>
              </w:tc>
              <w:tc>
                <w:tcPr>
                  <w:tcW w:w="760" w:type="dxa"/>
                  <w:tcBorders>
                    <w:tl2br w:val="nil"/>
                    <w:tr2bl w:val="nil"/>
                  </w:tcBorders>
                  <w:vAlign w:val="center"/>
                </w:tcPr>
                <w:p w14:paraId="5AA32F28">
                  <w:pPr>
                    <w:jc w:val="center"/>
                    <w:rPr>
                      <w:szCs w:val="21"/>
                    </w:rPr>
                  </w:pPr>
                  <w:r>
                    <w:rPr>
                      <w:rFonts w:hint="eastAsia"/>
                      <w:bCs/>
                      <w:sz w:val="21"/>
                      <w:szCs w:val="21"/>
                      <w:lang w:val="en-US" w:eastAsia="zh-CN"/>
                    </w:rPr>
                    <w:t>*</w:t>
                  </w:r>
                </w:p>
              </w:tc>
            </w:tr>
            <w:tr w14:paraId="0AB34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65FA80D4">
                  <w:pPr>
                    <w:jc w:val="center"/>
                    <w:rPr>
                      <w:szCs w:val="21"/>
                    </w:rPr>
                  </w:pPr>
                  <w:r>
                    <w:rPr>
                      <w:szCs w:val="21"/>
                    </w:rPr>
                    <w:t>放喷池建设</w:t>
                  </w:r>
                </w:p>
              </w:tc>
              <w:tc>
                <w:tcPr>
                  <w:tcW w:w="1647" w:type="dxa"/>
                  <w:tcBorders>
                    <w:tl2br w:val="nil"/>
                    <w:tr2bl w:val="nil"/>
                  </w:tcBorders>
                  <w:vAlign w:val="center"/>
                </w:tcPr>
                <w:p w14:paraId="3021A275">
                  <w:pPr>
                    <w:widowControl/>
                    <w:jc w:val="center"/>
                    <w:textAlignment w:val="center"/>
                    <w:rPr>
                      <w:szCs w:val="21"/>
                    </w:rPr>
                  </w:pPr>
                  <w:r>
                    <w:rPr>
                      <w:rFonts w:hint="eastAsia"/>
                      <w:bCs/>
                      <w:sz w:val="21"/>
                      <w:szCs w:val="21"/>
                      <w:lang w:val="en-US" w:eastAsia="zh-CN"/>
                    </w:rPr>
                    <w:t>*</w:t>
                  </w:r>
                </w:p>
              </w:tc>
              <w:tc>
                <w:tcPr>
                  <w:tcW w:w="1097" w:type="dxa"/>
                  <w:tcBorders>
                    <w:tl2br w:val="nil"/>
                    <w:tr2bl w:val="nil"/>
                  </w:tcBorders>
                  <w:vAlign w:val="center"/>
                </w:tcPr>
                <w:p w14:paraId="5D4B140A">
                  <w:pPr>
                    <w:widowControl/>
                    <w:jc w:val="center"/>
                    <w:textAlignment w:val="center"/>
                    <w:rPr>
                      <w:szCs w:val="21"/>
                    </w:rPr>
                  </w:pPr>
                  <w:r>
                    <w:rPr>
                      <w:rFonts w:hint="eastAsia"/>
                      <w:bCs/>
                      <w:sz w:val="21"/>
                      <w:szCs w:val="21"/>
                      <w:lang w:val="en-US" w:eastAsia="zh-CN"/>
                    </w:rPr>
                    <w:t>*</w:t>
                  </w:r>
                </w:p>
              </w:tc>
              <w:tc>
                <w:tcPr>
                  <w:tcW w:w="1360" w:type="dxa"/>
                  <w:vMerge w:val="continue"/>
                  <w:tcBorders>
                    <w:tl2br w:val="nil"/>
                    <w:tr2bl w:val="nil"/>
                  </w:tcBorders>
                  <w:vAlign w:val="center"/>
                </w:tcPr>
                <w:p w14:paraId="5FB3C6F8">
                  <w:pPr>
                    <w:jc w:val="center"/>
                    <w:rPr>
                      <w:szCs w:val="21"/>
                    </w:rPr>
                  </w:pPr>
                </w:p>
              </w:tc>
              <w:tc>
                <w:tcPr>
                  <w:tcW w:w="760" w:type="dxa"/>
                  <w:tcBorders>
                    <w:tl2br w:val="nil"/>
                    <w:tr2bl w:val="nil"/>
                  </w:tcBorders>
                  <w:vAlign w:val="center"/>
                </w:tcPr>
                <w:p w14:paraId="1766FF01">
                  <w:pPr>
                    <w:jc w:val="center"/>
                    <w:rPr>
                      <w:szCs w:val="21"/>
                    </w:rPr>
                  </w:pPr>
                  <w:r>
                    <w:rPr>
                      <w:rFonts w:hint="eastAsia"/>
                      <w:bCs/>
                      <w:sz w:val="21"/>
                      <w:szCs w:val="21"/>
                      <w:lang w:val="en-US" w:eastAsia="zh-CN"/>
                    </w:rPr>
                    <w:t>*</w:t>
                  </w:r>
                </w:p>
              </w:tc>
            </w:tr>
            <w:tr w14:paraId="29370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28EC77C6">
                  <w:pPr>
                    <w:jc w:val="center"/>
                    <w:rPr>
                      <w:szCs w:val="21"/>
                    </w:rPr>
                  </w:pPr>
                  <w:r>
                    <w:rPr>
                      <w:szCs w:val="21"/>
                    </w:rPr>
                    <w:t>其他工程合计</w:t>
                  </w:r>
                </w:p>
              </w:tc>
              <w:tc>
                <w:tcPr>
                  <w:tcW w:w="1647" w:type="dxa"/>
                  <w:tcBorders>
                    <w:tl2br w:val="nil"/>
                    <w:tr2bl w:val="nil"/>
                  </w:tcBorders>
                  <w:vAlign w:val="center"/>
                </w:tcPr>
                <w:p w14:paraId="56062C4E">
                  <w:pPr>
                    <w:widowControl/>
                    <w:jc w:val="center"/>
                    <w:textAlignment w:val="center"/>
                    <w:rPr>
                      <w:szCs w:val="21"/>
                    </w:rPr>
                  </w:pPr>
                  <w:r>
                    <w:rPr>
                      <w:rFonts w:hint="eastAsia"/>
                      <w:bCs/>
                      <w:sz w:val="21"/>
                      <w:szCs w:val="21"/>
                      <w:lang w:val="en-US" w:eastAsia="zh-CN"/>
                    </w:rPr>
                    <w:t>*</w:t>
                  </w:r>
                </w:p>
              </w:tc>
              <w:tc>
                <w:tcPr>
                  <w:tcW w:w="1097" w:type="dxa"/>
                  <w:tcBorders>
                    <w:tl2br w:val="nil"/>
                    <w:tr2bl w:val="nil"/>
                  </w:tcBorders>
                  <w:vAlign w:val="center"/>
                </w:tcPr>
                <w:p w14:paraId="6D38BEE5">
                  <w:pPr>
                    <w:widowControl/>
                    <w:jc w:val="center"/>
                    <w:textAlignment w:val="center"/>
                    <w:rPr>
                      <w:szCs w:val="21"/>
                    </w:rPr>
                  </w:pPr>
                  <w:r>
                    <w:rPr>
                      <w:rFonts w:hint="eastAsia"/>
                      <w:bCs/>
                      <w:sz w:val="21"/>
                      <w:szCs w:val="21"/>
                      <w:lang w:val="en-US" w:eastAsia="zh-CN"/>
                    </w:rPr>
                    <w:t>*</w:t>
                  </w:r>
                </w:p>
              </w:tc>
              <w:tc>
                <w:tcPr>
                  <w:tcW w:w="1360" w:type="dxa"/>
                  <w:vMerge w:val="continue"/>
                  <w:tcBorders>
                    <w:tl2br w:val="nil"/>
                    <w:tr2bl w:val="nil"/>
                  </w:tcBorders>
                  <w:vAlign w:val="center"/>
                </w:tcPr>
                <w:p w14:paraId="05125B8C">
                  <w:pPr>
                    <w:jc w:val="center"/>
                    <w:rPr>
                      <w:szCs w:val="21"/>
                    </w:rPr>
                  </w:pPr>
                </w:p>
              </w:tc>
              <w:tc>
                <w:tcPr>
                  <w:tcW w:w="760" w:type="dxa"/>
                  <w:tcBorders>
                    <w:tl2br w:val="nil"/>
                    <w:tr2bl w:val="nil"/>
                  </w:tcBorders>
                  <w:vAlign w:val="center"/>
                </w:tcPr>
                <w:p w14:paraId="7C1C8F79">
                  <w:pPr>
                    <w:jc w:val="center"/>
                    <w:rPr>
                      <w:szCs w:val="21"/>
                    </w:rPr>
                  </w:pPr>
                  <w:r>
                    <w:rPr>
                      <w:rFonts w:hint="eastAsia"/>
                      <w:bCs/>
                      <w:sz w:val="21"/>
                      <w:szCs w:val="21"/>
                      <w:lang w:val="en-US" w:eastAsia="zh-CN"/>
                    </w:rPr>
                    <w:t>*</w:t>
                  </w:r>
                </w:p>
              </w:tc>
            </w:tr>
            <w:tr w14:paraId="241B4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14:paraId="757EA3E0">
                  <w:pPr>
                    <w:jc w:val="center"/>
                    <w:rPr>
                      <w:szCs w:val="21"/>
                    </w:rPr>
                  </w:pPr>
                  <w:r>
                    <w:rPr>
                      <w:szCs w:val="21"/>
                    </w:rPr>
                    <w:t>总计</w:t>
                  </w:r>
                </w:p>
              </w:tc>
              <w:tc>
                <w:tcPr>
                  <w:tcW w:w="1647" w:type="dxa"/>
                  <w:tcBorders>
                    <w:tl2br w:val="nil"/>
                    <w:tr2bl w:val="nil"/>
                  </w:tcBorders>
                  <w:vAlign w:val="center"/>
                </w:tcPr>
                <w:p w14:paraId="354A3B63">
                  <w:pPr>
                    <w:widowControl/>
                    <w:jc w:val="center"/>
                    <w:textAlignment w:val="center"/>
                    <w:rPr>
                      <w:szCs w:val="21"/>
                    </w:rPr>
                  </w:pPr>
                  <w:r>
                    <w:rPr>
                      <w:rFonts w:hint="eastAsia"/>
                      <w:bCs/>
                      <w:sz w:val="21"/>
                      <w:szCs w:val="21"/>
                      <w:lang w:val="en-US" w:eastAsia="zh-CN"/>
                    </w:rPr>
                    <w:t>*</w:t>
                  </w:r>
                </w:p>
              </w:tc>
              <w:tc>
                <w:tcPr>
                  <w:tcW w:w="1097" w:type="dxa"/>
                  <w:tcBorders>
                    <w:tl2br w:val="nil"/>
                    <w:tr2bl w:val="nil"/>
                  </w:tcBorders>
                  <w:vAlign w:val="center"/>
                </w:tcPr>
                <w:p w14:paraId="309194E5">
                  <w:pPr>
                    <w:widowControl/>
                    <w:jc w:val="center"/>
                    <w:textAlignment w:val="center"/>
                    <w:rPr>
                      <w:szCs w:val="21"/>
                    </w:rPr>
                  </w:pPr>
                  <w:r>
                    <w:rPr>
                      <w:rFonts w:hint="eastAsia"/>
                      <w:bCs/>
                      <w:sz w:val="21"/>
                      <w:szCs w:val="21"/>
                      <w:lang w:val="en-US" w:eastAsia="zh-CN"/>
                    </w:rPr>
                    <w:t>*</w:t>
                  </w:r>
                </w:p>
              </w:tc>
              <w:tc>
                <w:tcPr>
                  <w:tcW w:w="1360" w:type="dxa"/>
                  <w:tcBorders>
                    <w:tl2br w:val="nil"/>
                    <w:tr2bl w:val="nil"/>
                  </w:tcBorders>
                  <w:vAlign w:val="center"/>
                </w:tcPr>
                <w:p w14:paraId="31E18644">
                  <w:pPr>
                    <w:jc w:val="center"/>
                    <w:rPr>
                      <w:szCs w:val="21"/>
                    </w:rPr>
                  </w:pPr>
                  <w:r>
                    <w:rPr>
                      <w:rFonts w:hint="eastAsia"/>
                      <w:bCs/>
                      <w:sz w:val="21"/>
                      <w:szCs w:val="21"/>
                      <w:lang w:val="en-US" w:eastAsia="zh-CN"/>
                    </w:rPr>
                    <w:t>*</w:t>
                  </w:r>
                </w:p>
              </w:tc>
              <w:tc>
                <w:tcPr>
                  <w:tcW w:w="760" w:type="dxa"/>
                  <w:tcBorders>
                    <w:tl2br w:val="nil"/>
                    <w:tr2bl w:val="nil"/>
                  </w:tcBorders>
                  <w:vAlign w:val="center"/>
                </w:tcPr>
                <w:p w14:paraId="2FD0A626">
                  <w:pPr>
                    <w:jc w:val="center"/>
                    <w:rPr>
                      <w:szCs w:val="21"/>
                    </w:rPr>
                  </w:pPr>
                  <w:r>
                    <w:rPr>
                      <w:rFonts w:hint="eastAsia"/>
                      <w:bCs/>
                      <w:sz w:val="21"/>
                      <w:szCs w:val="21"/>
                      <w:lang w:val="en-US" w:eastAsia="zh-CN"/>
                    </w:rPr>
                    <w:t>*</w:t>
                  </w:r>
                </w:p>
              </w:tc>
            </w:tr>
          </w:tbl>
          <w:p w14:paraId="003742C8">
            <w:pPr>
              <w:adjustRightInd w:val="0"/>
              <w:snapToGrid w:val="0"/>
              <w:spacing w:line="360" w:lineRule="auto"/>
              <w:ind w:firstLine="480" w:firstLineChars="200"/>
              <w:rPr>
                <w:sz w:val="24"/>
              </w:rPr>
            </w:pPr>
            <w:r>
              <w:rPr>
                <w:sz w:val="24"/>
              </w:rPr>
              <w:t>本项目表土堆场及弃土堆场设计如下所示</w:t>
            </w:r>
          </w:p>
          <w:p w14:paraId="404E2917">
            <w:pPr>
              <w:adjustRightInd w:val="0"/>
              <w:snapToGrid w:val="0"/>
              <w:rPr>
                <w:sz w:val="24"/>
              </w:rPr>
            </w:pPr>
            <w:r>
              <w:rPr>
                <w:sz w:val="24"/>
              </w:rPr>
              <w:drawing>
                <wp:inline distT="0" distB="0" distL="114300" distR="114300">
                  <wp:extent cx="5375910" cy="1826895"/>
                  <wp:effectExtent l="0" t="0" r="1524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5910" cy="1826895"/>
                          </a:xfrm>
                          <a:prstGeom prst="rect">
                            <a:avLst/>
                          </a:prstGeom>
                          <a:noFill/>
                          <a:ln>
                            <a:noFill/>
                          </a:ln>
                        </pic:spPr>
                      </pic:pic>
                    </a:graphicData>
                  </a:graphic>
                </wp:inline>
              </w:drawing>
            </w:r>
          </w:p>
          <w:p w14:paraId="4B1DC846">
            <w:pPr>
              <w:pStyle w:val="53"/>
              <w:jc w:val="center"/>
              <w:rPr>
                <w:rFonts w:hint="default" w:ascii="Times New Roman" w:cs="Times New Roman"/>
                <w:b/>
                <w:bCs/>
                <w:color w:val="auto"/>
              </w:rPr>
            </w:pPr>
            <w:r>
              <w:rPr>
                <w:rFonts w:hint="default" w:ascii="Times New Roman" w:cs="Times New Roman"/>
                <w:b/>
                <w:bCs/>
                <w:color w:val="auto"/>
              </w:rPr>
              <w:t>表土临时苫盖措施示意图</w:t>
            </w:r>
          </w:p>
          <w:p w14:paraId="79D84107">
            <w:pPr>
              <w:adjustRightInd w:val="0"/>
              <w:snapToGrid w:val="0"/>
              <w:spacing w:line="360" w:lineRule="auto"/>
              <w:ind w:firstLine="480" w:firstLineChars="200"/>
              <w:rPr>
                <w:sz w:val="24"/>
              </w:rPr>
            </w:pPr>
            <w:r>
              <w:rPr>
                <w:sz w:val="24"/>
              </w:rPr>
              <w:t>为了防止水土流失影响，按照水土保持相关要求，表土四周设置草袋土挡墙，并夯压整形，顶部保持平缓坡度以利于排水，堆场四周设置临时截、排水沟和</w:t>
            </w:r>
            <w:r>
              <w:rPr>
                <w:rFonts w:hint="eastAsia"/>
                <w:sz w:val="24"/>
              </w:rPr>
              <w:t>沉砂池</w:t>
            </w:r>
            <w:r>
              <w:rPr>
                <w:sz w:val="24"/>
              </w:rPr>
              <w:t>，土堆表面采用密目网进行临时苫盖，通过以上水土保持措施后可有效减缓项目建设对水土流失的影响。施工结束后用于临时占地的复种表土。</w:t>
            </w:r>
          </w:p>
          <w:p w14:paraId="6D812463">
            <w:pPr>
              <w:adjustRightInd w:val="0"/>
              <w:snapToGrid w:val="0"/>
              <w:jc w:val="center"/>
            </w:pPr>
            <w:r>
              <w:drawing>
                <wp:inline distT="0" distB="0" distL="114300" distR="114300">
                  <wp:extent cx="1810385" cy="1731010"/>
                  <wp:effectExtent l="0" t="0" r="18415"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1810385" cy="1731010"/>
                          </a:xfrm>
                          <a:prstGeom prst="rect">
                            <a:avLst/>
                          </a:prstGeom>
                          <a:noFill/>
                          <a:ln>
                            <a:noFill/>
                          </a:ln>
                        </pic:spPr>
                      </pic:pic>
                    </a:graphicData>
                  </a:graphic>
                </wp:inline>
              </w:drawing>
            </w:r>
          </w:p>
          <w:p w14:paraId="286CE8DE">
            <w:pPr>
              <w:spacing w:line="360" w:lineRule="auto"/>
              <w:rPr>
                <w:b/>
                <w:sz w:val="24"/>
              </w:rPr>
            </w:pPr>
            <w:r>
              <w:rPr>
                <w:b/>
                <w:sz w:val="24"/>
              </w:rPr>
              <w:t>2.9项目总平面布置合理性分析</w:t>
            </w:r>
          </w:p>
          <w:p w14:paraId="44EC7321">
            <w:pPr>
              <w:adjustRightInd w:val="0"/>
              <w:snapToGrid w:val="0"/>
              <w:spacing w:line="360" w:lineRule="auto"/>
              <w:ind w:firstLine="480" w:firstLineChars="200"/>
              <w:rPr>
                <w:sz w:val="24"/>
              </w:rPr>
            </w:pPr>
            <w:r>
              <w:rPr>
                <w:sz w:val="24"/>
              </w:rPr>
              <w:t>本次评价从放喷池布置、油罐区布置合理性分析本工程平面布置的合理性，平面布置执行《钻前工程及井场布置技术要求》（SY/T5466-2013）、《石油与天然气钻井、开发、储运防火防爆安全生产管理规定》（SY5225-2012）等石油天然气行业标准的相关规定。</w:t>
            </w:r>
          </w:p>
          <w:p w14:paraId="714B2315">
            <w:pPr>
              <w:pStyle w:val="19"/>
              <w:numPr>
                <w:ilvl w:val="0"/>
                <w:numId w:val="6"/>
              </w:numPr>
              <w:tabs>
                <w:tab w:val="left" w:pos="0"/>
                <w:tab w:val="left" w:pos="833"/>
              </w:tabs>
              <w:spacing w:before="0" w:after="0" w:line="360" w:lineRule="auto"/>
              <w:ind w:left="0" w:right="0" w:firstLine="0"/>
              <w:jc w:val="center"/>
              <w:rPr>
                <w:b/>
                <w:bCs/>
                <w:sz w:val="21"/>
                <w:szCs w:val="21"/>
              </w:rPr>
            </w:pPr>
            <w:r>
              <w:rPr>
                <w:rFonts w:hint="eastAsia"/>
                <w:b/>
                <w:bCs/>
                <w:sz w:val="21"/>
                <w:szCs w:val="21"/>
              </w:rPr>
              <w:t>项目总平面布置合理性分析一览表</w:t>
            </w:r>
          </w:p>
          <w:tbl>
            <w:tblPr>
              <w:tblStyle w:val="45"/>
              <w:tblW w:w="7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411"/>
              <w:gridCol w:w="3751"/>
            </w:tblGrid>
            <w:tr w14:paraId="2DD4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shd w:val="clear" w:color="auto" w:fill="auto"/>
                  <w:vAlign w:val="center"/>
                </w:tcPr>
                <w:p w14:paraId="3FE39081">
                  <w:pPr>
                    <w:adjustRightInd w:val="0"/>
                    <w:snapToGrid w:val="0"/>
                    <w:jc w:val="center"/>
                    <w:rPr>
                      <w:szCs w:val="21"/>
                    </w:rPr>
                  </w:pPr>
                  <w:r>
                    <w:rPr>
                      <w:rFonts w:hint="eastAsia"/>
                      <w:szCs w:val="21"/>
                    </w:rPr>
                    <w:t>类型</w:t>
                  </w:r>
                </w:p>
              </w:tc>
              <w:tc>
                <w:tcPr>
                  <w:tcW w:w="2411" w:type="dxa"/>
                  <w:vAlign w:val="center"/>
                </w:tcPr>
                <w:p w14:paraId="51FF6388">
                  <w:pPr>
                    <w:adjustRightInd w:val="0"/>
                    <w:snapToGrid w:val="0"/>
                    <w:jc w:val="center"/>
                    <w:rPr>
                      <w:szCs w:val="21"/>
                    </w:rPr>
                  </w:pPr>
                  <w:r>
                    <w:rPr>
                      <w:rFonts w:hint="eastAsia"/>
                      <w:szCs w:val="21"/>
                    </w:rPr>
                    <w:t>标准及规范要求</w:t>
                  </w:r>
                </w:p>
              </w:tc>
              <w:tc>
                <w:tcPr>
                  <w:tcW w:w="3751" w:type="dxa"/>
                  <w:vAlign w:val="center"/>
                </w:tcPr>
                <w:p w14:paraId="5D00776D">
                  <w:pPr>
                    <w:adjustRightInd w:val="0"/>
                    <w:snapToGrid w:val="0"/>
                    <w:jc w:val="center"/>
                    <w:rPr>
                      <w:szCs w:val="21"/>
                    </w:rPr>
                  </w:pPr>
                  <w:r>
                    <w:rPr>
                      <w:rFonts w:hint="eastAsia"/>
                      <w:szCs w:val="21"/>
                    </w:rPr>
                    <w:t>项目情况</w:t>
                  </w:r>
                </w:p>
              </w:tc>
            </w:tr>
            <w:tr w14:paraId="06E6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shd w:val="clear" w:color="auto" w:fill="auto"/>
                  <w:vAlign w:val="center"/>
                </w:tcPr>
                <w:p w14:paraId="30F7047F">
                  <w:pPr>
                    <w:adjustRightInd w:val="0"/>
                    <w:snapToGrid w:val="0"/>
                    <w:rPr>
                      <w:szCs w:val="21"/>
                    </w:rPr>
                  </w:pPr>
                  <w:r>
                    <w:rPr>
                      <w:szCs w:val="21"/>
                    </w:rPr>
                    <w:t>油罐区布置合理性分析</w:t>
                  </w:r>
                </w:p>
              </w:tc>
              <w:tc>
                <w:tcPr>
                  <w:tcW w:w="2411" w:type="dxa"/>
                  <w:vAlign w:val="center"/>
                </w:tcPr>
                <w:p w14:paraId="44645EF9">
                  <w:pPr>
                    <w:adjustRightInd w:val="0"/>
                    <w:snapToGrid w:val="0"/>
                    <w:rPr>
                      <w:szCs w:val="21"/>
                    </w:rPr>
                  </w:pPr>
                  <w:r>
                    <w:rPr>
                      <w:szCs w:val="21"/>
                    </w:rPr>
                    <w:t>《石油天然气钻井、开发、储运防火防爆安全生产技术规程（SY5225-2012）》中第3.1.3条规定：柴油罐区距井口应不小于30m</w:t>
                  </w:r>
                </w:p>
              </w:tc>
              <w:tc>
                <w:tcPr>
                  <w:tcW w:w="3751" w:type="dxa"/>
                  <w:vAlign w:val="center"/>
                </w:tcPr>
                <w:p w14:paraId="59B54295">
                  <w:pPr>
                    <w:adjustRightInd w:val="0"/>
                    <w:snapToGrid w:val="0"/>
                    <w:rPr>
                      <w:szCs w:val="21"/>
                    </w:rPr>
                  </w:pPr>
                  <w:r>
                    <w:rPr>
                      <w:szCs w:val="21"/>
                    </w:rPr>
                    <w:t>油罐区布置在井场</w:t>
                  </w:r>
                  <w:r>
                    <w:rPr>
                      <w:rFonts w:hint="eastAsia"/>
                      <w:szCs w:val="21"/>
                    </w:rPr>
                    <w:t>北</w:t>
                  </w:r>
                  <w:r>
                    <w:rPr>
                      <w:szCs w:val="21"/>
                    </w:rPr>
                    <w:t>侧，距离最近井口约</w:t>
                  </w:r>
                  <w:r>
                    <w:rPr>
                      <w:rFonts w:hint="eastAsia"/>
                      <w:szCs w:val="21"/>
                    </w:rPr>
                    <w:t>58</w:t>
                  </w:r>
                  <w:r>
                    <w:rPr>
                      <w:szCs w:val="21"/>
                    </w:rPr>
                    <w:t>m，满足防火间距的要求。且油罐采用架空式储存，罐体下方设置10m×10m×0.3m围堰，发生泄漏易发现，并能及时收集</w:t>
                  </w:r>
                </w:p>
              </w:tc>
            </w:tr>
            <w:tr w14:paraId="7C01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vAlign w:val="center"/>
                </w:tcPr>
                <w:p w14:paraId="05C51280">
                  <w:pPr>
                    <w:adjustRightInd w:val="0"/>
                    <w:snapToGrid w:val="0"/>
                    <w:rPr>
                      <w:szCs w:val="21"/>
                    </w:rPr>
                  </w:pPr>
                  <w:r>
                    <w:rPr>
                      <w:szCs w:val="21"/>
                    </w:rPr>
                    <w:t>放喷池布置合理性分析</w:t>
                  </w:r>
                </w:p>
              </w:tc>
              <w:tc>
                <w:tcPr>
                  <w:tcW w:w="2411" w:type="dxa"/>
                  <w:vAlign w:val="center"/>
                </w:tcPr>
                <w:p w14:paraId="58064C3F">
                  <w:pPr>
                    <w:adjustRightInd w:val="0"/>
                    <w:snapToGrid w:val="0"/>
                    <w:rPr>
                      <w:szCs w:val="21"/>
                    </w:rPr>
                  </w:pPr>
                  <w:r>
                    <w:rPr>
                      <w:rFonts w:hint="eastAsia"/>
                      <w:szCs w:val="21"/>
                    </w:rPr>
                    <w:t>《</w:t>
                  </w:r>
                  <w:r>
                    <w:rPr>
                      <w:szCs w:val="21"/>
                    </w:rPr>
                    <w:t>钻井井控技术规程》（Q/SY02552-2018）中的第5.1.3.4条规定：管线出口应接至距井口75m以上的安全地带。《石油天然气钻井、开发、储运防火防爆安全生产技术规程》（SY5225-2012）第3.1.4规定：放喷管线出口距井口应不小于75m；</w:t>
                  </w:r>
                </w:p>
              </w:tc>
              <w:tc>
                <w:tcPr>
                  <w:tcW w:w="3751" w:type="dxa"/>
                  <w:vAlign w:val="center"/>
                </w:tcPr>
                <w:p w14:paraId="686E6CD2">
                  <w:pPr>
                    <w:adjustRightInd w:val="0"/>
                    <w:snapToGrid w:val="0"/>
                    <w:rPr>
                      <w:szCs w:val="21"/>
                    </w:rPr>
                  </w:pPr>
                  <w:r>
                    <w:rPr>
                      <w:szCs w:val="21"/>
                    </w:rPr>
                    <w:t>本项目新建</w:t>
                  </w:r>
                  <w:r>
                    <w:rPr>
                      <w:rFonts w:hint="eastAsia"/>
                      <w:szCs w:val="21"/>
                    </w:rPr>
                    <w:t>2</w:t>
                  </w:r>
                  <w:r>
                    <w:rPr>
                      <w:szCs w:val="21"/>
                    </w:rPr>
                    <w:t>座放喷池，</w:t>
                  </w:r>
                  <w:r>
                    <w:rPr>
                      <w:rFonts w:hint="eastAsia"/>
                      <w:szCs w:val="21"/>
                    </w:rPr>
                    <w:t>主</w:t>
                  </w:r>
                  <w:r>
                    <w:rPr>
                      <w:szCs w:val="21"/>
                    </w:rPr>
                    <w:t>放喷池位于井场外</w:t>
                  </w:r>
                  <w:r>
                    <w:rPr>
                      <w:rFonts w:hint="eastAsia"/>
                      <w:szCs w:val="21"/>
                    </w:rPr>
                    <w:t>西南</w:t>
                  </w:r>
                  <w:r>
                    <w:rPr>
                      <w:szCs w:val="21"/>
                    </w:rPr>
                    <w:t>侧</w:t>
                  </w:r>
                  <w:r>
                    <w:rPr>
                      <w:rFonts w:hint="eastAsia"/>
                      <w:szCs w:val="21"/>
                    </w:rPr>
                    <w:t>，副放喷池位于井场外东北侧</w:t>
                  </w:r>
                  <w:r>
                    <w:rPr>
                      <w:szCs w:val="21"/>
                    </w:rPr>
                    <w:t>，</w:t>
                  </w:r>
                  <w:r>
                    <w:rPr>
                      <w:rFonts w:hint="eastAsia"/>
                      <w:szCs w:val="21"/>
                    </w:rPr>
                    <w:t>分别</w:t>
                  </w:r>
                  <w:r>
                    <w:rPr>
                      <w:szCs w:val="21"/>
                    </w:rPr>
                    <w:t>距离</w:t>
                  </w:r>
                  <w:r>
                    <w:rPr>
                      <w:rFonts w:hint="eastAsia"/>
                      <w:szCs w:val="21"/>
                    </w:rPr>
                    <w:t>双庙页1HF井</w:t>
                  </w:r>
                  <w:r>
                    <w:rPr>
                      <w:szCs w:val="21"/>
                    </w:rPr>
                    <w:t>约为8</w:t>
                  </w:r>
                  <w:r>
                    <w:rPr>
                      <w:rFonts w:hint="eastAsia"/>
                      <w:szCs w:val="21"/>
                    </w:rPr>
                    <w:t>7</w:t>
                  </w:r>
                  <w:r>
                    <w:rPr>
                      <w:szCs w:val="21"/>
                    </w:rPr>
                    <w:t>m</w:t>
                  </w:r>
                  <w:r>
                    <w:rPr>
                      <w:rFonts w:hint="eastAsia"/>
                      <w:szCs w:val="21"/>
                    </w:rPr>
                    <w:t>、104m，均大于75m。根据现场调查及设计资料，放喷池周围50m范围内无各类设施和民房。</w:t>
                  </w:r>
                </w:p>
              </w:tc>
            </w:tr>
            <w:tr w14:paraId="0BBD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vAlign w:val="center"/>
                </w:tcPr>
                <w:p w14:paraId="196143B7">
                  <w:pPr>
                    <w:adjustRightInd w:val="0"/>
                    <w:snapToGrid w:val="0"/>
                    <w:rPr>
                      <w:szCs w:val="21"/>
                    </w:rPr>
                  </w:pPr>
                  <w:r>
                    <w:rPr>
                      <w:szCs w:val="21"/>
                    </w:rPr>
                    <w:t>环境监测池布置合理性分析</w:t>
                  </w:r>
                </w:p>
              </w:tc>
              <w:tc>
                <w:tcPr>
                  <w:tcW w:w="2411" w:type="dxa"/>
                  <w:vAlign w:val="center"/>
                </w:tcPr>
                <w:p w14:paraId="68A2EED3">
                  <w:pPr>
                    <w:adjustRightInd w:val="0"/>
                    <w:snapToGrid w:val="0"/>
                    <w:rPr>
                      <w:szCs w:val="21"/>
                    </w:rPr>
                  </w:pPr>
                  <w:r>
                    <w:rPr>
                      <w:rFonts w:hint="eastAsia"/>
                      <w:szCs w:val="21"/>
                    </w:rPr>
                    <w:t>/</w:t>
                  </w:r>
                </w:p>
              </w:tc>
              <w:tc>
                <w:tcPr>
                  <w:tcW w:w="3751" w:type="dxa"/>
                  <w:vAlign w:val="center"/>
                </w:tcPr>
                <w:p w14:paraId="3A01AD10">
                  <w:pPr>
                    <w:adjustRightInd w:val="0"/>
                    <w:snapToGrid w:val="0"/>
                    <w:rPr>
                      <w:szCs w:val="21"/>
                    </w:rPr>
                  </w:pPr>
                  <w:r>
                    <w:rPr>
                      <w:szCs w:val="21"/>
                    </w:rPr>
                    <w:t>共设</w:t>
                  </w:r>
                  <w:r>
                    <w:rPr>
                      <w:rFonts w:hint="eastAsia"/>
                      <w:szCs w:val="21"/>
                    </w:rPr>
                    <w:t>1</w:t>
                  </w:r>
                  <w:r>
                    <w:rPr>
                      <w:szCs w:val="21"/>
                    </w:rPr>
                    <w:t>座环境监测池，生活区设1个隔油池。井场内环境监测池地势较低，便于及时收集作业期间产生的含油废水；由于井场内钻井设备较多，分布较为零散，为确保污水全部收集，故通过</w:t>
                  </w:r>
                  <w:r>
                    <w:rPr>
                      <w:rFonts w:hint="eastAsia"/>
                      <w:szCs w:val="21"/>
                    </w:rPr>
                    <w:t>场内排水沟汇集至集水坑后泵入泥浆不落地平台会用，场内清洁区雨水</w:t>
                  </w:r>
                  <w:r>
                    <w:rPr>
                      <w:szCs w:val="21"/>
                    </w:rPr>
                    <w:t>收集后排入环境监测池</w:t>
                  </w:r>
                  <w:r>
                    <w:rPr>
                      <w:rFonts w:hint="eastAsia"/>
                      <w:szCs w:val="21"/>
                    </w:rPr>
                    <w:t>处理后排放</w:t>
                  </w:r>
                  <w:r>
                    <w:rPr>
                      <w:szCs w:val="21"/>
                    </w:rPr>
                    <w:t>，避免含油废水外泄到井场外的土壤及地下水环境中</w:t>
                  </w:r>
                </w:p>
              </w:tc>
            </w:tr>
            <w:tr w14:paraId="14F6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vAlign w:val="center"/>
                </w:tcPr>
                <w:p w14:paraId="0C8C8B30">
                  <w:pPr>
                    <w:adjustRightInd w:val="0"/>
                    <w:snapToGrid w:val="0"/>
                    <w:rPr>
                      <w:szCs w:val="21"/>
                    </w:rPr>
                  </w:pPr>
                  <w:r>
                    <w:rPr>
                      <w:szCs w:val="21"/>
                    </w:rPr>
                    <w:t>噪声源布置合理性分析</w:t>
                  </w:r>
                </w:p>
              </w:tc>
              <w:tc>
                <w:tcPr>
                  <w:tcW w:w="2411" w:type="dxa"/>
                  <w:vAlign w:val="center"/>
                </w:tcPr>
                <w:p w14:paraId="553B21CA">
                  <w:pPr>
                    <w:adjustRightInd w:val="0"/>
                    <w:snapToGrid w:val="0"/>
                    <w:rPr>
                      <w:szCs w:val="21"/>
                    </w:rPr>
                  </w:pPr>
                  <w:r>
                    <w:rPr>
                      <w:szCs w:val="21"/>
                    </w:rPr>
                    <w:t>《钻前工程及井场布置技术要求》（SY/T5466-2013）中的第4.3.2条规定：电动钻机发电机组和电控房应布置并排置于井场的后方。尽量远离敏感点或受噪声影响农户最少</w:t>
                  </w:r>
                </w:p>
              </w:tc>
              <w:tc>
                <w:tcPr>
                  <w:tcW w:w="3751" w:type="dxa"/>
                  <w:vAlign w:val="center"/>
                </w:tcPr>
                <w:p w14:paraId="365424A6">
                  <w:pPr>
                    <w:adjustRightInd w:val="0"/>
                    <w:snapToGrid w:val="0"/>
                    <w:rPr>
                      <w:szCs w:val="21"/>
                    </w:rPr>
                  </w:pPr>
                  <w:r>
                    <w:rPr>
                      <w:szCs w:val="21"/>
                    </w:rPr>
                    <w:t>本</w:t>
                  </w:r>
                  <w:r>
                    <w:rPr>
                      <w:rFonts w:hint="eastAsia"/>
                      <w:szCs w:val="21"/>
                    </w:rPr>
                    <w:t>项目</w:t>
                  </w:r>
                  <w:r>
                    <w:rPr>
                      <w:szCs w:val="21"/>
                    </w:rPr>
                    <w:t>主要噪声源为柴油发电机、钻井设备、压裂车等高噪声设备，发电房位于井场北侧，压裂车位于井口</w:t>
                  </w:r>
                  <w:r>
                    <w:rPr>
                      <w:rFonts w:hint="eastAsia"/>
                      <w:szCs w:val="21"/>
                    </w:rPr>
                    <w:t>北侧</w:t>
                  </w:r>
                  <w:r>
                    <w:rPr>
                      <w:szCs w:val="21"/>
                    </w:rPr>
                    <w:t>，放喷池</w:t>
                  </w:r>
                  <w:r>
                    <w:rPr>
                      <w:rFonts w:hint="eastAsia"/>
                      <w:szCs w:val="21"/>
                    </w:rPr>
                    <w:t>分别</w:t>
                  </w:r>
                  <w:r>
                    <w:rPr>
                      <w:szCs w:val="21"/>
                    </w:rPr>
                    <w:t>位于井场</w:t>
                  </w:r>
                  <w:r>
                    <w:rPr>
                      <w:rFonts w:hint="eastAsia"/>
                      <w:szCs w:val="21"/>
                    </w:rPr>
                    <w:t>西南侧、东北</w:t>
                  </w:r>
                  <w:r>
                    <w:rPr>
                      <w:szCs w:val="21"/>
                    </w:rPr>
                    <w:t>侧，根据人居分布情况，</w:t>
                  </w:r>
                  <w:r>
                    <w:rPr>
                      <w:rFonts w:hint="eastAsia"/>
                      <w:szCs w:val="21"/>
                    </w:rPr>
                    <w:t>设备及放喷池布置于人口分布稀疏一侧，且</w:t>
                  </w:r>
                  <w:r>
                    <w:rPr>
                      <w:szCs w:val="21"/>
                    </w:rPr>
                    <w:t>井口周围散居农户主要分布在井场100m外，与噪声源保持了一定的噪声衰减距离，最大限度地降低钻井噪声对敏感点的影响，噪声源布局合理</w:t>
                  </w:r>
                  <w:r>
                    <w:rPr>
                      <w:rFonts w:hint="eastAsia"/>
                      <w:szCs w:val="21"/>
                    </w:rPr>
                    <w:t>。</w:t>
                  </w:r>
                </w:p>
              </w:tc>
            </w:tr>
            <w:tr w14:paraId="67B3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vAlign w:val="center"/>
                </w:tcPr>
                <w:p w14:paraId="46836356">
                  <w:pPr>
                    <w:adjustRightInd w:val="0"/>
                    <w:snapToGrid w:val="0"/>
                    <w:rPr>
                      <w:szCs w:val="21"/>
                    </w:rPr>
                  </w:pPr>
                  <w:r>
                    <w:rPr>
                      <w:szCs w:val="21"/>
                    </w:rPr>
                    <w:t>废水收集暂存设施合理性分析</w:t>
                  </w:r>
                </w:p>
              </w:tc>
              <w:tc>
                <w:tcPr>
                  <w:tcW w:w="2411" w:type="dxa"/>
                  <w:vAlign w:val="center"/>
                </w:tcPr>
                <w:p w14:paraId="2BB59455">
                  <w:pPr>
                    <w:adjustRightInd w:val="0"/>
                    <w:snapToGrid w:val="0"/>
                    <w:rPr>
                      <w:szCs w:val="21"/>
                    </w:rPr>
                  </w:pPr>
                  <w:r>
                    <w:rPr>
                      <w:rFonts w:hint="eastAsia"/>
                      <w:szCs w:val="21"/>
                    </w:rPr>
                    <w:t>/</w:t>
                  </w:r>
                </w:p>
              </w:tc>
              <w:tc>
                <w:tcPr>
                  <w:tcW w:w="3751" w:type="dxa"/>
                  <w:vAlign w:val="center"/>
                </w:tcPr>
                <w:p w14:paraId="56128BF8">
                  <w:pPr>
                    <w:adjustRightInd w:val="0"/>
                    <w:snapToGrid w:val="0"/>
                    <w:rPr>
                      <w:szCs w:val="21"/>
                    </w:rPr>
                  </w:pPr>
                  <w:r>
                    <w:rPr>
                      <w:rFonts w:hint="eastAsia"/>
                      <w:szCs w:val="21"/>
                    </w:rPr>
                    <w:t>本项目</w:t>
                  </w:r>
                  <w:r>
                    <w:rPr>
                      <w:szCs w:val="21"/>
                    </w:rPr>
                    <w:t>废水收集、处理设备废水罐、沉淀罐等均位于泥浆不落地平台内，最近农户距离泥浆不落地平台约</w:t>
                  </w:r>
                  <w:r>
                    <w:rPr>
                      <w:rFonts w:hint="eastAsia"/>
                      <w:szCs w:val="21"/>
                    </w:rPr>
                    <w:t>203</w:t>
                  </w:r>
                  <w:r>
                    <w:rPr>
                      <w:szCs w:val="21"/>
                    </w:rPr>
                    <w:t>m，且泥浆不落地平台位于平台内</w:t>
                  </w:r>
                  <w:r>
                    <w:rPr>
                      <w:rFonts w:hint="eastAsia"/>
                      <w:szCs w:val="21"/>
                    </w:rPr>
                    <w:t>东</w:t>
                  </w:r>
                  <w:r>
                    <w:rPr>
                      <w:szCs w:val="21"/>
                    </w:rPr>
                    <w:t>侧，距离农户场内有排水沟隔断，废水收集暂存设施选址有效减少了事故状态下废水外溢对周边居民的影响</w:t>
                  </w:r>
                </w:p>
              </w:tc>
            </w:tr>
            <w:tr w14:paraId="7497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9" w:type="dxa"/>
                  <w:vAlign w:val="center"/>
                </w:tcPr>
                <w:p w14:paraId="0C0B0288">
                  <w:pPr>
                    <w:adjustRightInd w:val="0"/>
                    <w:snapToGrid w:val="0"/>
                    <w:rPr>
                      <w:szCs w:val="21"/>
                    </w:rPr>
                  </w:pPr>
                  <w:r>
                    <w:rPr>
                      <w:szCs w:val="21"/>
                    </w:rPr>
                    <w:t>固废暂存设施布设合理性分析</w:t>
                  </w:r>
                </w:p>
              </w:tc>
              <w:tc>
                <w:tcPr>
                  <w:tcW w:w="2411" w:type="dxa"/>
                  <w:vAlign w:val="center"/>
                </w:tcPr>
                <w:p w14:paraId="76D1B5F1">
                  <w:pPr>
                    <w:adjustRightInd w:val="0"/>
                    <w:snapToGrid w:val="0"/>
                    <w:rPr>
                      <w:szCs w:val="21"/>
                    </w:rPr>
                  </w:pPr>
                  <w:r>
                    <w:rPr>
                      <w:rFonts w:hint="eastAsia"/>
                      <w:szCs w:val="21"/>
                    </w:rPr>
                    <w:t>/</w:t>
                  </w:r>
                </w:p>
              </w:tc>
              <w:tc>
                <w:tcPr>
                  <w:tcW w:w="3751" w:type="dxa"/>
                  <w:vAlign w:val="center"/>
                </w:tcPr>
                <w:p w14:paraId="086CC993">
                  <w:pPr>
                    <w:adjustRightInd w:val="0"/>
                    <w:snapToGrid w:val="0"/>
                    <w:rPr>
                      <w:szCs w:val="21"/>
                    </w:rPr>
                  </w:pPr>
                  <w:r>
                    <w:rPr>
                      <w:rFonts w:hint="eastAsia"/>
                      <w:szCs w:val="21"/>
                    </w:rPr>
                    <w:t>针对废水基泥浆、水基岩屑泥浆不落地平台内设置一般固废暂存点（岩屑堆放场）90m</w:t>
                  </w:r>
                  <w:r>
                    <w:rPr>
                      <w:rFonts w:hint="eastAsia"/>
                      <w:szCs w:val="21"/>
                      <w:vertAlign w:val="superscript"/>
                    </w:rPr>
                    <w:t>2</w:t>
                  </w:r>
                  <w:r>
                    <w:rPr>
                      <w:rFonts w:hint="eastAsia"/>
                      <w:szCs w:val="21"/>
                    </w:rPr>
                    <w:t>；针对油基岩屑、废油设置危险废物贮存点50m</w:t>
                  </w:r>
                  <w:r>
                    <w:rPr>
                      <w:rFonts w:hint="eastAsia"/>
                      <w:szCs w:val="21"/>
                      <w:vertAlign w:val="superscript"/>
                    </w:rPr>
                    <w:t>2</w:t>
                  </w:r>
                  <w:r>
                    <w:rPr>
                      <w:rFonts w:hint="eastAsia"/>
                      <w:szCs w:val="21"/>
                    </w:rPr>
                    <w:t>，危险废物贮存点位于井场东侧，危险废物贮存点进行了重点防渗并设置相关防泄漏措施，距离下游环境保护目标较远，故事故状态下，对其影响较小。</w:t>
                  </w:r>
                </w:p>
              </w:tc>
            </w:tr>
          </w:tbl>
          <w:p w14:paraId="7FDFA8C7">
            <w:pPr>
              <w:adjustRightInd w:val="0"/>
              <w:snapToGrid w:val="0"/>
              <w:spacing w:line="360" w:lineRule="auto"/>
              <w:ind w:firstLine="480" w:firstLineChars="200"/>
              <w:rPr>
                <w:kern w:val="0"/>
                <w:szCs w:val="21"/>
              </w:rPr>
            </w:pPr>
            <w:r>
              <w:rPr>
                <w:sz w:val="24"/>
              </w:rPr>
              <w:t>综上所述，</w:t>
            </w:r>
            <w:r>
              <w:rPr>
                <w:rFonts w:hint="eastAsia"/>
                <w:sz w:val="24"/>
              </w:rPr>
              <w:t>本项目油罐区、放喷池等设施</w:t>
            </w:r>
            <w:r>
              <w:rPr>
                <w:sz w:val="24"/>
              </w:rPr>
              <w:t>根据《钻井工程及井场布置技术要求SYT5466-2013》《石油天然气钻井、开发、储运防火防爆安全生产技术规程》（SY-T5225-2005）等规定的相关要求布置，从环保角度分析是合理可行的。</w:t>
            </w:r>
          </w:p>
        </w:tc>
      </w:tr>
      <w:tr w14:paraId="18634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67FB813">
            <w:pPr>
              <w:adjustRightInd w:val="0"/>
              <w:snapToGrid w:val="0"/>
              <w:jc w:val="center"/>
              <w:rPr>
                <w:kern w:val="0"/>
                <w:szCs w:val="21"/>
              </w:rPr>
            </w:pPr>
            <w:r>
              <w:rPr>
                <w:kern w:val="0"/>
                <w:szCs w:val="21"/>
              </w:rPr>
              <w:t>施工方案</w:t>
            </w:r>
          </w:p>
        </w:tc>
        <w:tc>
          <w:tcPr>
            <w:tcW w:w="7707" w:type="dxa"/>
            <w:vAlign w:val="center"/>
          </w:tcPr>
          <w:p w14:paraId="17D0393A">
            <w:pPr>
              <w:adjustRightInd w:val="0"/>
              <w:snapToGrid w:val="0"/>
              <w:spacing w:line="360" w:lineRule="auto"/>
              <w:rPr>
                <w:b/>
                <w:bCs/>
                <w:kern w:val="0"/>
                <w:sz w:val="24"/>
              </w:rPr>
            </w:pPr>
            <w:r>
              <w:rPr>
                <w:b/>
                <w:bCs/>
                <w:kern w:val="0"/>
                <w:sz w:val="24"/>
              </w:rPr>
              <w:t>2.11工艺流程：</w:t>
            </w:r>
          </w:p>
          <w:p w14:paraId="1342C182">
            <w:pPr>
              <w:adjustRightInd w:val="0"/>
              <w:snapToGrid w:val="0"/>
              <w:spacing w:line="360" w:lineRule="auto"/>
              <w:ind w:firstLine="480" w:firstLineChars="200"/>
              <w:rPr>
                <w:kern w:val="0"/>
                <w:sz w:val="24"/>
              </w:rPr>
            </w:pPr>
            <w:r>
              <w:rPr>
                <w:kern w:val="0"/>
                <w:sz w:val="24"/>
              </w:rPr>
              <w:t>根据天然气钻井工程特点，</w:t>
            </w:r>
            <w:r>
              <w:rPr>
                <w:rFonts w:hint="eastAsia"/>
                <w:kern w:val="0"/>
                <w:sz w:val="24"/>
              </w:rPr>
              <w:t>本</w:t>
            </w:r>
            <w:r>
              <w:rPr>
                <w:kern w:val="0"/>
                <w:sz w:val="24"/>
              </w:rPr>
              <w:t>项目主要包括钻前工程（包括井场建设）、钻井作业阶段（钻井和固井、录井等）、试气工程阶段（酸化压裂、完井测试和完井作业后井队的撤离）。</w:t>
            </w:r>
          </w:p>
          <w:p w14:paraId="6BB9B14A">
            <w:pPr>
              <w:adjustRightInd w:val="0"/>
              <w:snapToGrid w:val="0"/>
              <w:spacing w:line="360" w:lineRule="auto"/>
              <w:rPr>
                <w:b/>
                <w:bCs/>
                <w:kern w:val="0"/>
                <w:sz w:val="24"/>
              </w:rPr>
            </w:pPr>
            <w:r>
              <w:rPr>
                <w:b/>
                <w:bCs/>
                <w:kern w:val="0"/>
                <w:sz w:val="24"/>
              </w:rPr>
              <w:t>2.11.1钻前工程</w:t>
            </w:r>
          </w:p>
          <w:p w14:paraId="35D531B6">
            <w:pPr>
              <w:adjustRightInd w:val="0"/>
              <w:snapToGrid w:val="0"/>
              <w:spacing w:line="360" w:lineRule="auto"/>
              <w:ind w:firstLine="480" w:firstLineChars="200"/>
              <w:rPr>
                <w:kern w:val="0"/>
                <w:sz w:val="24"/>
              </w:rPr>
            </w:pPr>
            <w:r>
              <w:rPr>
                <w:kern w:val="0"/>
                <w:sz w:val="24"/>
              </w:rPr>
              <w:t>钻前工程主要包括井口建设、钻井设备及其活动板房基础构筑等</w:t>
            </w:r>
            <w:r>
              <w:rPr>
                <w:rFonts w:hint="eastAsia"/>
                <w:kern w:val="0"/>
                <w:sz w:val="24"/>
              </w:rPr>
              <w:t>建设</w:t>
            </w:r>
            <w:r>
              <w:rPr>
                <w:kern w:val="0"/>
                <w:sz w:val="24"/>
              </w:rPr>
              <w:t>，主要为土建施工，由专业施工单位组织当地民工作业。钻前工艺流程见图2.11-1：</w:t>
            </w:r>
          </w:p>
          <w:p w14:paraId="4E8654E3">
            <w:pPr>
              <w:adjustRightInd w:val="0"/>
              <w:snapToGrid w:val="0"/>
              <w:jc w:val="center"/>
              <w:rPr>
                <w:kern w:val="0"/>
                <w:sz w:val="24"/>
              </w:rPr>
            </w:pPr>
            <w:r>
              <w:rPr>
                <w:kern w:val="0"/>
                <w:sz w:val="24"/>
              </w:rPr>
              <mc:AlternateContent>
                <mc:Choice Requires="wpg">
                  <w:drawing>
                    <wp:inline distT="0" distB="0" distL="0" distR="0">
                      <wp:extent cx="4495165" cy="1722120"/>
                      <wp:effectExtent l="9525" t="5080" r="10160" b="25400"/>
                      <wp:docPr id="9" name="Group 1415"/>
                      <wp:cNvGraphicFramePr/>
                      <a:graphic xmlns:a="http://schemas.openxmlformats.org/drawingml/2006/main">
                        <a:graphicData uri="http://schemas.microsoft.com/office/word/2010/wordprocessingGroup">
                          <wpg:wgp>
                            <wpg:cNvGrpSpPr/>
                            <wpg:grpSpPr>
                              <a:xfrm>
                                <a:off x="0" y="0"/>
                                <a:ext cx="4495386" cy="1722211"/>
                                <a:chOff x="1841" y="11243"/>
                                <a:chExt cx="8691" cy="4225"/>
                              </a:xfrm>
                            </wpg:grpSpPr>
                            <wps:wsp>
                              <wps:cNvPr id="1524" name="矩形 1455"/>
                              <wps:cNvSpPr>
                                <a:spLocks noChangeArrowheads="1"/>
                              </wps:cNvSpPr>
                              <wps:spPr bwMode="auto">
                                <a:xfrm>
                                  <a:off x="8383" y="14144"/>
                                  <a:ext cx="2149" cy="633"/>
                                </a:xfrm>
                                <a:prstGeom prst="rect">
                                  <a:avLst/>
                                </a:prstGeom>
                                <a:solidFill>
                                  <a:srgbClr val="CCFFFF"/>
                                </a:solidFill>
                                <a:ln w="19050">
                                  <a:solidFill>
                                    <a:srgbClr val="000000"/>
                                  </a:solidFill>
                                  <a:miter lim="800000"/>
                                </a:ln>
                                <a:effectLst/>
                              </wps:spPr>
                              <wps:txbx>
                                <w:txbxContent>
                                  <w:p w14:paraId="67C61819">
                                    <w:pPr>
                                      <w:pStyle w:val="36"/>
                                      <w:spacing w:line="240" w:lineRule="auto"/>
                                      <w:rPr>
                                        <w:sz w:val="22"/>
                                        <w:szCs w:val="22"/>
                                      </w:rPr>
                                    </w:pPr>
                                    <w:r>
                                      <w:rPr>
                                        <w:rFonts w:hint="eastAsia"/>
                                        <w:sz w:val="22"/>
                                        <w:szCs w:val="22"/>
                                      </w:rPr>
                                      <w:t>设备搬运安装</w:t>
                                    </w:r>
                                  </w:p>
                                </w:txbxContent>
                              </wps:txbx>
                              <wps:bodyPr rot="0" vert="horz" wrap="square" lIns="91440" tIns="0" rIns="91440" bIns="0" anchor="t" anchorCtr="0" upright="1">
                                <a:noAutofit/>
                              </wps:bodyPr>
                            </wps:wsp>
                            <wps:wsp>
                              <wps:cNvPr id="1525" name="矩形 1456"/>
                              <wps:cNvSpPr>
                                <a:spLocks noChangeArrowheads="1"/>
                              </wps:cNvSpPr>
                              <wps:spPr bwMode="auto">
                                <a:xfrm>
                                  <a:off x="1841" y="13321"/>
                                  <a:ext cx="2772" cy="2147"/>
                                </a:xfrm>
                                <a:prstGeom prst="rect">
                                  <a:avLst/>
                                </a:prstGeom>
                                <a:solidFill>
                                  <a:srgbClr val="CCFFFF"/>
                                </a:solidFill>
                                <a:ln w="19050">
                                  <a:solidFill>
                                    <a:srgbClr val="000000"/>
                                  </a:solidFill>
                                  <a:miter lim="800000"/>
                                </a:ln>
                                <a:effectLst/>
                              </wps:spPr>
                              <wps:txbx>
                                <w:txbxContent>
                                  <w:p w14:paraId="14CBBF81">
                                    <w:pPr>
                                      <w:rPr>
                                        <w:sz w:val="22"/>
                                        <w:szCs w:val="22"/>
                                      </w:rPr>
                                    </w:pPr>
                                    <w:r>
                                      <w:rPr>
                                        <w:rFonts w:hint="eastAsia"/>
                                        <w:bCs/>
                                        <w:spacing w:val="20"/>
                                        <w:sz w:val="22"/>
                                        <w:szCs w:val="22"/>
                                      </w:rPr>
                                      <w:t>平台硬化、井口方井建设、进场道路建设等构筑物建设</w:t>
                                    </w:r>
                                  </w:p>
                                </w:txbxContent>
                              </wps:txbx>
                              <wps:bodyPr rot="0" vert="horz" wrap="square" lIns="91440" tIns="45720" rIns="91440" bIns="45720" anchor="t" anchorCtr="0" upright="1">
                                <a:noAutofit/>
                              </wps:bodyPr>
                            </wps:wsp>
                            <wps:wsp>
                              <wps:cNvPr id="1526" name="矩形 1457"/>
                              <wps:cNvSpPr>
                                <a:spLocks noChangeArrowheads="1"/>
                              </wps:cNvSpPr>
                              <wps:spPr bwMode="auto">
                                <a:xfrm>
                                  <a:off x="5205" y="14069"/>
                                  <a:ext cx="2334" cy="821"/>
                                </a:xfrm>
                                <a:prstGeom prst="rect">
                                  <a:avLst/>
                                </a:prstGeom>
                                <a:solidFill>
                                  <a:srgbClr val="CCFFFF"/>
                                </a:solidFill>
                                <a:ln w="19050">
                                  <a:solidFill>
                                    <a:srgbClr val="000000"/>
                                  </a:solidFill>
                                  <a:miter lim="800000"/>
                                </a:ln>
                                <a:effectLst/>
                              </wps:spPr>
                              <wps:txbx>
                                <w:txbxContent>
                                  <w:p w14:paraId="2BF44BF0">
                                    <w:pPr>
                                      <w:jc w:val="center"/>
                                      <w:rPr>
                                        <w:sz w:val="24"/>
                                      </w:rPr>
                                    </w:pPr>
                                    <w:r>
                                      <w:rPr>
                                        <w:rFonts w:hint="eastAsia"/>
                                        <w:sz w:val="24"/>
                                      </w:rPr>
                                      <w:t>设备基础</w:t>
                                    </w:r>
                                  </w:p>
                                </w:txbxContent>
                              </wps:txbx>
                              <wps:bodyPr rot="0" vert="horz" wrap="square" lIns="0" tIns="45720" rIns="0" bIns="45720" anchor="t" anchorCtr="0" upright="1">
                                <a:noAutofit/>
                              </wps:bodyPr>
                            </wps:wsp>
                            <wps:wsp>
                              <wps:cNvPr id="1527" name="直线 1458"/>
                              <wps:cNvCnPr>
                                <a:cxnSpLocks noChangeShapeType="1"/>
                              </wps:cNvCnPr>
                              <wps:spPr bwMode="auto">
                                <a:xfrm>
                                  <a:off x="7621" y="14479"/>
                                  <a:ext cx="776" cy="5"/>
                                </a:xfrm>
                                <a:prstGeom prst="line">
                                  <a:avLst/>
                                </a:prstGeom>
                                <a:noFill/>
                                <a:ln w="15875">
                                  <a:solidFill>
                                    <a:srgbClr val="0000FF"/>
                                  </a:solidFill>
                                  <a:round/>
                                  <a:tailEnd type="triangle" w="med" len="med"/>
                                </a:ln>
                                <a:effectLst/>
                              </wps:spPr>
                              <wps:bodyPr/>
                            </wps:wsp>
                            <wps:wsp>
                              <wps:cNvPr id="1528" name="直线 1459"/>
                              <wps:cNvCnPr>
                                <a:cxnSpLocks noChangeShapeType="1"/>
                              </wps:cNvCnPr>
                              <wps:spPr bwMode="auto">
                                <a:xfrm>
                                  <a:off x="4604" y="14524"/>
                                  <a:ext cx="545" cy="3"/>
                                </a:xfrm>
                                <a:prstGeom prst="line">
                                  <a:avLst/>
                                </a:prstGeom>
                                <a:noFill/>
                                <a:ln w="15875">
                                  <a:solidFill>
                                    <a:srgbClr val="0000FF"/>
                                  </a:solidFill>
                                  <a:round/>
                                  <a:tailEnd type="triangle" w="med" len="med"/>
                                </a:ln>
                                <a:effectLst/>
                              </wps:spPr>
                              <wps:bodyPr/>
                            </wps:wsp>
                            <wps:wsp>
                              <wps:cNvPr id="1529" name="自选图形 1460"/>
                              <wps:cNvSpPr>
                                <a:spLocks noChangeArrowheads="1"/>
                              </wps:cNvSpPr>
                              <wps:spPr bwMode="auto">
                                <a:xfrm>
                                  <a:off x="1992" y="11327"/>
                                  <a:ext cx="2837" cy="1294"/>
                                </a:xfrm>
                                <a:prstGeom prst="wedgeRectCallout">
                                  <a:avLst>
                                    <a:gd name="adj1" fmla="val -7315"/>
                                    <a:gd name="adj2" fmla="val 108898"/>
                                  </a:avLst>
                                </a:prstGeom>
                                <a:solidFill>
                                  <a:srgbClr val="FFFFFF"/>
                                </a:solidFill>
                                <a:ln w="9525">
                                  <a:solidFill>
                                    <a:srgbClr val="FF0000"/>
                                  </a:solidFill>
                                  <a:prstDash val="dash"/>
                                  <a:miter lim="800000"/>
                                </a:ln>
                                <a:effectLst/>
                              </wps:spPr>
                              <wps:txbx>
                                <w:txbxContent>
                                  <w:p w14:paraId="2972B38D">
                                    <w:r>
                                      <w:rPr>
                                        <w:rFonts w:hint="eastAsia"/>
                                      </w:rPr>
                                      <w:t>水土流失、施工噪声、施工扬尘、施工废渣等</w:t>
                                    </w:r>
                                  </w:p>
                                  <w:p w14:paraId="1370C1F3"/>
                                </w:txbxContent>
                              </wps:txbx>
                              <wps:bodyPr rot="0" vert="horz" wrap="square" lIns="0" tIns="45720" rIns="0" bIns="45720" anchor="t" anchorCtr="0" upright="1">
                                <a:noAutofit/>
                              </wps:bodyPr>
                            </wps:wsp>
                            <wps:wsp>
                              <wps:cNvPr id="1530" name="自选图形 1461"/>
                              <wps:cNvSpPr>
                                <a:spLocks noChangeArrowheads="1"/>
                              </wps:cNvSpPr>
                              <wps:spPr bwMode="auto">
                                <a:xfrm>
                                  <a:off x="5438" y="11243"/>
                                  <a:ext cx="2525" cy="1262"/>
                                </a:xfrm>
                                <a:prstGeom prst="wedgeRectCallout">
                                  <a:avLst>
                                    <a:gd name="adj1" fmla="val -7544"/>
                                    <a:gd name="adj2" fmla="val 180597"/>
                                  </a:avLst>
                                </a:prstGeom>
                                <a:solidFill>
                                  <a:srgbClr val="FFFFFF"/>
                                </a:solidFill>
                                <a:ln w="9525">
                                  <a:solidFill>
                                    <a:srgbClr val="FF0000"/>
                                  </a:solidFill>
                                  <a:prstDash val="dash"/>
                                  <a:miter lim="800000"/>
                                </a:ln>
                                <a:effectLst/>
                              </wps:spPr>
                              <wps:txbx>
                                <w:txbxContent>
                                  <w:p w14:paraId="3F019A76">
                                    <w:pPr>
                                      <w:jc w:val="center"/>
                                    </w:pPr>
                                    <w:r>
                                      <w:rPr>
                                        <w:rFonts w:hint="eastAsia"/>
                                      </w:rPr>
                                      <w:t>施工噪声、施工废渣等</w:t>
                                    </w:r>
                                  </w:p>
                                </w:txbxContent>
                              </wps:txbx>
                              <wps:bodyPr rot="0" vert="horz" wrap="square" lIns="91440" tIns="45720" rIns="91440" bIns="45720" anchor="t" anchorCtr="0" upright="1">
                                <a:noAutofit/>
                              </wps:bodyPr>
                            </wps:wsp>
                            <wps:wsp>
                              <wps:cNvPr id="1531" name="自选图形 1462"/>
                              <wps:cNvSpPr>
                                <a:spLocks noChangeArrowheads="1"/>
                              </wps:cNvSpPr>
                              <wps:spPr bwMode="auto">
                                <a:xfrm>
                                  <a:off x="8326" y="11511"/>
                                  <a:ext cx="1930" cy="1460"/>
                                </a:xfrm>
                                <a:prstGeom prst="wedgeRectCallout">
                                  <a:avLst>
                                    <a:gd name="adj1" fmla="val 14555"/>
                                    <a:gd name="adj2" fmla="val 131822"/>
                                  </a:avLst>
                                </a:prstGeom>
                                <a:solidFill>
                                  <a:srgbClr val="FFFFFF"/>
                                </a:solidFill>
                                <a:ln w="9525">
                                  <a:solidFill>
                                    <a:srgbClr val="FF0000"/>
                                  </a:solidFill>
                                  <a:prstDash val="dash"/>
                                  <a:miter lim="800000"/>
                                </a:ln>
                                <a:effectLst/>
                              </wps:spPr>
                              <wps:txbx>
                                <w:txbxContent>
                                  <w:p w14:paraId="24284197">
                                    <w:r>
                                      <w:rPr>
                                        <w:rFonts w:hint="eastAsia"/>
                                      </w:rPr>
                                      <w:t>施工噪声、废包装材料等</w:t>
                                    </w:r>
                                  </w:p>
                                </w:txbxContent>
                              </wps:txbx>
                              <wps:bodyPr rot="0" vert="horz" wrap="square" lIns="91440" tIns="45720" rIns="91440" bIns="45720" anchor="t" anchorCtr="0" upright="1">
                                <a:noAutofit/>
                              </wps:bodyPr>
                            </wps:wsp>
                          </wpg:wgp>
                        </a:graphicData>
                      </a:graphic>
                    </wp:inline>
                  </w:drawing>
                </mc:Choice>
                <mc:Fallback>
                  <w:pict>
                    <v:group id="Group 1415" o:spid="_x0000_s1026" o:spt="203" style="height:135.6pt;width:353.95pt;" coordorigin="1841,11243" coordsize="8691,4225" o:gfxdata="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AaNT3i1gAAAAUBAAAPAAAAAAAAAAEAIAAAACIAAABkcnMvZG93bnJldi54bWxQSwECFAAUAAAA&#10;CACHTuJA3/mo0w4FAACtGAAADgAAAAAAAAABACAAAAAlAQAAZHJzL2Uyb0RvYy54bWxQSwUGAAAA&#10;AAYABgBZAQAApQgAAAAA&#10;">
                      <o:lock v:ext="edit" aspectratio="f"/>
                      <v:rect id="矩形 1455" o:spid="_x0000_s1026" o:spt="1" style="position:absolute;left:8383;top:14144;height:633;width:2149;" fillcolor="#CCFFFF" filled="t" stroked="t" coordsize="21600,21600" o:gfxdata="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jkaugAAAN0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2.54mm,0mm,2.54mm,0mm">
                          <w:txbxContent>
                            <w:p w14:paraId="67C61819">
                              <w:pPr>
                                <w:pStyle w:val="36"/>
                                <w:spacing w:line="240" w:lineRule="auto"/>
                                <w:rPr>
                                  <w:sz w:val="22"/>
                                  <w:szCs w:val="22"/>
                                </w:rPr>
                              </w:pPr>
                              <w:r>
                                <w:rPr>
                                  <w:rFonts w:hint="eastAsia"/>
                                  <w:sz w:val="22"/>
                                  <w:szCs w:val="22"/>
                                </w:rPr>
                                <w:t>设备搬运安装</w:t>
                              </w:r>
                            </w:p>
                          </w:txbxContent>
                        </v:textbox>
                      </v:rect>
                      <v:rect id="矩形 1456" o:spid="_x0000_s1026" o:spt="1" style="position:absolute;left:1841;top:13321;height:2147;width:2772;" fillcolor="#CCFFFF" filled="t" stroked="t" coordsize="21600,21600" o:gfxdata="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Hlm8AAAA&#10;3Q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14:paraId="14CBBF81">
                              <w:pPr>
                                <w:rPr>
                                  <w:sz w:val="22"/>
                                  <w:szCs w:val="22"/>
                                </w:rPr>
                              </w:pPr>
                              <w:r>
                                <w:rPr>
                                  <w:rFonts w:hint="eastAsia"/>
                                  <w:bCs/>
                                  <w:spacing w:val="20"/>
                                  <w:sz w:val="22"/>
                                  <w:szCs w:val="22"/>
                                </w:rPr>
                                <w:t>平台硬化、井口方井建设、进场道路建设等构筑物建设</w:t>
                              </w:r>
                            </w:p>
                          </w:txbxContent>
                        </v:textbox>
                      </v:rect>
                      <v:rect id="矩形 1457" o:spid="_x0000_s1026" o:spt="1" style="position:absolute;left:5205;top:14069;height:821;width:2334;" fillcolor="#CCFFFF" filled="t" stroked="t" coordsize="21600,21600" o:gfxdata="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gGHbsAAADd&#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0mm,1.27mm,0mm,1.27mm">
                          <w:txbxContent>
                            <w:p w14:paraId="2BF44BF0">
                              <w:pPr>
                                <w:jc w:val="center"/>
                                <w:rPr>
                                  <w:sz w:val="24"/>
                                </w:rPr>
                              </w:pPr>
                              <w:r>
                                <w:rPr>
                                  <w:rFonts w:hint="eastAsia"/>
                                  <w:sz w:val="24"/>
                                </w:rPr>
                                <w:t>设备基础</w:t>
                              </w:r>
                            </w:p>
                          </w:txbxContent>
                        </v:textbox>
                      </v:rect>
                      <v:line id="直线 1458" o:spid="_x0000_s1026" o:spt="20" style="position:absolute;left:7621;top:14479;height:5;width:776;" filled="f" stroked="t" coordsize="21600,21600" o:gfxdata="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3uSvQAA&#10;AN0AAAAPAAAAAAAAAAEAIAAAACIAAABkcnMvZG93bnJldi54bWxQSwECFAAUAAAACACHTuJAMy8F&#10;njsAAAA5AAAAEAAAAAAAAAABACAAAAAMAQAAZHJzL3NoYXBleG1sLnhtbFBLBQYAAAAABgAGAFsB&#10;AAC2AwAAAAA=&#10;">
                        <v:fill on="f" focussize="0,0"/>
                        <v:stroke weight="1.25pt" color="#0000FF" joinstyle="round" endarrow="block"/>
                        <v:imagedata o:title=""/>
                        <o:lock v:ext="edit" aspectratio="f"/>
                      </v:line>
                      <v:line id="直线 1459" o:spid="_x0000_s1026" o:spt="20" style="position:absolute;left:4604;top:14524;height:3;width:545;" filled="f" stroked="t" coordsize="21600,21600" o:gfxdata="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O/g&#10;wAAAAN0AAAAPAAAAAAAAAAEAIAAAACIAAABkcnMvZG93bnJldi54bWxQSwECFAAUAAAACACHTuJA&#10;My8FnjsAAAA5AAAAEAAAAAAAAAABACAAAAAPAQAAZHJzL3NoYXBleG1sLnhtbFBLBQYAAAAABgAG&#10;AFsBAAC5AwAAAAA=&#10;">
                        <v:fill on="f" focussize="0,0"/>
                        <v:stroke weight="1.25pt" color="#0000FF" joinstyle="round" endarrow="block"/>
                        <v:imagedata o:title=""/>
                        <o:lock v:ext="edit" aspectratio="f"/>
                      </v:line>
                      <v:shape id="自选图形 1460" o:spid="_x0000_s1026" o:spt="61" type="#_x0000_t61" style="position:absolute;left:1992;top:11327;height:1294;width:2837;" fillcolor="#FFFFFF" filled="t" stroked="t" coordsize="21600,21600" o:gfxdata="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7C4C8AAAA&#10;3QAAAA8AAAAAAAAAAQAgAAAAIgAAAGRycy9kb3ducmV2LnhtbFBLAQIUABQAAAAIAIdO4kAzLwWe&#10;OwAAADkAAAAQAAAAAAAAAAEAIAAAAAsBAABkcnMvc2hhcGV4bWwueG1sUEsFBgAAAAAGAAYAWwEA&#10;ALUDAAAAAA==&#10;" adj="9220,34322">
                        <v:fill on="t" focussize="0,0"/>
                        <v:stroke color="#FF0000" miterlimit="8" joinstyle="miter" dashstyle="dash"/>
                        <v:imagedata o:title=""/>
                        <o:lock v:ext="edit" aspectratio="f"/>
                        <v:textbox inset="0mm,1.27mm,0mm,1.27mm">
                          <w:txbxContent>
                            <w:p w14:paraId="2972B38D">
                              <w:r>
                                <w:rPr>
                                  <w:rFonts w:hint="eastAsia"/>
                                </w:rPr>
                                <w:t>水土流失、施工噪声、施工扬尘、施工废渣等</w:t>
                              </w:r>
                            </w:p>
                            <w:p w14:paraId="1370C1F3"/>
                          </w:txbxContent>
                        </v:textbox>
                      </v:shape>
                      <v:shape id="自选图形 1461" o:spid="_x0000_s1026" o:spt="61" type="#_x0000_t61" style="position:absolute;left:5438;top:11243;height:1262;width:2525;" fillcolor="#FFFFFF" filled="t" stroked="t" coordsize="21600,21600" o:gfxdata="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6Db4A&#10;AADdAAAADwAAAAAAAAABACAAAAAiAAAAZHJzL2Rvd25yZXYueG1sUEsBAhQAFAAAAAgAh07iQDMv&#10;BZ47AAAAOQAAABAAAAAAAAAAAQAgAAAADQEAAGRycy9zaGFwZXhtbC54bWxQSwUGAAAAAAYABgBb&#10;AQAAtwMAAAAA&#10;" adj="9170,49809">
                        <v:fill on="t" focussize="0,0"/>
                        <v:stroke color="#FF0000" miterlimit="8" joinstyle="miter" dashstyle="dash"/>
                        <v:imagedata o:title=""/>
                        <o:lock v:ext="edit" aspectratio="f"/>
                        <v:textbox>
                          <w:txbxContent>
                            <w:p w14:paraId="3F019A76">
                              <w:pPr>
                                <w:jc w:val="center"/>
                              </w:pPr>
                              <w:r>
                                <w:rPr>
                                  <w:rFonts w:hint="eastAsia"/>
                                </w:rPr>
                                <w:t>施工噪声、施工废渣等</w:t>
                              </w:r>
                            </w:p>
                          </w:txbxContent>
                        </v:textbox>
                      </v:shape>
                      <v:shape id="自选图形 1462" o:spid="_x0000_s1026" o:spt="61" type="#_x0000_t61" style="position:absolute;left:8326;top:11511;height:1460;width:1930;" fillcolor="#FFFFFF" filled="t" stroked="t" coordsize="21600,21600" o:gfxdata="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v0O8AAAA&#10;3QAAAA8AAAAAAAAAAQAgAAAAIgAAAGRycy9kb3ducmV2LnhtbFBLAQIUABQAAAAIAIdO4kAzLwWe&#10;OwAAADkAAAAQAAAAAAAAAAEAIAAAAAsBAABkcnMvc2hhcGV4bWwueG1sUEsFBgAAAAAGAAYAWwEA&#10;ALUDAAAAAA==&#10;" adj="13944,39274">
                        <v:fill on="t" focussize="0,0"/>
                        <v:stroke color="#FF0000" miterlimit="8" joinstyle="miter" dashstyle="dash"/>
                        <v:imagedata o:title=""/>
                        <o:lock v:ext="edit" aspectratio="f"/>
                        <v:textbox>
                          <w:txbxContent>
                            <w:p w14:paraId="24284197">
                              <w:r>
                                <w:rPr>
                                  <w:rFonts w:hint="eastAsia"/>
                                </w:rPr>
                                <w:t>施工噪声、废包装材料等</w:t>
                              </w:r>
                            </w:p>
                          </w:txbxContent>
                        </v:textbox>
                      </v:shape>
                      <w10:wrap type="none"/>
                      <w10:anchorlock/>
                    </v:group>
                  </w:pict>
                </mc:Fallback>
              </mc:AlternateContent>
            </w:r>
          </w:p>
          <w:p w14:paraId="08C24805">
            <w:pPr>
              <w:adjustRightInd w:val="0"/>
              <w:snapToGrid w:val="0"/>
              <w:spacing w:line="360" w:lineRule="auto"/>
              <w:ind w:firstLine="482" w:firstLineChars="200"/>
              <w:jc w:val="center"/>
              <w:rPr>
                <w:b/>
                <w:bCs/>
                <w:kern w:val="0"/>
                <w:sz w:val="24"/>
              </w:rPr>
            </w:pPr>
            <w:r>
              <w:rPr>
                <w:b/>
                <w:bCs/>
                <w:kern w:val="0"/>
                <w:sz w:val="24"/>
              </w:rPr>
              <w:t>图2.11-1  钻前工艺总流程图</w:t>
            </w:r>
          </w:p>
          <w:p w14:paraId="05A03308">
            <w:pPr>
              <w:adjustRightInd w:val="0"/>
              <w:snapToGrid w:val="0"/>
              <w:spacing w:line="360" w:lineRule="auto"/>
              <w:ind w:firstLine="480" w:firstLineChars="200"/>
              <w:rPr>
                <w:kern w:val="0"/>
                <w:sz w:val="24"/>
              </w:rPr>
            </w:pPr>
            <w:r>
              <w:rPr>
                <w:kern w:val="0"/>
                <w:sz w:val="24"/>
              </w:rPr>
              <w:t>（1）井场道路</w:t>
            </w:r>
          </w:p>
          <w:p w14:paraId="1563F0ED">
            <w:pPr>
              <w:adjustRightInd w:val="0"/>
              <w:snapToGrid w:val="0"/>
              <w:spacing w:line="360" w:lineRule="auto"/>
              <w:ind w:firstLine="480" w:firstLineChars="200"/>
              <w:rPr>
                <w:kern w:val="0"/>
                <w:sz w:val="24"/>
              </w:rPr>
            </w:pPr>
            <w:r>
              <w:rPr>
                <w:kern w:val="0"/>
                <w:sz w:val="24"/>
              </w:rPr>
              <w:t>本项目进场道路约</w:t>
            </w:r>
            <w:r>
              <w:rPr>
                <w:rFonts w:hint="eastAsia"/>
                <w:kern w:val="0"/>
                <w:sz w:val="24"/>
              </w:rPr>
              <w:t>50</w:t>
            </w:r>
            <w:r>
              <w:rPr>
                <w:kern w:val="0"/>
                <w:sz w:val="24"/>
              </w:rPr>
              <w:t>m，路面结构为：20cm级配碎石+20cm厚6%水泥稳定碎石+20cmC30混凝土，设计行车速度20km/h，路基宽</w:t>
            </w:r>
            <w:r>
              <w:rPr>
                <w:rFonts w:hint="eastAsia"/>
                <w:kern w:val="0"/>
                <w:sz w:val="24"/>
              </w:rPr>
              <w:t>4.</w:t>
            </w:r>
            <w:r>
              <w:rPr>
                <w:kern w:val="0"/>
                <w:sz w:val="24"/>
              </w:rPr>
              <w:t>0m。为减轻路面水土流失，道路路面采用泥结碎石路面压实处理。</w:t>
            </w:r>
          </w:p>
          <w:p w14:paraId="481E0C63">
            <w:pPr>
              <w:adjustRightInd w:val="0"/>
              <w:snapToGrid w:val="0"/>
              <w:spacing w:line="360" w:lineRule="auto"/>
              <w:ind w:firstLine="480" w:firstLineChars="200"/>
              <w:rPr>
                <w:kern w:val="0"/>
                <w:sz w:val="24"/>
              </w:rPr>
            </w:pPr>
            <w:r>
              <w:rPr>
                <w:kern w:val="0"/>
                <w:sz w:val="24"/>
              </w:rPr>
              <w:t>（2）井场构筑</w:t>
            </w:r>
          </w:p>
          <w:p w14:paraId="007D3313">
            <w:pPr>
              <w:adjustRightInd w:val="0"/>
              <w:snapToGrid w:val="0"/>
              <w:spacing w:line="360" w:lineRule="auto"/>
              <w:ind w:firstLine="480" w:firstLineChars="200"/>
              <w:rPr>
                <w:kern w:val="0"/>
                <w:sz w:val="24"/>
              </w:rPr>
            </w:pPr>
            <w:r>
              <w:rPr>
                <w:kern w:val="0"/>
                <w:sz w:val="24"/>
              </w:rPr>
              <w:t>①主要构筑物</w:t>
            </w:r>
          </w:p>
          <w:p w14:paraId="50CFACE9">
            <w:pPr>
              <w:adjustRightInd w:val="0"/>
              <w:snapToGrid w:val="0"/>
              <w:spacing w:line="360" w:lineRule="auto"/>
              <w:ind w:firstLine="480" w:firstLineChars="200"/>
              <w:rPr>
                <w:kern w:val="0"/>
                <w:sz w:val="24"/>
              </w:rPr>
            </w:pPr>
            <w:r>
              <w:rPr>
                <w:kern w:val="0"/>
                <w:sz w:val="24"/>
              </w:rPr>
              <w:t>本项目井场大小为1</w:t>
            </w:r>
            <w:r>
              <w:rPr>
                <w:rFonts w:hint="eastAsia"/>
                <w:kern w:val="0"/>
                <w:sz w:val="24"/>
              </w:rPr>
              <w:t>26</w:t>
            </w:r>
            <w:r>
              <w:rPr>
                <w:kern w:val="0"/>
                <w:sz w:val="24"/>
              </w:rPr>
              <w:t>×</w:t>
            </w:r>
            <w:r>
              <w:rPr>
                <w:rFonts w:hint="eastAsia"/>
                <w:kern w:val="0"/>
                <w:sz w:val="24"/>
              </w:rPr>
              <w:t>6</w:t>
            </w:r>
            <w:r>
              <w:rPr>
                <w:kern w:val="0"/>
                <w:sz w:val="24"/>
              </w:rPr>
              <w:t>0m，新建放喷池</w:t>
            </w:r>
            <w:r>
              <w:rPr>
                <w:rFonts w:hint="eastAsia"/>
                <w:kern w:val="0"/>
                <w:sz w:val="24"/>
              </w:rPr>
              <w:t>2</w:t>
            </w:r>
            <w:r>
              <w:rPr>
                <w:kern w:val="0"/>
                <w:sz w:val="24"/>
              </w:rPr>
              <w:t>座，清水池1座；放喷池</w:t>
            </w:r>
            <w:r>
              <w:rPr>
                <w:rFonts w:hint="eastAsia"/>
                <w:kern w:val="0"/>
                <w:sz w:val="24"/>
              </w:rPr>
              <w:t>分别</w:t>
            </w:r>
            <w:r>
              <w:rPr>
                <w:kern w:val="0"/>
                <w:sz w:val="24"/>
              </w:rPr>
              <w:t>位于井场</w:t>
            </w:r>
            <w:r>
              <w:rPr>
                <w:rFonts w:hint="eastAsia"/>
                <w:kern w:val="0"/>
                <w:sz w:val="24"/>
              </w:rPr>
              <w:t>西南侧、东北</w:t>
            </w:r>
            <w:r>
              <w:rPr>
                <w:kern w:val="0"/>
                <w:sz w:val="24"/>
              </w:rPr>
              <w:t>侧，清水池位于平台西侧。</w:t>
            </w:r>
          </w:p>
          <w:p w14:paraId="320E8F57">
            <w:pPr>
              <w:adjustRightInd w:val="0"/>
              <w:snapToGrid w:val="0"/>
              <w:spacing w:line="360" w:lineRule="auto"/>
              <w:ind w:firstLine="480" w:firstLineChars="200"/>
              <w:rPr>
                <w:kern w:val="0"/>
                <w:sz w:val="24"/>
              </w:rPr>
            </w:pPr>
            <w:r>
              <w:rPr>
                <w:kern w:val="0"/>
                <w:sz w:val="24"/>
              </w:rPr>
              <w:t>②构筑物分区防渗</w:t>
            </w:r>
          </w:p>
          <w:p w14:paraId="2C66393D">
            <w:pPr>
              <w:adjustRightInd w:val="0"/>
              <w:snapToGrid w:val="0"/>
              <w:spacing w:line="360" w:lineRule="auto"/>
              <w:ind w:firstLine="480" w:firstLineChars="200"/>
              <w:rPr>
                <w:kern w:val="0"/>
                <w:sz w:val="24"/>
              </w:rPr>
            </w:pPr>
            <w:r>
              <w:rPr>
                <w:kern w:val="0"/>
                <w:sz w:val="24"/>
              </w:rPr>
              <w:t>井场内外各设备基础及附属设施严格落实《石油化工工程防渗技术规范》（GB/T50934-2013）要求，实施分区防渗防控。</w:t>
            </w:r>
          </w:p>
          <w:p w14:paraId="3BAB9507">
            <w:pPr>
              <w:adjustRightInd w:val="0"/>
              <w:snapToGrid w:val="0"/>
              <w:spacing w:line="360" w:lineRule="auto"/>
              <w:ind w:firstLine="480" w:firstLineChars="200"/>
              <w:rPr>
                <w:kern w:val="0"/>
                <w:sz w:val="24"/>
              </w:rPr>
            </w:pPr>
            <w:r>
              <w:rPr>
                <w:kern w:val="0"/>
                <w:sz w:val="24"/>
              </w:rPr>
              <w:t>③清污分流及其他</w:t>
            </w:r>
          </w:p>
          <w:p w14:paraId="39AE07E4">
            <w:pPr>
              <w:adjustRightInd w:val="0"/>
              <w:snapToGrid w:val="0"/>
              <w:spacing w:line="360" w:lineRule="auto"/>
              <w:ind w:firstLine="480" w:firstLineChars="200"/>
              <w:rPr>
                <w:kern w:val="0"/>
                <w:sz w:val="24"/>
              </w:rPr>
            </w:pPr>
            <w:r>
              <w:rPr>
                <w:kern w:val="0"/>
                <w:sz w:val="24"/>
              </w:rPr>
              <w:t>清污分流：</w:t>
            </w:r>
            <w:r>
              <w:rPr>
                <w:rFonts w:hint="eastAsia"/>
                <w:kern w:val="0"/>
                <w:sz w:val="24"/>
              </w:rPr>
              <w:t>井场外设</w:t>
            </w:r>
            <w:r>
              <w:rPr>
                <w:kern w:val="0"/>
                <w:sz w:val="24"/>
              </w:rPr>
              <w:t>边沟用于排泄井场外的雨水，清水沟出水口处设置沉砂井。井场主要设备基础周边设环状污水沟，以便钻井过程中将井场产生的污水通过</w:t>
            </w:r>
            <w:r>
              <w:rPr>
                <w:rFonts w:hint="eastAsia"/>
                <w:kern w:val="0"/>
                <w:sz w:val="24"/>
              </w:rPr>
              <w:t>场内水沟</w:t>
            </w:r>
            <w:r>
              <w:rPr>
                <w:kern w:val="0"/>
                <w:sz w:val="24"/>
              </w:rPr>
              <w:t>排入</w:t>
            </w:r>
            <w:r>
              <w:rPr>
                <w:rFonts w:hint="eastAsia"/>
                <w:kern w:val="0"/>
                <w:sz w:val="24"/>
              </w:rPr>
              <w:t>集水坑</w:t>
            </w:r>
            <w:r>
              <w:rPr>
                <w:kern w:val="0"/>
                <w:sz w:val="24"/>
              </w:rPr>
              <w:t>内收集。</w:t>
            </w:r>
          </w:p>
          <w:p w14:paraId="7B5D31D0">
            <w:pPr>
              <w:adjustRightInd w:val="0"/>
              <w:snapToGrid w:val="0"/>
              <w:spacing w:line="360" w:lineRule="auto"/>
              <w:ind w:firstLine="480" w:firstLineChars="200"/>
              <w:rPr>
                <w:kern w:val="0"/>
                <w:sz w:val="24"/>
              </w:rPr>
            </w:pPr>
            <w:r>
              <w:rPr>
                <w:kern w:val="0"/>
                <w:sz w:val="24"/>
              </w:rPr>
              <w:t>钻井工程生活区采用活动板房结构，现场仅构筑水泥基桩，生活区配套修建生活污水隔油处理设施、垃圾收集箱和厕所。</w:t>
            </w:r>
          </w:p>
          <w:p w14:paraId="1611CE87">
            <w:pPr>
              <w:spacing w:line="360" w:lineRule="auto"/>
              <w:rPr>
                <w:b/>
                <w:sz w:val="24"/>
              </w:rPr>
            </w:pPr>
            <w:r>
              <w:rPr>
                <w:b/>
                <w:bCs/>
                <w:sz w:val="24"/>
              </w:rPr>
              <w:t>2.11.2钻井工程</w:t>
            </w:r>
          </w:p>
          <w:p w14:paraId="4573F246">
            <w:pPr>
              <w:spacing w:line="360" w:lineRule="auto"/>
              <w:ind w:firstLine="480" w:firstLineChars="200"/>
              <w:rPr>
                <w:sz w:val="24"/>
              </w:rPr>
            </w:pPr>
            <w:r>
              <w:rPr>
                <w:rFonts w:hint="eastAsia"/>
                <w:sz w:val="24"/>
              </w:rPr>
              <w:t>双庙页1HF井</w:t>
            </w:r>
            <w:r>
              <w:rPr>
                <w:sz w:val="24"/>
              </w:rPr>
              <w:t>采用常规钻井工艺，使用钻机ZJ</w:t>
            </w:r>
            <w:r>
              <w:rPr>
                <w:rFonts w:hint="eastAsia"/>
                <w:sz w:val="24"/>
              </w:rPr>
              <w:t>7</w:t>
            </w:r>
            <w:r>
              <w:rPr>
                <w:sz w:val="24"/>
              </w:rPr>
              <w:t>0型钻机对</w:t>
            </w:r>
            <w:r>
              <w:rPr>
                <w:rFonts w:hint="eastAsia"/>
                <w:sz w:val="24"/>
              </w:rPr>
              <w:t>双庙页1HF井</w:t>
            </w:r>
            <w:r>
              <w:rPr>
                <w:sz w:val="24"/>
              </w:rPr>
              <w:t>进行钻井作业。</w:t>
            </w:r>
            <w:r>
              <w:rPr>
                <w:rFonts w:hint="eastAsia"/>
                <w:sz w:val="24"/>
              </w:rPr>
              <w:t>双庙页1HF井</w:t>
            </w:r>
            <w:r>
              <w:rPr>
                <w:sz w:val="24"/>
              </w:rPr>
              <w:t>属于</w:t>
            </w:r>
            <w:r>
              <w:rPr>
                <w:rFonts w:hint="eastAsia"/>
                <w:sz w:val="24"/>
              </w:rPr>
              <w:t>预探井</w:t>
            </w:r>
            <w:r>
              <w:rPr>
                <w:sz w:val="24"/>
              </w:rPr>
              <w:t>；导管段采用清水钻井；一开、二开</w:t>
            </w:r>
            <w:r>
              <w:rPr>
                <w:rFonts w:hint="eastAsia"/>
                <w:sz w:val="24"/>
              </w:rPr>
              <w:t>、三开、四开导眼</w:t>
            </w:r>
            <w:r>
              <w:rPr>
                <w:sz w:val="24"/>
              </w:rPr>
              <w:t>段采用水基钻井液进行钻井，有利于降低作业成本，对地层污染较小。</w:t>
            </w:r>
            <w:r>
              <w:rPr>
                <w:rFonts w:hint="eastAsia"/>
                <w:sz w:val="24"/>
              </w:rPr>
              <w:t>双庙页1HF井井身结构如下</w:t>
            </w:r>
            <w:r>
              <w:rPr>
                <w:sz w:val="24"/>
              </w:rPr>
              <w:t>。</w:t>
            </w:r>
          </w:p>
          <w:p w14:paraId="3A0D134E">
            <w:pPr>
              <w:spacing w:line="360" w:lineRule="auto"/>
              <w:ind w:firstLine="482" w:firstLineChars="200"/>
              <w:jc w:val="center"/>
              <w:rPr>
                <w:b/>
                <w:bCs/>
                <w:sz w:val="24"/>
              </w:rPr>
            </w:pPr>
            <w:r>
              <w:rPr>
                <w:b/>
                <w:bCs/>
                <w:sz w:val="24"/>
              </w:rPr>
              <w:t xml:space="preserve">表2-8 </w:t>
            </w:r>
            <w:r>
              <w:rPr>
                <w:rFonts w:hint="eastAsia"/>
                <w:b/>
                <w:bCs/>
                <w:sz w:val="24"/>
              </w:rPr>
              <w:t>双庙页1HF井</w:t>
            </w:r>
            <w:r>
              <w:rPr>
                <w:b/>
                <w:bCs/>
                <w:sz w:val="24"/>
              </w:rPr>
              <w:t>井身结构一览表</w:t>
            </w:r>
          </w:p>
          <w:tbl>
            <w:tblPr>
              <w:tblStyle w:val="44"/>
              <w:tblW w:w="7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984"/>
              <w:gridCol w:w="834"/>
              <w:gridCol w:w="1313"/>
              <w:gridCol w:w="1433"/>
              <w:gridCol w:w="1059"/>
              <w:gridCol w:w="1133"/>
            </w:tblGrid>
            <w:tr w14:paraId="749A1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3D3BBAEE">
                  <w:pPr>
                    <w:pStyle w:val="388"/>
                    <w:spacing w:line="240" w:lineRule="auto"/>
                    <w:rPr>
                      <w:rFonts w:ascii="Times New Roman" w:eastAsia="宋体"/>
                    </w:rPr>
                  </w:pPr>
                  <w:r>
                    <w:rPr>
                      <w:rFonts w:ascii="Times New Roman" w:eastAsia="宋体"/>
                    </w:rPr>
                    <w:t>开次</w:t>
                  </w:r>
                </w:p>
              </w:tc>
              <w:tc>
                <w:tcPr>
                  <w:tcW w:w="984" w:type="dxa"/>
                  <w:tcBorders>
                    <w:tl2br w:val="nil"/>
                    <w:tr2bl w:val="nil"/>
                  </w:tcBorders>
                  <w:vAlign w:val="center"/>
                </w:tcPr>
                <w:p w14:paraId="1AB7831D">
                  <w:pPr>
                    <w:pStyle w:val="388"/>
                    <w:spacing w:line="240" w:lineRule="auto"/>
                    <w:rPr>
                      <w:rFonts w:ascii="Times New Roman" w:eastAsia="宋体"/>
                    </w:rPr>
                  </w:pPr>
                  <w:r>
                    <w:rPr>
                      <w:rFonts w:ascii="Times New Roman" w:eastAsia="宋体"/>
                    </w:rPr>
                    <w:t>钻头尺寸（mm）</w:t>
                  </w:r>
                </w:p>
              </w:tc>
              <w:tc>
                <w:tcPr>
                  <w:tcW w:w="834" w:type="dxa"/>
                  <w:tcBorders>
                    <w:tl2br w:val="nil"/>
                    <w:tr2bl w:val="nil"/>
                  </w:tcBorders>
                  <w:vAlign w:val="center"/>
                </w:tcPr>
                <w:p w14:paraId="7F93DE91">
                  <w:pPr>
                    <w:pStyle w:val="388"/>
                    <w:spacing w:line="240" w:lineRule="auto"/>
                    <w:rPr>
                      <w:rFonts w:ascii="Times New Roman" w:eastAsia="宋体"/>
                    </w:rPr>
                  </w:pPr>
                  <w:r>
                    <w:rPr>
                      <w:rFonts w:ascii="Times New Roman" w:eastAsia="宋体"/>
                    </w:rPr>
                    <w:t>钻深</w:t>
                  </w:r>
                </w:p>
                <w:p w14:paraId="0A491C83">
                  <w:pPr>
                    <w:pStyle w:val="388"/>
                    <w:spacing w:line="240" w:lineRule="auto"/>
                    <w:rPr>
                      <w:rFonts w:ascii="Times New Roman" w:eastAsia="宋体"/>
                    </w:rPr>
                  </w:pPr>
                  <w:r>
                    <w:rPr>
                      <w:rFonts w:hint="eastAsia" w:ascii="Times New Roman" w:eastAsia="宋体"/>
                    </w:rPr>
                    <w:t>(</w:t>
                  </w:r>
                  <w:r>
                    <w:rPr>
                      <w:rFonts w:ascii="Times New Roman" w:eastAsia="宋体"/>
                    </w:rPr>
                    <w:t>m</w:t>
                  </w:r>
                  <w:r>
                    <w:rPr>
                      <w:rFonts w:hint="eastAsia" w:ascii="Times New Roman" w:eastAsia="宋体"/>
                    </w:rPr>
                    <w:t>)</w:t>
                  </w:r>
                </w:p>
              </w:tc>
              <w:tc>
                <w:tcPr>
                  <w:tcW w:w="1313" w:type="dxa"/>
                  <w:tcBorders>
                    <w:tl2br w:val="nil"/>
                    <w:tr2bl w:val="nil"/>
                  </w:tcBorders>
                  <w:vAlign w:val="center"/>
                </w:tcPr>
                <w:p w14:paraId="02B08295">
                  <w:pPr>
                    <w:pStyle w:val="388"/>
                    <w:spacing w:line="240" w:lineRule="auto"/>
                    <w:rPr>
                      <w:rFonts w:ascii="Times New Roman" w:eastAsia="宋体"/>
                    </w:rPr>
                  </w:pPr>
                  <w:r>
                    <w:rPr>
                      <w:rFonts w:ascii="Times New Roman" w:eastAsia="宋体"/>
                    </w:rPr>
                    <w:t>套管尺寸（mm）</w:t>
                  </w:r>
                </w:p>
              </w:tc>
              <w:tc>
                <w:tcPr>
                  <w:tcW w:w="1433" w:type="dxa"/>
                  <w:tcBorders>
                    <w:tl2br w:val="nil"/>
                    <w:tr2bl w:val="nil"/>
                  </w:tcBorders>
                  <w:vAlign w:val="center"/>
                </w:tcPr>
                <w:p w14:paraId="4D5452EF">
                  <w:pPr>
                    <w:pStyle w:val="388"/>
                    <w:spacing w:line="240" w:lineRule="auto"/>
                    <w:rPr>
                      <w:rFonts w:ascii="Times New Roman" w:eastAsia="宋体"/>
                    </w:rPr>
                  </w:pPr>
                  <w:r>
                    <w:rPr>
                      <w:rFonts w:ascii="Times New Roman" w:eastAsia="宋体"/>
                    </w:rPr>
                    <w:t>套管下深（m）</w:t>
                  </w:r>
                </w:p>
              </w:tc>
              <w:tc>
                <w:tcPr>
                  <w:tcW w:w="1059" w:type="dxa"/>
                  <w:tcBorders>
                    <w:tl2br w:val="nil"/>
                    <w:tr2bl w:val="nil"/>
                  </w:tcBorders>
                  <w:vAlign w:val="center"/>
                </w:tcPr>
                <w:p w14:paraId="2BDEE308">
                  <w:pPr>
                    <w:pStyle w:val="388"/>
                    <w:spacing w:line="240" w:lineRule="auto"/>
                    <w:rPr>
                      <w:rFonts w:ascii="Times New Roman" w:eastAsia="宋体"/>
                    </w:rPr>
                  </w:pPr>
                  <w:r>
                    <w:rPr>
                      <w:rFonts w:ascii="Times New Roman" w:eastAsia="宋体"/>
                    </w:rPr>
                    <w:t>水泥返高（m）</w:t>
                  </w:r>
                </w:p>
              </w:tc>
              <w:tc>
                <w:tcPr>
                  <w:tcW w:w="1133" w:type="dxa"/>
                  <w:tcBorders>
                    <w:tl2br w:val="nil"/>
                    <w:tr2bl w:val="nil"/>
                  </w:tcBorders>
                  <w:vAlign w:val="center"/>
                </w:tcPr>
                <w:p w14:paraId="6FE4B35B">
                  <w:pPr>
                    <w:pStyle w:val="388"/>
                    <w:spacing w:line="240" w:lineRule="auto"/>
                    <w:rPr>
                      <w:rFonts w:ascii="Times New Roman" w:eastAsia="宋体"/>
                    </w:rPr>
                  </w:pPr>
                  <w:r>
                    <w:rPr>
                      <w:rFonts w:ascii="Times New Roman" w:eastAsia="宋体"/>
                    </w:rPr>
                    <w:t>钻井方式</w:t>
                  </w:r>
                </w:p>
              </w:tc>
            </w:tr>
            <w:tr w14:paraId="17F7A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6B17E6C9">
                  <w:pPr>
                    <w:jc w:val="center"/>
                    <w:rPr>
                      <w:szCs w:val="21"/>
                    </w:rPr>
                  </w:pPr>
                  <w:r>
                    <w:rPr>
                      <w:rFonts w:hint="eastAsia"/>
                    </w:rPr>
                    <w:t>导管</w:t>
                  </w:r>
                </w:p>
              </w:tc>
              <w:tc>
                <w:tcPr>
                  <w:tcW w:w="984" w:type="dxa"/>
                  <w:tcBorders>
                    <w:tl2br w:val="nil"/>
                    <w:tr2bl w:val="nil"/>
                  </w:tcBorders>
                  <w:vAlign w:val="center"/>
                </w:tcPr>
                <w:p w14:paraId="2A1D229B">
                  <w:pPr>
                    <w:jc w:val="center"/>
                    <w:rPr>
                      <w:kern w:val="0"/>
                      <w:szCs w:val="21"/>
                      <w:lang w:bidi="ar"/>
                    </w:rPr>
                  </w:pPr>
                  <w:r>
                    <w:rPr>
                      <w:rFonts w:hint="eastAsia"/>
                      <w:bCs/>
                      <w:sz w:val="21"/>
                      <w:szCs w:val="21"/>
                      <w:lang w:val="en-US" w:eastAsia="zh-CN"/>
                    </w:rPr>
                    <w:t>*</w:t>
                  </w:r>
                </w:p>
              </w:tc>
              <w:tc>
                <w:tcPr>
                  <w:tcW w:w="834" w:type="dxa"/>
                  <w:tcBorders>
                    <w:tl2br w:val="nil"/>
                    <w:tr2bl w:val="nil"/>
                  </w:tcBorders>
                  <w:vAlign w:val="center"/>
                </w:tcPr>
                <w:p w14:paraId="366AB661">
                  <w:pPr>
                    <w:jc w:val="center"/>
                    <w:rPr>
                      <w:kern w:val="0"/>
                      <w:szCs w:val="21"/>
                      <w:lang w:bidi="ar"/>
                    </w:rPr>
                  </w:pPr>
                  <w:r>
                    <w:rPr>
                      <w:rFonts w:hint="eastAsia"/>
                      <w:bCs/>
                      <w:sz w:val="21"/>
                      <w:szCs w:val="21"/>
                      <w:lang w:val="en-US" w:eastAsia="zh-CN"/>
                    </w:rPr>
                    <w:t>*</w:t>
                  </w:r>
                </w:p>
              </w:tc>
              <w:tc>
                <w:tcPr>
                  <w:tcW w:w="1313" w:type="dxa"/>
                  <w:tcBorders>
                    <w:tl2br w:val="nil"/>
                    <w:tr2bl w:val="nil"/>
                  </w:tcBorders>
                  <w:vAlign w:val="center"/>
                </w:tcPr>
                <w:p w14:paraId="4307D2A0">
                  <w:pPr>
                    <w:jc w:val="center"/>
                    <w:rPr>
                      <w:kern w:val="0"/>
                      <w:szCs w:val="21"/>
                      <w:lang w:bidi="ar"/>
                    </w:rPr>
                  </w:pPr>
                  <w:r>
                    <w:rPr>
                      <w:rFonts w:hint="eastAsia"/>
                      <w:bCs/>
                      <w:sz w:val="21"/>
                      <w:szCs w:val="21"/>
                      <w:lang w:val="en-US" w:eastAsia="zh-CN"/>
                    </w:rPr>
                    <w:t>*</w:t>
                  </w:r>
                </w:p>
              </w:tc>
              <w:tc>
                <w:tcPr>
                  <w:tcW w:w="1433" w:type="dxa"/>
                  <w:tcBorders>
                    <w:tl2br w:val="nil"/>
                    <w:tr2bl w:val="nil"/>
                  </w:tcBorders>
                  <w:vAlign w:val="center"/>
                </w:tcPr>
                <w:p w14:paraId="4A66B1FB">
                  <w:pPr>
                    <w:jc w:val="center"/>
                    <w:rPr>
                      <w:kern w:val="0"/>
                      <w:szCs w:val="21"/>
                      <w:lang w:bidi="ar"/>
                    </w:rPr>
                  </w:pPr>
                  <w:r>
                    <w:rPr>
                      <w:rFonts w:hint="eastAsia"/>
                      <w:bCs/>
                      <w:sz w:val="21"/>
                      <w:szCs w:val="21"/>
                      <w:lang w:val="en-US" w:eastAsia="zh-CN"/>
                    </w:rPr>
                    <w:t>*</w:t>
                  </w:r>
                </w:p>
              </w:tc>
              <w:tc>
                <w:tcPr>
                  <w:tcW w:w="1059" w:type="dxa"/>
                  <w:tcBorders>
                    <w:tl2br w:val="nil"/>
                    <w:tr2bl w:val="nil"/>
                  </w:tcBorders>
                  <w:vAlign w:val="center"/>
                </w:tcPr>
                <w:p w14:paraId="63CB1B56">
                  <w:pPr>
                    <w:jc w:val="center"/>
                    <w:rPr>
                      <w:szCs w:val="21"/>
                    </w:rPr>
                  </w:pPr>
                  <w:r>
                    <w:t>地面</w:t>
                  </w:r>
                </w:p>
              </w:tc>
              <w:tc>
                <w:tcPr>
                  <w:tcW w:w="1133" w:type="dxa"/>
                  <w:tcBorders>
                    <w:tl2br w:val="nil"/>
                    <w:tr2bl w:val="nil"/>
                  </w:tcBorders>
                  <w:vAlign w:val="center"/>
                </w:tcPr>
                <w:p w14:paraId="17BCF76A">
                  <w:pPr>
                    <w:adjustRightInd w:val="0"/>
                    <w:snapToGrid w:val="0"/>
                    <w:jc w:val="center"/>
                    <w:rPr>
                      <w:szCs w:val="21"/>
                    </w:rPr>
                  </w:pPr>
                  <w:r>
                    <w:rPr>
                      <w:szCs w:val="21"/>
                    </w:rPr>
                    <w:t>清水钻井</w:t>
                  </w:r>
                </w:p>
              </w:tc>
            </w:tr>
            <w:tr w14:paraId="06B03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28E86D7D">
                  <w:pPr>
                    <w:jc w:val="center"/>
                    <w:rPr>
                      <w:szCs w:val="21"/>
                    </w:rPr>
                  </w:pPr>
                  <w:r>
                    <w:t>一开</w:t>
                  </w:r>
                </w:p>
              </w:tc>
              <w:tc>
                <w:tcPr>
                  <w:tcW w:w="984" w:type="dxa"/>
                  <w:tcBorders>
                    <w:tl2br w:val="nil"/>
                    <w:tr2bl w:val="nil"/>
                  </w:tcBorders>
                  <w:vAlign w:val="center"/>
                </w:tcPr>
                <w:p w14:paraId="101B0735">
                  <w:pPr>
                    <w:jc w:val="center"/>
                    <w:rPr>
                      <w:kern w:val="0"/>
                      <w:szCs w:val="21"/>
                      <w:lang w:bidi="ar"/>
                    </w:rPr>
                  </w:pPr>
                  <w:r>
                    <w:rPr>
                      <w:rFonts w:hint="eastAsia"/>
                      <w:bCs/>
                      <w:sz w:val="21"/>
                      <w:szCs w:val="21"/>
                      <w:lang w:val="en-US" w:eastAsia="zh-CN"/>
                    </w:rPr>
                    <w:t>*</w:t>
                  </w:r>
                </w:p>
              </w:tc>
              <w:tc>
                <w:tcPr>
                  <w:tcW w:w="834" w:type="dxa"/>
                  <w:tcBorders>
                    <w:tl2br w:val="nil"/>
                    <w:tr2bl w:val="nil"/>
                  </w:tcBorders>
                  <w:vAlign w:val="center"/>
                </w:tcPr>
                <w:p w14:paraId="136AF7DE">
                  <w:pPr>
                    <w:jc w:val="center"/>
                    <w:rPr>
                      <w:kern w:val="0"/>
                      <w:szCs w:val="21"/>
                      <w:lang w:bidi="ar"/>
                    </w:rPr>
                  </w:pPr>
                  <w:r>
                    <w:rPr>
                      <w:rFonts w:hint="eastAsia"/>
                      <w:bCs/>
                      <w:sz w:val="21"/>
                      <w:szCs w:val="21"/>
                      <w:lang w:val="en-US" w:eastAsia="zh-CN"/>
                    </w:rPr>
                    <w:t>*</w:t>
                  </w:r>
                </w:p>
              </w:tc>
              <w:tc>
                <w:tcPr>
                  <w:tcW w:w="1313" w:type="dxa"/>
                  <w:tcBorders>
                    <w:tl2br w:val="nil"/>
                    <w:tr2bl w:val="nil"/>
                  </w:tcBorders>
                  <w:vAlign w:val="center"/>
                </w:tcPr>
                <w:p w14:paraId="604172B1">
                  <w:pPr>
                    <w:jc w:val="center"/>
                    <w:rPr>
                      <w:kern w:val="0"/>
                      <w:szCs w:val="21"/>
                      <w:lang w:bidi="ar"/>
                    </w:rPr>
                  </w:pPr>
                  <w:r>
                    <w:rPr>
                      <w:rFonts w:hint="eastAsia"/>
                      <w:bCs/>
                      <w:sz w:val="21"/>
                      <w:szCs w:val="21"/>
                      <w:lang w:val="en-US" w:eastAsia="zh-CN"/>
                    </w:rPr>
                    <w:t>*</w:t>
                  </w:r>
                </w:p>
              </w:tc>
              <w:tc>
                <w:tcPr>
                  <w:tcW w:w="1433" w:type="dxa"/>
                  <w:tcBorders>
                    <w:tl2br w:val="nil"/>
                    <w:tr2bl w:val="nil"/>
                  </w:tcBorders>
                  <w:vAlign w:val="center"/>
                </w:tcPr>
                <w:p w14:paraId="5557B88B">
                  <w:pPr>
                    <w:jc w:val="center"/>
                    <w:rPr>
                      <w:kern w:val="0"/>
                      <w:szCs w:val="21"/>
                      <w:lang w:bidi="ar"/>
                    </w:rPr>
                  </w:pPr>
                  <w:r>
                    <w:rPr>
                      <w:rFonts w:hint="eastAsia"/>
                      <w:bCs/>
                      <w:sz w:val="21"/>
                      <w:szCs w:val="21"/>
                      <w:lang w:val="en-US" w:eastAsia="zh-CN"/>
                    </w:rPr>
                    <w:t>*</w:t>
                  </w:r>
                </w:p>
              </w:tc>
              <w:tc>
                <w:tcPr>
                  <w:tcW w:w="1059" w:type="dxa"/>
                  <w:tcBorders>
                    <w:tl2br w:val="nil"/>
                    <w:tr2bl w:val="nil"/>
                  </w:tcBorders>
                  <w:vAlign w:val="center"/>
                </w:tcPr>
                <w:p w14:paraId="7A271344">
                  <w:pPr>
                    <w:jc w:val="center"/>
                    <w:rPr>
                      <w:szCs w:val="21"/>
                    </w:rPr>
                  </w:pPr>
                  <w:r>
                    <w:t>地面</w:t>
                  </w:r>
                </w:p>
              </w:tc>
              <w:tc>
                <w:tcPr>
                  <w:tcW w:w="1133" w:type="dxa"/>
                  <w:tcBorders>
                    <w:tl2br w:val="nil"/>
                    <w:tr2bl w:val="nil"/>
                  </w:tcBorders>
                  <w:vAlign w:val="center"/>
                </w:tcPr>
                <w:p w14:paraId="39910A8A">
                  <w:pPr>
                    <w:adjustRightInd w:val="0"/>
                    <w:snapToGrid w:val="0"/>
                    <w:jc w:val="center"/>
                    <w:rPr>
                      <w:szCs w:val="21"/>
                    </w:rPr>
                  </w:pPr>
                  <w:r>
                    <w:rPr>
                      <w:rFonts w:hint="eastAsia"/>
                      <w:szCs w:val="21"/>
                    </w:rPr>
                    <w:t>水基钻井</w:t>
                  </w:r>
                </w:p>
              </w:tc>
            </w:tr>
            <w:tr w14:paraId="3E988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74A2041B">
                  <w:pPr>
                    <w:jc w:val="center"/>
                    <w:rPr>
                      <w:szCs w:val="21"/>
                    </w:rPr>
                  </w:pPr>
                  <w:r>
                    <w:t>二开</w:t>
                  </w:r>
                </w:p>
              </w:tc>
              <w:tc>
                <w:tcPr>
                  <w:tcW w:w="984" w:type="dxa"/>
                  <w:tcBorders>
                    <w:tl2br w:val="nil"/>
                    <w:tr2bl w:val="nil"/>
                  </w:tcBorders>
                  <w:vAlign w:val="center"/>
                </w:tcPr>
                <w:p w14:paraId="4CB7CCBF">
                  <w:pPr>
                    <w:jc w:val="center"/>
                    <w:rPr>
                      <w:kern w:val="0"/>
                      <w:szCs w:val="21"/>
                      <w:lang w:bidi="ar"/>
                    </w:rPr>
                  </w:pPr>
                  <w:r>
                    <w:rPr>
                      <w:rFonts w:hint="eastAsia"/>
                      <w:bCs/>
                      <w:sz w:val="21"/>
                      <w:szCs w:val="21"/>
                      <w:lang w:val="en-US" w:eastAsia="zh-CN"/>
                    </w:rPr>
                    <w:t>*</w:t>
                  </w:r>
                </w:p>
              </w:tc>
              <w:tc>
                <w:tcPr>
                  <w:tcW w:w="834" w:type="dxa"/>
                  <w:tcBorders>
                    <w:tl2br w:val="nil"/>
                    <w:tr2bl w:val="nil"/>
                  </w:tcBorders>
                  <w:vAlign w:val="center"/>
                </w:tcPr>
                <w:p w14:paraId="01DF94A5">
                  <w:pPr>
                    <w:jc w:val="center"/>
                    <w:rPr>
                      <w:kern w:val="0"/>
                      <w:szCs w:val="21"/>
                      <w:lang w:bidi="ar"/>
                    </w:rPr>
                  </w:pPr>
                  <w:r>
                    <w:rPr>
                      <w:rFonts w:hint="eastAsia"/>
                      <w:bCs/>
                      <w:sz w:val="21"/>
                      <w:szCs w:val="21"/>
                      <w:lang w:val="en-US" w:eastAsia="zh-CN"/>
                    </w:rPr>
                    <w:t>*</w:t>
                  </w:r>
                </w:p>
              </w:tc>
              <w:tc>
                <w:tcPr>
                  <w:tcW w:w="1313" w:type="dxa"/>
                  <w:tcBorders>
                    <w:tl2br w:val="nil"/>
                    <w:tr2bl w:val="nil"/>
                  </w:tcBorders>
                  <w:vAlign w:val="center"/>
                </w:tcPr>
                <w:p w14:paraId="5BE3FDD0">
                  <w:pPr>
                    <w:jc w:val="center"/>
                    <w:rPr>
                      <w:kern w:val="0"/>
                      <w:szCs w:val="21"/>
                      <w:lang w:bidi="ar"/>
                    </w:rPr>
                  </w:pPr>
                  <w:r>
                    <w:rPr>
                      <w:rFonts w:hint="eastAsia"/>
                      <w:bCs/>
                      <w:sz w:val="21"/>
                      <w:szCs w:val="21"/>
                      <w:lang w:val="en-US" w:eastAsia="zh-CN"/>
                    </w:rPr>
                    <w:t>*</w:t>
                  </w:r>
                </w:p>
              </w:tc>
              <w:tc>
                <w:tcPr>
                  <w:tcW w:w="1433" w:type="dxa"/>
                  <w:tcBorders>
                    <w:tl2br w:val="nil"/>
                    <w:tr2bl w:val="nil"/>
                  </w:tcBorders>
                  <w:vAlign w:val="center"/>
                </w:tcPr>
                <w:p w14:paraId="5C7FE594">
                  <w:pPr>
                    <w:jc w:val="center"/>
                    <w:rPr>
                      <w:kern w:val="0"/>
                      <w:szCs w:val="21"/>
                      <w:lang w:bidi="ar"/>
                    </w:rPr>
                  </w:pPr>
                  <w:r>
                    <w:rPr>
                      <w:rFonts w:hint="eastAsia"/>
                      <w:bCs/>
                      <w:sz w:val="21"/>
                      <w:szCs w:val="21"/>
                      <w:lang w:val="en-US" w:eastAsia="zh-CN"/>
                    </w:rPr>
                    <w:t>*</w:t>
                  </w:r>
                </w:p>
              </w:tc>
              <w:tc>
                <w:tcPr>
                  <w:tcW w:w="1059" w:type="dxa"/>
                  <w:tcBorders>
                    <w:tl2br w:val="nil"/>
                    <w:tr2bl w:val="nil"/>
                  </w:tcBorders>
                  <w:vAlign w:val="center"/>
                </w:tcPr>
                <w:p w14:paraId="306B741B">
                  <w:pPr>
                    <w:jc w:val="center"/>
                    <w:rPr>
                      <w:szCs w:val="21"/>
                    </w:rPr>
                  </w:pPr>
                  <w:r>
                    <w:t>地面</w:t>
                  </w:r>
                </w:p>
              </w:tc>
              <w:tc>
                <w:tcPr>
                  <w:tcW w:w="1133" w:type="dxa"/>
                  <w:tcBorders>
                    <w:tl2br w:val="nil"/>
                    <w:tr2bl w:val="nil"/>
                  </w:tcBorders>
                  <w:vAlign w:val="center"/>
                </w:tcPr>
                <w:p w14:paraId="45F33BA0">
                  <w:pPr>
                    <w:adjustRightInd w:val="0"/>
                    <w:snapToGrid w:val="0"/>
                    <w:jc w:val="center"/>
                    <w:rPr>
                      <w:szCs w:val="21"/>
                    </w:rPr>
                  </w:pPr>
                  <w:r>
                    <w:rPr>
                      <w:szCs w:val="21"/>
                    </w:rPr>
                    <w:t>水基钻井</w:t>
                  </w:r>
                </w:p>
              </w:tc>
            </w:tr>
            <w:tr w14:paraId="17500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3D3D42F6">
                  <w:pPr>
                    <w:jc w:val="center"/>
                    <w:rPr>
                      <w:szCs w:val="21"/>
                    </w:rPr>
                  </w:pPr>
                  <w:r>
                    <w:rPr>
                      <w:rFonts w:hint="eastAsia"/>
                    </w:rPr>
                    <w:t>三</w:t>
                  </w:r>
                  <w:r>
                    <w:t>开</w:t>
                  </w:r>
                </w:p>
              </w:tc>
              <w:tc>
                <w:tcPr>
                  <w:tcW w:w="984" w:type="dxa"/>
                  <w:tcBorders>
                    <w:tl2br w:val="nil"/>
                    <w:tr2bl w:val="nil"/>
                  </w:tcBorders>
                  <w:vAlign w:val="center"/>
                </w:tcPr>
                <w:p w14:paraId="155572BB">
                  <w:pPr>
                    <w:jc w:val="center"/>
                    <w:rPr>
                      <w:rFonts w:eastAsiaTheme="minorEastAsia"/>
                      <w:kern w:val="0"/>
                      <w:szCs w:val="21"/>
                    </w:rPr>
                  </w:pPr>
                  <w:r>
                    <w:rPr>
                      <w:rFonts w:hint="eastAsia"/>
                      <w:bCs/>
                      <w:sz w:val="21"/>
                      <w:szCs w:val="21"/>
                      <w:lang w:val="en-US" w:eastAsia="zh-CN"/>
                    </w:rPr>
                    <w:t>*</w:t>
                  </w:r>
                </w:p>
              </w:tc>
              <w:tc>
                <w:tcPr>
                  <w:tcW w:w="834" w:type="dxa"/>
                  <w:tcBorders>
                    <w:tl2br w:val="nil"/>
                    <w:tr2bl w:val="nil"/>
                  </w:tcBorders>
                  <w:vAlign w:val="center"/>
                </w:tcPr>
                <w:p w14:paraId="646BAD6F">
                  <w:pPr>
                    <w:jc w:val="center"/>
                    <w:rPr>
                      <w:rFonts w:eastAsiaTheme="minorEastAsia"/>
                      <w:szCs w:val="21"/>
                    </w:rPr>
                  </w:pPr>
                  <w:r>
                    <w:rPr>
                      <w:rFonts w:hint="eastAsia"/>
                      <w:bCs/>
                      <w:sz w:val="21"/>
                      <w:szCs w:val="21"/>
                      <w:lang w:val="en-US" w:eastAsia="zh-CN"/>
                    </w:rPr>
                    <w:t>*</w:t>
                  </w:r>
                </w:p>
              </w:tc>
              <w:tc>
                <w:tcPr>
                  <w:tcW w:w="1313" w:type="dxa"/>
                  <w:tcBorders>
                    <w:tl2br w:val="nil"/>
                    <w:tr2bl w:val="nil"/>
                  </w:tcBorders>
                  <w:vAlign w:val="center"/>
                </w:tcPr>
                <w:p w14:paraId="7A4FAEB1">
                  <w:pPr>
                    <w:jc w:val="center"/>
                    <w:rPr>
                      <w:rFonts w:eastAsiaTheme="minorEastAsia"/>
                      <w:kern w:val="0"/>
                      <w:szCs w:val="21"/>
                    </w:rPr>
                  </w:pPr>
                  <w:r>
                    <w:rPr>
                      <w:rFonts w:hint="eastAsia"/>
                      <w:bCs/>
                      <w:sz w:val="21"/>
                      <w:szCs w:val="21"/>
                      <w:lang w:val="en-US" w:eastAsia="zh-CN"/>
                    </w:rPr>
                    <w:t>*</w:t>
                  </w:r>
                </w:p>
              </w:tc>
              <w:tc>
                <w:tcPr>
                  <w:tcW w:w="1433" w:type="dxa"/>
                  <w:tcBorders>
                    <w:tl2br w:val="nil"/>
                    <w:tr2bl w:val="nil"/>
                  </w:tcBorders>
                  <w:vAlign w:val="center"/>
                </w:tcPr>
                <w:p w14:paraId="35EDB5A1">
                  <w:pPr>
                    <w:jc w:val="center"/>
                    <w:rPr>
                      <w:rFonts w:eastAsiaTheme="minorEastAsia"/>
                      <w:kern w:val="0"/>
                      <w:szCs w:val="21"/>
                    </w:rPr>
                  </w:pPr>
                  <w:r>
                    <w:rPr>
                      <w:rFonts w:hint="eastAsia"/>
                      <w:bCs/>
                      <w:sz w:val="21"/>
                      <w:szCs w:val="21"/>
                      <w:lang w:val="en-US" w:eastAsia="zh-CN"/>
                    </w:rPr>
                    <w:t>*</w:t>
                  </w:r>
                </w:p>
              </w:tc>
              <w:tc>
                <w:tcPr>
                  <w:tcW w:w="1059" w:type="dxa"/>
                  <w:tcBorders>
                    <w:tl2br w:val="nil"/>
                    <w:tr2bl w:val="nil"/>
                  </w:tcBorders>
                  <w:vAlign w:val="center"/>
                </w:tcPr>
                <w:p w14:paraId="4B4BFE0F">
                  <w:pPr>
                    <w:jc w:val="center"/>
                    <w:rPr>
                      <w:rFonts w:eastAsiaTheme="minorEastAsia"/>
                      <w:kern w:val="0"/>
                      <w:szCs w:val="21"/>
                    </w:rPr>
                  </w:pPr>
                </w:p>
              </w:tc>
              <w:tc>
                <w:tcPr>
                  <w:tcW w:w="1133" w:type="dxa"/>
                  <w:tcBorders>
                    <w:tl2br w:val="nil"/>
                    <w:tr2bl w:val="nil"/>
                  </w:tcBorders>
                  <w:vAlign w:val="center"/>
                </w:tcPr>
                <w:p w14:paraId="61BEF423">
                  <w:pPr>
                    <w:adjustRightInd w:val="0"/>
                    <w:snapToGrid w:val="0"/>
                    <w:jc w:val="center"/>
                    <w:rPr>
                      <w:szCs w:val="21"/>
                    </w:rPr>
                  </w:pPr>
                  <w:r>
                    <w:rPr>
                      <w:szCs w:val="21"/>
                    </w:rPr>
                    <w:t>水基钻井</w:t>
                  </w:r>
                </w:p>
              </w:tc>
            </w:tr>
            <w:tr w14:paraId="243BF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163EDCD0">
                  <w:pPr>
                    <w:jc w:val="center"/>
                    <w:rPr>
                      <w:szCs w:val="21"/>
                    </w:rPr>
                  </w:pPr>
                  <w:r>
                    <w:rPr>
                      <w:rFonts w:hint="eastAsia"/>
                    </w:rPr>
                    <w:t>四开导眼</w:t>
                  </w:r>
                </w:p>
              </w:tc>
              <w:tc>
                <w:tcPr>
                  <w:tcW w:w="984" w:type="dxa"/>
                  <w:tcBorders>
                    <w:tl2br w:val="nil"/>
                    <w:tr2bl w:val="nil"/>
                  </w:tcBorders>
                  <w:vAlign w:val="center"/>
                </w:tcPr>
                <w:p w14:paraId="472B8742">
                  <w:pPr>
                    <w:jc w:val="center"/>
                    <w:rPr>
                      <w:rFonts w:eastAsiaTheme="minorEastAsia"/>
                      <w:kern w:val="0"/>
                      <w:szCs w:val="21"/>
                    </w:rPr>
                  </w:pPr>
                  <w:r>
                    <w:rPr>
                      <w:rFonts w:hint="eastAsia"/>
                      <w:bCs/>
                      <w:sz w:val="21"/>
                      <w:szCs w:val="21"/>
                      <w:lang w:val="en-US" w:eastAsia="zh-CN"/>
                    </w:rPr>
                    <w:t>*</w:t>
                  </w:r>
                </w:p>
              </w:tc>
              <w:tc>
                <w:tcPr>
                  <w:tcW w:w="834" w:type="dxa"/>
                  <w:tcBorders>
                    <w:tl2br w:val="nil"/>
                    <w:tr2bl w:val="nil"/>
                  </w:tcBorders>
                  <w:vAlign w:val="center"/>
                </w:tcPr>
                <w:p w14:paraId="58B18124">
                  <w:pPr>
                    <w:jc w:val="center"/>
                    <w:rPr>
                      <w:rFonts w:eastAsiaTheme="minorEastAsia"/>
                      <w:szCs w:val="21"/>
                    </w:rPr>
                  </w:pPr>
                  <w:r>
                    <w:rPr>
                      <w:rFonts w:hint="eastAsia"/>
                      <w:bCs/>
                      <w:sz w:val="21"/>
                      <w:szCs w:val="21"/>
                      <w:lang w:val="en-US" w:eastAsia="zh-CN"/>
                    </w:rPr>
                    <w:t>*</w:t>
                  </w:r>
                </w:p>
              </w:tc>
              <w:tc>
                <w:tcPr>
                  <w:tcW w:w="1313" w:type="dxa"/>
                  <w:tcBorders>
                    <w:tl2br w:val="nil"/>
                    <w:tr2bl w:val="nil"/>
                  </w:tcBorders>
                  <w:vAlign w:val="center"/>
                </w:tcPr>
                <w:p w14:paraId="00966E59">
                  <w:pPr>
                    <w:jc w:val="center"/>
                    <w:rPr>
                      <w:rFonts w:eastAsiaTheme="minorEastAsia"/>
                      <w:kern w:val="0"/>
                      <w:szCs w:val="21"/>
                    </w:rPr>
                  </w:pPr>
                  <w:r>
                    <w:rPr>
                      <w:rFonts w:hint="eastAsia"/>
                      <w:bCs/>
                      <w:sz w:val="21"/>
                      <w:szCs w:val="21"/>
                      <w:lang w:val="en-US" w:eastAsia="zh-CN"/>
                    </w:rPr>
                    <w:t>*</w:t>
                  </w:r>
                </w:p>
              </w:tc>
              <w:tc>
                <w:tcPr>
                  <w:tcW w:w="1433" w:type="dxa"/>
                  <w:tcBorders>
                    <w:tl2br w:val="nil"/>
                    <w:tr2bl w:val="nil"/>
                  </w:tcBorders>
                  <w:vAlign w:val="center"/>
                </w:tcPr>
                <w:p w14:paraId="216A69A3">
                  <w:pPr>
                    <w:jc w:val="center"/>
                    <w:rPr>
                      <w:rFonts w:eastAsiaTheme="minorEastAsia"/>
                      <w:kern w:val="0"/>
                      <w:szCs w:val="21"/>
                    </w:rPr>
                  </w:pPr>
                  <w:r>
                    <w:rPr>
                      <w:rFonts w:hint="eastAsia"/>
                      <w:bCs/>
                      <w:sz w:val="21"/>
                      <w:szCs w:val="21"/>
                      <w:lang w:val="en-US" w:eastAsia="zh-CN"/>
                    </w:rPr>
                    <w:t>*</w:t>
                  </w:r>
                </w:p>
              </w:tc>
              <w:tc>
                <w:tcPr>
                  <w:tcW w:w="1059" w:type="dxa"/>
                  <w:tcBorders>
                    <w:tl2br w:val="nil"/>
                    <w:tr2bl w:val="nil"/>
                  </w:tcBorders>
                  <w:vAlign w:val="center"/>
                </w:tcPr>
                <w:p w14:paraId="03D553B0">
                  <w:pPr>
                    <w:jc w:val="center"/>
                    <w:rPr>
                      <w:rFonts w:eastAsiaTheme="minorEastAsia"/>
                      <w:kern w:val="0"/>
                      <w:szCs w:val="21"/>
                    </w:rPr>
                  </w:pPr>
                  <w:r>
                    <w:rPr>
                      <w:rFonts w:hint="eastAsia"/>
                    </w:rPr>
                    <w:t>/</w:t>
                  </w:r>
                </w:p>
              </w:tc>
              <w:tc>
                <w:tcPr>
                  <w:tcW w:w="1133" w:type="dxa"/>
                  <w:tcBorders>
                    <w:tl2br w:val="nil"/>
                    <w:tr2bl w:val="nil"/>
                  </w:tcBorders>
                  <w:vAlign w:val="center"/>
                </w:tcPr>
                <w:p w14:paraId="3CFC3276">
                  <w:pPr>
                    <w:adjustRightInd w:val="0"/>
                    <w:snapToGrid w:val="0"/>
                    <w:jc w:val="center"/>
                    <w:rPr>
                      <w:szCs w:val="21"/>
                    </w:rPr>
                  </w:pPr>
                  <w:r>
                    <w:rPr>
                      <w:szCs w:val="21"/>
                    </w:rPr>
                    <w:t>水基钻井</w:t>
                  </w:r>
                </w:p>
              </w:tc>
            </w:tr>
            <w:tr w14:paraId="05EC3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tcBorders>
                    <w:tl2br w:val="nil"/>
                    <w:tr2bl w:val="nil"/>
                  </w:tcBorders>
                  <w:vAlign w:val="center"/>
                </w:tcPr>
                <w:p w14:paraId="3DB99AC7">
                  <w:pPr>
                    <w:jc w:val="center"/>
                    <w:rPr>
                      <w:szCs w:val="21"/>
                    </w:rPr>
                  </w:pPr>
                  <w:r>
                    <w:rPr>
                      <w:rFonts w:hint="eastAsia"/>
                    </w:rPr>
                    <w:t>四开侧钻</w:t>
                  </w:r>
                </w:p>
              </w:tc>
              <w:tc>
                <w:tcPr>
                  <w:tcW w:w="984" w:type="dxa"/>
                  <w:tcBorders>
                    <w:tl2br w:val="nil"/>
                    <w:tr2bl w:val="nil"/>
                  </w:tcBorders>
                  <w:vAlign w:val="center"/>
                </w:tcPr>
                <w:p w14:paraId="5F2BC175">
                  <w:pPr>
                    <w:jc w:val="center"/>
                    <w:rPr>
                      <w:rFonts w:eastAsiaTheme="minorEastAsia"/>
                      <w:kern w:val="0"/>
                      <w:szCs w:val="21"/>
                    </w:rPr>
                  </w:pPr>
                  <w:r>
                    <w:rPr>
                      <w:rFonts w:hint="eastAsia"/>
                      <w:bCs/>
                      <w:sz w:val="21"/>
                      <w:szCs w:val="21"/>
                      <w:lang w:val="en-US" w:eastAsia="zh-CN"/>
                    </w:rPr>
                    <w:t>*</w:t>
                  </w:r>
                </w:p>
              </w:tc>
              <w:tc>
                <w:tcPr>
                  <w:tcW w:w="834" w:type="dxa"/>
                  <w:tcBorders>
                    <w:tl2br w:val="nil"/>
                    <w:tr2bl w:val="nil"/>
                  </w:tcBorders>
                  <w:vAlign w:val="center"/>
                </w:tcPr>
                <w:p w14:paraId="366DBE2E">
                  <w:pPr>
                    <w:jc w:val="center"/>
                    <w:rPr>
                      <w:rFonts w:eastAsiaTheme="minorEastAsia"/>
                      <w:szCs w:val="21"/>
                    </w:rPr>
                  </w:pPr>
                  <w:r>
                    <w:rPr>
                      <w:rFonts w:hint="eastAsia"/>
                      <w:bCs/>
                      <w:sz w:val="21"/>
                      <w:szCs w:val="21"/>
                      <w:lang w:val="en-US" w:eastAsia="zh-CN"/>
                    </w:rPr>
                    <w:t>*</w:t>
                  </w:r>
                </w:p>
              </w:tc>
              <w:tc>
                <w:tcPr>
                  <w:tcW w:w="1313" w:type="dxa"/>
                  <w:tcBorders>
                    <w:tl2br w:val="nil"/>
                    <w:tr2bl w:val="nil"/>
                  </w:tcBorders>
                  <w:vAlign w:val="center"/>
                </w:tcPr>
                <w:p w14:paraId="62898B02">
                  <w:pPr>
                    <w:jc w:val="center"/>
                    <w:rPr>
                      <w:rFonts w:eastAsiaTheme="minorEastAsia"/>
                      <w:kern w:val="0"/>
                      <w:szCs w:val="21"/>
                    </w:rPr>
                  </w:pPr>
                  <w:r>
                    <w:rPr>
                      <w:rFonts w:hint="eastAsia"/>
                      <w:bCs/>
                      <w:sz w:val="21"/>
                      <w:szCs w:val="21"/>
                      <w:lang w:val="en-US" w:eastAsia="zh-CN"/>
                    </w:rPr>
                    <w:t>*</w:t>
                  </w:r>
                </w:p>
              </w:tc>
              <w:tc>
                <w:tcPr>
                  <w:tcW w:w="1433" w:type="dxa"/>
                  <w:tcBorders>
                    <w:tl2br w:val="nil"/>
                    <w:tr2bl w:val="nil"/>
                  </w:tcBorders>
                  <w:vAlign w:val="center"/>
                </w:tcPr>
                <w:p w14:paraId="0BE8FB9E">
                  <w:pPr>
                    <w:jc w:val="center"/>
                    <w:rPr>
                      <w:rFonts w:eastAsiaTheme="minorEastAsia"/>
                      <w:kern w:val="0"/>
                      <w:szCs w:val="21"/>
                    </w:rPr>
                  </w:pPr>
                  <w:r>
                    <w:rPr>
                      <w:rFonts w:hint="eastAsia"/>
                      <w:bCs/>
                      <w:sz w:val="21"/>
                      <w:szCs w:val="21"/>
                      <w:lang w:val="en-US" w:eastAsia="zh-CN"/>
                    </w:rPr>
                    <w:t>*</w:t>
                  </w:r>
                </w:p>
              </w:tc>
              <w:tc>
                <w:tcPr>
                  <w:tcW w:w="1059" w:type="dxa"/>
                  <w:tcBorders>
                    <w:tl2br w:val="nil"/>
                    <w:tr2bl w:val="nil"/>
                  </w:tcBorders>
                  <w:vAlign w:val="center"/>
                </w:tcPr>
                <w:p w14:paraId="3E36E3A0">
                  <w:pPr>
                    <w:jc w:val="center"/>
                    <w:rPr>
                      <w:rFonts w:eastAsiaTheme="minorEastAsia"/>
                      <w:kern w:val="0"/>
                      <w:szCs w:val="21"/>
                    </w:rPr>
                  </w:pPr>
                  <w:r>
                    <w:rPr>
                      <w:rFonts w:hint="eastAsia"/>
                    </w:rPr>
                    <w:t>地面</w:t>
                  </w:r>
                </w:p>
              </w:tc>
              <w:tc>
                <w:tcPr>
                  <w:tcW w:w="1133" w:type="dxa"/>
                  <w:tcBorders>
                    <w:tl2br w:val="nil"/>
                    <w:tr2bl w:val="nil"/>
                  </w:tcBorders>
                  <w:vAlign w:val="center"/>
                </w:tcPr>
                <w:p w14:paraId="382B0BB2">
                  <w:pPr>
                    <w:adjustRightInd w:val="0"/>
                    <w:snapToGrid w:val="0"/>
                    <w:jc w:val="center"/>
                    <w:rPr>
                      <w:szCs w:val="21"/>
                    </w:rPr>
                  </w:pPr>
                  <w:r>
                    <w:rPr>
                      <w:rFonts w:hint="eastAsia"/>
                      <w:szCs w:val="21"/>
                    </w:rPr>
                    <w:t>油基钻井</w:t>
                  </w:r>
                </w:p>
              </w:tc>
            </w:tr>
          </w:tbl>
          <w:p w14:paraId="6FFD90C7">
            <w:pPr>
              <w:pStyle w:val="19"/>
              <w:spacing w:before="0" w:after="0" w:line="240" w:lineRule="auto"/>
              <w:ind w:right="0"/>
              <w:jc w:val="center"/>
              <w:rPr>
                <w:b/>
                <w:bCs/>
                <w:sz w:val="24"/>
              </w:rPr>
            </w:pPr>
            <w:r>
              <w:rPr>
                <w:b/>
                <w:bCs/>
                <w:sz w:val="24"/>
              </w:rPr>
              <w:t xml:space="preserve">表2-9 </w:t>
            </w:r>
            <w:r>
              <w:rPr>
                <w:rFonts w:hint="eastAsia"/>
                <w:b/>
                <w:bCs/>
                <w:sz w:val="24"/>
              </w:rPr>
              <w:t>双庙页1HF井导眼</w:t>
            </w:r>
            <w:r>
              <w:rPr>
                <w:b/>
                <w:bCs/>
                <w:sz w:val="24"/>
              </w:rPr>
              <w:t>井身结构设计表</w:t>
            </w:r>
          </w:p>
          <w:p w14:paraId="2A3D4EFC">
            <w:pPr>
              <w:pStyle w:val="19"/>
              <w:spacing w:before="0" w:after="0" w:line="240" w:lineRule="auto"/>
              <w:ind w:right="0"/>
              <w:rPr>
                <w:b/>
                <w:bCs/>
                <w:sz w:val="24"/>
              </w:rPr>
            </w:pPr>
          </w:p>
          <w:p w14:paraId="40DB9F5E">
            <w:pPr>
              <w:pStyle w:val="19"/>
              <w:spacing w:before="0" w:after="0" w:line="240" w:lineRule="auto"/>
              <w:ind w:right="0"/>
              <w:jc w:val="center"/>
              <w:rPr>
                <w:b/>
                <w:bCs/>
                <w:sz w:val="24"/>
              </w:rPr>
            </w:pPr>
            <w:r>
              <w:rPr>
                <w:b/>
                <w:bCs/>
                <w:sz w:val="24"/>
              </w:rPr>
              <w:t>表2-9 双庙页1HF井</w:t>
            </w:r>
            <w:r>
              <w:rPr>
                <w:rFonts w:hint="eastAsia"/>
                <w:b/>
                <w:bCs/>
                <w:sz w:val="24"/>
              </w:rPr>
              <w:t>侧钻水平井</w:t>
            </w:r>
            <w:r>
              <w:rPr>
                <w:b/>
                <w:bCs/>
                <w:sz w:val="24"/>
              </w:rPr>
              <w:t>井身结构设计表</w:t>
            </w:r>
          </w:p>
          <w:p w14:paraId="62BDE20C">
            <w:pPr>
              <w:pStyle w:val="19"/>
              <w:spacing w:before="0" w:after="0" w:line="240" w:lineRule="auto"/>
              <w:ind w:right="0"/>
              <w:rPr>
                <w:b/>
                <w:bCs/>
                <w:sz w:val="24"/>
              </w:rPr>
            </w:pPr>
          </w:p>
          <w:p w14:paraId="0D7D6A6C">
            <w:pPr>
              <w:rPr>
                <w:sz w:val="24"/>
              </w:rPr>
            </w:pPr>
            <w:r>
              <w:rPr>
                <w:rFonts w:ascii="宋体" w:cs="宋体"/>
                <w:kern w:val="0"/>
                <w:sz w:val="22"/>
                <w:szCs w:val="22"/>
                <w:highlight w:val="yellow"/>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6518275</wp:posOffset>
                      </wp:positionV>
                      <wp:extent cx="1433195" cy="673100"/>
                      <wp:effectExtent l="4445" t="4445" r="10160" b="8255"/>
                      <wp:wrapNone/>
                      <wp:docPr id="5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1433195" cy="673100"/>
                              </a:xfrm>
                              <a:prstGeom prst="rect">
                                <a:avLst/>
                              </a:prstGeom>
                              <a:solidFill>
                                <a:srgbClr val="FFFFFF"/>
                              </a:solidFill>
                              <a:ln w="9525">
                                <a:solidFill>
                                  <a:srgbClr val="FFFFFF"/>
                                </a:solidFill>
                                <a:miter lim="800000"/>
                              </a:ln>
                              <a:effectLst/>
                            </wps:spPr>
                            <wps:txbx>
                              <w:txbxContent>
                                <w:p w14:paraId="51F8C467">
                                  <w:pPr>
                                    <w:spacing w:line="264" w:lineRule="auto"/>
                                    <w:rPr>
                                      <w:szCs w:val="21"/>
                                    </w:rPr>
                                  </w:pPr>
                                  <w:r>
                                    <w:rPr>
                                      <w:rFonts w:hint="eastAsia"/>
                                      <w:szCs w:val="21"/>
                                    </w:rPr>
                                    <w:t>四开导眼</w:t>
                                  </w:r>
                                  <w:r>
                                    <w:rPr>
                                      <w:szCs w:val="21"/>
                                    </w:rPr>
                                    <w:t>：</w:t>
                                  </w:r>
                                </w:p>
                                <w:p w14:paraId="250E3903">
                                  <w:pPr>
                                    <w:spacing w:line="264" w:lineRule="auto"/>
                                    <w:rPr>
                                      <w:szCs w:val="21"/>
                                    </w:rPr>
                                  </w:pPr>
                                  <w:r>
                                    <w:rPr>
                                      <w:szCs w:val="21"/>
                                    </w:rPr>
                                    <w:t>井眼直径(mm):</w:t>
                                  </w:r>
                                  <w:r>
                                    <w:rPr>
                                      <w:rFonts w:hint="eastAsia"/>
                                      <w:szCs w:val="21"/>
                                    </w:rPr>
                                    <w:t>165.1</w:t>
                                  </w:r>
                                </w:p>
                                <w:p w14:paraId="3E2BD220">
                                  <w:pPr>
                                    <w:spacing w:line="264" w:lineRule="auto"/>
                                    <w:rPr>
                                      <w:szCs w:val="21"/>
                                      <w:highlight w:val="yellow"/>
                                    </w:rPr>
                                  </w:pPr>
                                  <w:r>
                                    <w:rPr>
                                      <w:szCs w:val="21"/>
                                    </w:rPr>
                                    <w:t>所钻深度(m):</w:t>
                                  </w:r>
                                  <w:r>
                                    <w:rPr>
                                      <w:rFonts w:hint="eastAsia"/>
                                      <w:szCs w:val="21"/>
                                    </w:rPr>
                                    <w:t>5080.29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9pt;margin-top:513.25pt;height:53pt;width:112.85pt;z-index:251662336;mso-width-relative:page;mso-height-relative:page;" fillcolor="#FFFFFF" filled="t" stroked="t" coordsize="21600,21600" o:gfxdata="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792X1wAAAAsBAAAPAAAAAAAAAAEAIAAA&#10;ACIAAABkcnMvZG93bnJldi54bWxQSwECFAAUAAAACACHTuJAKY/0JkYCAACXBAAADgAAAAAAAAAB&#10;ACAAAAAmAQAAZHJzL2Uyb0RvYy54bWxQSwUGAAAAAAYABgBZAQAA3gUAAAAA&#10;">
                      <v:fill on="t" focussize="0,0"/>
                      <v:stroke color="#FFFFFF" miterlimit="8" joinstyle="miter"/>
                      <v:imagedata o:title=""/>
                      <o:lock v:ext="edit" aspectratio="f"/>
                      <v:textbox>
                        <w:txbxContent>
                          <w:p w14:paraId="51F8C467">
                            <w:pPr>
                              <w:spacing w:line="264" w:lineRule="auto"/>
                              <w:rPr>
                                <w:szCs w:val="21"/>
                              </w:rPr>
                            </w:pPr>
                            <w:r>
                              <w:rPr>
                                <w:rFonts w:hint="eastAsia"/>
                                <w:szCs w:val="21"/>
                              </w:rPr>
                              <w:t>四开导眼</w:t>
                            </w:r>
                            <w:r>
                              <w:rPr>
                                <w:szCs w:val="21"/>
                              </w:rPr>
                              <w:t>：</w:t>
                            </w:r>
                          </w:p>
                          <w:p w14:paraId="250E3903">
                            <w:pPr>
                              <w:spacing w:line="264" w:lineRule="auto"/>
                              <w:rPr>
                                <w:szCs w:val="21"/>
                              </w:rPr>
                            </w:pPr>
                            <w:r>
                              <w:rPr>
                                <w:szCs w:val="21"/>
                              </w:rPr>
                              <w:t>井眼直径(mm):</w:t>
                            </w:r>
                            <w:r>
                              <w:rPr>
                                <w:rFonts w:hint="eastAsia"/>
                                <w:szCs w:val="21"/>
                              </w:rPr>
                              <w:t>165.1</w:t>
                            </w:r>
                          </w:p>
                          <w:p w14:paraId="3E2BD220">
                            <w:pPr>
                              <w:spacing w:line="264" w:lineRule="auto"/>
                              <w:rPr>
                                <w:szCs w:val="21"/>
                                <w:highlight w:val="yellow"/>
                              </w:rPr>
                            </w:pPr>
                            <w:r>
                              <w:rPr>
                                <w:szCs w:val="21"/>
                              </w:rPr>
                              <w:t>所钻深度(m):</w:t>
                            </w:r>
                            <w:r>
                              <w:rPr>
                                <w:rFonts w:hint="eastAsia"/>
                                <w:szCs w:val="21"/>
                              </w:rPr>
                              <w:t>5080.29</w:t>
                            </w:r>
                          </w:p>
                        </w:txbxContent>
                      </v:textbox>
                    </v:shape>
                  </w:pict>
                </mc:Fallback>
              </mc:AlternateContent>
            </w:r>
            <w:r>
              <w:rPr>
                <w:rFonts w:ascii="宋体" w:cs="宋体"/>
                <w:kern w:val="0"/>
                <w:sz w:val="22"/>
                <w:szCs w:val="22"/>
                <w:highlight w:val="yellow"/>
              </w:rPr>
              <mc:AlternateContent>
                <mc:Choice Requires="wps">
                  <w:drawing>
                    <wp:anchor distT="0" distB="0" distL="114300" distR="114300" simplePos="0" relativeHeight="251663360" behindDoc="0" locked="0" layoutInCell="1" allowOverlap="1">
                      <wp:simplePos x="0" y="0"/>
                      <wp:positionH relativeFrom="column">
                        <wp:posOffset>2672715</wp:posOffset>
                      </wp:positionH>
                      <wp:positionV relativeFrom="paragraph">
                        <wp:posOffset>6348730</wp:posOffset>
                      </wp:positionV>
                      <wp:extent cx="1805940" cy="1073785"/>
                      <wp:effectExtent l="4445" t="4445" r="18415" b="7620"/>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1805940" cy="1073785"/>
                              </a:xfrm>
                              <a:prstGeom prst="rect">
                                <a:avLst/>
                              </a:prstGeom>
                              <a:solidFill>
                                <a:srgbClr val="FFFFFF"/>
                              </a:solidFill>
                              <a:ln w="9525">
                                <a:solidFill>
                                  <a:srgbClr val="FFFFFF"/>
                                </a:solidFill>
                                <a:miter lim="800000"/>
                              </a:ln>
                              <a:effectLst/>
                            </wps:spPr>
                            <wps:txbx>
                              <w:txbxContent>
                                <w:p w14:paraId="08574AAD">
                                  <w:pPr>
                                    <w:spacing w:line="264" w:lineRule="auto"/>
                                    <w:rPr>
                                      <w:sz w:val="18"/>
                                      <w:szCs w:val="18"/>
                                    </w:rPr>
                                  </w:pPr>
                                  <w:r>
                                    <w:rPr>
                                      <w:rFonts w:hint="eastAsia"/>
                                      <w:sz w:val="18"/>
                                      <w:szCs w:val="18"/>
                                    </w:rPr>
                                    <w:t>四开侧钻</w:t>
                                  </w:r>
                                  <w:r>
                                    <w:rPr>
                                      <w:sz w:val="18"/>
                                      <w:szCs w:val="18"/>
                                    </w:rPr>
                                    <w:t>：</w:t>
                                  </w:r>
                                </w:p>
                                <w:p w14:paraId="0C7C4B84">
                                  <w:pPr>
                                    <w:spacing w:line="264" w:lineRule="auto"/>
                                    <w:rPr>
                                      <w:sz w:val="18"/>
                                      <w:szCs w:val="18"/>
                                    </w:rPr>
                                  </w:pPr>
                                  <w:r>
                                    <w:rPr>
                                      <w:sz w:val="18"/>
                                      <w:szCs w:val="18"/>
                                    </w:rPr>
                                    <w:t>井眼直径(mm):</w:t>
                                  </w:r>
                                  <w:r>
                                    <w:rPr>
                                      <w:rFonts w:hint="eastAsia"/>
                                      <w:sz w:val="18"/>
                                      <w:szCs w:val="18"/>
                                    </w:rPr>
                                    <w:t>165.1</w:t>
                                  </w:r>
                                </w:p>
                                <w:p w14:paraId="659F63DA">
                                  <w:pPr>
                                    <w:spacing w:line="264" w:lineRule="auto"/>
                                    <w:rPr>
                                      <w:sz w:val="18"/>
                                      <w:szCs w:val="18"/>
                                    </w:rPr>
                                  </w:pPr>
                                  <w:r>
                                    <w:rPr>
                                      <w:sz w:val="18"/>
                                      <w:szCs w:val="18"/>
                                    </w:rPr>
                                    <w:t>所钻深度(m):</w:t>
                                  </w:r>
                                  <w:r>
                                    <w:rPr>
                                      <w:rFonts w:hint="eastAsia"/>
                                      <w:sz w:val="18"/>
                                      <w:szCs w:val="18"/>
                                    </w:rPr>
                                    <w:t>4450-6897.87</w:t>
                                  </w:r>
                                </w:p>
                                <w:p w14:paraId="0834F283">
                                  <w:pPr>
                                    <w:spacing w:line="264" w:lineRule="auto"/>
                                    <w:rPr>
                                      <w:sz w:val="18"/>
                                      <w:szCs w:val="18"/>
                                    </w:rPr>
                                  </w:pPr>
                                  <w:r>
                                    <w:rPr>
                                      <w:sz w:val="18"/>
                                      <w:szCs w:val="18"/>
                                    </w:rPr>
                                    <w:t>套管外径(mm):</w:t>
                                  </w:r>
                                  <w:r>
                                    <w:rPr>
                                      <w:rFonts w:hint="eastAsia"/>
                                      <w:sz w:val="18"/>
                                      <w:szCs w:val="18"/>
                                    </w:rPr>
                                    <w:t>139.7+127</w:t>
                                  </w:r>
                                </w:p>
                                <w:p w14:paraId="5E8F844A">
                                  <w:pPr>
                                    <w:spacing w:line="264" w:lineRule="auto"/>
                                    <w:rPr>
                                      <w:sz w:val="18"/>
                                      <w:szCs w:val="18"/>
                                    </w:rPr>
                                  </w:pPr>
                                  <w:r>
                                    <w:rPr>
                                      <w:sz w:val="18"/>
                                      <w:szCs w:val="18"/>
                                    </w:rPr>
                                    <w:t>套管下深(m):</w:t>
                                  </w:r>
                                  <w:r>
                                    <w:rPr>
                                      <w:rFonts w:hint="eastAsia"/>
                                      <w:sz w:val="18"/>
                                      <w:szCs w:val="18"/>
                                    </w:rPr>
                                    <w:t>6894</w:t>
                                  </w:r>
                                </w:p>
                                <w:p w14:paraId="5602F235">
                                  <w:pPr>
                                    <w:spacing w:line="264" w:lineRule="auto"/>
                                    <w:rPr>
                                      <w:sz w:val="18"/>
                                      <w:szCs w:val="18"/>
                                      <w:highlight w:val="yellow"/>
                                    </w:rPr>
                                  </w:pPr>
                                  <w:r>
                                    <w:rPr>
                                      <w:sz w:val="18"/>
                                      <w:szCs w:val="18"/>
                                    </w:rPr>
                                    <w:t>水泥返高(m):</w:t>
                                  </w:r>
                                  <w:r>
                                    <w:rPr>
                                      <w:rFonts w:hint="eastAsia"/>
                                      <w:sz w:val="18"/>
                                      <w:szCs w:val="18"/>
                                    </w:rPr>
                                    <w:t>地面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0.45pt;margin-top:499.9pt;height:84.55pt;width:142.2pt;z-index:251663360;mso-width-relative:page;mso-height-relative:page;" fillcolor="#FFFFFF" filled="t" stroked="t" coordsize="21600,21600" o:gfxdata="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P8b642gAAAAwBAAAPAAAAAAAAAAEA&#10;IAAAACIAAABkcnMvZG93bnJldi54bWxQSwECFAAUAAAACACHTuJAViSb0UYCAACYBAAADgAAAAAA&#10;AAABACAAAAApAQAAZHJzL2Uyb0RvYy54bWxQSwUGAAAAAAYABgBZAQAA4QUAAAAA&#10;">
                      <v:fill on="t" focussize="0,0"/>
                      <v:stroke color="#FFFFFF" miterlimit="8" joinstyle="miter"/>
                      <v:imagedata o:title=""/>
                      <o:lock v:ext="edit" aspectratio="f"/>
                      <v:textbox>
                        <w:txbxContent>
                          <w:p w14:paraId="08574AAD">
                            <w:pPr>
                              <w:spacing w:line="264" w:lineRule="auto"/>
                              <w:rPr>
                                <w:sz w:val="18"/>
                                <w:szCs w:val="18"/>
                              </w:rPr>
                            </w:pPr>
                            <w:r>
                              <w:rPr>
                                <w:rFonts w:hint="eastAsia"/>
                                <w:sz w:val="18"/>
                                <w:szCs w:val="18"/>
                              </w:rPr>
                              <w:t>四开侧钻</w:t>
                            </w:r>
                            <w:r>
                              <w:rPr>
                                <w:sz w:val="18"/>
                                <w:szCs w:val="18"/>
                              </w:rPr>
                              <w:t>：</w:t>
                            </w:r>
                          </w:p>
                          <w:p w14:paraId="0C7C4B84">
                            <w:pPr>
                              <w:spacing w:line="264" w:lineRule="auto"/>
                              <w:rPr>
                                <w:sz w:val="18"/>
                                <w:szCs w:val="18"/>
                              </w:rPr>
                            </w:pPr>
                            <w:r>
                              <w:rPr>
                                <w:sz w:val="18"/>
                                <w:szCs w:val="18"/>
                              </w:rPr>
                              <w:t>井眼直径(mm):</w:t>
                            </w:r>
                            <w:r>
                              <w:rPr>
                                <w:rFonts w:hint="eastAsia"/>
                                <w:sz w:val="18"/>
                                <w:szCs w:val="18"/>
                              </w:rPr>
                              <w:t>165.1</w:t>
                            </w:r>
                          </w:p>
                          <w:p w14:paraId="659F63DA">
                            <w:pPr>
                              <w:spacing w:line="264" w:lineRule="auto"/>
                              <w:rPr>
                                <w:sz w:val="18"/>
                                <w:szCs w:val="18"/>
                              </w:rPr>
                            </w:pPr>
                            <w:r>
                              <w:rPr>
                                <w:sz w:val="18"/>
                                <w:szCs w:val="18"/>
                              </w:rPr>
                              <w:t>所钻深度(m):</w:t>
                            </w:r>
                            <w:r>
                              <w:rPr>
                                <w:rFonts w:hint="eastAsia"/>
                                <w:sz w:val="18"/>
                                <w:szCs w:val="18"/>
                              </w:rPr>
                              <w:t>4450-6897.87</w:t>
                            </w:r>
                          </w:p>
                          <w:p w14:paraId="0834F283">
                            <w:pPr>
                              <w:spacing w:line="264" w:lineRule="auto"/>
                              <w:rPr>
                                <w:sz w:val="18"/>
                                <w:szCs w:val="18"/>
                              </w:rPr>
                            </w:pPr>
                            <w:r>
                              <w:rPr>
                                <w:sz w:val="18"/>
                                <w:szCs w:val="18"/>
                              </w:rPr>
                              <w:t>套管外径(mm):</w:t>
                            </w:r>
                            <w:r>
                              <w:rPr>
                                <w:rFonts w:hint="eastAsia"/>
                                <w:sz w:val="18"/>
                                <w:szCs w:val="18"/>
                              </w:rPr>
                              <w:t>139.7+127</w:t>
                            </w:r>
                          </w:p>
                          <w:p w14:paraId="5E8F844A">
                            <w:pPr>
                              <w:spacing w:line="264" w:lineRule="auto"/>
                              <w:rPr>
                                <w:sz w:val="18"/>
                                <w:szCs w:val="18"/>
                              </w:rPr>
                            </w:pPr>
                            <w:r>
                              <w:rPr>
                                <w:sz w:val="18"/>
                                <w:szCs w:val="18"/>
                              </w:rPr>
                              <w:t>套管下深(m):</w:t>
                            </w:r>
                            <w:r>
                              <w:rPr>
                                <w:rFonts w:hint="eastAsia"/>
                                <w:sz w:val="18"/>
                                <w:szCs w:val="18"/>
                              </w:rPr>
                              <w:t>6894</w:t>
                            </w:r>
                          </w:p>
                          <w:p w14:paraId="5602F235">
                            <w:pPr>
                              <w:spacing w:line="264" w:lineRule="auto"/>
                              <w:rPr>
                                <w:sz w:val="18"/>
                                <w:szCs w:val="18"/>
                                <w:highlight w:val="yellow"/>
                              </w:rPr>
                            </w:pPr>
                            <w:r>
                              <w:rPr>
                                <w:sz w:val="18"/>
                                <w:szCs w:val="18"/>
                              </w:rPr>
                              <w:t>水泥返高(m):</w:t>
                            </w:r>
                            <w:r>
                              <w:rPr>
                                <w:rFonts w:hint="eastAsia"/>
                                <w:sz w:val="18"/>
                                <w:szCs w:val="18"/>
                              </w:rPr>
                              <w:t>地面</w:t>
                            </w:r>
                          </w:p>
                        </w:txbxContent>
                      </v:textbox>
                    </v:shape>
                  </w:pict>
                </mc:Fallback>
              </mc:AlternateContent>
            </w:r>
          </w:p>
          <w:p w14:paraId="0BE40CA4">
            <w:pPr>
              <w:jc w:val="center"/>
              <w:rPr>
                <w:b/>
                <w:bCs/>
                <w:sz w:val="24"/>
              </w:rPr>
            </w:pPr>
            <w:r>
              <w:rPr>
                <w:b/>
                <w:bCs/>
                <w:sz w:val="24"/>
              </w:rPr>
              <w:t>图2-2 井身结构示意图</w:t>
            </w:r>
          </w:p>
          <w:p w14:paraId="2C5EC486">
            <w:pPr>
              <w:spacing w:line="360" w:lineRule="auto"/>
              <w:ind w:firstLine="480" w:firstLineChars="200"/>
              <w:rPr>
                <w:sz w:val="24"/>
              </w:rPr>
            </w:pPr>
            <w:r>
              <w:rPr>
                <w:sz w:val="24"/>
              </w:rPr>
              <w:t>钻井工程主要包括钻井设备安装、钻井、钻井辅助作业、固井和完钻设备搬迁等过程；试气工程包括完钻后洗井、射孔、压裂、测试，以及完井后设备的搬迁和井场的清理等过程。</w:t>
            </w:r>
          </w:p>
          <w:p w14:paraId="7EB6F297">
            <w:pPr>
              <w:spacing w:line="360" w:lineRule="auto"/>
              <w:ind w:firstLine="480" w:firstLineChars="200"/>
              <w:rPr>
                <w:sz w:val="24"/>
              </w:rPr>
            </w:pPr>
            <w:r>
              <w:rPr>
                <w:sz w:val="24"/>
              </w:rPr>
              <w:t>（1）钻井工艺</w:t>
            </w:r>
          </w:p>
          <w:p w14:paraId="1532F721">
            <w:pPr>
              <w:spacing w:line="360" w:lineRule="auto"/>
              <w:ind w:firstLine="480" w:firstLineChars="200"/>
              <w:rPr>
                <w:sz w:val="24"/>
              </w:rPr>
            </w:pPr>
            <w:r>
              <w:rPr>
                <w:sz w:val="24"/>
              </w:rPr>
              <w:t>①清水钻阶段（导管段）</w:t>
            </w:r>
          </w:p>
          <w:p w14:paraId="10BEDD0D">
            <w:pPr>
              <w:spacing w:line="360" w:lineRule="auto"/>
              <w:ind w:firstLine="480" w:firstLineChars="200"/>
              <w:rPr>
                <w:sz w:val="24"/>
              </w:rPr>
            </w:pPr>
            <w:r>
              <w:rPr>
                <w:sz w:val="24"/>
              </w:rPr>
              <w:t>钻前工程完成后，便将开展钻井作业。在表层钻进阶段，为了保护地表含水层，避免聚合物泥浆等钻井液对地下水环境造成不利影响，建设单位拟采用清水钻工艺进行导管段的钻井作业，最大程度地保护浅层地下水环境，及时下套管、固井并根据现场实际钻探情况，一开段套管下井深度以完全封隔浅层裂隙水发育区为原则，必要时可加长。导管段钻井完成后下入套管并采用水泥封固套管与井壁间隙（返至地面），封隔地表松散流砂、砂砾层，封过表层水。</w:t>
            </w:r>
          </w:p>
          <w:p w14:paraId="603F7139">
            <w:pPr>
              <w:spacing w:line="360" w:lineRule="auto"/>
              <w:ind w:firstLine="480" w:firstLineChars="200"/>
              <w:rPr>
                <w:sz w:val="24"/>
              </w:rPr>
            </w:pPr>
            <w:r>
              <w:rPr>
                <w:sz w:val="24"/>
              </w:rPr>
              <w:t>清水钻阶段中，返回地表的含屑钻井液通过泥浆管输入振动筛进行分离，将钻井液中粒径大于0.1mm的钻屑留于筛上，振动筛筛下的泥浆直接进入循环罐暂存，使用时先通过除砂器将粒径大于0.07mm的钻屑进行分离，液相循环用于本阶段的钻井作业和后续水基泥浆钻阶段的配浆作业；振动筛的筛上物质和除砂器分离出的钻屑则通过螺旋传输器进入沉淀罐中自然沉淀，沉淀后上层清液进入循环罐，用于配制泥浆。沉淀罐中的下层固相物质由岩屑接收罐进行收集，后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sz w:val="24"/>
              </w:rPr>
              <w:t>（四川光隆环保科技有限公司等）</w:t>
            </w:r>
            <w:r>
              <w:rPr>
                <w:sz w:val="24"/>
              </w:rPr>
              <w:t>。清水钻阶段作业流程及产污节点框图见下图。</w:t>
            </w:r>
          </w:p>
          <w:p w14:paraId="1399B15D">
            <w:pPr>
              <w:jc w:val="center"/>
              <w:rPr>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3591560</wp:posOffset>
                      </wp:positionH>
                      <wp:positionV relativeFrom="paragraph">
                        <wp:posOffset>3126740</wp:posOffset>
                      </wp:positionV>
                      <wp:extent cx="1099820" cy="363855"/>
                      <wp:effectExtent l="0" t="0" r="0" b="0"/>
                      <wp:wrapNone/>
                      <wp:docPr id="5" name="文本框 5"/>
                      <wp:cNvGraphicFramePr/>
                      <a:graphic xmlns:a="http://schemas.openxmlformats.org/drawingml/2006/main">
                        <a:graphicData uri="http://schemas.microsoft.com/office/word/2010/wordprocessingShape">
                          <wps:wsp>
                            <wps:cNvSpPr txBox="1"/>
                            <wps:spPr>
                              <a:xfrm>
                                <a:off x="5467985" y="4947285"/>
                                <a:ext cx="10998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CB5AF">
                                  <w:r>
                                    <w:rPr>
                                      <w:rFonts w:hint="eastAsia"/>
                                    </w:rPr>
                                    <w:t>资源化利用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8pt;margin-top:246.2pt;height:28.65pt;width:86.6pt;z-index:251660288;mso-width-relative:page;mso-height-relative:page;" filled="f" stroked="f" coordsize="21600,21600" o:gfxdata="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1LFjrcAAAACwEAAA8AAAAAAAAA&#10;AQAgAAAAIgAAAGRycy9kb3ducmV2LnhtbFBLAQIUABQAAAAIAIdO4kCcouD+RgIAAHIEAAAOAAAA&#10;AAAAAAEAIAAAACsBAABkcnMvZTJvRG9jLnhtbFBLBQYAAAAABgAGAFkBAADjBQAAAAA=&#10;">
                      <v:fill on="f" focussize="0,0"/>
                      <v:stroke on="f" weight="0.5pt"/>
                      <v:imagedata o:title=""/>
                      <o:lock v:ext="edit" aspectratio="f"/>
                      <v:textbox>
                        <w:txbxContent>
                          <w:p w14:paraId="1B9CB5AF">
                            <w:r>
                              <w:rPr>
                                <w:rFonts w:hint="eastAsia"/>
                              </w:rPr>
                              <w:t>资源化利用</w:t>
                            </w:r>
                          </w:p>
                        </w:txbxContent>
                      </v:textbox>
                    </v:shape>
                  </w:pict>
                </mc:Fallback>
              </mc:AlternateContent>
            </w:r>
            <w:r>
              <w:rPr>
                <w:sz w:val="24"/>
              </w:rPr>
              <w:drawing>
                <wp:inline distT="0" distB="0" distL="114300" distR="114300">
                  <wp:extent cx="4792980" cy="3452495"/>
                  <wp:effectExtent l="0" t="0" r="7620" b="1460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11"/>
                          <a:stretch>
                            <a:fillRect/>
                          </a:stretch>
                        </pic:blipFill>
                        <pic:spPr>
                          <a:xfrm>
                            <a:off x="0" y="0"/>
                            <a:ext cx="4792980" cy="3452495"/>
                          </a:xfrm>
                          <a:prstGeom prst="rect">
                            <a:avLst/>
                          </a:prstGeom>
                        </pic:spPr>
                      </pic:pic>
                    </a:graphicData>
                  </a:graphic>
                </wp:inline>
              </w:drawing>
            </w:r>
          </w:p>
          <w:p w14:paraId="3B439088">
            <w:pPr>
              <w:jc w:val="center"/>
              <w:rPr>
                <w:sz w:val="24"/>
              </w:rPr>
            </w:pPr>
            <w:r>
              <w:rPr>
                <w:b/>
                <w:bCs/>
                <w:sz w:val="24"/>
              </w:rPr>
              <w:t>图2-3 清水钻井工艺及产污示意图</w:t>
            </w:r>
          </w:p>
          <w:p w14:paraId="5DED1813">
            <w:pPr>
              <w:spacing w:line="360" w:lineRule="auto"/>
              <w:ind w:firstLine="480" w:firstLineChars="200"/>
              <w:rPr>
                <w:sz w:val="24"/>
              </w:rPr>
            </w:pPr>
            <w:r>
              <w:rPr>
                <w:sz w:val="24"/>
              </w:rPr>
              <w:t>②水基泥浆钻阶段</w:t>
            </w:r>
          </w:p>
          <w:p w14:paraId="5EF3CBD2">
            <w:pPr>
              <w:spacing w:line="360" w:lineRule="auto"/>
              <w:ind w:firstLine="480" w:firstLineChars="200"/>
              <w:rPr>
                <w:sz w:val="24"/>
              </w:rPr>
            </w:pPr>
            <w:r>
              <w:rPr>
                <w:sz w:val="24"/>
              </w:rPr>
              <w:t>本项目若一开、二开</w:t>
            </w:r>
            <w:r>
              <w:rPr>
                <w:rFonts w:hint="eastAsia"/>
                <w:sz w:val="24"/>
              </w:rPr>
              <w:t>、三开、四开导眼</w:t>
            </w:r>
            <w:r>
              <w:rPr>
                <w:sz w:val="24"/>
              </w:rPr>
              <w:t>段采用水基泥浆钻井工艺，水基泥浆钻井阶段采用钻井现场清洁化生产方案，在振动筛排砂口、离心机下方安装螺旋传送装置，与“泥浆不落地”环保处理装置相连。</w:t>
            </w:r>
          </w:p>
          <w:p w14:paraId="2712DF35">
            <w:pPr>
              <w:spacing w:line="360" w:lineRule="auto"/>
              <w:ind w:firstLine="480" w:firstLineChars="200"/>
              <w:rPr>
                <w:sz w:val="24"/>
              </w:rPr>
            </w:pPr>
            <w:r>
              <w:rPr>
                <w:sz w:val="24"/>
              </w:rPr>
              <w:t>水基泥浆通过钻杆立柱不断地由井口进入井底，带动钻头旋转不断切割岩石，同时泥浆夹带着产生的岩屑由钻杆与井壁之间的环形空间返回至井口。水基泥浆钻阶段中，钻井循环系统振动筛、除砂器、除泥器产生的钻井废弃物通过滑槽及螺旋传输器运至岩屑接收罐暂存。若钻井废弃物中岩屑含量高则经过振动筛分离岩屑，避免岩屑对设备及管线的磨损后进入脱稳反应装置；若岩屑含量低直接提升到脱稳反应装置中，当废弃泥浆产生量大于设备处理能力或设备临时检维修时废弃泥浆泵入应急暂存罐临时存放，在具备处置条件后再泵入系统进行处置。水基岩屑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14:paraId="5E51932B">
            <w:pPr>
              <w:spacing w:line="360" w:lineRule="auto"/>
              <w:ind w:firstLine="480" w:firstLineChars="200"/>
              <w:rPr>
                <w:sz w:val="24"/>
              </w:rPr>
            </w:pPr>
            <w:r>
              <w:rPr>
                <w:sz w:val="24"/>
              </w:rPr>
              <w:t>钻井废泥浆和岩屑经泥浆不落地工艺后，分离出的上清液进入污水罐回用于泥浆配制，</w:t>
            </w:r>
            <w:r>
              <w:rPr>
                <w:rFonts w:hint="eastAsia"/>
                <w:sz w:val="24"/>
              </w:rPr>
              <w:t>不能回用时由罐车拉运至赵家坝污水处理站处理后拉运至普光3井等回注站回注处理</w:t>
            </w:r>
            <w:r>
              <w:rPr>
                <w:sz w:val="24"/>
              </w:rPr>
              <w:t xml:space="preserve">。 </w:t>
            </w:r>
          </w:p>
          <w:p w14:paraId="41E0A5F6">
            <w:pPr>
              <w:spacing w:line="360" w:lineRule="auto"/>
              <w:ind w:firstLine="480" w:firstLineChars="200"/>
              <w:rPr>
                <w:sz w:val="24"/>
              </w:rPr>
            </w:pPr>
            <w:r>
              <w:rPr>
                <w:sz w:val="24"/>
              </w:rPr>
              <w:t>泥浆不落地装置现场需配备固液分离设备，设备主要由接收、脱稳和固液分离单元构成，泥浆不落地基础占地面积约</w:t>
            </w:r>
            <w:r>
              <w:rPr>
                <w:rFonts w:hint="eastAsia"/>
                <w:sz w:val="24"/>
              </w:rPr>
              <w:t>450</w:t>
            </w:r>
            <w:r>
              <w:rPr>
                <w:sz w:val="24"/>
              </w:rPr>
              <w:t>m</w:t>
            </w:r>
            <w:r>
              <w:rPr>
                <w:sz w:val="24"/>
                <w:vertAlign w:val="superscript"/>
              </w:rPr>
              <w:t>2</w:t>
            </w:r>
            <w:r>
              <w:rPr>
                <w:sz w:val="24"/>
              </w:rPr>
              <w:t>。</w:t>
            </w:r>
          </w:p>
          <w:p w14:paraId="5E22920E">
            <w:pPr>
              <w:rPr>
                <w:sz w:val="24"/>
              </w:rPr>
            </w:pPr>
            <w:r>
              <w:rPr>
                <w:sz w:val="24"/>
              </w:rPr>
              <w:drawing>
                <wp:inline distT="0" distB="0" distL="114300" distR="114300">
                  <wp:extent cx="4740910" cy="3123565"/>
                  <wp:effectExtent l="0" t="0" r="254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4740910" cy="3123565"/>
                          </a:xfrm>
                          <a:prstGeom prst="rect">
                            <a:avLst/>
                          </a:prstGeom>
                          <a:noFill/>
                          <a:ln>
                            <a:noFill/>
                          </a:ln>
                        </pic:spPr>
                      </pic:pic>
                    </a:graphicData>
                  </a:graphic>
                </wp:inline>
              </w:drawing>
            </w:r>
          </w:p>
          <w:p w14:paraId="769275C1">
            <w:pPr>
              <w:spacing w:line="360" w:lineRule="auto"/>
              <w:jc w:val="center"/>
              <w:rPr>
                <w:b/>
                <w:bCs/>
                <w:sz w:val="24"/>
              </w:rPr>
            </w:pPr>
            <w:r>
              <w:rPr>
                <w:rFonts w:hint="eastAsia"/>
                <w:b/>
                <w:bCs/>
                <w:sz w:val="24"/>
              </w:rPr>
              <w:t>图2-4 水基钻井液阶段泥浆循环示意图</w:t>
            </w:r>
          </w:p>
          <w:p w14:paraId="466FE5F2">
            <w:pPr>
              <w:spacing w:line="360" w:lineRule="auto"/>
              <w:ind w:firstLine="480" w:firstLineChars="200"/>
              <w:rPr>
                <w:sz w:val="24"/>
              </w:rPr>
            </w:pPr>
            <w:r>
              <w:rPr>
                <w:sz w:val="24"/>
              </w:rPr>
              <w:t>由上图可知，水基泥浆钻阶段产生的污染物主要为钻机、泥浆泵、振动筛和离心机等设备产生的噪声；钻井作业产生的钻井固废、废弃水基泥浆；散落的钻井泥浆原辅材料、水泥、废弃包装材料等；钻井施工人员产生的生活垃圾；此外，钻井过程各钻井设备将使用润滑油，将产生少量废油等。</w:t>
            </w:r>
          </w:p>
          <w:p w14:paraId="43C2080E">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油基钻井液钻井阶段</w:t>
            </w:r>
          </w:p>
          <w:p w14:paraId="48AED266">
            <w:pPr>
              <w:spacing w:line="360" w:lineRule="auto"/>
              <w:ind w:firstLine="480" w:firstLineChars="200"/>
              <w:rPr>
                <w:sz w:val="24"/>
              </w:rPr>
            </w:pPr>
            <w:r>
              <w:rPr>
                <w:sz w:val="24"/>
              </w:rPr>
              <w:t>水基钻井液阶段完成后，本工程将进入</w:t>
            </w:r>
            <w:r>
              <w:rPr>
                <w:rFonts w:hint="eastAsia"/>
                <w:sz w:val="24"/>
              </w:rPr>
              <w:t>四开水平段</w:t>
            </w:r>
            <w:r>
              <w:rPr>
                <w:sz w:val="24"/>
              </w:rPr>
              <w:t>钻井阶段，水平段钻井长1548.84m。使用215.9mm的钻头开展钻井作业，之后进行起下钻作业，进行下套管、固井等作业。</w:t>
            </w:r>
          </w:p>
          <w:p w14:paraId="788F88C3">
            <w:pPr>
              <w:spacing w:line="360" w:lineRule="auto"/>
              <w:ind w:firstLine="480" w:firstLineChars="200"/>
              <w:rPr>
                <w:sz w:val="24"/>
              </w:rPr>
            </w:pPr>
            <w:r>
              <w:rPr>
                <w:sz w:val="24"/>
              </w:rPr>
              <w:t>钻井过程中井底排出的岩屑和泥浆混合体经振动筛、离心机等设备筛选分离，筛分出的油基钻井液通过泥浆回收装置收集后全部回用于油基钻井液体系，分离出的油基岩屑为危险废物，由临时收集后及时就近交由具有危险废物处理资质的单位拉运处置。本项目油基钻井液采用白油作为连续相，因此，整个油基钻井液钻井阶段无钻井废水产生。油基钻井液回收工艺流程见下图。</w:t>
            </w:r>
          </w:p>
          <w:p w14:paraId="3709466B">
            <w:pPr>
              <w:rPr>
                <w:sz w:val="24"/>
              </w:rPr>
            </w:pPr>
            <w:r>
              <w:rPr>
                <w:sz w:val="24"/>
              </w:rPr>
              <w:drawing>
                <wp:inline distT="0" distB="0" distL="114300" distR="114300">
                  <wp:extent cx="4935855" cy="3284855"/>
                  <wp:effectExtent l="0" t="0" r="1714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rcRect t="5457" b="9767"/>
                          <a:stretch>
                            <a:fillRect/>
                          </a:stretch>
                        </pic:blipFill>
                        <pic:spPr>
                          <a:xfrm>
                            <a:off x="0" y="0"/>
                            <a:ext cx="4935855" cy="3284855"/>
                          </a:xfrm>
                          <a:prstGeom prst="rect">
                            <a:avLst/>
                          </a:prstGeom>
                          <a:noFill/>
                          <a:ln>
                            <a:noFill/>
                          </a:ln>
                        </pic:spPr>
                      </pic:pic>
                    </a:graphicData>
                  </a:graphic>
                </wp:inline>
              </w:drawing>
            </w:r>
          </w:p>
          <w:p w14:paraId="1E78E306">
            <w:pPr>
              <w:spacing w:line="360" w:lineRule="auto"/>
              <w:jc w:val="center"/>
              <w:rPr>
                <w:b/>
                <w:bCs/>
                <w:sz w:val="24"/>
              </w:rPr>
            </w:pPr>
            <w:r>
              <w:rPr>
                <w:b/>
                <w:bCs/>
                <w:sz w:val="24"/>
              </w:rPr>
              <w:t>图2-5油基钻井液阶段泥浆循环示意图</w:t>
            </w:r>
          </w:p>
          <w:p w14:paraId="159A126A">
            <w:pPr>
              <w:spacing w:line="360" w:lineRule="auto"/>
              <w:ind w:firstLine="480" w:firstLineChars="200"/>
              <w:rPr>
                <w:sz w:val="24"/>
              </w:rPr>
            </w:pPr>
            <w:r>
              <w:rPr>
                <w:sz w:val="24"/>
              </w:rPr>
              <w:t>油基钻井液回收装置：含油基钻井液岩屑经螺旋输送器送入甩干机进行初步固（岩屑）液（油基钻井液）分离，然后液相继续进入脱液离心分离器进行第二次固液分离；固相（岩屑：含油率低于5%）由相应资质类别的危险废物处置单位拉运处置，液相（泥浆）进入泥浆循环系统重新用于钻井。为保证油基钻井液不下渗，油基钻井液循环系统必须置于防渗区内，并做好“防雨、防火、防漏”的三防措施。钻井使用的油基钻井液均储存在钢制泥浆储备罐中，在油基钻井液循环系统中循环使用，油基钻井液循环利用率在95%以上，完钻后剩余的油基钻井液进行回收最终交由有资质单位处置。</w:t>
            </w:r>
          </w:p>
          <w:p w14:paraId="5124B200">
            <w:pPr>
              <w:spacing w:line="360" w:lineRule="auto"/>
              <w:ind w:firstLine="480" w:firstLineChars="200"/>
              <w:rPr>
                <w:sz w:val="24"/>
              </w:rPr>
            </w:pPr>
            <w:r>
              <w:rPr>
                <w:sz w:val="24"/>
              </w:rPr>
              <w:t>（2）钻井辅助作业</w:t>
            </w:r>
          </w:p>
          <w:p w14:paraId="50D9AA1D">
            <w:pPr>
              <w:spacing w:line="360" w:lineRule="auto"/>
              <w:ind w:firstLine="480" w:firstLineChars="200"/>
              <w:rPr>
                <w:sz w:val="24"/>
              </w:rPr>
            </w:pPr>
            <w:r>
              <w:rPr>
                <w:sz w:val="24"/>
              </w:rPr>
              <w:t>钻井辅助作业由测井、取心钻进、录井、中途测试等作业组成。</w:t>
            </w:r>
          </w:p>
          <w:p w14:paraId="4E3743A6">
            <w:pPr>
              <w:spacing w:line="360" w:lineRule="auto"/>
              <w:ind w:firstLine="480" w:firstLineChars="200"/>
              <w:rPr>
                <w:sz w:val="24"/>
              </w:rPr>
            </w:pPr>
            <w:r>
              <w:rPr>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14:paraId="11B5B774">
            <w:pPr>
              <w:spacing w:line="360" w:lineRule="auto"/>
              <w:ind w:firstLine="480" w:firstLineChars="200"/>
              <w:rPr>
                <w:sz w:val="24"/>
              </w:rPr>
            </w:pPr>
            <w:r>
              <w:rPr>
                <w:sz w:val="24"/>
              </w:rPr>
              <w:t>取心是在钻井过程中使用特殊的取心工具把地下岩石成块地取到地面上来，通过它可以测定岩石的各种性质，直观地研究地下构造和岩石沉积环境，了解其中的流体性质等。</w:t>
            </w:r>
          </w:p>
          <w:p w14:paraId="6113F4D1">
            <w:pPr>
              <w:spacing w:line="360" w:lineRule="auto"/>
              <w:ind w:firstLine="480" w:firstLineChars="200"/>
              <w:rPr>
                <w:sz w:val="24"/>
              </w:rPr>
            </w:pPr>
            <w:r>
              <w:rPr>
                <w:sz w:val="24"/>
              </w:rPr>
              <w:t>录井是根据测井数据、现场录井数据及综合分析化验数据进行岩性解释、归位，确定含油、气、水产状情况。</w:t>
            </w:r>
          </w:p>
          <w:p w14:paraId="15895276">
            <w:pPr>
              <w:spacing w:line="360" w:lineRule="auto"/>
              <w:ind w:firstLine="480" w:firstLineChars="200"/>
              <w:rPr>
                <w:sz w:val="24"/>
              </w:rPr>
            </w:pPr>
            <w:r>
              <w:rPr>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14:paraId="7CC2B3E1">
            <w:pPr>
              <w:spacing w:line="360" w:lineRule="auto"/>
              <w:ind w:firstLine="480" w:firstLineChars="200"/>
              <w:rPr>
                <w:sz w:val="24"/>
              </w:rPr>
            </w:pPr>
            <w:r>
              <w:rPr>
                <w:sz w:val="24"/>
              </w:rPr>
              <w:t>（3）固井作业</w:t>
            </w:r>
          </w:p>
          <w:p w14:paraId="5A55F59B">
            <w:pPr>
              <w:spacing w:line="360" w:lineRule="auto"/>
              <w:ind w:firstLine="480" w:firstLineChars="200"/>
              <w:rPr>
                <w:sz w:val="24"/>
              </w:rPr>
            </w:pPr>
            <w:r>
              <w:rPr>
                <w:sz w:val="24"/>
              </w:rPr>
              <w:t>固井是在已钻成的井眼内下入套管，再在套管与井壁之间环空内注入水泥将套管和地层固结在一起的工艺过程，以保证安全继续钻进下一段井眼或保证顺利开采生产层中的油、气。</w:t>
            </w:r>
          </w:p>
          <w:p w14:paraId="6B065C11">
            <w:pPr>
              <w:spacing w:line="360" w:lineRule="auto"/>
              <w:ind w:firstLine="480" w:firstLineChars="200"/>
              <w:rPr>
                <w:sz w:val="24"/>
              </w:rPr>
            </w:pPr>
            <w:r>
              <w:rPr>
                <w:sz w:val="24"/>
              </w:rPr>
              <w:t>固井作业包括下套管和注水泥两个过程。下套管就是在已经钻成的井眼中按规定深度下入一定直径、由某种或几种不同钢级及壁厚的套管组成的套管柱。注水泥就是在地面上将水泥浆通过套管柱注入井眼与套管柱之间的环形空间中的过程。固井的主要目的是封隔疏松的易塌、易漏地层；封隔油、气、水层，防止互相窜漏。固井作业的主要设备有水泥搅拌机、下灰罐车、混合漏斗和其他附属安全放喷设备等。</w:t>
            </w:r>
          </w:p>
          <w:p w14:paraId="08AEE211">
            <w:pPr>
              <w:spacing w:line="360" w:lineRule="auto"/>
              <w:ind w:firstLine="480" w:firstLineChars="200"/>
              <w:rPr>
                <w:sz w:val="24"/>
              </w:rPr>
            </w:pPr>
            <w:r>
              <w:rPr>
                <w:sz w:val="24"/>
              </w:rPr>
              <w:t>固井现场施工前根据实际情况要作固井液配方及性能复核试验，若钻进中井漏严重，则应考虑采用双凝水泥浆体系固井，从而提高固井质量，防止因为井漏事故造成地下水环境污染。</w:t>
            </w:r>
          </w:p>
          <w:p w14:paraId="06ACEE32">
            <w:pPr>
              <w:spacing w:line="360" w:lineRule="auto"/>
              <w:rPr>
                <w:b/>
                <w:bCs/>
                <w:sz w:val="24"/>
              </w:rPr>
            </w:pPr>
            <w:r>
              <w:rPr>
                <w:b/>
                <w:bCs/>
                <w:sz w:val="24"/>
              </w:rPr>
              <w:t>2.11.3试气工程</w:t>
            </w:r>
          </w:p>
          <w:p w14:paraId="57A7AF2A">
            <w:pPr>
              <w:spacing w:line="360" w:lineRule="auto"/>
              <w:ind w:firstLine="480" w:firstLineChars="200"/>
              <w:rPr>
                <w:sz w:val="24"/>
                <w:lang w:bidi="ar"/>
              </w:rPr>
            </w:pPr>
            <w:r>
              <w:rPr>
                <w:sz w:val="24"/>
                <w:lang w:bidi="ar"/>
              </w:rPr>
              <w:t>当钻井钻至目的层后，将对气井进行压裂测试作业，以取得该井施工段流体性质、 测试产能、地层压力等详细工程资料。压裂即用高压将地层压开一条或几条水平的或 垂直的裂缝（裂缝长度控制在100m长度范围内），并用支撑剂将裂缝支撑起来，减小油、气、水的流动阻力，沟通油、气、水的流动通道，从而达到增产的效果。压裂测试作业包括洗井、射孔、压裂和测试放喷等过程，本项目采用泵送桥塞电缆射孔 作多段压裂工艺，分</w:t>
            </w:r>
            <w:r>
              <w:rPr>
                <w:rFonts w:hint="eastAsia"/>
                <w:sz w:val="24"/>
                <w:lang w:bidi="ar"/>
              </w:rPr>
              <w:t>5</w:t>
            </w:r>
            <w:r>
              <w:rPr>
                <w:sz w:val="24"/>
                <w:lang w:bidi="ar"/>
              </w:rPr>
              <w:t>段加砂压裂改造。根据工程设计，</w:t>
            </w:r>
            <w:r>
              <w:rPr>
                <w:rFonts w:hint="eastAsia"/>
                <w:sz w:val="24"/>
                <w:lang w:bidi="ar"/>
              </w:rPr>
              <w:t>双庙页1HF井</w:t>
            </w:r>
            <w:r>
              <w:rPr>
                <w:sz w:val="24"/>
                <w:lang w:bidi="ar"/>
              </w:rPr>
              <w:t>压裂作业每次压裂液泵入时间约2～3小时，均在白天进行，一天最长压裂作业时间不超过15个小时，并且最迟在晚上10点之前停止压裂作业，压裂作业完成后进行测试作业。</w:t>
            </w:r>
          </w:p>
          <w:p w14:paraId="541D2125">
            <w:pPr>
              <w:spacing w:line="360" w:lineRule="auto"/>
              <w:ind w:firstLine="480" w:firstLineChars="200"/>
              <w:rPr>
                <w:sz w:val="24"/>
                <w:lang w:bidi="ar"/>
              </w:rPr>
            </w:pPr>
            <w:r>
              <w:rPr>
                <w:sz w:val="24"/>
                <w:lang w:bidi="ar"/>
              </w:rPr>
              <w:t>其作业工艺流程见下图。</w:t>
            </w:r>
          </w:p>
          <w:p w14:paraId="5069929F">
            <w:pPr>
              <w:spacing w:line="360" w:lineRule="auto"/>
              <w:rPr>
                <w:sz w:val="24"/>
                <w:lang w:bidi="ar"/>
              </w:rPr>
            </w:pPr>
            <w:r>
              <w:rPr>
                <w:sz w:val="24"/>
                <w:lang w:bidi="ar"/>
              </w:rPr>
              <w:drawing>
                <wp:inline distT="0" distB="0" distL="114300" distR="114300">
                  <wp:extent cx="4754880" cy="1965325"/>
                  <wp:effectExtent l="0" t="0" r="7620" b="158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4"/>
                          <a:stretch>
                            <a:fillRect/>
                          </a:stretch>
                        </pic:blipFill>
                        <pic:spPr>
                          <a:xfrm>
                            <a:off x="0" y="0"/>
                            <a:ext cx="4754880" cy="1965325"/>
                          </a:xfrm>
                          <a:prstGeom prst="rect">
                            <a:avLst/>
                          </a:prstGeom>
                          <a:noFill/>
                          <a:ln>
                            <a:noFill/>
                          </a:ln>
                        </pic:spPr>
                      </pic:pic>
                    </a:graphicData>
                  </a:graphic>
                </wp:inline>
              </w:drawing>
            </w:r>
          </w:p>
          <w:p w14:paraId="45CABE7E">
            <w:pPr>
              <w:spacing w:line="360" w:lineRule="auto"/>
              <w:jc w:val="center"/>
              <w:rPr>
                <w:sz w:val="24"/>
                <w:lang w:bidi="ar"/>
              </w:rPr>
            </w:pPr>
            <w:r>
              <w:rPr>
                <w:sz w:val="24"/>
                <w:lang w:bidi="ar"/>
              </w:rPr>
              <w:t>图2-6    完井作业工艺流程示意图</w:t>
            </w:r>
          </w:p>
          <w:p w14:paraId="5017AB14">
            <w:pPr>
              <w:autoSpaceDE w:val="0"/>
              <w:jc w:val="center"/>
              <w:rPr>
                <w:sz w:val="24"/>
              </w:rPr>
            </w:pPr>
            <w:r>
              <w:rPr>
                <w:sz w:val="24"/>
              </w:rPr>
              <w:drawing>
                <wp:inline distT="0" distB="0" distL="114300" distR="114300">
                  <wp:extent cx="4755515" cy="2655570"/>
                  <wp:effectExtent l="0" t="0" r="6985" b="1143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5"/>
                          <a:stretch>
                            <a:fillRect/>
                          </a:stretch>
                        </pic:blipFill>
                        <pic:spPr>
                          <a:xfrm>
                            <a:off x="0" y="0"/>
                            <a:ext cx="4755515" cy="2655570"/>
                          </a:xfrm>
                          <a:prstGeom prst="rect">
                            <a:avLst/>
                          </a:prstGeom>
                          <a:noFill/>
                          <a:ln>
                            <a:noFill/>
                          </a:ln>
                        </pic:spPr>
                      </pic:pic>
                    </a:graphicData>
                  </a:graphic>
                </wp:inline>
              </w:drawing>
            </w:r>
          </w:p>
          <w:p w14:paraId="51E6F337">
            <w:pPr>
              <w:spacing w:line="360" w:lineRule="auto"/>
              <w:ind w:firstLine="482" w:firstLineChars="200"/>
              <w:jc w:val="center"/>
              <w:rPr>
                <w:b/>
                <w:bCs/>
                <w:sz w:val="24"/>
              </w:rPr>
            </w:pPr>
            <w:bookmarkStart w:id="19" w:name="_Ref467421992"/>
            <w:bookmarkEnd w:id="19"/>
            <w:r>
              <w:rPr>
                <w:b/>
                <w:bCs/>
                <w:sz w:val="24"/>
                <w:lang w:bidi="ar"/>
              </w:rPr>
              <w:t>图2-</w:t>
            </w:r>
            <w:r>
              <w:rPr>
                <w:rFonts w:hint="eastAsia"/>
                <w:b/>
                <w:bCs/>
                <w:sz w:val="24"/>
                <w:lang w:bidi="ar"/>
              </w:rPr>
              <w:t>7</w:t>
            </w:r>
            <w:r>
              <w:rPr>
                <w:b/>
                <w:bCs/>
                <w:sz w:val="24"/>
                <w:lang w:bidi="ar"/>
              </w:rPr>
              <w:t xml:space="preserve">    </w:t>
            </w:r>
            <w:r>
              <w:rPr>
                <w:rFonts w:hint="eastAsia"/>
                <w:b/>
                <w:bCs/>
                <w:sz w:val="24"/>
                <w:lang w:bidi="ar"/>
              </w:rPr>
              <w:t>加砂压裂作业</w:t>
            </w:r>
            <w:r>
              <w:rPr>
                <w:b/>
                <w:bCs/>
                <w:sz w:val="24"/>
                <w:lang w:bidi="ar"/>
              </w:rPr>
              <w:t>示意图</w:t>
            </w:r>
          </w:p>
          <w:p w14:paraId="574E4D1B">
            <w:pPr>
              <w:spacing w:line="360" w:lineRule="auto"/>
              <w:ind w:firstLine="480" w:firstLineChars="200"/>
              <w:rPr>
                <w:sz w:val="24"/>
              </w:rPr>
            </w:pPr>
            <w:r>
              <w:rPr>
                <w:sz w:val="24"/>
                <w:lang w:bidi="ar"/>
              </w:rPr>
              <w:t>（1）洗井</w:t>
            </w:r>
          </w:p>
          <w:p w14:paraId="7541D159">
            <w:pPr>
              <w:spacing w:line="360" w:lineRule="auto"/>
              <w:ind w:firstLine="480" w:firstLineChars="200"/>
              <w:rPr>
                <w:sz w:val="24"/>
              </w:rPr>
            </w:pPr>
            <w:r>
              <w:rPr>
                <w:sz w:val="24"/>
                <w:lang w:bidi="ar"/>
              </w:rPr>
              <w:t>本项目在进行完井作业前将对气井进行洗井作业，采用清水对套管进行清洗，替换井下的泥浆，为下一步完井作业做准备。根据建设单位统计，区域内洗井处理会产生洗井废水约300m</w:t>
            </w:r>
            <w:r>
              <w:rPr>
                <w:sz w:val="24"/>
                <w:vertAlign w:val="superscript"/>
                <w:lang w:bidi="ar"/>
              </w:rPr>
              <w:t>3</w:t>
            </w:r>
            <w:r>
              <w:rPr>
                <w:sz w:val="24"/>
                <w:lang w:bidi="ar"/>
              </w:rPr>
              <w:t>。</w:t>
            </w:r>
          </w:p>
          <w:p w14:paraId="112EA74C">
            <w:pPr>
              <w:spacing w:line="360" w:lineRule="auto"/>
              <w:ind w:firstLine="480" w:firstLineChars="200"/>
              <w:rPr>
                <w:sz w:val="24"/>
              </w:rPr>
            </w:pPr>
            <w:r>
              <w:rPr>
                <w:sz w:val="24"/>
                <w:lang w:bidi="ar"/>
              </w:rPr>
              <w:t>（2）射孔完井</w:t>
            </w:r>
          </w:p>
          <w:p w14:paraId="084BD503">
            <w:pPr>
              <w:spacing w:line="360" w:lineRule="auto"/>
              <w:ind w:firstLine="480" w:firstLineChars="200"/>
              <w:rPr>
                <w:sz w:val="24"/>
              </w:rPr>
            </w:pPr>
            <w:r>
              <w:rPr>
                <w:sz w:val="24"/>
                <w:lang w:bidi="ar"/>
              </w:rPr>
              <w:t>本工程拟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14:paraId="13157FCB">
            <w:pPr>
              <w:spacing w:line="360" w:lineRule="auto"/>
              <w:ind w:firstLine="480" w:firstLineChars="200"/>
              <w:rPr>
                <w:sz w:val="24"/>
              </w:rPr>
            </w:pPr>
            <w:r>
              <w:rPr>
                <w:sz w:val="24"/>
                <w:lang w:bidi="ar"/>
              </w:rPr>
              <w:t>（3）压裂作业工艺</w:t>
            </w:r>
          </w:p>
          <w:p w14:paraId="12D6BD29">
            <w:pPr>
              <w:spacing w:line="360" w:lineRule="auto"/>
              <w:ind w:firstLine="480" w:firstLineChars="200"/>
              <w:rPr>
                <w:sz w:val="24"/>
              </w:rPr>
            </w:pPr>
            <w:r>
              <w:rPr>
                <w:sz w:val="24"/>
                <w:lang w:bidi="ar"/>
              </w:rPr>
              <w:t>射孔后，为提高产层的渗透能力，实施压裂作业。加砂压裂是将含纤维携砂液和 纯冻胶间隔液以交替循环的方式泵入油气井裂缝内，进入油气井裂缝内的含纤维携砂 液被管柱上的射孔炮眼分散成形状各异的团块状，这些团块状的含纤维携砂液由内向 外堆砌在裂缝内形成砂柱，该砂柱中相邻团块状的含纤维携砂液之间缝隙被纯冻胶间 隔液填充，整个砂柱的截面呈堆砌的石墙状；所述砂柱对闭合过程中的裂缝及闭合后 的裂缝进行支撑，砂柱中的纯冻胶间隔液部位在破胶后形成油气的低阻力，高流速渗 流通道，本发明使油气井裂缝在优异支撑的导流能力下，油气形成大面积，低阻力， 高流速的渗流，进而使得油气井的单井产量被大幅增加，有效降低了油气井的开采成 本，实用性强，可靠性高。该环节产生的污染物主要为压裂作业设备产生的噪声及返 排出的压裂液。</w:t>
            </w:r>
          </w:p>
          <w:p w14:paraId="3E50FE31">
            <w:pPr>
              <w:spacing w:line="360" w:lineRule="auto"/>
              <w:ind w:firstLine="480" w:firstLineChars="200"/>
              <w:rPr>
                <w:sz w:val="24"/>
              </w:rPr>
            </w:pPr>
            <w:r>
              <w:rPr>
                <w:sz w:val="24"/>
                <w:lang w:bidi="ar"/>
              </w:rPr>
              <w:t>压裂酸化过程产生压裂酸化废水，本项目压裂过程使用压裂量约</w:t>
            </w:r>
            <w:r>
              <w:rPr>
                <w:rFonts w:hint="eastAsia"/>
                <w:sz w:val="24"/>
                <w:lang w:bidi="ar"/>
              </w:rPr>
              <w:t>91230</w:t>
            </w:r>
            <w:r>
              <w:rPr>
                <w:sz w:val="24"/>
                <w:lang w:bidi="ar"/>
              </w:rPr>
              <w:t>m</w:t>
            </w:r>
            <w:r>
              <w:rPr>
                <w:sz w:val="24"/>
                <w:vertAlign w:val="superscript"/>
                <w:lang w:bidi="ar"/>
              </w:rPr>
              <w:t>3</w:t>
            </w:r>
            <w:r>
              <w:rPr>
                <w:sz w:val="24"/>
                <w:lang w:bidi="ar"/>
              </w:rPr>
              <w:t>，根据该区域已完钻钻井工程可知，该区域钻井工程压裂返排液返排率为30%，则本项目压裂酸化废水量为</w:t>
            </w:r>
            <w:r>
              <w:rPr>
                <w:rFonts w:hint="eastAsia"/>
                <w:sz w:val="24"/>
                <w:lang w:bidi="ar"/>
              </w:rPr>
              <w:t>27369</w:t>
            </w:r>
            <w:r>
              <w:rPr>
                <w:sz w:val="24"/>
                <w:lang w:bidi="ar"/>
              </w:rPr>
              <w:t>m</w:t>
            </w:r>
            <w:r>
              <w:rPr>
                <w:sz w:val="24"/>
                <w:vertAlign w:val="superscript"/>
                <w:lang w:bidi="ar"/>
              </w:rPr>
              <w:t>3</w:t>
            </w:r>
            <w:r>
              <w:rPr>
                <w:sz w:val="24"/>
                <w:lang w:bidi="ar"/>
              </w:rPr>
              <w:t>，压裂酸化废水输至放喷池</w:t>
            </w:r>
            <w:r>
              <w:rPr>
                <w:rFonts w:hint="eastAsia"/>
                <w:sz w:val="24"/>
                <w:lang w:bidi="ar"/>
              </w:rPr>
              <w:t>经絮凝沉淀后由罐车立即拉运处置，现场不进行暂存</w:t>
            </w:r>
            <w:r>
              <w:rPr>
                <w:sz w:val="24"/>
                <w:lang w:bidi="ar"/>
              </w:rPr>
              <w:t>；放喷分离气体经专用管线引至放喷池燃烧，测试放喷时间一般为4h～6h。</w:t>
            </w:r>
          </w:p>
          <w:p w14:paraId="613BBEA0">
            <w:pPr>
              <w:spacing w:line="360" w:lineRule="auto"/>
              <w:ind w:firstLine="480" w:firstLineChars="200"/>
              <w:rPr>
                <w:sz w:val="24"/>
                <w:lang w:bidi="ar"/>
              </w:rPr>
            </w:pPr>
            <w:r>
              <w:rPr>
                <w:sz w:val="24"/>
                <w:lang w:bidi="ar"/>
              </w:rPr>
              <w:t>压裂酸化返排的压裂酸化废水排至经防腐防渗处理的放喷池（放喷池预先储备部分碱性水用于中和返排液中的酸液，调节后pH值范围6.5～7）中暂存，返排酸液不回用，由罐车运至</w:t>
            </w:r>
            <w:r>
              <w:rPr>
                <w:rFonts w:hint="eastAsia"/>
                <w:sz w:val="24"/>
                <w:lang w:bidi="ar"/>
              </w:rPr>
              <w:t>赵家坝污水处理站</w:t>
            </w:r>
            <w:r>
              <w:rPr>
                <w:sz w:val="24"/>
                <w:lang w:bidi="ar"/>
              </w:rPr>
              <w:t>处理达标后由罐车拉运至</w:t>
            </w:r>
            <w:r>
              <w:rPr>
                <w:rFonts w:hint="eastAsia"/>
                <w:sz w:val="24"/>
                <w:lang w:bidi="ar"/>
              </w:rPr>
              <w:t>普光3井等回注站</w:t>
            </w:r>
            <w:r>
              <w:rPr>
                <w:sz w:val="24"/>
                <w:lang w:bidi="ar"/>
              </w:rPr>
              <w:t>回注。</w:t>
            </w:r>
          </w:p>
          <w:p w14:paraId="237D536E">
            <w:pPr>
              <w:spacing w:line="360" w:lineRule="auto"/>
              <w:rPr>
                <w:sz w:val="24"/>
                <w:lang w:bidi="ar"/>
              </w:rPr>
            </w:pPr>
            <w:r>
              <w:rPr>
                <w:sz w:val="24"/>
                <w:lang w:bidi="ar"/>
              </w:rPr>
              <w:drawing>
                <wp:inline distT="0" distB="0" distL="114300" distR="114300">
                  <wp:extent cx="4749165" cy="2090420"/>
                  <wp:effectExtent l="0" t="0" r="13335" b="508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6"/>
                          <a:stretch>
                            <a:fillRect/>
                          </a:stretch>
                        </pic:blipFill>
                        <pic:spPr>
                          <a:xfrm>
                            <a:off x="0" y="0"/>
                            <a:ext cx="4749165" cy="2090420"/>
                          </a:xfrm>
                          <a:prstGeom prst="rect">
                            <a:avLst/>
                          </a:prstGeom>
                          <a:noFill/>
                          <a:ln>
                            <a:noFill/>
                          </a:ln>
                        </pic:spPr>
                      </pic:pic>
                    </a:graphicData>
                  </a:graphic>
                </wp:inline>
              </w:drawing>
            </w:r>
          </w:p>
          <w:p w14:paraId="57ED1CD1">
            <w:pPr>
              <w:spacing w:line="360" w:lineRule="auto"/>
              <w:ind w:firstLine="480" w:firstLineChars="200"/>
              <w:jc w:val="center"/>
              <w:rPr>
                <w:sz w:val="24"/>
                <w:lang w:bidi="ar"/>
              </w:rPr>
            </w:pPr>
            <w:r>
              <w:rPr>
                <w:sz w:val="24"/>
                <w:lang w:bidi="ar"/>
              </w:rPr>
              <w:t>图2-</w:t>
            </w:r>
            <w:r>
              <w:rPr>
                <w:rFonts w:hint="eastAsia"/>
                <w:sz w:val="24"/>
                <w:lang w:bidi="ar"/>
              </w:rPr>
              <w:t>8</w:t>
            </w:r>
            <w:r>
              <w:rPr>
                <w:sz w:val="24"/>
                <w:lang w:bidi="ar"/>
              </w:rPr>
              <w:t xml:space="preserve">    压裂作业</w:t>
            </w:r>
            <w:r>
              <w:rPr>
                <w:rFonts w:hint="eastAsia"/>
                <w:sz w:val="24"/>
                <w:lang w:bidi="ar"/>
              </w:rPr>
              <w:t>产污环节</w:t>
            </w:r>
            <w:r>
              <w:rPr>
                <w:sz w:val="24"/>
                <w:lang w:bidi="ar"/>
              </w:rPr>
              <w:t>图</w:t>
            </w:r>
          </w:p>
          <w:p w14:paraId="37276E94">
            <w:pPr>
              <w:spacing w:line="360" w:lineRule="auto"/>
              <w:ind w:firstLine="480" w:firstLineChars="200"/>
              <w:rPr>
                <w:sz w:val="24"/>
                <w:lang w:bidi="ar"/>
              </w:rPr>
            </w:pPr>
            <w:r>
              <w:rPr>
                <w:sz w:val="24"/>
                <w:lang w:bidi="ar"/>
              </w:rPr>
              <w:t>（4）测试放喷</w:t>
            </w:r>
          </w:p>
          <w:p w14:paraId="3458B231">
            <w:pPr>
              <w:spacing w:line="360" w:lineRule="auto"/>
              <w:ind w:firstLine="480" w:firstLineChars="200"/>
              <w:rPr>
                <w:sz w:val="24"/>
              </w:rPr>
            </w:pPr>
            <w:r>
              <w:rPr>
                <w:sz w:val="24"/>
                <w:lang w:bidi="ar"/>
              </w:rPr>
              <w:t>为了解气井的产气量，在酸化作业后，需进行测试放喷。测试放喷是在射孔、酸化作业后，利用测试放喷专用管线将井内油气引至放喷池点火燃烧对油气井进行产量测试的过程。本工程目的层为茅口组二段，一般测试放喷时间约3</w:t>
            </w:r>
            <w:r>
              <w:rPr>
                <w:rFonts w:hint="eastAsia"/>
                <w:sz w:val="24"/>
                <w:lang w:bidi="ar"/>
              </w:rPr>
              <w:t>0</w:t>
            </w:r>
            <w:r>
              <w:rPr>
                <w:sz w:val="24"/>
                <w:lang w:bidi="ar"/>
              </w:rPr>
              <w:t>天，依据测试气量，间歇性放喷，每次持续放喷时间约4～6h，废气排放属不连续排放</w:t>
            </w:r>
            <w:r>
              <w:rPr>
                <w:sz w:val="24"/>
              </w:rPr>
              <w:t>。</w:t>
            </w:r>
          </w:p>
          <w:p w14:paraId="4DE88996">
            <w:pPr>
              <w:spacing w:line="360" w:lineRule="auto"/>
              <w:rPr>
                <w:b/>
                <w:bCs/>
                <w:sz w:val="24"/>
              </w:rPr>
            </w:pPr>
            <w:r>
              <w:rPr>
                <w:b/>
                <w:bCs/>
                <w:sz w:val="24"/>
              </w:rPr>
              <w:t>2.11.4完井搬迁</w:t>
            </w:r>
          </w:p>
          <w:p w14:paraId="53F14E8E">
            <w:pPr>
              <w:spacing w:line="360" w:lineRule="auto"/>
              <w:ind w:firstLine="480" w:firstLineChars="200"/>
              <w:rPr>
                <w:sz w:val="24"/>
              </w:rPr>
            </w:pPr>
            <w:r>
              <w:rPr>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14:paraId="41AAD4DE">
            <w:pPr>
              <w:spacing w:line="360" w:lineRule="auto"/>
              <w:ind w:firstLine="480" w:firstLineChars="200"/>
              <w:rPr>
                <w:sz w:val="24"/>
              </w:rPr>
            </w:pPr>
            <w:r>
              <w:rPr>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14:paraId="7965CC00">
            <w:pPr>
              <w:spacing w:line="360" w:lineRule="auto"/>
              <w:ind w:firstLine="480" w:firstLineChars="200"/>
              <w:rPr>
                <w:sz w:val="24"/>
              </w:rPr>
            </w:pPr>
            <w:r>
              <w:rPr>
                <w:sz w:val="24"/>
              </w:rPr>
              <w:t>复垦后应满足《土地复垦质量控制标准》（TD/T1036-2013）中规定的要求，即：</w:t>
            </w:r>
          </w:p>
          <w:p w14:paraId="4916DA0C">
            <w:pPr>
              <w:spacing w:line="360" w:lineRule="auto"/>
              <w:ind w:firstLine="420"/>
              <w:rPr>
                <w:kern w:val="0"/>
                <w:szCs w:val="21"/>
              </w:rPr>
            </w:pPr>
            <w:r>
              <w:rPr>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14:paraId="5ED65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080" w:type="dxa"/>
            <w:vAlign w:val="center"/>
          </w:tcPr>
          <w:p w14:paraId="32B3FE26">
            <w:pPr>
              <w:pStyle w:val="161"/>
              <w:spacing w:line="240" w:lineRule="auto"/>
              <w:ind w:firstLine="0"/>
              <w:jc w:val="center"/>
              <w:rPr>
                <w:rFonts w:ascii="Times New Roman" w:hAnsi="Times New Roman"/>
                <w:bCs/>
                <w:sz w:val="21"/>
                <w:szCs w:val="21"/>
              </w:rPr>
            </w:pPr>
            <w:r>
              <w:rPr>
                <w:rFonts w:ascii="Times New Roman" w:hAnsi="Times New Roman"/>
                <w:bCs/>
                <w:sz w:val="21"/>
                <w:szCs w:val="21"/>
              </w:rPr>
              <w:t>其他</w:t>
            </w:r>
          </w:p>
        </w:tc>
        <w:tc>
          <w:tcPr>
            <w:tcW w:w="7707" w:type="dxa"/>
            <w:vAlign w:val="center"/>
          </w:tcPr>
          <w:p w14:paraId="20CB2096">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预计产气成分及无阻流量</w:t>
            </w:r>
          </w:p>
          <w:p w14:paraId="64D4F20A">
            <w:pPr>
              <w:spacing w:line="360" w:lineRule="auto"/>
              <w:ind w:firstLine="480" w:firstLineChars="200"/>
              <w:rPr>
                <w:bCs/>
                <w:sz w:val="24"/>
              </w:rPr>
            </w:pPr>
            <w:bookmarkStart w:id="20" w:name="_Hlk96085440"/>
            <w:bookmarkStart w:id="21" w:name="_Hlk96085486"/>
            <w:r>
              <w:rPr>
                <w:bCs/>
                <w:sz w:val="24"/>
              </w:rPr>
              <w:t>项目位于达州市宣汉县</w:t>
            </w:r>
            <w:r>
              <w:rPr>
                <w:rFonts w:hint="eastAsia"/>
                <w:bCs/>
                <w:sz w:val="24"/>
              </w:rPr>
              <w:t>君塘镇界湾村</w:t>
            </w:r>
            <w:r>
              <w:rPr>
                <w:bCs/>
                <w:sz w:val="24"/>
              </w:rPr>
              <w:t>，根据区域和邻井天然气组分分析资料，邻区明1侧井在飞仙关组一二段-大隆组二段完井测试不含H</w:t>
            </w:r>
            <w:r>
              <w:rPr>
                <w:bCs/>
                <w:sz w:val="24"/>
                <w:vertAlign w:val="subscript"/>
              </w:rPr>
              <w:t>2</w:t>
            </w:r>
            <w:r>
              <w:rPr>
                <w:bCs/>
                <w:sz w:val="24"/>
              </w:rPr>
              <w:t>S。雷页1HF井在大隆组完井测试不含H</w:t>
            </w:r>
            <w:r>
              <w:rPr>
                <w:bCs/>
                <w:sz w:val="24"/>
                <w:vertAlign w:val="subscript"/>
              </w:rPr>
              <w:t>2</w:t>
            </w:r>
            <w:r>
              <w:rPr>
                <w:bCs/>
                <w:sz w:val="24"/>
              </w:rPr>
              <w:t>S。明1井在大隆组酸压测试，H</w:t>
            </w:r>
            <w:r>
              <w:rPr>
                <w:bCs/>
                <w:sz w:val="24"/>
                <w:vertAlign w:val="subscript"/>
              </w:rPr>
              <w:t>2</w:t>
            </w:r>
            <w:r>
              <w:rPr>
                <w:bCs/>
                <w:sz w:val="24"/>
              </w:rPr>
              <w:t>S含量0.01%。</w:t>
            </w:r>
          </w:p>
          <w:p w14:paraId="3336F121">
            <w:pPr>
              <w:spacing w:line="360" w:lineRule="auto"/>
              <w:ind w:firstLine="480" w:firstLineChars="200"/>
              <w:rPr>
                <w:bCs/>
                <w:sz w:val="24"/>
              </w:rPr>
            </w:pPr>
            <w:r>
              <w:rPr>
                <w:bCs/>
                <w:sz w:val="24"/>
              </w:rPr>
              <w:t>区域内目的层天然气化验组分见表：</w:t>
            </w:r>
          </w:p>
          <w:p w14:paraId="031E16E1">
            <w:pPr>
              <w:pStyle w:val="19"/>
              <w:numPr>
                <w:ilvl w:val="0"/>
                <w:numId w:val="6"/>
              </w:numPr>
              <w:tabs>
                <w:tab w:val="left" w:pos="0"/>
                <w:tab w:val="left" w:pos="833"/>
              </w:tabs>
              <w:spacing w:before="0" w:after="0" w:line="360" w:lineRule="auto"/>
              <w:ind w:left="0" w:right="0" w:firstLine="0"/>
              <w:jc w:val="center"/>
              <w:rPr>
                <w:b/>
                <w:bCs/>
                <w:sz w:val="24"/>
                <w:szCs w:val="24"/>
              </w:rPr>
            </w:pPr>
            <w:r>
              <w:rPr>
                <w:b/>
                <w:bCs/>
                <w:sz w:val="24"/>
                <w:szCs w:val="24"/>
              </w:rPr>
              <w:t xml:space="preserve"> 天然气组分预测</w:t>
            </w:r>
          </w:p>
          <w:bookmarkEnd w:id="20"/>
          <w:bookmarkEnd w:id="21"/>
          <w:tbl>
            <w:tblPr>
              <w:tblStyle w:val="44"/>
              <w:tblW w:w="7491" w:type="dxa"/>
              <w:tblInd w:w="0" w:type="dxa"/>
              <w:tblLayout w:type="fixed"/>
              <w:tblCellMar>
                <w:top w:w="0" w:type="dxa"/>
                <w:left w:w="108" w:type="dxa"/>
                <w:bottom w:w="0" w:type="dxa"/>
                <w:right w:w="108" w:type="dxa"/>
              </w:tblCellMar>
            </w:tblPr>
            <w:tblGrid>
              <w:gridCol w:w="538"/>
              <w:gridCol w:w="1174"/>
              <w:gridCol w:w="759"/>
              <w:gridCol w:w="600"/>
              <w:gridCol w:w="629"/>
              <w:gridCol w:w="571"/>
              <w:gridCol w:w="610"/>
              <w:gridCol w:w="581"/>
              <w:gridCol w:w="610"/>
              <w:gridCol w:w="489"/>
              <w:gridCol w:w="930"/>
            </w:tblGrid>
            <w:tr w14:paraId="5C22CB67">
              <w:tblPrEx>
                <w:tblCellMar>
                  <w:top w:w="0" w:type="dxa"/>
                  <w:left w:w="108" w:type="dxa"/>
                  <w:bottom w:w="0" w:type="dxa"/>
                  <w:right w:w="108" w:type="dxa"/>
                </w:tblCellMar>
              </w:tblPrEx>
              <w:trPr>
                <w:trHeight w:val="369" w:hRule="atLeast"/>
              </w:trPr>
              <w:tc>
                <w:tcPr>
                  <w:tcW w:w="538"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7DD0D6D">
                  <w:pPr>
                    <w:jc w:val="center"/>
                    <w:rPr>
                      <w:sz w:val="18"/>
                      <w:szCs w:val="18"/>
                    </w:rPr>
                  </w:pPr>
                  <w:r>
                    <w:rPr>
                      <w:sz w:val="18"/>
                      <w:szCs w:val="18"/>
                    </w:rPr>
                    <w:t>井号</w:t>
                  </w:r>
                </w:p>
              </w:tc>
              <w:tc>
                <w:tcPr>
                  <w:tcW w:w="1174"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658CDB0">
                  <w:pPr>
                    <w:jc w:val="center"/>
                    <w:rPr>
                      <w:sz w:val="18"/>
                      <w:szCs w:val="18"/>
                    </w:rPr>
                  </w:pPr>
                  <w:r>
                    <w:rPr>
                      <w:sz w:val="18"/>
                      <w:szCs w:val="18"/>
                    </w:rPr>
                    <w:t>层位</w:t>
                  </w:r>
                </w:p>
              </w:tc>
              <w:tc>
                <w:tcPr>
                  <w:tcW w:w="75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7D7B087">
                  <w:pPr>
                    <w:jc w:val="center"/>
                    <w:rPr>
                      <w:sz w:val="18"/>
                      <w:szCs w:val="18"/>
                    </w:rPr>
                  </w:pPr>
                  <w:r>
                    <w:rPr>
                      <w:sz w:val="18"/>
                      <w:szCs w:val="18"/>
                    </w:rPr>
                    <w:t>天然气相对密度</w:t>
                  </w:r>
                </w:p>
              </w:tc>
              <w:tc>
                <w:tcPr>
                  <w:tcW w:w="4090" w:type="dxa"/>
                  <w:gridSpan w:val="7"/>
                  <w:tcBorders>
                    <w:top w:val="single" w:color="auto" w:sz="4" w:space="0"/>
                    <w:left w:val="nil"/>
                    <w:bottom w:val="single" w:color="auto" w:sz="4" w:space="0"/>
                    <w:right w:val="single" w:color="auto" w:sz="4" w:space="0"/>
                  </w:tcBorders>
                  <w:shd w:val="clear" w:color="000000" w:fill="FFFFFF"/>
                  <w:vAlign w:val="center"/>
                </w:tcPr>
                <w:p w14:paraId="089C11D9">
                  <w:pPr>
                    <w:jc w:val="center"/>
                    <w:rPr>
                      <w:sz w:val="18"/>
                      <w:szCs w:val="18"/>
                    </w:rPr>
                  </w:pPr>
                  <w:r>
                    <w:rPr>
                      <w:sz w:val="18"/>
                      <w:szCs w:val="18"/>
                    </w:rPr>
                    <w:t>气体组分（摩尔百分比 %）</w:t>
                  </w:r>
                </w:p>
              </w:tc>
              <w:tc>
                <w:tcPr>
                  <w:tcW w:w="93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6656D66">
                  <w:pPr>
                    <w:jc w:val="center"/>
                    <w:rPr>
                      <w:sz w:val="18"/>
                      <w:szCs w:val="18"/>
                    </w:rPr>
                  </w:pPr>
                  <w:r>
                    <w:rPr>
                      <w:sz w:val="18"/>
                      <w:szCs w:val="18"/>
                    </w:rPr>
                    <w:t>H</w:t>
                  </w:r>
                  <w:r>
                    <w:rPr>
                      <w:sz w:val="18"/>
                      <w:szCs w:val="18"/>
                      <w:vertAlign w:val="subscript"/>
                    </w:rPr>
                    <w:t>2</w:t>
                  </w:r>
                  <w:r>
                    <w:rPr>
                      <w:sz w:val="18"/>
                      <w:szCs w:val="18"/>
                    </w:rPr>
                    <w:t>S含量</w:t>
                  </w:r>
                  <w:r>
                    <w:rPr>
                      <w:rFonts w:hint="eastAsia"/>
                      <w:sz w:val="18"/>
                      <w:szCs w:val="18"/>
                    </w:rPr>
                    <w:t>（</w:t>
                  </w:r>
                  <w:r>
                    <w:rPr>
                      <w:sz w:val="18"/>
                      <w:szCs w:val="18"/>
                    </w:rPr>
                    <w:t>mg/L</w:t>
                  </w:r>
                  <w:r>
                    <w:rPr>
                      <w:rFonts w:hint="eastAsia"/>
                      <w:sz w:val="18"/>
                      <w:szCs w:val="18"/>
                    </w:rPr>
                    <w:t>）</w:t>
                  </w:r>
                </w:p>
              </w:tc>
            </w:tr>
            <w:tr w14:paraId="69603A01">
              <w:tblPrEx>
                <w:tblCellMar>
                  <w:top w:w="0" w:type="dxa"/>
                  <w:left w:w="108" w:type="dxa"/>
                  <w:bottom w:w="0" w:type="dxa"/>
                  <w:right w:w="108" w:type="dxa"/>
                </w:tblCellMar>
              </w:tblPrEx>
              <w:trPr>
                <w:trHeight w:val="369" w:hRule="atLeast"/>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3DE21718">
                  <w:pPr>
                    <w:jc w:val="center"/>
                    <w:rPr>
                      <w:sz w:val="18"/>
                      <w:szCs w:val="18"/>
                    </w:rPr>
                  </w:pPr>
                </w:p>
              </w:tc>
              <w:tc>
                <w:tcPr>
                  <w:tcW w:w="1174" w:type="dxa"/>
                  <w:vMerge w:val="continue"/>
                  <w:tcBorders>
                    <w:top w:val="single" w:color="auto" w:sz="4" w:space="0"/>
                    <w:left w:val="single" w:color="auto" w:sz="4" w:space="0"/>
                    <w:bottom w:val="single" w:color="auto" w:sz="4" w:space="0"/>
                    <w:right w:val="single" w:color="auto" w:sz="4" w:space="0"/>
                  </w:tcBorders>
                  <w:vAlign w:val="center"/>
                </w:tcPr>
                <w:p w14:paraId="259CC40B">
                  <w:pPr>
                    <w:jc w:val="center"/>
                    <w:rPr>
                      <w:sz w:val="18"/>
                      <w:szCs w:val="18"/>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0A19A90D">
                  <w:pPr>
                    <w:jc w:val="center"/>
                    <w:rPr>
                      <w:sz w:val="18"/>
                      <w:szCs w:val="18"/>
                    </w:rPr>
                  </w:pPr>
                </w:p>
              </w:tc>
              <w:tc>
                <w:tcPr>
                  <w:tcW w:w="600" w:type="dxa"/>
                  <w:tcBorders>
                    <w:top w:val="nil"/>
                    <w:left w:val="nil"/>
                    <w:bottom w:val="single" w:color="auto" w:sz="4" w:space="0"/>
                    <w:right w:val="single" w:color="auto" w:sz="4" w:space="0"/>
                  </w:tcBorders>
                  <w:shd w:val="clear" w:color="000000" w:fill="FFFFFF"/>
                  <w:vAlign w:val="center"/>
                </w:tcPr>
                <w:p w14:paraId="1576FD0A">
                  <w:pPr>
                    <w:jc w:val="center"/>
                    <w:rPr>
                      <w:sz w:val="18"/>
                      <w:szCs w:val="18"/>
                    </w:rPr>
                  </w:pPr>
                  <w:r>
                    <w:rPr>
                      <w:sz w:val="18"/>
                      <w:szCs w:val="18"/>
                    </w:rPr>
                    <w:t>CH</w:t>
                  </w:r>
                  <w:r>
                    <w:rPr>
                      <w:sz w:val="18"/>
                      <w:szCs w:val="18"/>
                      <w:vertAlign w:val="subscript"/>
                    </w:rPr>
                    <w:t>4</w:t>
                  </w:r>
                </w:p>
              </w:tc>
              <w:tc>
                <w:tcPr>
                  <w:tcW w:w="629" w:type="dxa"/>
                  <w:tcBorders>
                    <w:top w:val="nil"/>
                    <w:left w:val="nil"/>
                    <w:bottom w:val="single" w:color="auto" w:sz="4" w:space="0"/>
                    <w:right w:val="single" w:color="auto" w:sz="4" w:space="0"/>
                  </w:tcBorders>
                  <w:shd w:val="clear" w:color="000000" w:fill="FFFFFF"/>
                  <w:vAlign w:val="center"/>
                </w:tcPr>
                <w:p w14:paraId="10D62DA5">
                  <w:pPr>
                    <w:jc w:val="center"/>
                    <w:rPr>
                      <w:sz w:val="18"/>
                      <w:szCs w:val="18"/>
                    </w:rPr>
                  </w:pPr>
                  <w:r>
                    <w:rPr>
                      <w:spacing w:val="-10"/>
                      <w:sz w:val="18"/>
                      <w:szCs w:val="18"/>
                    </w:rPr>
                    <w:t>C</w:t>
                  </w:r>
                  <w:r>
                    <w:rPr>
                      <w:spacing w:val="-10"/>
                      <w:sz w:val="18"/>
                      <w:szCs w:val="18"/>
                      <w:vertAlign w:val="subscript"/>
                    </w:rPr>
                    <w:t>2</w:t>
                  </w:r>
                  <w:r>
                    <w:rPr>
                      <w:spacing w:val="-10"/>
                      <w:sz w:val="18"/>
                      <w:szCs w:val="18"/>
                    </w:rPr>
                    <w:t>H</w:t>
                  </w:r>
                  <w:r>
                    <w:rPr>
                      <w:spacing w:val="-10"/>
                      <w:sz w:val="18"/>
                      <w:szCs w:val="18"/>
                      <w:vertAlign w:val="subscript"/>
                    </w:rPr>
                    <w:t>6</w:t>
                  </w:r>
                </w:p>
              </w:tc>
              <w:tc>
                <w:tcPr>
                  <w:tcW w:w="571" w:type="dxa"/>
                  <w:tcBorders>
                    <w:top w:val="nil"/>
                    <w:left w:val="nil"/>
                    <w:bottom w:val="single" w:color="auto" w:sz="4" w:space="0"/>
                    <w:right w:val="single" w:color="auto" w:sz="4" w:space="0"/>
                  </w:tcBorders>
                  <w:shd w:val="clear" w:color="000000" w:fill="FFFFFF"/>
                  <w:vAlign w:val="center"/>
                </w:tcPr>
                <w:p w14:paraId="03A1D196">
                  <w:pPr>
                    <w:jc w:val="center"/>
                    <w:rPr>
                      <w:sz w:val="18"/>
                      <w:szCs w:val="18"/>
                    </w:rPr>
                  </w:pPr>
                  <w:r>
                    <w:rPr>
                      <w:spacing w:val="-10"/>
                      <w:sz w:val="18"/>
                      <w:szCs w:val="18"/>
                    </w:rPr>
                    <w:t>H</w:t>
                  </w:r>
                  <w:r>
                    <w:rPr>
                      <w:spacing w:val="-10"/>
                      <w:sz w:val="18"/>
                      <w:szCs w:val="18"/>
                      <w:vertAlign w:val="subscript"/>
                    </w:rPr>
                    <w:t>2</w:t>
                  </w:r>
                </w:p>
              </w:tc>
              <w:tc>
                <w:tcPr>
                  <w:tcW w:w="610" w:type="dxa"/>
                  <w:tcBorders>
                    <w:top w:val="nil"/>
                    <w:left w:val="nil"/>
                    <w:bottom w:val="single" w:color="auto" w:sz="4" w:space="0"/>
                    <w:right w:val="single" w:color="auto" w:sz="4" w:space="0"/>
                  </w:tcBorders>
                  <w:shd w:val="clear" w:color="000000" w:fill="FFFFFF"/>
                  <w:vAlign w:val="center"/>
                </w:tcPr>
                <w:p w14:paraId="71F21545">
                  <w:pPr>
                    <w:jc w:val="center"/>
                    <w:rPr>
                      <w:sz w:val="18"/>
                      <w:szCs w:val="18"/>
                    </w:rPr>
                  </w:pPr>
                  <w:r>
                    <w:rPr>
                      <w:spacing w:val="-10"/>
                      <w:sz w:val="18"/>
                      <w:szCs w:val="18"/>
                    </w:rPr>
                    <w:t>N</w:t>
                  </w:r>
                  <w:r>
                    <w:rPr>
                      <w:spacing w:val="-10"/>
                      <w:sz w:val="18"/>
                      <w:szCs w:val="18"/>
                      <w:vertAlign w:val="subscript"/>
                    </w:rPr>
                    <w:t>2</w:t>
                  </w:r>
                </w:p>
              </w:tc>
              <w:tc>
                <w:tcPr>
                  <w:tcW w:w="581" w:type="dxa"/>
                  <w:tcBorders>
                    <w:top w:val="nil"/>
                    <w:left w:val="nil"/>
                    <w:bottom w:val="single" w:color="auto" w:sz="4" w:space="0"/>
                    <w:right w:val="single" w:color="auto" w:sz="4" w:space="0"/>
                  </w:tcBorders>
                  <w:shd w:val="clear" w:color="000000" w:fill="FFFFFF"/>
                  <w:vAlign w:val="center"/>
                </w:tcPr>
                <w:p w14:paraId="6F26F798">
                  <w:pPr>
                    <w:jc w:val="center"/>
                    <w:rPr>
                      <w:sz w:val="18"/>
                      <w:szCs w:val="18"/>
                    </w:rPr>
                  </w:pPr>
                  <w:r>
                    <w:rPr>
                      <w:spacing w:val="-10"/>
                      <w:sz w:val="18"/>
                      <w:szCs w:val="18"/>
                    </w:rPr>
                    <w:t>He</w:t>
                  </w:r>
                </w:p>
              </w:tc>
              <w:tc>
                <w:tcPr>
                  <w:tcW w:w="610" w:type="dxa"/>
                  <w:tcBorders>
                    <w:top w:val="nil"/>
                    <w:left w:val="nil"/>
                    <w:bottom w:val="single" w:color="auto" w:sz="4" w:space="0"/>
                    <w:right w:val="single" w:color="auto" w:sz="4" w:space="0"/>
                  </w:tcBorders>
                  <w:shd w:val="clear" w:color="000000" w:fill="FFFFFF"/>
                  <w:vAlign w:val="center"/>
                </w:tcPr>
                <w:p w14:paraId="44F5620D">
                  <w:pPr>
                    <w:jc w:val="center"/>
                    <w:rPr>
                      <w:sz w:val="18"/>
                      <w:szCs w:val="18"/>
                    </w:rPr>
                  </w:pPr>
                  <w:r>
                    <w:rPr>
                      <w:spacing w:val="-10"/>
                      <w:sz w:val="18"/>
                      <w:szCs w:val="18"/>
                    </w:rPr>
                    <w:t>CO</w:t>
                  </w:r>
                  <w:r>
                    <w:rPr>
                      <w:spacing w:val="-10"/>
                      <w:sz w:val="18"/>
                      <w:szCs w:val="18"/>
                      <w:vertAlign w:val="subscript"/>
                    </w:rPr>
                    <w:t>2</w:t>
                  </w:r>
                </w:p>
              </w:tc>
              <w:tc>
                <w:tcPr>
                  <w:tcW w:w="489" w:type="dxa"/>
                  <w:tcBorders>
                    <w:top w:val="nil"/>
                    <w:left w:val="nil"/>
                    <w:bottom w:val="single" w:color="auto" w:sz="4" w:space="0"/>
                    <w:right w:val="single" w:color="auto" w:sz="4" w:space="0"/>
                  </w:tcBorders>
                  <w:shd w:val="clear" w:color="000000" w:fill="FFFFFF"/>
                  <w:vAlign w:val="center"/>
                </w:tcPr>
                <w:p w14:paraId="14BF72DA">
                  <w:pPr>
                    <w:jc w:val="center"/>
                    <w:rPr>
                      <w:sz w:val="18"/>
                      <w:szCs w:val="18"/>
                    </w:rPr>
                  </w:pPr>
                  <w:r>
                    <w:rPr>
                      <w:sz w:val="18"/>
                      <w:szCs w:val="18"/>
                    </w:rPr>
                    <w:t>H</w:t>
                  </w:r>
                  <w:r>
                    <w:rPr>
                      <w:sz w:val="18"/>
                      <w:szCs w:val="18"/>
                      <w:vertAlign w:val="subscript"/>
                    </w:rPr>
                    <w:t>2</w:t>
                  </w:r>
                  <w:r>
                    <w:rPr>
                      <w:sz w:val="18"/>
                      <w:szCs w:val="18"/>
                    </w:rPr>
                    <w:t>S</w:t>
                  </w:r>
                </w:p>
              </w:tc>
              <w:tc>
                <w:tcPr>
                  <w:tcW w:w="930" w:type="dxa"/>
                  <w:vMerge w:val="continue"/>
                  <w:tcBorders>
                    <w:top w:val="single" w:color="auto" w:sz="4" w:space="0"/>
                    <w:left w:val="single" w:color="auto" w:sz="4" w:space="0"/>
                    <w:bottom w:val="single" w:color="auto" w:sz="4" w:space="0"/>
                    <w:right w:val="single" w:color="auto" w:sz="4" w:space="0"/>
                  </w:tcBorders>
                  <w:vAlign w:val="center"/>
                </w:tcPr>
                <w:p w14:paraId="0FA5DEC7">
                  <w:pPr>
                    <w:jc w:val="center"/>
                    <w:rPr>
                      <w:sz w:val="18"/>
                      <w:szCs w:val="18"/>
                    </w:rPr>
                  </w:pPr>
                </w:p>
              </w:tc>
            </w:tr>
            <w:tr w14:paraId="38DA95E0">
              <w:tblPrEx>
                <w:tblCellMar>
                  <w:top w:w="0" w:type="dxa"/>
                  <w:left w:w="108" w:type="dxa"/>
                  <w:bottom w:w="0" w:type="dxa"/>
                  <w:right w:w="108" w:type="dxa"/>
                </w:tblCellMar>
              </w:tblPrEx>
              <w:trPr>
                <w:trHeight w:val="369" w:hRule="atLeast"/>
              </w:trPr>
              <w:tc>
                <w:tcPr>
                  <w:tcW w:w="538" w:type="dxa"/>
                  <w:tcBorders>
                    <w:top w:val="nil"/>
                    <w:left w:val="single" w:color="auto" w:sz="4" w:space="0"/>
                    <w:bottom w:val="single" w:color="000000" w:sz="4" w:space="0"/>
                    <w:right w:val="single" w:color="auto" w:sz="4" w:space="0"/>
                  </w:tcBorders>
                  <w:shd w:val="clear" w:color="000000" w:fill="FFFFFF"/>
                  <w:vAlign w:val="center"/>
                </w:tcPr>
                <w:p w14:paraId="2B9E1DAB">
                  <w:pPr>
                    <w:jc w:val="center"/>
                    <w:rPr>
                      <w:sz w:val="18"/>
                      <w:szCs w:val="18"/>
                    </w:rPr>
                  </w:pPr>
                  <w:r>
                    <w:rPr>
                      <w:sz w:val="18"/>
                      <w:szCs w:val="18"/>
                    </w:rPr>
                    <w:t>明1侧</w:t>
                  </w:r>
                </w:p>
              </w:tc>
              <w:tc>
                <w:tcPr>
                  <w:tcW w:w="1174" w:type="dxa"/>
                  <w:tcBorders>
                    <w:top w:val="nil"/>
                    <w:left w:val="nil"/>
                    <w:bottom w:val="single" w:color="auto" w:sz="4" w:space="0"/>
                    <w:right w:val="single" w:color="auto" w:sz="4" w:space="0"/>
                  </w:tcBorders>
                  <w:shd w:val="clear" w:color="000000" w:fill="FFFFFF"/>
                  <w:vAlign w:val="center"/>
                </w:tcPr>
                <w:p w14:paraId="6BE4F2C6">
                  <w:pPr>
                    <w:jc w:val="center"/>
                    <w:rPr>
                      <w:sz w:val="18"/>
                      <w:szCs w:val="18"/>
                    </w:rPr>
                  </w:pPr>
                  <w:r>
                    <w:rPr>
                      <w:rFonts w:hint="eastAsia"/>
                      <w:bCs/>
                      <w:sz w:val="21"/>
                      <w:szCs w:val="21"/>
                      <w:lang w:val="en-US" w:eastAsia="zh-CN"/>
                    </w:rPr>
                    <w:t>*</w:t>
                  </w:r>
                </w:p>
              </w:tc>
              <w:tc>
                <w:tcPr>
                  <w:tcW w:w="759" w:type="dxa"/>
                  <w:tcBorders>
                    <w:top w:val="nil"/>
                    <w:left w:val="nil"/>
                    <w:bottom w:val="single" w:color="auto" w:sz="4" w:space="0"/>
                    <w:right w:val="single" w:color="auto" w:sz="4" w:space="0"/>
                  </w:tcBorders>
                  <w:shd w:val="clear" w:color="000000" w:fill="FFFFFF"/>
                  <w:vAlign w:val="center"/>
                </w:tcPr>
                <w:p w14:paraId="494284F9">
                  <w:pPr>
                    <w:jc w:val="center"/>
                    <w:rPr>
                      <w:sz w:val="18"/>
                      <w:szCs w:val="18"/>
                    </w:rPr>
                  </w:pPr>
                  <w:r>
                    <w:rPr>
                      <w:rFonts w:hint="eastAsia"/>
                      <w:bCs/>
                      <w:sz w:val="21"/>
                      <w:szCs w:val="21"/>
                      <w:lang w:val="en-US" w:eastAsia="zh-CN"/>
                    </w:rPr>
                    <w:t>*</w:t>
                  </w:r>
                </w:p>
              </w:tc>
              <w:tc>
                <w:tcPr>
                  <w:tcW w:w="600" w:type="dxa"/>
                  <w:tcBorders>
                    <w:top w:val="nil"/>
                    <w:left w:val="nil"/>
                    <w:bottom w:val="single" w:color="auto" w:sz="4" w:space="0"/>
                    <w:right w:val="single" w:color="auto" w:sz="4" w:space="0"/>
                  </w:tcBorders>
                  <w:shd w:val="clear" w:color="000000" w:fill="FFFFFF"/>
                  <w:vAlign w:val="center"/>
                </w:tcPr>
                <w:p w14:paraId="17F425CB">
                  <w:pPr>
                    <w:jc w:val="center"/>
                    <w:rPr>
                      <w:sz w:val="18"/>
                      <w:szCs w:val="18"/>
                    </w:rPr>
                  </w:pPr>
                  <w:r>
                    <w:rPr>
                      <w:rFonts w:hint="eastAsia"/>
                      <w:bCs/>
                      <w:sz w:val="21"/>
                      <w:szCs w:val="21"/>
                      <w:lang w:val="en-US" w:eastAsia="zh-CN"/>
                    </w:rPr>
                    <w:t>*</w:t>
                  </w:r>
                </w:p>
              </w:tc>
              <w:tc>
                <w:tcPr>
                  <w:tcW w:w="629" w:type="dxa"/>
                  <w:tcBorders>
                    <w:top w:val="nil"/>
                    <w:left w:val="nil"/>
                    <w:bottom w:val="single" w:color="auto" w:sz="4" w:space="0"/>
                    <w:right w:val="single" w:color="auto" w:sz="4" w:space="0"/>
                  </w:tcBorders>
                  <w:shd w:val="clear" w:color="000000" w:fill="FFFFFF"/>
                  <w:vAlign w:val="center"/>
                </w:tcPr>
                <w:p w14:paraId="0C5A8E5A">
                  <w:pPr>
                    <w:jc w:val="center"/>
                    <w:rPr>
                      <w:sz w:val="18"/>
                      <w:szCs w:val="18"/>
                    </w:rPr>
                  </w:pPr>
                  <w:r>
                    <w:rPr>
                      <w:rFonts w:hint="eastAsia"/>
                      <w:bCs/>
                      <w:sz w:val="21"/>
                      <w:szCs w:val="21"/>
                      <w:lang w:val="en-US" w:eastAsia="zh-CN"/>
                    </w:rPr>
                    <w:t>*</w:t>
                  </w:r>
                </w:p>
              </w:tc>
              <w:tc>
                <w:tcPr>
                  <w:tcW w:w="571" w:type="dxa"/>
                  <w:tcBorders>
                    <w:top w:val="nil"/>
                    <w:left w:val="nil"/>
                    <w:bottom w:val="single" w:color="auto" w:sz="4" w:space="0"/>
                    <w:right w:val="single" w:color="auto" w:sz="4" w:space="0"/>
                  </w:tcBorders>
                  <w:shd w:val="clear" w:color="000000" w:fill="FFFFFF"/>
                  <w:vAlign w:val="center"/>
                </w:tcPr>
                <w:p w14:paraId="0913CF9E">
                  <w:pPr>
                    <w:jc w:val="center"/>
                    <w:rPr>
                      <w:sz w:val="18"/>
                      <w:szCs w:val="18"/>
                    </w:rPr>
                  </w:pPr>
                  <w:r>
                    <w:rPr>
                      <w:rFonts w:hint="eastAsia"/>
                      <w:bCs/>
                      <w:sz w:val="21"/>
                      <w:szCs w:val="21"/>
                      <w:lang w:val="en-US" w:eastAsia="zh-CN"/>
                    </w:rPr>
                    <w:t>*</w:t>
                  </w:r>
                </w:p>
              </w:tc>
              <w:tc>
                <w:tcPr>
                  <w:tcW w:w="610" w:type="dxa"/>
                  <w:tcBorders>
                    <w:top w:val="nil"/>
                    <w:left w:val="nil"/>
                    <w:bottom w:val="single" w:color="auto" w:sz="4" w:space="0"/>
                    <w:right w:val="single" w:color="auto" w:sz="4" w:space="0"/>
                  </w:tcBorders>
                  <w:shd w:val="clear" w:color="000000" w:fill="FFFFFF"/>
                  <w:vAlign w:val="center"/>
                </w:tcPr>
                <w:p w14:paraId="5810875C">
                  <w:pPr>
                    <w:jc w:val="center"/>
                    <w:rPr>
                      <w:sz w:val="18"/>
                      <w:szCs w:val="18"/>
                    </w:rPr>
                  </w:pPr>
                  <w:r>
                    <w:rPr>
                      <w:rFonts w:hint="eastAsia"/>
                      <w:bCs/>
                      <w:sz w:val="21"/>
                      <w:szCs w:val="21"/>
                      <w:lang w:val="en-US" w:eastAsia="zh-CN"/>
                    </w:rPr>
                    <w:t>*</w:t>
                  </w:r>
                </w:p>
              </w:tc>
              <w:tc>
                <w:tcPr>
                  <w:tcW w:w="581" w:type="dxa"/>
                  <w:tcBorders>
                    <w:top w:val="nil"/>
                    <w:left w:val="nil"/>
                    <w:bottom w:val="single" w:color="auto" w:sz="4" w:space="0"/>
                    <w:right w:val="single" w:color="auto" w:sz="4" w:space="0"/>
                  </w:tcBorders>
                  <w:shd w:val="clear" w:color="000000" w:fill="FFFFFF"/>
                  <w:vAlign w:val="center"/>
                </w:tcPr>
                <w:p w14:paraId="0D25BFA6">
                  <w:pPr>
                    <w:jc w:val="center"/>
                    <w:rPr>
                      <w:sz w:val="18"/>
                      <w:szCs w:val="18"/>
                    </w:rPr>
                  </w:pPr>
                  <w:r>
                    <w:rPr>
                      <w:rFonts w:hint="eastAsia"/>
                      <w:bCs/>
                      <w:sz w:val="21"/>
                      <w:szCs w:val="21"/>
                      <w:lang w:val="en-US" w:eastAsia="zh-CN"/>
                    </w:rPr>
                    <w:t>*</w:t>
                  </w:r>
                </w:p>
              </w:tc>
              <w:tc>
                <w:tcPr>
                  <w:tcW w:w="610" w:type="dxa"/>
                  <w:tcBorders>
                    <w:top w:val="nil"/>
                    <w:left w:val="nil"/>
                    <w:bottom w:val="single" w:color="auto" w:sz="4" w:space="0"/>
                    <w:right w:val="single" w:color="auto" w:sz="4" w:space="0"/>
                  </w:tcBorders>
                  <w:shd w:val="clear" w:color="000000" w:fill="FFFFFF"/>
                  <w:vAlign w:val="center"/>
                </w:tcPr>
                <w:p w14:paraId="7C35F401">
                  <w:pPr>
                    <w:jc w:val="center"/>
                    <w:rPr>
                      <w:sz w:val="18"/>
                      <w:szCs w:val="18"/>
                    </w:rPr>
                  </w:pPr>
                  <w:r>
                    <w:rPr>
                      <w:rFonts w:hint="eastAsia"/>
                      <w:bCs/>
                      <w:sz w:val="21"/>
                      <w:szCs w:val="21"/>
                      <w:lang w:val="en-US" w:eastAsia="zh-CN"/>
                    </w:rPr>
                    <w:t>*</w:t>
                  </w:r>
                </w:p>
              </w:tc>
              <w:tc>
                <w:tcPr>
                  <w:tcW w:w="489" w:type="dxa"/>
                  <w:tcBorders>
                    <w:top w:val="nil"/>
                    <w:left w:val="nil"/>
                    <w:bottom w:val="single" w:color="auto" w:sz="4" w:space="0"/>
                    <w:right w:val="single" w:color="auto" w:sz="4" w:space="0"/>
                  </w:tcBorders>
                  <w:shd w:val="clear" w:color="000000" w:fill="FFFFFF"/>
                  <w:vAlign w:val="center"/>
                </w:tcPr>
                <w:p w14:paraId="3CDECD1D">
                  <w:pPr>
                    <w:jc w:val="center"/>
                    <w:rPr>
                      <w:sz w:val="18"/>
                      <w:szCs w:val="18"/>
                    </w:rPr>
                  </w:pPr>
                  <w:r>
                    <w:rPr>
                      <w:rFonts w:hint="eastAsia"/>
                      <w:bCs/>
                      <w:sz w:val="21"/>
                      <w:szCs w:val="21"/>
                      <w:lang w:val="en-US" w:eastAsia="zh-CN"/>
                    </w:rPr>
                    <w:t>*</w:t>
                  </w:r>
                </w:p>
              </w:tc>
              <w:tc>
                <w:tcPr>
                  <w:tcW w:w="930" w:type="dxa"/>
                  <w:tcBorders>
                    <w:top w:val="nil"/>
                    <w:left w:val="nil"/>
                    <w:bottom w:val="single" w:color="auto" w:sz="4" w:space="0"/>
                    <w:right w:val="single" w:color="auto" w:sz="4" w:space="0"/>
                  </w:tcBorders>
                  <w:shd w:val="clear" w:color="000000" w:fill="FFFFFF"/>
                  <w:vAlign w:val="center"/>
                </w:tcPr>
                <w:p w14:paraId="4A6FAA06">
                  <w:pPr>
                    <w:jc w:val="center"/>
                    <w:rPr>
                      <w:sz w:val="18"/>
                      <w:szCs w:val="18"/>
                    </w:rPr>
                  </w:pPr>
                  <w:r>
                    <w:rPr>
                      <w:sz w:val="18"/>
                      <w:szCs w:val="18"/>
                    </w:rPr>
                    <w:t>/</w:t>
                  </w:r>
                </w:p>
              </w:tc>
            </w:tr>
            <w:tr w14:paraId="2E497EF2">
              <w:tblPrEx>
                <w:tblCellMar>
                  <w:top w:w="0" w:type="dxa"/>
                  <w:left w:w="108" w:type="dxa"/>
                  <w:bottom w:w="0" w:type="dxa"/>
                  <w:right w:w="108" w:type="dxa"/>
                </w:tblCellMar>
              </w:tblPrEx>
              <w:trPr>
                <w:trHeight w:val="369" w:hRule="atLeast"/>
              </w:trPr>
              <w:tc>
                <w:tcPr>
                  <w:tcW w:w="53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1052C42">
                  <w:pPr>
                    <w:jc w:val="center"/>
                    <w:rPr>
                      <w:sz w:val="18"/>
                      <w:szCs w:val="18"/>
                    </w:rPr>
                  </w:pPr>
                  <w:r>
                    <w:rPr>
                      <w:bCs/>
                      <w:sz w:val="18"/>
                      <w:szCs w:val="18"/>
                    </w:rPr>
                    <w:t>明1</w:t>
                  </w:r>
                </w:p>
              </w:tc>
              <w:tc>
                <w:tcPr>
                  <w:tcW w:w="11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E7FB70B">
                  <w:pPr>
                    <w:jc w:val="center"/>
                    <w:rPr>
                      <w:sz w:val="18"/>
                      <w:szCs w:val="18"/>
                    </w:rPr>
                  </w:pPr>
                  <w:r>
                    <w:rPr>
                      <w:rFonts w:hint="eastAsia"/>
                      <w:bCs/>
                      <w:sz w:val="21"/>
                      <w:szCs w:val="21"/>
                      <w:lang w:val="en-US" w:eastAsia="zh-CN"/>
                    </w:rPr>
                    <w:t>*</w:t>
                  </w:r>
                </w:p>
              </w:tc>
              <w:tc>
                <w:tcPr>
                  <w:tcW w:w="759" w:type="dxa"/>
                  <w:tcBorders>
                    <w:top w:val="single" w:color="auto" w:sz="4" w:space="0"/>
                    <w:left w:val="single" w:color="000000" w:sz="4" w:space="0"/>
                    <w:bottom w:val="single" w:color="auto" w:sz="4" w:space="0"/>
                    <w:right w:val="single" w:color="auto" w:sz="4" w:space="0"/>
                  </w:tcBorders>
                  <w:shd w:val="clear" w:color="000000" w:fill="FFFFFF"/>
                  <w:vAlign w:val="center"/>
                </w:tcPr>
                <w:p w14:paraId="749DFD61">
                  <w:pPr>
                    <w:jc w:val="center"/>
                    <w:rPr>
                      <w:sz w:val="18"/>
                      <w:szCs w:val="18"/>
                    </w:rPr>
                  </w:pPr>
                  <w:r>
                    <w:rPr>
                      <w:rFonts w:hint="eastAsia"/>
                      <w:bCs/>
                      <w:sz w:val="21"/>
                      <w:szCs w:val="21"/>
                      <w:lang w:val="en-US" w:eastAsia="zh-CN"/>
                    </w:rPr>
                    <w:t>*</w:t>
                  </w:r>
                </w:p>
              </w:tc>
              <w:tc>
                <w:tcPr>
                  <w:tcW w:w="600" w:type="dxa"/>
                  <w:tcBorders>
                    <w:top w:val="single" w:color="auto" w:sz="4" w:space="0"/>
                    <w:left w:val="nil"/>
                    <w:bottom w:val="single" w:color="auto" w:sz="4" w:space="0"/>
                    <w:right w:val="single" w:color="auto" w:sz="4" w:space="0"/>
                  </w:tcBorders>
                  <w:shd w:val="clear" w:color="000000" w:fill="FFFFFF"/>
                  <w:vAlign w:val="center"/>
                </w:tcPr>
                <w:p w14:paraId="6C0E7104">
                  <w:pPr>
                    <w:jc w:val="center"/>
                    <w:rPr>
                      <w:sz w:val="18"/>
                      <w:szCs w:val="18"/>
                    </w:rPr>
                  </w:pPr>
                  <w:r>
                    <w:rPr>
                      <w:rFonts w:hint="eastAsia"/>
                      <w:bCs/>
                      <w:sz w:val="21"/>
                      <w:szCs w:val="21"/>
                      <w:lang w:val="en-US" w:eastAsia="zh-CN"/>
                    </w:rPr>
                    <w:t>*</w:t>
                  </w:r>
                </w:p>
              </w:tc>
              <w:tc>
                <w:tcPr>
                  <w:tcW w:w="629" w:type="dxa"/>
                  <w:tcBorders>
                    <w:top w:val="single" w:color="auto" w:sz="4" w:space="0"/>
                    <w:left w:val="nil"/>
                    <w:bottom w:val="single" w:color="auto" w:sz="4" w:space="0"/>
                    <w:right w:val="single" w:color="auto" w:sz="4" w:space="0"/>
                  </w:tcBorders>
                  <w:shd w:val="clear" w:color="000000" w:fill="FFFFFF"/>
                  <w:vAlign w:val="center"/>
                </w:tcPr>
                <w:p w14:paraId="01128D2F">
                  <w:pPr>
                    <w:jc w:val="center"/>
                    <w:rPr>
                      <w:sz w:val="18"/>
                      <w:szCs w:val="18"/>
                    </w:rPr>
                  </w:pPr>
                  <w:r>
                    <w:rPr>
                      <w:rFonts w:hint="eastAsia"/>
                      <w:bCs/>
                      <w:sz w:val="21"/>
                      <w:szCs w:val="21"/>
                      <w:lang w:val="en-US" w:eastAsia="zh-CN"/>
                    </w:rPr>
                    <w:t>*</w:t>
                  </w:r>
                </w:p>
              </w:tc>
              <w:tc>
                <w:tcPr>
                  <w:tcW w:w="571" w:type="dxa"/>
                  <w:tcBorders>
                    <w:top w:val="single" w:color="auto" w:sz="4" w:space="0"/>
                    <w:left w:val="nil"/>
                    <w:bottom w:val="single" w:color="auto" w:sz="4" w:space="0"/>
                    <w:right w:val="single" w:color="auto" w:sz="4" w:space="0"/>
                  </w:tcBorders>
                  <w:shd w:val="clear" w:color="000000" w:fill="FFFFFF"/>
                  <w:vAlign w:val="center"/>
                </w:tcPr>
                <w:p w14:paraId="3FBEF8C0">
                  <w:pPr>
                    <w:jc w:val="center"/>
                    <w:rPr>
                      <w:sz w:val="18"/>
                      <w:szCs w:val="18"/>
                    </w:rPr>
                  </w:pPr>
                  <w:r>
                    <w:rPr>
                      <w:rFonts w:hint="eastAsia"/>
                      <w:bCs/>
                      <w:sz w:val="21"/>
                      <w:szCs w:val="21"/>
                      <w:lang w:val="en-US" w:eastAsia="zh-CN"/>
                    </w:rPr>
                    <w:t>*</w:t>
                  </w:r>
                </w:p>
              </w:tc>
              <w:tc>
                <w:tcPr>
                  <w:tcW w:w="610" w:type="dxa"/>
                  <w:tcBorders>
                    <w:top w:val="single" w:color="auto" w:sz="4" w:space="0"/>
                    <w:left w:val="nil"/>
                    <w:bottom w:val="single" w:color="auto" w:sz="4" w:space="0"/>
                    <w:right w:val="single" w:color="auto" w:sz="4" w:space="0"/>
                  </w:tcBorders>
                  <w:shd w:val="clear" w:color="000000" w:fill="FFFFFF"/>
                  <w:vAlign w:val="center"/>
                </w:tcPr>
                <w:p w14:paraId="1C59ABD4">
                  <w:pPr>
                    <w:jc w:val="center"/>
                    <w:rPr>
                      <w:sz w:val="18"/>
                      <w:szCs w:val="18"/>
                    </w:rPr>
                  </w:pPr>
                  <w:r>
                    <w:rPr>
                      <w:rFonts w:hint="eastAsia"/>
                      <w:bCs/>
                      <w:sz w:val="21"/>
                      <w:szCs w:val="21"/>
                      <w:lang w:val="en-US" w:eastAsia="zh-CN"/>
                    </w:rPr>
                    <w:t>*</w:t>
                  </w:r>
                </w:p>
              </w:tc>
              <w:tc>
                <w:tcPr>
                  <w:tcW w:w="581" w:type="dxa"/>
                  <w:tcBorders>
                    <w:top w:val="single" w:color="auto" w:sz="4" w:space="0"/>
                    <w:left w:val="nil"/>
                    <w:bottom w:val="single" w:color="auto" w:sz="4" w:space="0"/>
                    <w:right w:val="single" w:color="auto" w:sz="4" w:space="0"/>
                  </w:tcBorders>
                  <w:shd w:val="clear" w:color="000000" w:fill="FFFFFF"/>
                  <w:vAlign w:val="center"/>
                </w:tcPr>
                <w:p w14:paraId="3721AD4C">
                  <w:pPr>
                    <w:jc w:val="center"/>
                    <w:rPr>
                      <w:sz w:val="18"/>
                      <w:szCs w:val="18"/>
                    </w:rPr>
                  </w:pPr>
                  <w:r>
                    <w:rPr>
                      <w:rFonts w:hint="eastAsia"/>
                      <w:bCs/>
                      <w:sz w:val="21"/>
                      <w:szCs w:val="21"/>
                      <w:lang w:val="en-US" w:eastAsia="zh-CN"/>
                    </w:rPr>
                    <w:t>*</w:t>
                  </w:r>
                </w:p>
              </w:tc>
              <w:tc>
                <w:tcPr>
                  <w:tcW w:w="610" w:type="dxa"/>
                  <w:tcBorders>
                    <w:top w:val="single" w:color="auto" w:sz="4" w:space="0"/>
                    <w:left w:val="nil"/>
                    <w:bottom w:val="single" w:color="auto" w:sz="4" w:space="0"/>
                    <w:right w:val="single" w:color="auto" w:sz="4" w:space="0"/>
                  </w:tcBorders>
                  <w:shd w:val="clear" w:color="000000" w:fill="FFFFFF"/>
                  <w:vAlign w:val="center"/>
                </w:tcPr>
                <w:p w14:paraId="220208D0">
                  <w:pPr>
                    <w:jc w:val="center"/>
                    <w:rPr>
                      <w:sz w:val="18"/>
                      <w:szCs w:val="18"/>
                    </w:rPr>
                  </w:pPr>
                  <w:r>
                    <w:rPr>
                      <w:rFonts w:hint="eastAsia"/>
                      <w:bCs/>
                      <w:sz w:val="21"/>
                      <w:szCs w:val="21"/>
                      <w:lang w:val="en-US" w:eastAsia="zh-CN"/>
                    </w:rPr>
                    <w:t>*</w:t>
                  </w:r>
                </w:p>
              </w:tc>
              <w:tc>
                <w:tcPr>
                  <w:tcW w:w="489" w:type="dxa"/>
                  <w:tcBorders>
                    <w:top w:val="single" w:color="auto" w:sz="4" w:space="0"/>
                    <w:left w:val="nil"/>
                    <w:bottom w:val="single" w:color="auto" w:sz="4" w:space="0"/>
                    <w:right w:val="single" w:color="auto" w:sz="4" w:space="0"/>
                  </w:tcBorders>
                  <w:shd w:val="clear" w:color="000000" w:fill="FFFFFF"/>
                  <w:vAlign w:val="center"/>
                </w:tcPr>
                <w:p w14:paraId="4318E2FD">
                  <w:pPr>
                    <w:jc w:val="center"/>
                    <w:rPr>
                      <w:sz w:val="18"/>
                      <w:szCs w:val="18"/>
                    </w:rPr>
                  </w:pPr>
                  <w:r>
                    <w:rPr>
                      <w:rFonts w:hint="eastAsia"/>
                      <w:bCs/>
                      <w:sz w:val="21"/>
                      <w:szCs w:val="21"/>
                      <w:lang w:val="en-US" w:eastAsia="zh-CN"/>
                    </w:rPr>
                    <w:t>*</w:t>
                  </w:r>
                </w:p>
              </w:tc>
              <w:tc>
                <w:tcPr>
                  <w:tcW w:w="930" w:type="dxa"/>
                  <w:tcBorders>
                    <w:top w:val="single" w:color="auto" w:sz="4" w:space="0"/>
                    <w:left w:val="nil"/>
                    <w:bottom w:val="single" w:color="auto" w:sz="4" w:space="0"/>
                    <w:right w:val="single" w:color="auto" w:sz="4" w:space="0"/>
                  </w:tcBorders>
                  <w:shd w:val="clear" w:color="000000" w:fill="FFFFFF"/>
                  <w:vAlign w:val="center"/>
                </w:tcPr>
                <w:p w14:paraId="2CC8CC11">
                  <w:pPr>
                    <w:jc w:val="center"/>
                    <w:rPr>
                      <w:sz w:val="18"/>
                      <w:szCs w:val="18"/>
                    </w:rPr>
                  </w:pPr>
                  <w:r>
                    <w:rPr>
                      <w:sz w:val="18"/>
                      <w:szCs w:val="18"/>
                    </w:rPr>
                    <w:t>/</w:t>
                  </w:r>
                </w:p>
              </w:tc>
            </w:tr>
            <w:tr w14:paraId="602F2730">
              <w:tblPrEx>
                <w:tblCellMar>
                  <w:top w:w="0" w:type="dxa"/>
                  <w:left w:w="108" w:type="dxa"/>
                  <w:bottom w:w="0" w:type="dxa"/>
                  <w:right w:w="108" w:type="dxa"/>
                </w:tblCellMar>
              </w:tblPrEx>
              <w:trPr>
                <w:trHeight w:val="369" w:hRule="atLeast"/>
              </w:trPr>
              <w:tc>
                <w:tcPr>
                  <w:tcW w:w="53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48C3F6E">
                  <w:pPr>
                    <w:jc w:val="center"/>
                    <w:rPr>
                      <w:sz w:val="18"/>
                      <w:szCs w:val="18"/>
                    </w:rPr>
                  </w:pPr>
                  <w:r>
                    <w:rPr>
                      <w:sz w:val="18"/>
                      <w:szCs w:val="18"/>
                    </w:rPr>
                    <w:t>雷页1HF</w:t>
                  </w:r>
                </w:p>
              </w:tc>
              <w:tc>
                <w:tcPr>
                  <w:tcW w:w="1174"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69FF8F">
                  <w:pPr>
                    <w:jc w:val="center"/>
                    <w:rPr>
                      <w:bCs/>
                      <w:sz w:val="18"/>
                      <w:szCs w:val="18"/>
                    </w:rPr>
                  </w:pPr>
                  <w:r>
                    <w:rPr>
                      <w:rFonts w:hint="eastAsia"/>
                      <w:bCs/>
                      <w:sz w:val="21"/>
                      <w:szCs w:val="21"/>
                      <w:lang w:val="en-US" w:eastAsia="zh-CN"/>
                    </w:rPr>
                    <w:t>*</w:t>
                  </w:r>
                </w:p>
              </w:tc>
              <w:tc>
                <w:tcPr>
                  <w:tcW w:w="759" w:type="dxa"/>
                  <w:tcBorders>
                    <w:top w:val="single" w:color="auto" w:sz="4" w:space="0"/>
                    <w:left w:val="single" w:color="000000" w:sz="4" w:space="0"/>
                    <w:bottom w:val="single" w:color="auto" w:sz="4" w:space="0"/>
                    <w:right w:val="single" w:color="auto" w:sz="4" w:space="0"/>
                  </w:tcBorders>
                  <w:shd w:val="clear" w:color="000000" w:fill="FFFFFF"/>
                  <w:vAlign w:val="center"/>
                </w:tcPr>
                <w:p w14:paraId="647DC4F3">
                  <w:pPr>
                    <w:jc w:val="center"/>
                    <w:rPr>
                      <w:bCs/>
                      <w:sz w:val="18"/>
                      <w:szCs w:val="18"/>
                    </w:rPr>
                  </w:pPr>
                  <w:r>
                    <w:rPr>
                      <w:rFonts w:hint="eastAsia"/>
                      <w:bCs/>
                      <w:sz w:val="21"/>
                      <w:szCs w:val="21"/>
                      <w:lang w:val="en-US" w:eastAsia="zh-CN"/>
                    </w:rPr>
                    <w:t>*</w:t>
                  </w:r>
                </w:p>
              </w:tc>
              <w:tc>
                <w:tcPr>
                  <w:tcW w:w="600" w:type="dxa"/>
                  <w:tcBorders>
                    <w:top w:val="single" w:color="auto" w:sz="4" w:space="0"/>
                    <w:left w:val="nil"/>
                    <w:bottom w:val="single" w:color="auto" w:sz="4" w:space="0"/>
                    <w:right w:val="single" w:color="auto" w:sz="4" w:space="0"/>
                  </w:tcBorders>
                  <w:shd w:val="clear" w:color="000000" w:fill="FFFFFF"/>
                  <w:vAlign w:val="center"/>
                </w:tcPr>
                <w:p w14:paraId="47F97A5D">
                  <w:pPr>
                    <w:jc w:val="center"/>
                    <w:rPr>
                      <w:bCs/>
                      <w:sz w:val="18"/>
                      <w:szCs w:val="18"/>
                    </w:rPr>
                  </w:pPr>
                  <w:r>
                    <w:rPr>
                      <w:rFonts w:hint="eastAsia"/>
                      <w:bCs/>
                      <w:sz w:val="21"/>
                      <w:szCs w:val="21"/>
                      <w:lang w:val="en-US" w:eastAsia="zh-CN"/>
                    </w:rPr>
                    <w:t>*</w:t>
                  </w:r>
                </w:p>
              </w:tc>
              <w:tc>
                <w:tcPr>
                  <w:tcW w:w="629" w:type="dxa"/>
                  <w:tcBorders>
                    <w:top w:val="single" w:color="auto" w:sz="4" w:space="0"/>
                    <w:left w:val="nil"/>
                    <w:bottom w:val="single" w:color="auto" w:sz="4" w:space="0"/>
                    <w:right w:val="single" w:color="auto" w:sz="4" w:space="0"/>
                  </w:tcBorders>
                  <w:shd w:val="clear" w:color="000000" w:fill="FFFFFF"/>
                  <w:vAlign w:val="center"/>
                </w:tcPr>
                <w:p w14:paraId="48D824B1">
                  <w:pPr>
                    <w:jc w:val="center"/>
                    <w:rPr>
                      <w:bCs/>
                      <w:sz w:val="18"/>
                      <w:szCs w:val="18"/>
                    </w:rPr>
                  </w:pPr>
                  <w:r>
                    <w:rPr>
                      <w:rFonts w:hint="eastAsia"/>
                      <w:bCs/>
                      <w:sz w:val="21"/>
                      <w:szCs w:val="21"/>
                      <w:lang w:val="en-US" w:eastAsia="zh-CN"/>
                    </w:rPr>
                    <w:t>*</w:t>
                  </w:r>
                </w:p>
              </w:tc>
              <w:tc>
                <w:tcPr>
                  <w:tcW w:w="571" w:type="dxa"/>
                  <w:tcBorders>
                    <w:top w:val="single" w:color="auto" w:sz="4" w:space="0"/>
                    <w:left w:val="nil"/>
                    <w:bottom w:val="single" w:color="auto" w:sz="4" w:space="0"/>
                    <w:right w:val="single" w:color="auto" w:sz="4" w:space="0"/>
                  </w:tcBorders>
                  <w:shd w:val="clear" w:color="000000" w:fill="FFFFFF"/>
                  <w:vAlign w:val="center"/>
                </w:tcPr>
                <w:p w14:paraId="27046B26">
                  <w:pPr>
                    <w:jc w:val="center"/>
                    <w:rPr>
                      <w:bCs/>
                      <w:sz w:val="18"/>
                      <w:szCs w:val="18"/>
                    </w:rPr>
                  </w:pPr>
                  <w:r>
                    <w:rPr>
                      <w:rFonts w:hint="eastAsia"/>
                      <w:bCs/>
                      <w:sz w:val="21"/>
                      <w:szCs w:val="21"/>
                      <w:lang w:val="en-US" w:eastAsia="zh-CN"/>
                    </w:rPr>
                    <w:t>*</w:t>
                  </w:r>
                </w:p>
              </w:tc>
              <w:tc>
                <w:tcPr>
                  <w:tcW w:w="610" w:type="dxa"/>
                  <w:tcBorders>
                    <w:top w:val="single" w:color="auto" w:sz="4" w:space="0"/>
                    <w:left w:val="nil"/>
                    <w:bottom w:val="single" w:color="auto" w:sz="4" w:space="0"/>
                    <w:right w:val="single" w:color="auto" w:sz="4" w:space="0"/>
                  </w:tcBorders>
                  <w:shd w:val="clear" w:color="000000" w:fill="FFFFFF"/>
                  <w:vAlign w:val="center"/>
                </w:tcPr>
                <w:p w14:paraId="6F8F6A44">
                  <w:pPr>
                    <w:jc w:val="center"/>
                    <w:rPr>
                      <w:bCs/>
                      <w:sz w:val="18"/>
                      <w:szCs w:val="18"/>
                    </w:rPr>
                  </w:pPr>
                  <w:r>
                    <w:rPr>
                      <w:rFonts w:hint="eastAsia"/>
                      <w:bCs/>
                      <w:sz w:val="21"/>
                      <w:szCs w:val="21"/>
                      <w:lang w:val="en-US" w:eastAsia="zh-CN"/>
                    </w:rPr>
                    <w:t>*</w:t>
                  </w:r>
                </w:p>
              </w:tc>
              <w:tc>
                <w:tcPr>
                  <w:tcW w:w="581" w:type="dxa"/>
                  <w:tcBorders>
                    <w:top w:val="single" w:color="auto" w:sz="4" w:space="0"/>
                    <w:left w:val="nil"/>
                    <w:bottom w:val="single" w:color="auto" w:sz="4" w:space="0"/>
                    <w:right w:val="single" w:color="auto" w:sz="4" w:space="0"/>
                  </w:tcBorders>
                  <w:shd w:val="clear" w:color="000000" w:fill="FFFFFF"/>
                  <w:vAlign w:val="center"/>
                </w:tcPr>
                <w:p w14:paraId="6BECAE42">
                  <w:pPr>
                    <w:jc w:val="center"/>
                    <w:rPr>
                      <w:bCs/>
                      <w:sz w:val="18"/>
                      <w:szCs w:val="18"/>
                    </w:rPr>
                  </w:pPr>
                  <w:r>
                    <w:rPr>
                      <w:rFonts w:hint="eastAsia"/>
                      <w:bCs/>
                      <w:sz w:val="21"/>
                      <w:szCs w:val="21"/>
                      <w:lang w:val="en-US" w:eastAsia="zh-CN"/>
                    </w:rPr>
                    <w:t>*</w:t>
                  </w:r>
                </w:p>
              </w:tc>
              <w:tc>
                <w:tcPr>
                  <w:tcW w:w="610" w:type="dxa"/>
                  <w:tcBorders>
                    <w:top w:val="single" w:color="auto" w:sz="4" w:space="0"/>
                    <w:left w:val="nil"/>
                    <w:bottom w:val="single" w:color="auto" w:sz="4" w:space="0"/>
                    <w:right w:val="single" w:color="auto" w:sz="4" w:space="0"/>
                  </w:tcBorders>
                  <w:shd w:val="clear" w:color="000000" w:fill="FFFFFF"/>
                  <w:vAlign w:val="center"/>
                </w:tcPr>
                <w:p w14:paraId="71E6080B">
                  <w:pPr>
                    <w:jc w:val="center"/>
                    <w:rPr>
                      <w:bCs/>
                      <w:sz w:val="18"/>
                      <w:szCs w:val="18"/>
                    </w:rPr>
                  </w:pPr>
                  <w:r>
                    <w:rPr>
                      <w:rFonts w:hint="eastAsia"/>
                      <w:bCs/>
                      <w:sz w:val="21"/>
                      <w:szCs w:val="21"/>
                      <w:lang w:val="en-US" w:eastAsia="zh-CN"/>
                    </w:rPr>
                    <w:t>*</w:t>
                  </w:r>
                </w:p>
              </w:tc>
              <w:tc>
                <w:tcPr>
                  <w:tcW w:w="489" w:type="dxa"/>
                  <w:tcBorders>
                    <w:top w:val="single" w:color="auto" w:sz="4" w:space="0"/>
                    <w:left w:val="nil"/>
                    <w:bottom w:val="single" w:color="auto" w:sz="4" w:space="0"/>
                    <w:right w:val="single" w:color="auto" w:sz="4" w:space="0"/>
                  </w:tcBorders>
                  <w:shd w:val="clear" w:color="000000" w:fill="FFFFFF"/>
                  <w:vAlign w:val="center"/>
                </w:tcPr>
                <w:p w14:paraId="20CF87C2">
                  <w:pPr>
                    <w:jc w:val="center"/>
                    <w:rPr>
                      <w:bCs/>
                      <w:sz w:val="18"/>
                      <w:szCs w:val="18"/>
                    </w:rPr>
                  </w:pPr>
                  <w:r>
                    <w:rPr>
                      <w:rFonts w:hint="eastAsia"/>
                      <w:bCs/>
                      <w:sz w:val="21"/>
                      <w:szCs w:val="21"/>
                      <w:lang w:val="en-US" w:eastAsia="zh-CN"/>
                    </w:rPr>
                    <w:t>*</w:t>
                  </w:r>
                </w:p>
              </w:tc>
              <w:tc>
                <w:tcPr>
                  <w:tcW w:w="930" w:type="dxa"/>
                  <w:tcBorders>
                    <w:top w:val="single" w:color="auto" w:sz="4" w:space="0"/>
                    <w:left w:val="nil"/>
                    <w:bottom w:val="single" w:color="auto" w:sz="4" w:space="0"/>
                    <w:right w:val="single" w:color="auto" w:sz="4" w:space="0"/>
                  </w:tcBorders>
                  <w:shd w:val="clear" w:color="000000" w:fill="FFFFFF"/>
                  <w:vAlign w:val="center"/>
                </w:tcPr>
                <w:p w14:paraId="5497D765">
                  <w:pPr>
                    <w:jc w:val="center"/>
                    <w:rPr>
                      <w:bCs/>
                      <w:sz w:val="18"/>
                      <w:szCs w:val="18"/>
                    </w:rPr>
                  </w:pPr>
                  <w:r>
                    <w:rPr>
                      <w:bCs/>
                      <w:sz w:val="18"/>
                      <w:szCs w:val="18"/>
                    </w:rPr>
                    <w:t>/</w:t>
                  </w:r>
                </w:p>
              </w:tc>
            </w:tr>
          </w:tbl>
          <w:p w14:paraId="282ED1C2">
            <w:pPr>
              <w:pStyle w:val="161"/>
              <w:spacing w:line="360" w:lineRule="auto"/>
              <w:ind w:firstLine="0"/>
              <w:rPr>
                <w:rFonts w:ascii="Times New Roman" w:hAnsi="Times New Roman"/>
                <w:bCs/>
                <w:sz w:val="21"/>
                <w:szCs w:val="21"/>
              </w:rPr>
            </w:pPr>
          </w:p>
        </w:tc>
      </w:tr>
    </w:tbl>
    <w:p w14:paraId="479CDA33">
      <w:pPr>
        <w:pStyle w:val="38"/>
        <w:jc w:val="center"/>
        <w:outlineLvl w:val="0"/>
        <w:rPr>
          <w:rFonts w:ascii="Times New Roman" w:hAnsi="Times New Roman" w:eastAsia="仿宋_GB2312"/>
          <w:b/>
          <w:bCs/>
          <w:sz w:val="21"/>
          <w:szCs w:val="21"/>
        </w:rPr>
        <w:sectPr>
          <w:pgSz w:w="11906" w:h="16838"/>
          <w:pgMar w:top="1417" w:right="1417" w:bottom="1417" w:left="1701" w:header="851" w:footer="1077" w:gutter="0"/>
          <w:cols w:space="720" w:num="1"/>
          <w:docGrid w:linePitch="312" w:charSpace="0"/>
        </w:sectPr>
      </w:pPr>
    </w:p>
    <w:p w14:paraId="270C6CF3">
      <w:pPr>
        <w:pStyle w:val="38"/>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三、生态环境现状、保护目标及评价标准</w:t>
      </w:r>
    </w:p>
    <w:tbl>
      <w:tblPr>
        <w:tblStyle w:val="4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4CF1C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44095450">
            <w:pPr>
              <w:adjustRightInd w:val="0"/>
              <w:snapToGrid w:val="0"/>
              <w:jc w:val="center"/>
              <w:rPr>
                <w:kern w:val="0"/>
                <w:szCs w:val="21"/>
              </w:rPr>
            </w:pPr>
            <w:r>
              <w:rPr>
                <w:kern w:val="0"/>
                <w:szCs w:val="21"/>
              </w:rPr>
              <w:t>生态环境现状</w:t>
            </w:r>
          </w:p>
        </w:tc>
        <w:tc>
          <w:tcPr>
            <w:tcW w:w="8253" w:type="dxa"/>
            <w:vAlign w:val="center"/>
          </w:tcPr>
          <w:p w14:paraId="27B47D91">
            <w:pPr>
              <w:adjustRightInd w:val="0"/>
              <w:snapToGrid w:val="0"/>
              <w:spacing w:line="360" w:lineRule="auto"/>
              <w:rPr>
                <w:b/>
                <w:bCs/>
                <w:kern w:val="0"/>
                <w:sz w:val="24"/>
              </w:rPr>
            </w:pPr>
            <w:r>
              <w:rPr>
                <w:b/>
                <w:bCs/>
                <w:kern w:val="0"/>
                <w:sz w:val="24"/>
                <w:lang w:bidi="ar"/>
              </w:rPr>
              <w:t>3.1生态环境</w:t>
            </w:r>
          </w:p>
          <w:p w14:paraId="533D574D">
            <w:pPr>
              <w:adjustRightInd w:val="0"/>
              <w:snapToGrid w:val="0"/>
              <w:spacing w:line="360" w:lineRule="auto"/>
              <w:rPr>
                <w:b/>
                <w:bCs/>
                <w:kern w:val="0"/>
                <w:sz w:val="24"/>
              </w:rPr>
            </w:pPr>
            <w:r>
              <w:rPr>
                <w:b/>
                <w:bCs/>
                <w:kern w:val="0"/>
                <w:sz w:val="24"/>
                <w:lang w:bidi="ar"/>
              </w:rPr>
              <w:t>3.1.1主体功能区划</w:t>
            </w:r>
          </w:p>
          <w:p w14:paraId="79ED84D1">
            <w:pPr>
              <w:autoSpaceDE w:val="0"/>
              <w:adjustRightInd w:val="0"/>
              <w:snapToGrid w:val="0"/>
              <w:spacing w:line="360" w:lineRule="auto"/>
              <w:ind w:firstLine="480" w:firstLineChars="200"/>
              <w:rPr>
                <w:b/>
                <w:bCs/>
                <w:kern w:val="0"/>
                <w:sz w:val="24"/>
              </w:rPr>
            </w:pPr>
            <w:r>
              <w:rPr>
                <w:sz w:val="24"/>
                <w:lang w:bidi="ar"/>
              </w:rPr>
              <w:t>根据《四川省主体功能区划》，宣汉县属于点状开发城镇区域，该区域主要包括与成都 平原地区相连的农产品主产区以及省级重点生态功能区的14个县的县城镇及重点镇，共0.06万平方公里，该区域为国家层面的重点开发区域；与川南、川东北、攀西地区相连的农产品主产区以及省级重点生态功能区的36个县的县城镇及重点镇，共0.16万平方公里，该区域为省级的重点开发区域。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14:paraId="4EF4722B">
            <w:pPr>
              <w:adjustRightInd w:val="0"/>
              <w:snapToGrid w:val="0"/>
              <w:spacing w:line="360" w:lineRule="auto"/>
              <w:rPr>
                <w:b/>
                <w:bCs/>
                <w:kern w:val="0"/>
                <w:sz w:val="24"/>
              </w:rPr>
            </w:pPr>
            <w:r>
              <w:rPr>
                <w:b/>
                <w:bCs/>
                <w:kern w:val="0"/>
                <w:sz w:val="24"/>
                <w:lang w:bidi="ar"/>
              </w:rPr>
              <w:t>3.1.2生态功能区划</w:t>
            </w:r>
          </w:p>
          <w:p w14:paraId="3AA9E69B">
            <w:pPr>
              <w:adjustRightInd w:val="0"/>
              <w:snapToGrid w:val="0"/>
              <w:spacing w:line="360" w:lineRule="auto"/>
              <w:ind w:firstLine="480" w:firstLineChars="200"/>
              <w:rPr>
                <w:sz w:val="24"/>
              </w:rPr>
            </w:pPr>
            <w:r>
              <w:rPr>
                <w:sz w:val="24"/>
                <w:lang w:bidi="ar"/>
              </w:rPr>
              <w:t>根据《四川省生态功能区划》，项目位于I四川盆地亚热带湿润气候生态区，Ⅰ-2盆中丘陵农林复合生态区，Ⅰ-2-1盆北深丘农林业与土壤保持生态功能区。典型生态系统属于农田、城市、森林生态系统，主要生态问题为水土流失较严重，易发生滑坡，生物多样性及森林资源保护有待加强。</w:t>
            </w:r>
          </w:p>
          <w:p w14:paraId="4BEB5F0D">
            <w:pPr>
              <w:adjustRightInd w:val="0"/>
              <w:snapToGrid w:val="0"/>
              <w:spacing w:line="360" w:lineRule="auto"/>
              <w:rPr>
                <w:b/>
                <w:bCs/>
                <w:sz w:val="24"/>
              </w:rPr>
            </w:pPr>
            <w:r>
              <w:rPr>
                <w:b/>
                <w:bCs/>
                <w:sz w:val="24"/>
                <w:lang w:bidi="ar"/>
              </w:rPr>
              <w:t>3.1.3生态现状</w:t>
            </w:r>
          </w:p>
          <w:p w14:paraId="0DD3AADB">
            <w:pPr>
              <w:adjustRightInd w:val="0"/>
              <w:snapToGrid w:val="0"/>
              <w:spacing w:line="360" w:lineRule="auto"/>
              <w:ind w:firstLine="480" w:firstLineChars="200"/>
              <w:rPr>
                <w:sz w:val="24"/>
              </w:rPr>
            </w:pPr>
            <w:r>
              <w:rPr>
                <w:sz w:val="24"/>
                <w:lang w:bidi="ar"/>
              </w:rPr>
              <w:t>区域植被人为干扰较为强烈，主要以农业生产为主，系统中物种种类少，营养层次简单，尚未发现珍稀动植物。场地内以适宜灌木林地和荒地生长的次生植被为主，主要包括马尾松灌丛和次生柏木、杉木等为主，荒地内近年失耕，无农作物生长。项目占地范围内不涉及国家级重点保护野生植物、四川省重点保护野生植物。</w:t>
            </w:r>
          </w:p>
          <w:p w14:paraId="367E4AD2">
            <w:pPr>
              <w:adjustRightInd w:val="0"/>
              <w:snapToGrid w:val="0"/>
              <w:spacing w:line="360" w:lineRule="auto"/>
              <w:ind w:firstLine="480" w:firstLineChars="200"/>
              <w:rPr>
                <w:sz w:val="24"/>
              </w:rPr>
            </w:pPr>
            <w:r>
              <w:rPr>
                <w:sz w:val="24"/>
                <w:lang w:bidi="ar"/>
              </w:rPr>
              <w:t>（1）土地利用现状</w:t>
            </w:r>
          </w:p>
          <w:p w14:paraId="32132A94">
            <w:pPr>
              <w:adjustRightInd w:val="0"/>
              <w:snapToGrid w:val="0"/>
              <w:spacing w:line="360" w:lineRule="auto"/>
              <w:ind w:firstLine="480" w:firstLineChars="200"/>
              <w:rPr>
                <w:sz w:val="24"/>
              </w:rPr>
            </w:pPr>
            <w:r>
              <w:rPr>
                <w:sz w:val="24"/>
                <w:lang w:bidi="ar"/>
              </w:rPr>
              <w:t>项目占地及周边500m范围主要为旱地、林地。本项目总占地面积</w:t>
            </w:r>
            <w:r>
              <w:rPr>
                <w:rFonts w:hint="eastAsia"/>
                <w:sz w:val="24"/>
                <w:lang w:bidi="ar"/>
              </w:rPr>
              <w:t>21867</w:t>
            </w:r>
            <w:r>
              <w:rPr>
                <w:sz w:val="24"/>
                <w:lang w:bidi="ar"/>
              </w:rPr>
              <w:t>m</w:t>
            </w:r>
            <w:r>
              <w:rPr>
                <w:sz w:val="24"/>
                <w:vertAlign w:val="superscript"/>
                <w:lang w:bidi="ar"/>
              </w:rPr>
              <w:t>2</w:t>
            </w:r>
            <w:r>
              <w:rPr>
                <w:sz w:val="24"/>
                <w:lang w:bidi="ar"/>
              </w:rPr>
              <w:t>，项目占地类型</w:t>
            </w:r>
            <w:r>
              <w:rPr>
                <w:rFonts w:hint="eastAsia"/>
                <w:sz w:val="24"/>
                <w:lang w:bidi="ar"/>
              </w:rPr>
              <w:t>主要</w:t>
            </w:r>
            <w:r>
              <w:rPr>
                <w:sz w:val="24"/>
                <w:lang w:bidi="ar"/>
              </w:rPr>
              <w:t>为水旱地，项目不占用永久基本农田。</w:t>
            </w:r>
          </w:p>
          <w:p w14:paraId="1073B237">
            <w:pPr>
              <w:adjustRightInd w:val="0"/>
              <w:snapToGrid w:val="0"/>
              <w:spacing w:line="360" w:lineRule="auto"/>
              <w:ind w:firstLine="480" w:firstLineChars="200"/>
              <w:rPr>
                <w:sz w:val="24"/>
                <w:lang w:bidi="ar"/>
              </w:rPr>
            </w:pPr>
            <w:r>
              <w:rPr>
                <w:sz w:val="24"/>
                <w:lang w:bidi="ar"/>
              </w:rPr>
              <w:t>评价区域土地利用现状基于高分辨率遥感影像利用GIS软件进行人工目视解译，遥感影像采用区域2022年9月0.5m分辨率卫星影像作为解译基础底图，通过人工目视判读遥感影像及现场调查核实，将评价范围内的土地利用类型按《土地利用现状分类》（GB/T 21010-2017）进行分类，形成土地利用现状矢量数据库，并以二级类型作为基础制图单位制作评价区域土地利用现状图。</w:t>
            </w:r>
            <w:r>
              <w:rPr>
                <w:rFonts w:hint="eastAsia"/>
                <w:sz w:val="24"/>
                <w:lang w:bidi="ar"/>
              </w:rPr>
              <w:t>详见土地利用现状图。</w:t>
            </w:r>
          </w:p>
          <w:p w14:paraId="219F1F9E">
            <w:pPr>
              <w:adjustRightInd w:val="0"/>
              <w:snapToGrid w:val="0"/>
              <w:spacing w:line="360" w:lineRule="auto"/>
              <w:ind w:firstLine="480" w:firstLineChars="200"/>
              <w:rPr>
                <w:sz w:val="24"/>
              </w:rPr>
            </w:pPr>
            <w:r>
              <w:rPr>
                <w:sz w:val="24"/>
                <w:lang w:bidi="ar"/>
              </w:rPr>
              <w:t>（2）植被现状</w:t>
            </w:r>
          </w:p>
          <w:p w14:paraId="7257BA9C">
            <w:pPr>
              <w:adjustRightInd w:val="0"/>
              <w:snapToGrid w:val="0"/>
              <w:spacing w:line="360" w:lineRule="auto"/>
              <w:ind w:firstLine="480" w:firstLineChars="200"/>
              <w:rPr>
                <w:sz w:val="24"/>
                <w:lang w:bidi="ar"/>
              </w:rPr>
            </w:pPr>
            <w:r>
              <w:rPr>
                <w:sz w:val="24"/>
                <w:lang w:bidi="ar"/>
              </w:rPr>
              <w:t>项目占地及周边500m范围主要为耕地和林地，林地主要分布在井场外</w:t>
            </w:r>
            <w:r>
              <w:rPr>
                <w:rFonts w:hint="eastAsia"/>
                <w:sz w:val="24"/>
                <w:lang w:bidi="ar"/>
              </w:rPr>
              <w:t>西侧、</w:t>
            </w:r>
            <w:r>
              <w:rPr>
                <w:sz w:val="24"/>
                <w:lang w:bidi="ar"/>
              </w:rPr>
              <w:t>北侧，项目用地不占用公益林和天然林。占地周边林地乔木主要为柏树等，灌木以黄荆及常绿灌丛等为主，草本植物以禾草、蕨类为主。未见珍稀保护植物和古树名木。</w:t>
            </w:r>
            <w:r>
              <w:rPr>
                <w:rFonts w:hint="eastAsia"/>
                <w:sz w:val="24"/>
                <w:lang w:bidi="ar"/>
              </w:rPr>
              <w:t>项目建设将占用少量一般用材林，建设单位正在按照《四川省建设项目使用林地审核审批管理规范》（川林规发〔2022〕2号）办理相关手续。项目占用林地情况详见附图8。</w:t>
            </w:r>
          </w:p>
          <w:p w14:paraId="71F18777">
            <w:pPr>
              <w:adjustRightInd w:val="0"/>
              <w:snapToGrid w:val="0"/>
              <w:spacing w:line="360" w:lineRule="auto"/>
              <w:ind w:firstLine="480" w:firstLineChars="200"/>
              <w:rPr>
                <w:sz w:val="24"/>
              </w:rPr>
            </w:pPr>
            <w:r>
              <w:rPr>
                <w:sz w:val="24"/>
                <w:lang w:bidi="ar"/>
              </w:rPr>
              <w:t>（3）生物多样性现状</w:t>
            </w:r>
          </w:p>
          <w:p w14:paraId="476283DC">
            <w:pPr>
              <w:adjustRightInd w:val="0"/>
              <w:snapToGrid w:val="0"/>
              <w:spacing w:line="360" w:lineRule="auto"/>
              <w:ind w:firstLine="480" w:firstLineChars="200"/>
              <w:rPr>
                <w:sz w:val="24"/>
              </w:rPr>
            </w:pPr>
            <w:r>
              <w:rPr>
                <w:sz w:val="24"/>
                <w:lang w:bidi="ar"/>
              </w:rPr>
              <w:t>评价范围主要以林地和农田为主，交通便利，人类活动频繁，因此常见陆生动物主要为鸟类、两栖类、兽类和爬行类动物。</w:t>
            </w:r>
          </w:p>
          <w:p w14:paraId="49EA8858">
            <w:pPr>
              <w:adjustRightInd w:val="0"/>
              <w:snapToGrid w:val="0"/>
              <w:spacing w:line="360" w:lineRule="auto"/>
              <w:ind w:firstLine="480" w:firstLineChars="200"/>
              <w:rPr>
                <w:sz w:val="24"/>
              </w:rPr>
            </w:pPr>
            <w:r>
              <w:rPr>
                <w:sz w:val="24"/>
                <w:lang w:bidi="ar"/>
              </w:rPr>
              <w:t>项目所在地及周边区域属于农业生态系统，工程用地类型主要为旱地、灌木林地、其他草地，旱地主要种植红薯、玉米、季节性蔬菜等适时农作物；灌木林地主要为常见的柏树、松树、构树等当地优势树种，草地主要为自然生长的茅草等，动物以常见小型野生动物和人工饲养的畜禽为主，</w:t>
            </w:r>
            <w:r>
              <w:rPr>
                <w:rFonts w:hint="eastAsia"/>
                <w:sz w:val="24"/>
                <w:lang w:bidi="ar"/>
              </w:rPr>
              <w:t>评价范围内</w:t>
            </w:r>
            <w:r>
              <w:rPr>
                <w:sz w:val="24"/>
                <w:lang w:bidi="ar"/>
              </w:rPr>
              <w:t>未发现珍稀濒危及国家重点保护的野生植物，评价范围内未发现珍稀濒危及国家和四川省重点保护的野生动物，也未发现野生动物栖息地。</w:t>
            </w:r>
          </w:p>
          <w:p w14:paraId="07866DF0">
            <w:pPr>
              <w:adjustRightInd w:val="0"/>
              <w:snapToGrid w:val="0"/>
              <w:spacing w:line="360" w:lineRule="auto"/>
              <w:ind w:firstLine="480" w:firstLineChars="200"/>
              <w:rPr>
                <w:sz w:val="24"/>
                <w:lang w:bidi="ar"/>
              </w:rPr>
            </w:pPr>
            <w:r>
              <w:rPr>
                <w:sz w:val="24"/>
                <w:lang w:bidi="ar"/>
              </w:rPr>
              <w:t>（4）水土流失现状</w:t>
            </w:r>
          </w:p>
          <w:p w14:paraId="7CBE7F27">
            <w:pPr>
              <w:adjustRightInd w:val="0"/>
              <w:snapToGrid w:val="0"/>
              <w:spacing w:line="360" w:lineRule="auto"/>
              <w:ind w:firstLine="480" w:firstLineChars="200"/>
              <w:rPr>
                <w:sz w:val="24"/>
                <w:lang w:bidi="ar"/>
              </w:rPr>
            </w:pPr>
            <w:r>
              <w:rPr>
                <w:sz w:val="24"/>
                <w:lang w:bidi="ar"/>
              </w:rPr>
              <w:t>根据《宣汉县人民政府发布宣汉县水土流失防治分区的公告》，评价所在区域属于宣汉县水土流失重点治理区。根据建设单位在宣汉县区域建设情况，目前未发现受天然气开采影响流失明显加剧。</w:t>
            </w:r>
          </w:p>
          <w:p w14:paraId="04DE3741">
            <w:pPr>
              <w:adjustRightInd w:val="0"/>
              <w:snapToGrid w:val="0"/>
              <w:spacing w:line="360" w:lineRule="auto"/>
              <w:ind w:firstLine="480" w:firstLineChars="200"/>
              <w:rPr>
                <w:sz w:val="24"/>
                <w:lang w:bidi="ar"/>
              </w:rPr>
            </w:pPr>
            <w:r>
              <w:rPr>
                <w:sz w:val="24"/>
                <w:lang w:bidi="ar"/>
              </w:rPr>
              <w:t>综上，评价区域无国家公园、自然保护区、自然公园等自然保护地、世界自然遗产、生态保护红线等区域，不涉及重要生境。评价区域为主要农田生态系统及普通林地，生态系统单一，结构简单，环境异质性差。区域以人工生境为主，易于恢复。评价区生产力水平较差，主要是受到人类干扰严重的耕地、林地和灌草地、建设用地等用地类型，动植物物种以及生物体的数量较少，食物网简单，即生态系统结构较简单</w:t>
            </w:r>
          </w:p>
          <w:p w14:paraId="5DFCF3DB">
            <w:pPr>
              <w:adjustRightInd w:val="0"/>
              <w:snapToGrid w:val="0"/>
              <w:spacing w:line="360" w:lineRule="auto"/>
              <w:rPr>
                <w:b/>
                <w:bCs/>
                <w:kern w:val="0"/>
                <w:sz w:val="24"/>
              </w:rPr>
            </w:pPr>
            <w:r>
              <w:rPr>
                <w:b/>
                <w:bCs/>
                <w:kern w:val="0"/>
                <w:sz w:val="24"/>
              </w:rPr>
              <w:t>3.2环境质量现状</w:t>
            </w:r>
          </w:p>
          <w:p w14:paraId="0F5F2610">
            <w:pPr>
              <w:pStyle w:val="341"/>
              <w:ind w:firstLine="480"/>
              <w:rPr>
                <w:sz w:val="24"/>
                <w:szCs w:val="24"/>
              </w:rPr>
            </w:pPr>
            <w:r>
              <w:rPr>
                <w:sz w:val="24"/>
                <w:szCs w:val="24"/>
              </w:rPr>
              <w:t>（1）环境质量达标区判定</w:t>
            </w:r>
          </w:p>
          <w:p w14:paraId="1F627265">
            <w:pPr>
              <w:pStyle w:val="38"/>
              <w:widowControl w:val="0"/>
              <w:spacing w:before="0" w:beforeAutospacing="0" w:after="0" w:afterAutospacing="0" w:line="360" w:lineRule="auto"/>
              <w:ind w:firstLine="480" w:firstLineChars="200"/>
              <w:jc w:val="both"/>
              <w:rPr>
                <w:rFonts w:ascii="Times New Roman" w:hAnsi="Times New Roman"/>
                <w:kern w:val="2"/>
              </w:rPr>
            </w:pPr>
            <w:r>
              <w:rPr>
                <w:rFonts w:ascii="Times New Roman" w:hAnsi="Times New Roman"/>
                <w:kern w:val="2"/>
                <w:lang w:bidi="ar"/>
              </w:rPr>
              <w:t>本项目位于达州市宣汉县，项目所在区环境空气功能分区为二类区。</w:t>
            </w:r>
            <w:r>
              <w:rPr>
                <w:rFonts w:hint="eastAsia" w:ascii="Times New Roman" w:hAnsi="Times New Roman"/>
                <w:kern w:val="2"/>
                <w:lang w:bidi="ar"/>
              </w:rPr>
              <w:t>根据</w:t>
            </w:r>
            <w:r>
              <w:rPr>
                <w:rFonts w:ascii="Times New Roman" w:hAnsi="Times New Roman"/>
                <w:kern w:val="2"/>
                <w:lang w:bidi="ar"/>
              </w:rPr>
              <w:t>《环境影响评价技术导则 大气环境》（HJ2.2-2018）的要求，评价采用达州市生态环境局发布（https://sthjj.dazhou.gov.cn/news-show-18384.html）的《达州市2023年环境空气质量状况》中的数据进行评价：</w:t>
            </w:r>
          </w:p>
          <w:p w14:paraId="38C01068">
            <w:pPr>
              <w:pStyle w:val="38"/>
              <w:widowControl w:val="0"/>
              <w:numPr>
                <w:ilvl w:val="0"/>
                <w:numId w:val="7"/>
              </w:numPr>
              <w:adjustRightInd w:val="0"/>
              <w:snapToGrid w:val="0"/>
              <w:spacing w:before="0" w:beforeAutospacing="0" w:after="0" w:afterAutospacing="0" w:line="360" w:lineRule="auto"/>
              <w:ind w:left="0" w:firstLine="0"/>
              <w:jc w:val="center"/>
              <w:rPr>
                <w:rFonts w:ascii="Times New Roman" w:hAnsi="Times New Roman"/>
                <w:b/>
                <w:bCs/>
              </w:rPr>
            </w:pPr>
            <w:r>
              <w:rPr>
                <w:rFonts w:ascii="Times New Roman" w:hAnsi="Times New Roman"/>
                <w:b/>
                <w:bCs/>
                <w:lang w:bidi="ar"/>
              </w:rPr>
              <w:t xml:space="preserve"> 2023年宣汉县环境空气质量状况统计表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978"/>
              <w:gridCol w:w="1088"/>
              <w:gridCol w:w="1131"/>
              <w:gridCol w:w="946"/>
              <w:gridCol w:w="1031"/>
            </w:tblGrid>
            <w:tr w14:paraId="5E431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12" w:space="0"/>
                    <w:left w:val="single" w:color="auto" w:sz="2" w:space="0"/>
                    <w:bottom w:val="single" w:color="auto" w:sz="4" w:space="0"/>
                    <w:right w:val="single" w:color="auto" w:sz="4" w:space="0"/>
                  </w:tcBorders>
                  <w:shd w:val="clear" w:color="auto" w:fill="auto"/>
                  <w:vAlign w:val="center"/>
                </w:tcPr>
                <w:p w14:paraId="44FA5AF6">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污染物</w:t>
                  </w:r>
                </w:p>
              </w:tc>
              <w:tc>
                <w:tcPr>
                  <w:tcW w:w="2978" w:type="dxa"/>
                  <w:tcBorders>
                    <w:top w:val="single" w:color="auto" w:sz="12" w:space="0"/>
                    <w:left w:val="nil"/>
                    <w:bottom w:val="single" w:color="auto" w:sz="4" w:space="0"/>
                    <w:right w:val="single" w:color="auto" w:sz="4" w:space="0"/>
                  </w:tcBorders>
                  <w:shd w:val="clear" w:color="auto" w:fill="auto"/>
                  <w:vAlign w:val="center"/>
                </w:tcPr>
                <w:p w14:paraId="37F9A112">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年评价指标</w:t>
                  </w:r>
                </w:p>
              </w:tc>
              <w:tc>
                <w:tcPr>
                  <w:tcW w:w="1088" w:type="dxa"/>
                  <w:tcBorders>
                    <w:top w:val="single" w:color="auto" w:sz="12" w:space="0"/>
                    <w:left w:val="nil"/>
                    <w:bottom w:val="single" w:color="auto" w:sz="4" w:space="0"/>
                    <w:right w:val="single" w:color="auto" w:sz="4" w:space="0"/>
                  </w:tcBorders>
                  <w:shd w:val="clear" w:color="auto" w:fill="auto"/>
                  <w:vAlign w:val="center"/>
                </w:tcPr>
                <w:p w14:paraId="27E40574">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评价标准</w:t>
                  </w:r>
                </w:p>
              </w:tc>
              <w:tc>
                <w:tcPr>
                  <w:tcW w:w="1131" w:type="dxa"/>
                  <w:tcBorders>
                    <w:top w:val="single" w:color="auto" w:sz="12" w:space="0"/>
                    <w:left w:val="nil"/>
                    <w:bottom w:val="single" w:color="auto" w:sz="4" w:space="0"/>
                    <w:right w:val="single" w:color="auto" w:sz="4" w:space="0"/>
                  </w:tcBorders>
                  <w:shd w:val="clear" w:color="auto" w:fill="auto"/>
                  <w:vAlign w:val="center"/>
                </w:tcPr>
                <w:p w14:paraId="68013369">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现状浓度</w:t>
                  </w:r>
                </w:p>
              </w:tc>
              <w:tc>
                <w:tcPr>
                  <w:tcW w:w="946" w:type="dxa"/>
                  <w:tcBorders>
                    <w:top w:val="single" w:color="auto" w:sz="12" w:space="0"/>
                    <w:left w:val="nil"/>
                    <w:bottom w:val="single" w:color="auto" w:sz="4" w:space="0"/>
                    <w:right w:val="single" w:color="auto" w:sz="4" w:space="0"/>
                  </w:tcBorders>
                  <w:shd w:val="clear" w:color="auto" w:fill="auto"/>
                  <w:vAlign w:val="center"/>
                </w:tcPr>
                <w:p w14:paraId="4164CC70">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占标率</w:t>
                  </w:r>
                </w:p>
              </w:tc>
              <w:tc>
                <w:tcPr>
                  <w:tcW w:w="1031" w:type="dxa"/>
                  <w:tcBorders>
                    <w:top w:val="single" w:color="auto" w:sz="12" w:space="0"/>
                    <w:left w:val="nil"/>
                    <w:bottom w:val="single" w:color="auto" w:sz="4" w:space="0"/>
                    <w:right w:val="single" w:color="auto" w:sz="12" w:space="0"/>
                  </w:tcBorders>
                  <w:shd w:val="clear" w:color="auto" w:fill="auto"/>
                  <w:vAlign w:val="center"/>
                </w:tcPr>
                <w:p w14:paraId="0E0596A6">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达标情况</w:t>
                  </w:r>
                </w:p>
              </w:tc>
            </w:tr>
            <w:tr w14:paraId="0ECFA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B090A44">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PM</w:t>
                  </w:r>
                  <w:r>
                    <w:rPr>
                      <w:rFonts w:ascii="Times New Roman" w:hAnsi="Times New Roman"/>
                      <w:kern w:val="2"/>
                      <w:sz w:val="21"/>
                      <w:szCs w:val="21"/>
                      <w:shd w:val="clear" w:color="auto" w:fill="FFFFFF"/>
                      <w:vertAlign w:val="subscript"/>
                      <w:lang w:bidi="ar"/>
                    </w:rPr>
                    <w:t>10</w:t>
                  </w:r>
                </w:p>
              </w:tc>
              <w:tc>
                <w:tcPr>
                  <w:tcW w:w="2978" w:type="dxa"/>
                  <w:tcBorders>
                    <w:top w:val="single" w:color="auto" w:sz="4" w:space="0"/>
                    <w:left w:val="nil"/>
                    <w:bottom w:val="single" w:color="auto" w:sz="4" w:space="0"/>
                    <w:right w:val="single" w:color="auto" w:sz="4" w:space="0"/>
                  </w:tcBorders>
                  <w:shd w:val="clear" w:color="auto" w:fill="auto"/>
                  <w:vAlign w:val="center"/>
                </w:tcPr>
                <w:p w14:paraId="68AEC3E5">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14:paraId="08A051AB">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70μg/m</w:t>
                  </w:r>
                  <w:r>
                    <w:rPr>
                      <w:rFonts w:ascii="Times New Roman" w:hAnsi="Times New Roman"/>
                      <w:kern w:val="2"/>
                      <w:sz w:val="21"/>
                      <w:szCs w:val="21"/>
                      <w:shd w:val="clear" w:color="auto" w:fill="FFFFFF"/>
                      <w:vertAlign w:val="superscript"/>
                      <w:lang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14:paraId="57B6A266">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55μg/m</w:t>
                  </w:r>
                  <w:r>
                    <w:rPr>
                      <w:rFonts w:ascii="Times New Roman" w:hAnsi="Times New Roman"/>
                      <w:kern w:val="2"/>
                      <w:sz w:val="21"/>
                      <w:szCs w:val="21"/>
                      <w:shd w:val="clear" w:color="auto" w:fill="FFFFFF"/>
                      <w:vertAlign w:val="superscript"/>
                      <w:lang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14:paraId="1639B924">
                  <w:pPr>
                    <w:widowControl/>
                    <w:jc w:val="center"/>
                    <w:textAlignment w:val="center"/>
                    <w:rPr>
                      <w:szCs w:val="21"/>
                    </w:rPr>
                  </w:pPr>
                  <w:r>
                    <w:rPr>
                      <w:kern w:val="0"/>
                      <w:sz w:val="22"/>
                      <w:szCs w:val="22"/>
                      <w:lang w:bidi="ar"/>
                    </w:rPr>
                    <w:t>78.6%</w:t>
                  </w:r>
                </w:p>
              </w:tc>
              <w:tc>
                <w:tcPr>
                  <w:tcW w:w="1031" w:type="dxa"/>
                  <w:tcBorders>
                    <w:top w:val="single" w:color="auto" w:sz="4" w:space="0"/>
                    <w:left w:val="nil"/>
                    <w:bottom w:val="single" w:color="auto" w:sz="4" w:space="0"/>
                    <w:right w:val="single" w:color="auto" w:sz="12" w:space="0"/>
                  </w:tcBorders>
                  <w:shd w:val="clear" w:color="auto" w:fill="auto"/>
                  <w:vAlign w:val="center"/>
                </w:tcPr>
                <w:p w14:paraId="213713F7">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r w14:paraId="757B3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8F961C0">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PM</w:t>
                  </w:r>
                  <w:r>
                    <w:rPr>
                      <w:rFonts w:ascii="Times New Roman" w:hAnsi="Times New Roman"/>
                      <w:kern w:val="2"/>
                      <w:sz w:val="21"/>
                      <w:szCs w:val="21"/>
                      <w:shd w:val="clear" w:color="auto" w:fill="FFFFFF"/>
                      <w:vertAlign w:val="subscript"/>
                      <w:lang w:bidi="ar"/>
                    </w:rPr>
                    <w:t>2.5</w:t>
                  </w:r>
                </w:p>
              </w:tc>
              <w:tc>
                <w:tcPr>
                  <w:tcW w:w="2978" w:type="dxa"/>
                  <w:tcBorders>
                    <w:top w:val="single" w:color="auto" w:sz="4" w:space="0"/>
                    <w:left w:val="nil"/>
                    <w:bottom w:val="single" w:color="auto" w:sz="4" w:space="0"/>
                    <w:right w:val="single" w:color="auto" w:sz="4" w:space="0"/>
                  </w:tcBorders>
                  <w:shd w:val="clear" w:color="auto" w:fill="auto"/>
                  <w:vAlign w:val="center"/>
                </w:tcPr>
                <w:p w14:paraId="6CD9D1E8">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14:paraId="0EAC1C2C">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35μg/m</w:t>
                  </w:r>
                  <w:r>
                    <w:rPr>
                      <w:rFonts w:ascii="Times New Roman" w:hAnsi="Times New Roman"/>
                      <w:kern w:val="2"/>
                      <w:sz w:val="21"/>
                      <w:szCs w:val="21"/>
                      <w:shd w:val="clear" w:color="auto" w:fill="FFFFFF"/>
                      <w:vertAlign w:val="superscript"/>
                      <w:lang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14:paraId="5C2322CF">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29μg/m</w:t>
                  </w:r>
                  <w:r>
                    <w:rPr>
                      <w:rFonts w:ascii="Times New Roman" w:hAnsi="Times New Roman"/>
                      <w:kern w:val="2"/>
                      <w:sz w:val="21"/>
                      <w:szCs w:val="21"/>
                      <w:shd w:val="clear" w:color="auto" w:fill="FFFFFF"/>
                      <w:vertAlign w:val="superscript"/>
                      <w:lang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14:paraId="4A019249">
                  <w:pPr>
                    <w:widowControl/>
                    <w:jc w:val="center"/>
                    <w:textAlignment w:val="center"/>
                    <w:rPr>
                      <w:szCs w:val="21"/>
                    </w:rPr>
                  </w:pPr>
                  <w:r>
                    <w:rPr>
                      <w:kern w:val="0"/>
                      <w:sz w:val="22"/>
                      <w:szCs w:val="22"/>
                      <w:lang w:bidi="ar"/>
                    </w:rPr>
                    <w:t>82.9%</w:t>
                  </w:r>
                </w:p>
              </w:tc>
              <w:tc>
                <w:tcPr>
                  <w:tcW w:w="1031" w:type="dxa"/>
                  <w:tcBorders>
                    <w:top w:val="single" w:color="auto" w:sz="4" w:space="0"/>
                    <w:left w:val="nil"/>
                    <w:bottom w:val="single" w:color="auto" w:sz="4" w:space="0"/>
                    <w:right w:val="single" w:color="auto" w:sz="12" w:space="0"/>
                  </w:tcBorders>
                  <w:shd w:val="clear" w:color="auto" w:fill="auto"/>
                  <w:vAlign w:val="center"/>
                </w:tcPr>
                <w:p w14:paraId="311520CB">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r w14:paraId="05CBB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0B41637">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SO</w:t>
                  </w:r>
                  <w:r>
                    <w:rPr>
                      <w:rFonts w:ascii="Times New Roman" w:hAnsi="Times New Roman"/>
                      <w:kern w:val="2"/>
                      <w:sz w:val="21"/>
                      <w:szCs w:val="21"/>
                      <w:shd w:val="clear" w:color="auto" w:fill="FFFFFF"/>
                      <w:vertAlign w:val="subscript"/>
                      <w:lang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14:paraId="449A89CF">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14:paraId="6C06B3AB">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60μg/m</w:t>
                  </w:r>
                  <w:r>
                    <w:rPr>
                      <w:rFonts w:ascii="Times New Roman" w:hAnsi="Times New Roman"/>
                      <w:kern w:val="2"/>
                      <w:sz w:val="21"/>
                      <w:szCs w:val="21"/>
                      <w:shd w:val="clear" w:color="auto" w:fill="FFFFFF"/>
                      <w:vertAlign w:val="superscript"/>
                      <w:lang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14:paraId="3362F654">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6μg/m</w:t>
                  </w:r>
                  <w:r>
                    <w:rPr>
                      <w:rFonts w:ascii="Times New Roman" w:hAnsi="Times New Roman"/>
                      <w:kern w:val="2"/>
                      <w:sz w:val="21"/>
                      <w:szCs w:val="21"/>
                      <w:shd w:val="clear" w:color="auto" w:fill="FFFFFF"/>
                      <w:vertAlign w:val="superscript"/>
                      <w:lang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14:paraId="2D5EA21F">
                  <w:pPr>
                    <w:widowControl/>
                    <w:jc w:val="center"/>
                    <w:textAlignment w:val="center"/>
                    <w:rPr>
                      <w:szCs w:val="21"/>
                    </w:rPr>
                  </w:pPr>
                  <w:r>
                    <w:rPr>
                      <w:kern w:val="0"/>
                      <w:sz w:val="22"/>
                      <w:szCs w:val="22"/>
                      <w:lang w:bidi="ar"/>
                    </w:rPr>
                    <w:t>10.0%</w:t>
                  </w:r>
                </w:p>
              </w:tc>
              <w:tc>
                <w:tcPr>
                  <w:tcW w:w="1031" w:type="dxa"/>
                  <w:tcBorders>
                    <w:top w:val="single" w:color="auto" w:sz="4" w:space="0"/>
                    <w:left w:val="nil"/>
                    <w:bottom w:val="single" w:color="auto" w:sz="4" w:space="0"/>
                    <w:right w:val="single" w:color="auto" w:sz="12" w:space="0"/>
                  </w:tcBorders>
                  <w:shd w:val="clear" w:color="auto" w:fill="auto"/>
                  <w:vAlign w:val="center"/>
                </w:tcPr>
                <w:p w14:paraId="7E0D8DC0">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r w14:paraId="5FDBF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508EB9C4">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NO</w:t>
                  </w:r>
                  <w:r>
                    <w:rPr>
                      <w:rFonts w:ascii="Times New Roman" w:hAnsi="Times New Roman"/>
                      <w:kern w:val="2"/>
                      <w:sz w:val="21"/>
                      <w:szCs w:val="21"/>
                      <w:shd w:val="clear" w:color="auto" w:fill="FFFFFF"/>
                      <w:vertAlign w:val="subscript"/>
                      <w:lang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14:paraId="3FE16186">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14:paraId="3656ABE0">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40μg/m</w:t>
                  </w:r>
                  <w:r>
                    <w:rPr>
                      <w:rFonts w:ascii="Times New Roman" w:hAnsi="Times New Roman"/>
                      <w:kern w:val="2"/>
                      <w:sz w:val="21"/>
                      <w:szCs w:val="21"/>
                      <w:shd w:val="clear" w:color="auto" w:fill="FFFFFF"/>
                      <w:vertAlign w:val="superscript"/>
                      <w:lang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14:paraId="6FAA3663">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20μg/m</w:t>
                  </w:r>
                  <w:r>
                    <w:rPr>
                      <w:rFonts w:ascii="Times New Roman" w:hAnsi="Times New Roman"/>
                      <w:kern w:val="2"/>
                      <w:sz w:val="21"/>
                      <w:szCs w:val="21"/>
                      <w:shd w:val="clear" w:color="auto" w:fill="FFFFFF"/>
                      <w:vertAlign w:val="superscript"/>
                      <w:lang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14:paraId="299F4EAF">
                  <w:pPr>
                    <w:widowControl/>
                    <w:jc w:val="center"/>
                    <w:textAlignment w:val="center"/>
                    <w:rPr>
                      <w:szCs w:val="21"/>
                    </w:rPr>
                  </w:pPr>
                  <w:r>
                    <w:rPr>
                      <w:kern w:val="0"/>
                      <w:sz w:val="22"/>
                      <w:szCs w:val="22"/>
                      <w:lang w:bidi="ar"/>
                    </w:rPr>
                    <w:t>50.0%</w:t>
                  </w:r>
                </w:p>
              </w:tc>
              <w:tc>
                <w:tcPr>
                  <w:tcW w:w="1031" w:type="dxa"/>
                  <w:tcBorders>
                    <w:top w:val="single" w:color="auto" w:sz="4" w:space="0"/>
                    <w:left w:val="nil"/>
                    <w:bottom w:val="single" w:color="auto" w:sz="4" w:space="0"/>
                    <w:right w:val="single" w:color="auto" w:sz="12" w:space="0"/>
                  </w:tcBorders>
                  <w:shd w:val="clear" w:color="auto" w:fill="auto"/>
                  <w:vAlign w:val="center"/>
                </w:tcPr>
                <w:p w14:paraId="63077851">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r w14:paraId="17E4C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012B94A">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CO</w:t>
                  </w:r>
                </w:p>
              </w:tc>
              <w:tc>
                <w:tcPr>
                  <w:tcW w:w="2978" w:type="dxa"/>
                  <w:tcBorders>
                    <w:top w:val="single" w:color="auto" w:sz="4" w:space="0"/>
                    <w:left w:val="nil"/>
                    <w:bottom w:val="single" w:color="auto" w:sz="4" w:space="0"/>
                    <w:right w:val="single" w:color="auto" w:sz="4" w:space="0"/>
                  </w:tcBorders>
                  <w:shd w:val="clear" w:color="auto" w:fill="auto"/>
                  <w:vAlign w:val="center"/>
                </w:tcPr>
                <w:p w14:paraId="0CE494C8">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95%百分位数24小时平均</w:t>
                  </w:r>
                </w:p>
              </w:tc>
              <w:tc>
                <w:tcPr>
                  <w:tcW w:w="1088" w:type="dxa"/>
                  <w:tcBorders>
                    <w:top w:val="single" w:color="auto" w:sz="4" w:space="0"/>
                    <w:left w:val="nil"/>
                    <w:bottom w:val="single" w:color="auto" w:sz="4" w:space="0"/>
                    <w:right w:val="single" w:color="auto" w:sz="4" w:space="0"/>
                  </w:tcBorders>
                  <w:shd w:val="clear" w:color="auto" w:fill="auto"/>
                  <w:vAlign w:val="center"/>
                </w:tcPr>
                <w:p w14:paraId="7E065297">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4mg/m³</w:t>
                  </w:r>
                </w:p>
              </w:tc>
              <w:tc>
                <w:tcPr>
                  <w:tcW w:w="1131" w:type="dxa"/>
                  <w:tcBorders>
                    <w:top w:val="single" w:color="auto" w:sz="4" w:space="0"/>
                    <w:left w:val="nil"/>
                    <w:bottom w:val="single" w:color="auto" w:sz="4" w:space="0"/>
                    <w:right w:val="single" w:color="auto" w:sz="4" w:space="0"/>
                  </w:tcBorders>
                  <w:shd w:val="clear" w:color="auto" w:fill="auto"/>
                  <w:vAlign w:val="center"/>
                </w:tcPr>
                <w:p w14:paraId="322C9283">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1.2mg/m³</w:t>
                  </w:r>
                </w:p>
              </w:tc>
              <w:tc>
                <w:tcPr>
                  <w:tcW w:w="946" w:type="dxa"/>
                  <w:tcBorders>
                    <w:top w:val="single" w:color="auto" w:sz="4" w:space="0"/>
                    <w:left w:val="nil"/>
                    <w:bottom w:val="single" w:color="auto" w:sz="4" w:space="0"/>
                    <w:right w:val="single" w:color="auto" w:sz="4" w:space="0"/>
                  </w:tcBorders>
                  <w:shd w:val="clear" w:color="auto" w:fill="auto"/>
                  <w:vAlign w:val="center"/>
                </w:tcPr>
                <w:p w14:paraId="4DDD3C9A">
                  <w:pPr>
                    <w:widowControl/>
                    <w:jc w:val="center"/>
                    <w:textAlignment w:val="center"/>
                    <w:rPr>
                      <w:szCs w:val="21"/>
                    </w:rPr>
                  </w:pPr>
                  <w:r>
                    <w:rPr>
                      <w:kern w:val="0"/>
                      <w:sz w:val="22"/>
                      <w:szCs w:val="22"/>
                      <w:lang w:bidi="ar"/>
                    </w:rPr>
                    <w:t>25.0%</w:t>
                  </w:r>
                </w:p>
              </w:tc>
              <w:tc>
                <w:tcPr>
                  <w:tcW w:w="1031" w:type="dxa"/>
                  <w:tcBorders>
                    <w:top w:val="single" w:color="auto" w:sz="4" w:space="0"/>
                    <w:left w:val="nil"/>
                    <w:bottom w:val="single" w:color="auto" w:sz="4" w:space="0"/>
                    <w:right w:val="single" w:color="auto" w:sz="12" w:space="0"/>
                  </w:tcBorders>
                  <w:shd w:val="clear" w:color="auto" w:fill="auto"/>
                  <w:vAlign w:val="center"/>
                </w:tcPr>
                <w:p w14:paraId="37F1D70E">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r w14:paraId="17DF1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12" w:space="0"/>
                    <w:right w:val="single" w:color="auto" w:sz="4" w:space="0"/>
                  </w:tcBorders>
                  <w:shd w:val="clear" w:color="auto" w:fill="auto"/>
                  <w:vAlign w:val="center"/>
                </w:tcPr>
                <w:p w14:paraId="2A99FFF0">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O</w:t>
                  </w:r>
                  <w:r>
                    <w:rPr>
                      <w:rFonts w:ascii="Times New Roman" w:hAnsi="Times New Roman"/>
                      <w:kern w:val="2"/>
                      <w:sz w:val="21"/>
                      <w:szCs w:val="21"/>
                      <w:shd w:val="clear" w:color="auto" w:fill="FFFFFF"/>
                      <w:vertAlign w:val="subscript"/>
                      <w:lang w:bidi="ar"/>
                    </w:rPr>
                    <w:t>3</w:t>
                  </w:r>
                </w:p>
              </w:tc>
              <w:tc>
                <w:tcPr>
                  <w:tcW w:w="2978" w:type="dxa"/>
                  <w:tcBorders>
                    <w:top w:val="single" w:color="auto" w:sz="4" w:space="0"/>
                    <w:left w:val="nil"/>
                    <w:bottom w:val="single" w:color="auto" w:sz="12" w:space="0"/>
                    <w:right w:val="single" w:color="auto" w:sz="4" w:space="0"/>
                  </w:tcBorders>
                  <w:shd w:val="clear" w:color="auto" w:fill="auto"/>
                  <w:vAlign w:val="center"/>
                </w:tcPr>
                <w:p w14:paraId="115FA85D">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90%百分位数日最大8小时滑动平均</w:t>
                  </w:r>
                </w:p>
              </w:tc>
              <w:tc>
                <w:tcPr>
                  <w:tcW w:w="1088" w:type="dxa"/>
                  <w:tcBorders>
                    <w:top w:val="single" w:color="auto" w:sz="4" w:space="0"/>
                    <w:left w:val="nil"/>
                    <w:bottom w:val="single" w:color="auto" w:sz="12" w:space="0"/>
                    <w:right w:val="single" w:color="auto" w:sz="4" w:space="0"/>
                  </w:tcBorders>
                  <w:shd w:val="clear" w:color="auto" w:fill="auto"/>
                  <w:vAlign w:val="center"/>
                </w:tcPr>
                <w:p w14:paraId="35ADF7B4">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160μg/m</w:t>
                  </w:r>
                  <w:r>
                    <w:rPr>
                      <w:rFonts w:ascii="Times New Roman" w:hAnsi="Times New Roman"/>
                      <w:kern w:val="2"/>
                      <w:sz w:val="21"/>
                      <w:szCs w:val="21"/>
                      <w:shd w:val="clear" w:color="auto" w:fill="FFFFFF"/>
                      <w:vertAlign w:val="superscript"/>
                      <w:lang w:bidi="ar"/>
                    </w:rPr>
                    <w:t>3</w:t>
                  </w:r>
                </w:p>
              </w:tc>
              <w:tc>
                <w:tcPr>
                  <w:tcW w:w="1131" w:type="dxa"/>
                  <w:tcBorders>
                    <w:top w:val="single" w:color="auto" w:sz="4" w:space="0"/>
                    <w:left w:val="nil"/>
                    <w:bottom w:val="single" w:color="auto" w:sz="12" w:space="0"/>
                    <w:right w:val="single" w:color="auto" w:sz="4" w:space="0"/>
                  </w:tcBorders>
                  <w:shd w:val="clear" w:color="auto" w:fill="auto"/>
                  <w:vAlign w:val="center"/>
                </w:tcPr>
                <w:p w14:paraId="035A8669">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90μg/m</w:t>
                  </w:r>
                  <w:r>
                    <w:rPr>
                      <w:rFonts w:ascii="Times New Roman" w:hAnsi="Times New Roman"/>
                      <w:kern w:val="2"/>
                      <w:sz w:val="21"/>
                      <w:szCs w:val="21"/>
                      <w:shd w:val="clear" w:color="auto" w:fill="FFFFFF"/>
                      <w:vertAlign w:val="superscript"/>
                      <w:lang w:bidi="ar"/>
                    </w:rPr>
                    <w:t>3</w:t>
                  </w:r>
                </w:p>
              </w:tc>
              <w:tc>
                <w:tcPr>
                  <w:tcW w:w="946" w:type="dxa"/>
                  <w:tcBorders>
                    <w:top w:val="single" w:color="auto" w:sz="4" w:space="0"/>
                    <w:left w:val="nil"/>
                    <w:bottom w:val="single" w:color="auto" w:sz="12" w:space="0"/>
                    <w:right w:val="single" w:color="auto" w:sz="4" w:space="0"/>
                  </w:tcBorders>
                  <w:shd w:val="clear" w:color="auto" w:fill="auto"/>
                  <w:vAlign w:val="center"/>
                </w:tcPr>
                <w:p w14:paraId="6780D662">
                  <w:pPr>
                    <w:widowControl/>
                    <w:jc w:val="center"/>
                    <w:textAlignment w:val="center"/>
                    <w:rPr>
                      <w:szCs w:val="21"/>
                    </w:rPr>
                  </w:pPr>
                  <w:r>
                    <w:rPr>
                      <w:kern w:val="0"/>
                      <w:sz w:val="22"/>
                      <w:szCs w:val="22"/>
                      <w:lang w:bidi="ar"/>
                    </w:rPr>
                    <w:t>56.3%</w:t>
                  </w:r>
                </w:p>
              </w:tc>
              <w:tc>
                <w:tcPr>
                  <w:tcW w:w="1031" w:type="dxa"/>
                  <w:tcBorders>
                    <w:top w:val="single" w:color="auto" w:sz="4" w:space="0"/>
                    <w:left w:val="nil"/>
                    <w:bottom w:val="single" w:color="auto" w:sz="12" w:space="0"/>
                    <w:right w:val="single" w:color="auto" w:sz="12" w:space="0"/>
                  </w:tcBorders>
                  <w:shd w:val="clear" w:color="auto" w:fill="auto"/>
                  <w:vAlign w:val="center"/>
                </w:tcPr>
                <w:p w14:paraId="05F990A7">
                  <w:pPr>
                    <w:pStyle w:val="38"/>
                    <w:widowControl w:val="0"/>
                    <w:shd w:val="clear" w:color="auto" w:fill="FFFFFF"/>
                    <w:autoSpaceDE w:val="0"/>
                    <w:autoSpaceDN w:val="0"/>
                    <w:adjustRightInd w:val="0"/>
                    <w:snapToGrid w:val="0"/>
                    <w:spacing w:before="0" w:beforeAutospacing="0" w:after="0" w:afterAutospacing="0"/>
                    <w:jc w:val="center"/>
                    <w:rPr>
                      <w:rFonts w:ascii="Times New Roman" w:hAnsi="Times New Roman"/>
                      <w:kern w:val="2"/>
                      <w:sz w:val="21"/>
                      <w:szCs w:val="21"/>
                      <w:shd w:val="clear" w:color="auto" w:fill="FFFFFF"/>
                    </w:rPr>
                  </w:pPr>
                  <w:r>
                    <w:rPr>
                      <w:rFonts w:ascii="Times New Roman" w:hAnsi="Times New Roman"/>
                      <w:kern w:val="2"/>
                      <w:sz w:val="21"/>
                      <w:szCs w:val="21"/>
                      <w:shd w:val="clear" w:color="auto" w:fill="FFFFFF"/>
                      <w:lang w:bidi="ar"/>
                    </w:rPr>
                    <w:t>达标</w:t>
                  </w:r>
                </w:p>
              </w:tc>
            </w:tr>
          </w:tbl>
          <w:p w14:paraId="3BE8E11B">
            <w:pPr>
              <w:pStyle w:val="38"/>
              <w:widowControl w:val="0"/>
              <w:spacing w:before="0" w:beforeAutospacing="0" w:after="0" w:afterAutospacing="0" w:line="360" w:lineRule="auto"/>
              <w:ind w:firstLine="480" w:firstLineChars="200"/>
              <w:jc w:val="both"/>
              <w:rPr>
                <w:rFonts w:ascii="Times New Roman" w:hAnsi="Times New Roman"/>
                <w:kern w:val="2"/>
                <w:lang w:bidi="ar"/>
              </w:rPr>
            </w:pPr>
            <w:r>
              <w:rPr>
                <w:rFonts w:ascii="Times New Roman" w:hAnsi="Times New Roman"/>
                <w:kern w:val="2"/>
                <w:lang w:bidi="ar"/>
              </w:rPr>
              <w:t>根据公告内容，宣汉县2023年度主要污染物SO</w:t>
            </w:r>
            <w:r>
              <w:rPr>
                <w:rFonts w:ascii="Times New Roman" w:hAnsi="Times New Roman"/>
                <w:kern w:val="2"/>
                <w:vertAlign w:val="subscript"/>
                <w:lang w:bidi="ar"/>
              </w:rPr>
              <w:t>2</w:t>
            </w:r>
            <w:r>
              <w:rPr>
                <w:rFonts w:ascii="Times New Roman" w:hAnsi="Times New Roman"/>
                <w:kern w:val="2"/>
                <w:lang w:bidi="ar"/>
              </w:rPr>
              <w:t>、NO</w:t>
            </w:r>
            <w:r>
              <w:rPr>
                <w:rFonts w:ascii="Times New Roman" w:hAnsi="Times New Roman"/>
                <w:kern w:val="2"/>
                <w:vertAlign w:val="subscript"/>
                <w:lang w:bidi="ar"/>
              </w:rPr>
              <w:t>2</w:t>
            </w:r>
            <w:r>
              <w:rPr>
                <w:rFonts w:ascii="Times New Roman" w:hAnsi="Times New Roman"/>
                <w:kern w:val="2"/>
                <w:lang w:bidi="ar"/>
              </w:rPr>
              <w:t>、PM</w:t>
            </w:r>
            <w:r>
              <w:rPr>
                <w:rFonts w:ascii="Times New Roman" w:hAnsi="Times New Roman"/>
                <w:kern w:val="2"/>
                <w:vertAlign w:val="subscript"/>
                <w:lang w:bidi="ar"/>
              </w:rPr>
              <w:t>10</w:t>
            </w:r>
            <w:r>
              <w:rPr>
                <w:rFonts w:ascii="Times New Roman" w:hAnsi="Times New Roman"/>
                <w:kern w:val="2"/>
                <w:lang w:bidi="ar"/>
              </w:rPr>
              <w:t>、PM</w:t>
            </w:r>
            <w:r>
              <w:rPr>
                <w:rFonts w:ascii="Times New Roman" w:hAnsi="Times New Roman"/>
                <w:kern w:val="2"/>
                <w:vertAlign w:val="subscript"/>
                <w:lang w:bidi="ar"/>
              </w:rPr>
              <w:t>2.5</w:t>
            </w:r>
            <w:r>
              <w:rPr>
                <w:rFonts w:ascii="Times New Roman" w:hAnsi="Times New Roman"/>
                <w:kern w:val="2"/>
                <w:lang w:bidi="ar"/>
              </w:rPr>
              <w:t>、CO、O</w:t>
            </w:r>
            <w:r>
              <w:rPr>
                <w:rFonts w:ascii="Times New Roman" w:hAnsi="Times New Roman"/>
                <w:kern w:val="2"/>
                <w:vertAlign w:val="subscript"/>
                <w:lang w:bidi="ar"/>
              </w:rPr>
              <w:t>3</w:t>
            </w:r>
            <w:r>
              <w:rPr>
                <w:rFonts w:ascii="Times New Roman" w:hAnsi="Times New Roman"/>
                <w:kern w:val="2"/>
                <w:lang w:bidi="ar"/>
              </w:rPr>
              <w:t>均满足《环境空气质量标准》（GB3095-2012）二级标准要求，</w:t>
            </w:r>
            <w:r>
              <w:rPr>
                <w:rFonts w:hint="eastAsia" w:ascii="Times New Roman" w:hAnsi="Times New Roman"/>
                <w:kern w:val="2"/>
                <w:lang w:bidi="ar"/>
              </w:rPr>
              <w:t>按照</w:t>
            </w:r>
            <w:r>
              <w:rPr>
                <w:rFonts w:ascii="Times New Roman" w:hAnsi="Times New Roman"/>
                <w:kern w:val="2"/>
                <w:lang w:bidi="ar"/>
              </w:rPr>
              <w:t>《环境影响评价技术导则 大气环境》（HJ2.2-2018）区域达标判断标准，宣汉县2023年度区域环境空气质量为达标区。</w:t>
            </w:r>
          </w:p>
          <w:p w14:paraId="3C50D6EE">
            <w:pPr>
              <w:pStyle w:val="341"/>
              <w:ind w:firstLine="480"/>
              <w:rPr>
                <w:sz w:val="24"/>
                <w:szCs w:val="24"/>
              </w:rPr>
            </w:pPr>
            <w:r>
              <w:rPr>
                <w:sz w:val="24"/>
                <w:szCs w:val="24"/>
              </w:rPr>
              <w:t>（2）补充监测</w:t>
            </w:r>
          </w:p>
          <w:p w14:paraId="6889C8B0">
            <w:pPr>
              <w:pStyle w:val="341"/>
              <w:ind w:firstLine="480"/>
              <w:rPr>
                <w:sz w:val="24"/>
                <w:szCs w:val="24"/>
              </w:rPr>
            </w:pPr>
            <w:r>
              <w:rPr>
                <w:sz w:val="24"/>
                <w:szCs w:val="24"/>
              </w:rPr>
              <w:t>①监测点位</w:t>
            </w:r>
          </w:p>
          <w:p w14:paraId="61DE371F">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其他污染物环境质量现状监测内容</w:t>
            </w:r>
          </w:p>
          <w:tbl>
            <w:tblPr>
              <w:tblStyle w:val="44"/>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14:paraId="0BF5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14:paraId="59980B4C">
                  <w:pPr>
                    <w:pStyle w:val="341"/>
                    <w:spacing w:line="240" w:lineRule="auto"/>
                    <w:ind w:firstLine="0" w:firstLineChars="0"/>
                    <w:jc w:val="center"/>
                    <w:rPr>
                      <w:szCs w:val="21"/>
                    </w:rPr>
                  </w:pPr>
                  <w:r>
                    <w:rPr>
                      <w:szCs w:val="21"/>
                    </w:rPr>
                    <w:t>编号</w:t>
                  </w:r>
                </w:p>
              </w:tc>
              <w:tc>
                <w:tcPr>
                  <w:tcW w:w="2060" w:type="dxa"/>
                  <w:vAlign w:val="center"/>
                </w:tcPr>
                <w:p w14:paraId="5EF06041">
                  <w:pPr>
                    <w:pStyle w:val="341"/>
                    <w:spacing w:line="240" w:lineRule="auto"/>
                    <w:ind w:firstLine="0" w:firstLineChars="0"/>
                    <w:jc w:val="center"/>
                    <w:rPr>
                      <w:szCs w:val="21"/>
                    </w:rPr>
                  </w:pPr>
                  <w:r>
                    <w:rPr>
                      <w:szCs w:val="21"/>
                    </w:rPr>
                    <w:t>监测点位</w:t>
                  </w:r>
                </w:p>
              </w:tc>
              <w:tc>
                <w:tcPr>
                  <w:tcW w:w="1372" w:type="dxa"/>
                  <w:vAlign w:val="center"/>
                </w:tcPr>
                <w:p w14:paraId="6815A944">
                  <w:pPr>
                    <w:pStyle w:val="341"/>
                    <w:spacing w:line="240" w:lineRule="auto"/>
                    <w:ind w:firstLine="0" w:firstLineChars="0"/>
                    <w:jc w:val="center"/>
                    <w:rPr>
                      <w:szCs w:val="21"/>
                    </w:rPr>
                  </w:pPr>
                  <w:r>
                    <w:rPr>
                      <w:szCs w:val="21"/>
                    </w:rPr>
                    <w:t>监测因子</w:t>
                  </w:r>
                </w:p>
              </w:tc>
              <w:tc>
                <w:tcPr>
                  <w:tcW w:w="1923" w:type="dxa"/>
                  <w:vAlign w:val="center"/>
                </w:tcPr>
                <w:p w14:paraId="3AB7BE19">
                  <w:pPr>
                    <w:pStyle w:val="341"/>
                    <w:spacing w:line="240" w:lineRule="auto"/>
                    <w:ind w:firstLine="0" w:firstLineChars="0"/>
                    <w:jc w:val="center"/>
                    <w:rPr>
                      <w:szCs w:val="21"/>
                    </w:rPr>
                  </w:pPr>
                  <w:r>
                    <w:rPr>
                      <w:szCs w:val="21"/>
                    </w:rPr>
                    <w:t>监测频次</w:t>
                  </w:r>
                </w:p>
              </w:tc>
              <w:tc>
                <w:tcPr>
                  <w:tcW w:w="1308" w:type="dxa"/>
                  <w:vAlign w:val="center"/>
                </w:tcPr>
                <w:p w14:paraId="69823494">
                  <w:pPr>
                    <w:pStyle w:val="341"/>
                    <w:spacing w:line="240" w:lineRule="auto"/>
                    <w:ind w:firstLine="0" w:firstLineChars="0"/>
                    <w:jc w:val="center"/>
                    <w:rPr>
                      <w:szCs w:val="21"/>
                    </w:rPr>
                  </w:pPr>
                  <w:r>
                    <w:rPr>
                      <w:szCs w:val="21"/>
                    </w:rPr>
                    <w:t>监测时间</w:t>
                  </w:r>
                </w:p>
              </w:tc>
              <w:tc>
                <w:tcPr>
                  <w:tcW w:w="826" w:type="dxa"/>
                  <w:vAlign w:val="center"/>
                </w:tcPr>
                <w:p w14:paraId="393A39B4">
                  <w:pPr>
                    <w:pStyle w:val="341"/>
                    <w:spacing w:line="240" w:lineRule="auto"/>
                    <w:ind w:firstLine="0" w:firstLineChars="0"/>
                    <w:jc w:val="center"/>
                    <w:rPr>
                      <w:szCs w:val="21"/>
                    </w:rPr>
                  </w:pPr>
                  <w:r>
                    <w:rPr>
                      <w:szCs w:val="21"/>
                    </w:rPr>
                    <w:t>备注</w:t>
                  </w:r>
                </w:p>
              </w:tc>
            </w:tr>
            <w:tr w14:paraId="78D9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14:paraId="01A79E09">
                  <w:pPr>
                    <w:pStyle w:val="341"/>
                    <w:spacing w:line="240" w:lineRule="auto"/>
                    <w:ind w:firstLine="0" w:firstLineChars="0"/>
                    <w:jc w:val="center"/>
                    <w:rPr>
                      <w:szCs w:val="21"/>
                    </w:rPr>
                  </w:pPr>
                  <w:r>
                    <w:rPr>
                      <w:szCs w:val="21"/>
                    </w:rPr>
                    <w:t>G1</w:t>
                  </w:r>
                </w:p>
              </w:tc>
              <w:tc>
                <w:tcPr>
                  <w:tcW w:w="2060" w:type="dxa"/>
                  <w:vAlign w:val="center"/>
                </w:tcPr>
                <w:p w14:paraId="5C0E30AE">
                  <w:pPr>
                    <w:pStyle w:val="341"/>
                    <w:spacing w:line="240" w:lineRule="auto"/>
                    <w:ind w:firstLine="0" w:firstLineChars="0"/>
                    <w:jc w:val="center"/>
                    <w:rPr>
                      <w:szCs w:val="21"/>
                    </w:rPr>
                  </w:pPr>
                  <w:r>
                    <w:rPr>
                      <w:rFonts w:hint="eastAsia"/>
                      <w:szCs w:val="21"/>
                    </w:rPr>
                    <w:t>位于</w:t>
                  </w:r>
                  <w:r>
                    <w:rPr>
                      <w:szCs w:val="21"/>
                    </w:rPr>
                    <w:t>井场</w:t>
                  </w:r>
                  <w:r>
                    <w:rPr>
                      <w:rFonts w:hint="eastAsia"/>
                      <w:szCs w:val="21"/>
                    </w:rPr>
                    <w:t>西南侧</w:t>
                  </w:r>
                </w:p>
                <w:p w14:paraId="628B896E">
                  <w:pPr>
                    <w:pStyle w:val="341"/>
                    <w:spacing w:line="240" w:lineRule="auto"/>
                    <w:ind w:firstLine="0" w:firstLineChars="0"/>
                    <w:jc w:val="center"/>
                    <w:rPr>
                      <w:szCs w:val="21"/>
                    </w:rPr>
                  </w:pPr>
                  <w:r>
                    <w:rPr>
                      <w:rFonts w:hint="eastAsia"/>
                      <w:szCs w:val="21"/>
                    </w:rPr>
                    <w:t>属于</w:t>
                  </w:r>
                  <w:r>
                    <w:rPr>
                      <w:szCs w:val="21"/>
                    </w:rPr>
                    <w:t>所在地下风向</w:t>
                  </w:r>
                </w:p>
              </w:tc>
              <w:tc>
                <w:tcPr>
                  <w:tcW w:w="1372" w:type="dxa"/>
                  <w:vAlign w:val="center"/>
                </w:tcPr>
                <w:p w14:paraId="193E6401">
                  <w:pPr>
                    <w:pStyle w:val="341"/>
                    <w:spacing w:line="240" w:lineRule="auto"/>
                    <w:ind w:firstLine="0" w:firstLineChars="0"/>
                    <w:jc w:val="center"/>
                    <w:rPr>
                      <w:szCs w:val="21"/>
                    </w:rPr>
                  </w:pPr>
                  <w:r>
                    <w:rPr>
                      <w:szCs w:val="21"/>
                    </w:rPr>
                    <w:t>H</w:t>
                  </w:r>
                  <w:r>
                    <w:rPr>
                      <w:szCs w:val="21"/>
                      <w:vertAlign w:val="subscript"/>
                    </w:rPr>
                    <w:t>2</w:t>
                  </w:r>
                  <w:r>
                    <w:rPr>
                      <w:szCs w:val="21"/>
                    </w:rPr>
                    <w:t>S</w:t>
                  </w:r>
                </w:p>
              </w:tc>
              <w:tc>
                <w:tcPr>
                  <w:tcW w:w="1923" w:type="dxa"/>
                  <w:vAlign w:val="center"/>
                </w:tcPr>
                <w:p w14:paraId="3A207A2E">
                  <w:pPr>
                    <w:pStyle w:val="341"/>
                    <w:spacing w:line="240" w:lineRule="auto"/>
                    <w:ind w:firstLine="0" w:firstLineChars="0"/>
                    <w:jc w:val="center"/>
                    <w:rPr>
                      <w:szCs w:val="21"/>
                    </w:rPr>
                  </w:pPr>
                  <w:r>
                    <w:rPr>
                      <w:szCs w:val="21"/>
                    </w:rPr>
                    <w:t>连续监测3d，每天等时间段采样4次，取小时均值</w:t>
                  </w:r>
                </w:p>
              </w:tc>
              <w:tc>
                <w:tcPr>
                  <w:tcW w:w="1308" w:type="dxa"/>
                  <w:vAlign w:val="center"/>
                </w:tcPr>
                <w:p w14:paraId="0BA57AC7">
                  <w:pPr>
                    <w:pStyle w:val="341"/>
                    <w:spacing w:line="240" w:lineRule="auto"/>
                    <w:ind w:firstLine="0" w:firstLineChars="0"/>
                    <w:jc w:val="center"/>
                    <w:rPr>
                      <w:szCs w:val="21"/>
                    </w:rPr>
                  </w:pPr>
                  <w:r>
                    <w:rPr>
                      <w:szCs w:val="21"/>
                    </w:rPr>
                    <w:t>202</w:t>
                  </w:r>
                  <w:r>
                    <w:rPr>
                      <w:rFonts w:hint="eastAsia"/>
                      <w:szCs w:val="21"/>
                    </w:rPr>
                    <w:t>5</w:t>
                  </w:r>
                  <w:r>
                    <w:rPr>
                      <w:szCs w:val="21"/>
                    </w:rPr>
                    <w:t>.</w:t>
                  </w:r>
                  <w:r>
                    <w:rPr>
                      <w:rFonts w:hint="eastAsia"/>
                      <w:szCs w:val="21"/>
                    </w:rPr>
                    <w:t>2</w:t>
                  </w:r>
                  <w:r>
                    <w:rPr>
                      <w:szCs w:val="21"/>
                    </w:rPr>
                    <w:t>.</w:t>
                  </w:r>
                  <w:r>
                    <w:rPr>
                      <w:rFonts w:hint="eastAsia"/>
                      <w:szCs w:val="21"/>
                    </w:rPr>
                    <w:t>27</w:t>
                  </w:r>
                  <w:r>
                    <w:rPr>
                      <w:szCs w:val="21"/>
                    </w:rPr>
                    <w:t>~</w:t>
                  </w:r>
                  <w:r>
                    <w:rPr>
                      <w:rFonts w:hint="eastAsia"/>
                      <w:szCs w:val="21"/>
                    </w:rPr>
                    <w:t>3.1</w:t>
                  </w:r>
                </w:p>
              </w:tc>
              <w:tc>
                <w:tcPr>
                  <w:tcW w:w="826" w:type="dxa"/>
                  <w:vAlign w:val="center"/>
                </w:tcPr>
                <w:p w14:paraId="0B57EA2F">
                  <w:pPr>
                    <w:pStyle w:val="341"/>
                    <w:spacing w:line="240" w:lineRule="auto"/>
                    <w:ind w:firstLine="0" w:firstLineChars="0"/>
                    <w:jc w:val="center"/>
                    <w:rPr>
                      <w:szCs w:val="21"/>
                    </w:rPr>
                  </w:pPr>
                  <w:r>
                    <w:rPr>
                      <w:szCs w:val="21"/>
                    </w:rPr>
                    <w:t>实测</w:t>
                  </w:r>
                </w:p>
              </w:tc>
            </w:tr>
          </w:tbl>
          <w:p w14:paraId="19241E16">
            <w:pPr>
              <w:pStyle w:val="341"/>
              <w:ind w:firstLine="480"/>
              <w:rPr>
                <w:sz w:val="24"/>
                <w:szCs w:val="24"/>
              </w:rPr>
            </w:pPr>
            <w:r>
              <w:rPr>
                <w:sz w:val="24"/>
                <w:szCs w:val="24"/>
              </w:rPr>
              <w:t>②评价标准</w:t>
            </w:r>
          </w:p>
          <w:p w14:paraId="1F000A50">
            <w:pPr>
              <w:pStyle w:val="341"/>
              <w:ind w:firstLine="480"/>
              <w:rPr>
                <w:sz w:val="24"/>
                <w:szCs w:val="24"/>
              </w:rPr>
            </w:pPr>
            <w:r>
              <w:rPr>
                <w:sz w:val="24"/>
                <w:szCs w:val="24"/>
              </w:rPr>
              <w:t>本次硫化氢环境质量现状评价，执行标准采用《环境影响评价技术导则大气环境》（HJ2.2-2018）中附录D浓度限值10μg/m</w:t>
            </w:r>
            <w:r>
              <w:rPr>
                <w:sz w:val="24"/>
                <w:szCs w:val="24"/>
                <w:vertAlign w:val="superscript"/>
              </w:rPr>
              <w:t>3</w:t>
            </w:r>
            <w:r>
              <w:rPr>
                <w:sz w:val="24"/>
                <w:szCs w:val="24"/>
              </w:rPr>
              <w:t>。</w:t>
            </w:r>
          </w:p>
          <w:p w14:paraId="44B2F8A5">
            <w:pPr>
              <w:pStyle w:val="341"/>
              <w:ind w:firstLine="480"/>
              <w:rPr>
                <w:sz w:val="24"/>
                <w:szCs w:val="24"/>
              </w:rPr>
            </w:pPr>
            <w:r>
              <w:rPr>
                <w:sz w:val="24"/>
                <w:szCs w:val="24"/>
              </w:rPr>
              <w:t>③评价方法</w:t>
            </w:r>
          </w:p>
          <w:p w14:paraId="4794FBEF">
            <w:pPr>
              <w:pStyle w:val="341"/>
              <w:ind w:firstLine="480"/>
              <w:rPr>
                <w:sz w:val="24"/>
                <w:szCs w:val="24"/>
              </w:rPr>
            </w:pPr>
            <w:r>
              <w:rPr>
                <w:sz w:val="24"/>
                <w:szCs w:val="24"/>
              </w:rPr>
              <w:t>环境空气质量现状评价方法采用最大占标率法，当取值时间最大浓度值占相应标准浓度限值的百分比大于或等于100％时，表明环境空气质量超标。计算公式如下：</w:t>
            </w:r>
          </w:p>
          <w:p w14:paraId="70727D61">
            <w:pPr>
              <w:pStyle w:val="341"/>
              <w:ind w:firstLine="0" w:firstLineChars="0"/>
              <w:jc w:val="center"/>
              <w:rPr>
                <w:sz w:val="24"/>
                <w:szCs w:val="24"/>
              </w:rPr>
            </w:pPr>
            <w:r>
              <w:rPr>
                <w:sz w:val="24"/>
                <w:szCs w:val="24"/>
              </w:rPr>
              <w:fldChar w:fldCharType="begin"/>
            </w:r>
            <w:r>
              <w:rPr>
                <w:sz w:val="24"/>
                <w:szCs w:val="24"/>
              </w:rPr>
              <w:instrText xml:space="preserve"> INCLUDEPICTURE "C:\\Users\\73603\\AppData\\Local\\Temp\\ksohtml5344\\wps3.png" \* MERGEFORMATINET </w:instrText>
            </w:r>
            <w:r>
              <w:rPr>
                <w:sz w:val="24"/>
                <w:szCs w:val="24"/>
              </w:rPr>
              <w:fldChar w:fldCharType="separate"/>
            </w:r>
            <w:r>
              <w:rPr>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7"/>
                          <a:stretch>
                            <a:fillRect/>
                          </a:stretch>
                        </pic:blipFill>
                        <pic:spPr>
                          <a:xfrm>
                            <a:off x="0" y="0"/>
                            <a:ext cx="1036955" cy="447040"/>
                          </a:xfrm>
                          <a:prstGeom prst="rect">
                            <a:avLst/>
                          </a:prstGeom>
                          <a:noFill/>
                          <a:ln>
                            <a:noFill/>
                          </a:ln>
                        </pic:spPr>
                      </pic:pic>
                    </a:graphicData>
                  </a:graphic>
                </wp:inline>
              </w:drawing>
            </w:r>
            <w:r>
              <w:rPr>
                <w:sz w:val="24"/>
                <w:szCs w:val="24"/>
              </w:rPr>
              <w:fldChar w:fldCharType="end"/>
            </w:r>
          </w:p>
          <w:p w14:paraId="3EFD243E">
            <w:pPr>
              <w:pStyle w:val="341"/>
              <w:ind w:firstLine="480"/>
              <w:rPr>
                <w:sz w:val="24"/>
                <w:szCs w:val="24"/>
              </w:rPr>
            </w:pPr>
            <w:r>
              <w:rPr>
                <w:sz w:val="24"/>
                <w:szCs w:val="24"/>
              </w:rPr>
              <w:t>式中：Pi——某污染物i的占标率；</w:t>
            </w:r>
          </w:p>
          <w:p w14:paraId="594445C7">
            <w:pPr>
              <w:pStyle w:val="341"/>
              <w:ind w:firstLine="480"/>
              <w:rPr>
                <w:sz w:val="24"/>
                <w:szCs w:val="24"/>
              </w:rPr>
            </w:pPr>
            <w:r>
              <w:rPr>
                <w:sz w:val="24"/>
                <w:szCs w:val="24"/>
              </w:rPr>
              <w:t xml:space="preserve">      Ci——i污染物的监测浓度值，mg/m</w:t>
            </w:r>
            <w:r>
              <w:rPr>
                <w:sz w:val="24"/>
                <w:szCs w:val="24"/>
                <w:vertAlign w:val="superscript"/>
              </w:rPr>
              <w:t>3</w:t>
            </w:r>
            <w:r>
              <w:rPr>
                <w:sz w:val="24"/>
                <w:szCs w:val="24"/>
              </w:rPr>
              <w:t>；</w:t>
            </w:r>
          </w:p>
          <w:p w14:paraId="364F9D5F">
            <w:pPr>
              <w:pStyle w:val="341"/>
              <w:ind w:firstLine="480"/>
              <w:rPr>
                <w:sz w:val="24"/>
                <w:szCs w:val="24"/>
              </w:rPr>
            </w:pPr>
            <w:r>
              <w:rPr>
                <w:sz w:val="24"/>
                <w:szCs w:val="24"/>
              </w:rPr>
              <w:t xml:space="preserve">      C0i——i污染物相应的环境质量标准，mg/m</w:t>
            </w:r>
            <w:r>
              <w:rPr>
                <w:sz w:val="24"/>
                <w:szCs w:val="24"/>
                <w:vertAlign w:val="superscript"/>
              </w:rPr>
              <w:t>3</w:t>
            </w:r>
            <w:r>
              <w:rPr>
                <w:sz w:val="24"/>
                <w:szCs w:val="24"/>
              </w:rPr>
              <w:t>。</w:t>
            </w:r>
          </w:p>
          <w:p w14:paraId="7C7D6730">
            <w:pPr>
              <w:pStyle w:val="341"/>
              <w:ind w:firstLine="480"/>
              <w:rPr>
                <w:sz w:val="24"/>
                <w:szCs w:val="24"/>
              </w:rPr>
            </w:pPr>
            <w:r>
              <w:rPr>
                <w:sz w:val="24"/>
                <w:szCs w:val="24"/>
              </w:rPr>
              <w:t>⑤监测结果</w:t>
            </w:r>
          </w:p>
          <w:p w14:paraId="41A74157">
            <w:pPr>
              <w:pStyle w:val="341"/>
              <w:ind w:firstLine="480"/>
              <w:rPr>
                <w:sz w:val="24"/>
                <w:szCs w:val="24"/>
              </w:rPr>
            </w:pPr>
            <w:r>
              <w:rPr>
                <w:sz w:val="24"/>
                <w:szCs w:val="24"/>
              </w:rPr>
              <w:t>环境空气质量现状监测数据统计及评价结果见表3-3。</w:t>
            </w:r>
          </w:p>
          <w:p w14:paraId="55E493A5">
            <w:pPr>
              <w:pStyle w:val="333"/>
              <w:numPr>
                <w:ilvl w:val="0"/>
                <w:numId w:val="8"/>
              </w:numPr>
              <w:adjustRightInd w:val="0"/>
              <w:snapToGrid w:val="0"/>
              <w:spacing w:line="360" w:lineRule="auto"/>
              <w:ind w:left="0" w:firstLine="0" w:firstLineChars="0"/>
              <w:jc w:val="center"/>
              <w:rPr>
                <w:b/>
                <w:bCs/>
                <w:sz w:val="24"/>
              </w:rPr>
            </w:pPr>
            <w:r>
              <w:rPr>
                <w:b/>
                <w:bCs/>
                <w:sz w:val="24"/>
              </w:rPr>
              <w:t xml:space="preserve"> 环境空气质量现状监测数据统计及评价结果   单位：mg/m</w:t>
            </w:r>
            <w:r>
              <w:rPr>
                <w:b/>
                <w:bCs/>
                <w:sz w:val="24"/>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14:paraId="5CBBB7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4" w:space="0"/>
                    <w:left w:val="single" w:color="auto" w:sz="4" w:space="0"/>
                    <w:bottom w:val="single" w:color="auto" w:sz="6" w:space="0"/>
                    <w:right w:val="single" w:color="auto" w:sz="6" w:space="0"/>
                  </w:tcBorders>
                  <w:vAlign w:val="center"/>
                </w:tcPr>
                <w:p w14:paraId="1985A371">
                  <w:pPr>
                    <w:pStyle w:val="341"/>
                    <w:spacing w:line="240" w:lineRule="auto"/>
                    <w:ind w:firstLine="0" w:firstLineChars="0"/>
                    <w:jc w:val="center"/>
                    <w:rPr>
                      <w:szCs w:val="21"/>
                    </w:rPr>
                  </w:pPr>
                  <w:r>
                    <w:rPr>
                      <w:szCs w:val="21"/>
                    </w:rPr>
                    <w:t>污染物</w:t>
                  </w:r>
                </w:p>
              </w:tc>
              <w:tc>
                <w:tcPr>
                  <w:tcW w:w="1243" w:type="dxa"/>
                  <w:tcBorders>
                    <w:top w:val="single" w:color="auto" w:sz="4" w:space="0"/>
                    <w:left w:val="single" w:color="auto" w:sz="6" w:space="0"/>
                    <w:bottom w:val="single" w:color="auto" w:sz="6" w:space="0"/>
                    <w:right w:val="single" w:color="auto" w:sz="6" w:space="0"/>
                  </w:tcBorders>
                  <w:vAlign w:val="center"/>
                </w:tcPr>
                <w:p w14:paraId="16642599">
                  <w:pPr>
                    <w:pStyle w:val="341"/>
                    <w:spacing w:line="240" w:lineRule="auto"/>
                    <w:ind w:firstLine="0" w:firstLineChars="0"/>
                    <w:jc w:val="center"/>
                    <w:rPr>
                      <w:szCs w:val="21"/>
                    </w:rPr>
                  </w:pPr>
                  <w:r>
                    <w:rPr>
                      <w:szCs w:val="21"/>
                    </w:rPr>
                    <w:t>标准值</w:t>
                  </w:r>
                </w:p>
              </w:tc>
              <w:tc>
                <w:tcPr>
                  <w:tcW w:w="1243" w:type="dxa"/>
                  <w:tcBorders>
                    <w:top w:val="single" w:color="auto" w:sz="4" w:space="0"/>
                    <w:left w:val="single" w:color="auto" w:sz="6" w:space="0"/>
                    <w:bottom w:val="single" w:color="auto" w:sz="6" w:space="0"/>
                    <w:right w:val="single" w:color="auto" w:sz="6" w:space="0"/>
                  </w:tcBorders>
                  <w:vAlign w:val="center"/>
                </w:tcPr>
                <w:p w14:paraId="724A899E">
                  <w:pPr>
                    <w:pStyle w:val="341"/>
                    <w:spacing w:line="240" w:lineRule="auto"/>
                    <w:ind w:firstLine="0" w:firstLineChars="0"/>
                    <w:jc w:val="center"/>
                    <w:rPr>
                      <w:szCs w:val="21"/>
                    </w:rPr>
                  </w:pPr>
                  <w:r>
                    <w:rPr>
                      <w:szCs w:val="21"/>
                    </w:rPr>
                    <w:t>监测值</w:t>
                  </w:r>
                </w:p>
              </w:tc>
              <w:tc>
                <w:tcPr>
                  <w:tcW w:w="1242" w:type="dxa"/>
                  <w:tcBorders>
                    <w:top w:val="single" w:color="auto" w:sz="4" w:space="0"/>
                    <w:left w:val="single" w:color="auto" w:sz="6" w:space="0"/>
                    <w:bottom w:val="single" w:color="auto" w:sz="6" w:space="0"/>
                    <w:right w:val="single" w:color="auto" w:sz="6" w:space="0"/>
                  </w:tcBorders>
                  <w:vAlign w:val="center"/>
                </w:tcPr>
                <w:p w14:paraId="3827C8D6">
                  <w:pPr>
                    <w:pStyle w:val="341"/>
                    <w:spacing w:line="240" w:lineRule="auto"/>
                    <w:ind w:firstLine="0" w:firstLineChars="0"/>
                    <w:jc w:val="center"/>
                    <w:rPr>
                      <w:szCs w:val="21"/>
                    </w:rPr>
                  </w:pPr>
                  <w:r>
                    <w:rPr>
                      <w:szCs w:val="21"/>
                    </w:rPr>
                    <w:t>超标率</w:t>
                  </w:r>
                  <w:r>
                    <w:rPr>
                      <w:rFonts w:hint="eastAsia"/>
                      <w:szCs w:val="21"/>
                    </w:rPr>
                    <w:t>（</w:t>
                  </w:r>
                  <w:r>
                    <w:rPr>
                      <w:szCs w:val="21"/>
                    </w:rPr>
                    <w:t>%</w:t>
                  </w:r>
                  <w:r>
                    <w:rPr>
                      <w:rFonts w:hint="eastAsia"/>
                      <w:szCs w:val="21"/>
                    </w:rPr>
                    <w:t>）</w:t>
                  </w:r>
                </w:p>
              </w:tc>
              <w:tc>
                <w:tcPr>
                  <w:tcW w:w="1483" w:type="dxa"/>
                  <w:tcBorders>
                    <w:top w:val="single" w:color="auto" w:sz="4" w:space="0"/>
                    <w:left w:val="single" w:color="auto" w:sz="6" w:space="0"/>
                    <w:bottom w:val="single" w:color="auto" w:sz="6" w:space="0"/>
                    <w:right w:val="single" w:color="auto" w:sz="6" w:space="0"/>
                  </w:tcBorders>
                  <w:vAlign w:val="center"/>
                </w:tcPr>
                <w:p w14:paraId="1BE687E6">
                  <w:pPr>
                    <w:pStyle w:val="341"/>
                    <w:spacing w:line="240" w:lineRule="auto"/>
                    <w:ind w:firstLine="0" w:firstLineChars="0"/>
                    <w:jc w:val="center"/>
                    <w:rPr>
                      <w:szCs w:val="21"/>
                    </w:rPr>
                  </w:pPr>
                  <w:r>
                    <w:rPr>
                      <w:szCs w:val="21"/>
                    </w:rPr>
                    <w:t>最大超标倍数</w:t>
                  </w:r>
                </w:p>
              </w:tc>
              <w:tc>
                <w:tcPr>
                  <w:tcW w:w="1224" w:type="dxa"/>
                  <w:tcBorders>
                    <w:top w:val="single" w:color="auto" w:sz="4" w:space="0"/>
                    <w:left w:val="single" w:color="auto" w:sz="6" w:space="0"/>
                    <w:bottom w:val="single" w:color="auto" w:sz="6" w:space="0"/>
                    <w:right w:val="single" w:color="auto" w:sz="4" w:space="0"/>
                  </w:tcBorders>
                  <w:vAlign w:val="center"/>
                </w:tcPr>
                <w:p w14:paraId="0E0336A0">
                  <w:pPr>
                    <w:pStyle w:val="341"/>
                    <w:spacing w:line="240" w:lineRule="auto"/>
                    <w:ind w:firstLine="0" w:firstLineChars="0"/>
                    <w:jc w:val="center"/>
                    <w:rPr>
                      <w:szCs w:val="21"/>
                    </w:rPr>
                  </w:pPr>
                  <w:r>
                    <w:rPr>
                      <w:szCs w:val="21"/>
                    </w:rPr>
                    <w:t>占标率</w:t>
                  </w:r>
                  <w:r>
                    <w:rPr>
                      <w:rFonts w:hint="eastAsia"/>
                      <w:szCs w:val="21"/>
                    </w:rPr>
                    <w:t>（</w:t>
                  </w:r>
                  <w:r>
                    <w:rPr>
                      <w:szCs w:val="21"/>
                    </w:rPr>
                    <w:t>%</w:t>
                  </w:r>
                  <w:r>
                    <w:rPr>
                      <w:rFonts w:hint="eastAsia"/>
                      <w:szCs w:val="21"/>
                    </w:rPr>
                    <w:t>）</w:t>
                  </w:r>
                </w:p>
              </w:tc>
            </w:tr>
            <w:tr w14:paraId="08721A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6" w:space="0"/>
                    <w:left w:val="single" w:color="auto" w:sz="4" w:space="0"/>
                    <w:bottom w:val="single" w:color="auto" w:sz="6" w:space="0"/>
                    <w:right w:val="single" w:color="auto" w:sz="6" w:space="0"/>
                  </w:tcBorders>
                  <w:vAlign w:val="center"/>
                </w:tcPr>
                <w:p w14:paraId="637EF0EF">
                  <w:pPr>
                    <w:pStyle w:val="341"/>
                    <w:spacing w:line="240" w:lineRule="auto"/>
                    <w:ind w:firstLine="0" w:firstLineChars="0"/>
                    <w:jc w:val="center"/>
                    <w:rPr>
                      <w:szCs w:val="21"/>
                    </w:rPr>
                  </w:pPr>
                  <w:r>
                    <w:rPr>
                      <w:szCs w:val="21"/>
                    </w:rPr>
                    <w:t>H</w:t>
                  </w:r>
                  <w:r>
                    <w:rPr>
                      <w:szCs w:val="21"/>
                      <w:vertAlign w:val="subscript"/>
                    </w:rPr>
                    <w:t>2</w:t>
                  </w:r>
                  <w:r>
                    <w:rPr>
                      <w:szCs w:val="21"/>
                    </w:rPr>
                    <w:t>S</w:t>
                  </w:r>
                </w:p>
              </w:tc>
              <w:tc>
                <w:tcPr>
                  <w:tcW w:w="1243" w:type="dxa"/>
                  <w:tcBorders>
                    <w:top w:val="single" w:color="auto" w:sz="6" w:space="0"/>
                    <w:left w:val="single" w:color="auto" w:sz="6" w:space="0"/>
                    <w:bottom w:val="single" w:color="auto" w:sz="6" w:space="0"/>
                    <w:right w:val="single" w:color="auto" w:sz="6" w:space="0"/>
                  </w:tcBorders>
                  <w:vAlign w:val="center"/>
                </w:tcPr>
                <w:p w14:paraId="36BC11B0">
                  <w:pPr>
                    <w:pStyle w:val="341"/>
                    <w:spacing w:line="240" w:lineRule="auto"/>
                    <w:ind w:firstLine="0" w:firstLineChars="0"/>
                    <w:jc w:val="center"/>
                    <w:rPr>
                      <w:szCs w:val="21"/>
                    </w:rPr>
                  </w:pPr>
                  <w:r>
                    <w:rPr>
                      <w:szCs w:val="21"/>
                    </w:rPr>
                    <w:t>0.01</w:t>
                  </w:r>
                </w:p>
              </w:tc>
              <w:tc>
                <w:tcPr>
                  <w:tcW w:w="1243" w:type="dxa"/>
                  <w:tcBorders>
                    <w:top w:val="single" w:color="auto" w:sz="6" w:space="0"/>
                    <w:left w:val="single" w:color="auto" w:sz="6" w:space="0"/>
                    <w:bottom w:val="single" w:color="auto" w:sz="6" w:space="0"/>
                    <w:right w:val="single" w:color="auto" w:sz="6" w:space="0"/>
                  </w:tcBorders>
                  <w:vAlign w:val="center"/>
                </w:tcPr>
                <w:p w14:paraId="501A5311">
                  <w:pPr>
                    <w:pStyle w:val="341"/>
                    <w:spacing w:line="240" w:lineRule="auto"/>
                    <w:ind w:firstLine="0" w:firstLineChars="0"/>
                    <w:jc w:val="center"/>
                    <w:rPr>
                      <w:szCs w:val="21"/>
                    </w:rPr>
                  </w:pPr>
                  <w:r>
                    <w:rPr>
                      <w:rFonts w:hint="eastAsia"/>
                      <w:szCs w:val="21"/>
                      <w:lang w:val="en-US" w:eastAsia="zh-CN"/>
                    </w:rPr>
                    <w:t>*</w:t>
                  </w:r>
                </w:p>
              </w:tc>
              <w:tc>
                <w:tcPr>
                  <w:tcW w:w="1242" w:type="dxa"/>
                  <w:tcBorders>
                    <w:top w:val="single" w:color="auto" w:sz="6" w:space="0"/>
                    <w:left w:val="single" w:color="auto" w:sz="6" w:space="0"/>
                    <w:bottom w:val="single" w:color="auto" w:sz="6" w:space="0"/>
                    <w:right w:val="single" w:color="auto" w:sz="6" w:space="0"/>
                  </w:tcBorders>
                  <w:vAlign w:val="center"/>
                </w:tcPr>
                <w:p w14:paraId="18B661AA">
                  <w:pPr>
                    <w:pStyle w:val="341"/>
                    <w:spacing w:line="240" w:lineRule="auto"/>
                    <w:ind w:firstLine="0" w:firstLineChars="0"/>
                    <w:jc w:val="center"/>
                    <w:rPr>
                      <w:szCs w:val="21"/>
                    </w:rPr>
                  </w:pPr>
                  <w:r>
                    <w:rPr>
                      <w:szCs w:val="21"/>
                    </w:rPr>
                    <w:t>0</w:t>
                  </w:r>
                </w:p>
              </w:tc>
              <w:tc>
                <w:tcPr>
                  <w:tcW w:w="1483" w:type="dxa"/>
                  <w:tcBorders>
                    <w:top w:val="single" w:color="auto" w:sz="6" w:space="0"/>
                    <w:left w:val="single" w:color="auto" w:sz="6" w:space="0"/>
                    <w:bottom w:val="single" w:color="auto" w:sz="6" w:space="0"/>
                    <w:right w:val="single" w:color="auto" w:sz="6" w:space="0"/>
                  </w:tcBorders>
                  <w:vAlign w:val="center"/>
                </w:tcPr>
                <w:p w14:paraId="5966504C">
                  <w:pPr>
                    <w:pStyle w:val="341"/>
                    <w:spacing w:line="240" w:lineRule="auto"/>
                    <w:ind w:firstLine="0" w:firstLineChars="0"/>
                    <w:jc w:val="center"/>
                    <w:rPr>
                      <w:szCs w:val="21"/>
                    </w:rPr>
                  </w:pPr>
                  <w:r>
                    <w:rPr>
                      <w:szCs w:val="21"/>
                    </w:rPr>
                    <w:t>/</w:t>
                  </w:r>
                </w:p>
              </w:tc>
              <w:tc>
                <w:tcPr>
                  <w:tcW w:w="1224" w:type="dxa"/>
                  <w:tcBorders>
                    <w:top w:val="single" w:color="auto" w:sz="6" w:space="0"/>
                    <w:left w:val="single" w:color="auto" w:sz="6" w:space="0"/>
                    <w:bottom w:val="single" w:color="auto" w:sz="6" w:space="0"/>
                    <w:right w:val="single" w:color="auto" w:sz="4" w:space="0"/>
                  </w:tcBorders>
                  <w:vAlign w:val="center"/>
                </w:tcPr>
                <w:p w14:paraId="056BB287">
                  <w:pPr>
                    <w:pStyle w:val="341"/>
                    <w:spacing w:line="240" w:lineRule="auto"/>
                    <w:ind w:firstLine="0" w:firstLineChars="0"/>
                    <w:jc w:val="center"/>
                    <w:rPr>
                      <w:szCs w:val="21"/>
                    </w:rPr>
                  </w:pPr>
                  <w:r>
                    <w:rPr>
                      <w:szCs w:val="21"/>
                    </w:rPr>
                    <w:t>/</w:t>
                  </w:r>
                </w:p>
              </w:tc>
            </w:tr>
          </w:tbl>
          <w:p w14:paraId="42E2D1AA">
            <w:pPr>
              <w:pStyle w:val="341"/>
              <w:ind w:firstLine="480"/>
              <w:rPr>
                <w:sz w:val="24"/>
                <w:szCs w:val="24"/>
              </w:rPr>
            </w:pPr>
            <w:r>
              <w:rPr>
                <w:sz w:val="24"/>
                <w:szCs w:val="24"/>
              </w:rPr>
              <w:t>本项目拟建地环境空气中特征污染物硫化氢现状监测值均低于《环境影响评价技术导则大气环境》（HJ2.2-2018）中附录D标准限值。</w:t>
            </w:r>
          </w:p>
          <w:p w14:paraId="708135EC">
            <w:pPr>
              <w:adjustRightInd w:val="0"/>
              <w:snapToGrid w:val="0"/>
              <w:spacing w:line="360" w:lineRule="auto"/>
              <w:ind w:firstLine="482" w:firstLineChars="200"/>
              <w:rPr>
                <w:b/>
                <w:bCs/>
                <w:sz w:val="24"/>
                <w:lang w:bidi="ar"/>
              </w:rPr>
            </w:pPr>
            <w:r>
              <w:rPr>
                <w:b/>
                <w:bCs/>
                <w:sz w:val="24"/>
                <w:lang w:bidi="ar"/>
              </w:rPr>
              <w:t>2、地表水环境</w:t>
            </w:r>
          </w:p>
          <w:p w14:paraId="23928E59">
            <w:pPr>
              <w:adjustRightInd w:val="0"/>
              <w:snapToGrid w:val="0"/>
              <w:spacing w:line="360" w:lineRule="auto"/>
              <w:ind w:firstLine="480" w:firstLineChars="200"/>
              <w:rPr>
                <w:color w:val="auto"/>
              </w:rPr>
            </w:pPr>
            <w:r>
              <w:rPr>
                <w:rFonts w:hint="eastAsia"/>
                <w:color w:val="auto"/>
                <w:kern w:val="0"/>
                <w:sz w:val="24"/>
              </w:rPr>
              <w:t>本项目周边地表水体主要为魏家河，由项目南侧无名溪沟汇入魏家河，最终汇入州河，属于州河分支，项目不涉及饮用水源保护区，</w:t>
            </w:r>
            <w:r>
              <w:rPr>
                <w:color w:val="auto"/>
                <w:kern w:val="0"/>
                <w:sz w:val="24"/>
              </w:rPr>
              <w:t>根据</w:t>
            </w:r>
            <w:r>
              <w:rPr>
                <w:rFonts w:hint="eastAsia"/>
                <w:color w:val="auto"/>
                <w:kern w:val="0"/>
                <w:sz w:val="24"/>
              </w:rPr>
              <w:t>达州市生态环境局发布的</w:t>
            </w:r>
            <w:r>
              <w:rPr>
                <w:color w:val="auto"/>
                <w:kern w:val="0"/>
                <w:sz w:val="24"/>
              </w:rPr>
              <w:t>《202</w:t>
            </w:r>
            <w:r>
              <w:rPr>
                <w:rFonts w:hint="eastAsia"/>
                <w:color w:val="auto"/>
                <w:kern w:val="0"/>
                <w:sz w:val="24"/>
              </w:rPr>
              <w:t>5</w:t>
            </w:r>
            <w:r>
              <w:rPr>
                <w:color w:val="auto"/>
                <w:kern w:val="0"/>
                <w:sz w:val="24"/>
              </w:rPr>
              <w:t>年</w:t>
            </w:r>
            <w:r>
              <w:rPr>
                <w:rFonts w:hint="eastAsia"/>
                <w:color w:val="auto"/>
                <w:kern w:val="0"/>
                <w:sz w:val="24"/>
              </w:rPr>
              <w:t>2</w:t>
            </w:r>
            <w:r>
              <w:rPr>
                <w:color w:val="auto"/>
                <w:kern w:val="0"/>
                <w:sz w:val="24"/>
              </w:rPr>
              <w:t>月达州市地表水水质月报》：2025年2月全市37个河流断面中，优（I~II类）、良（III类）水质 断面36个，占比97.3%，平滩河碧山中学断面水质为IV类，轻度污染。</w:t>
            </w:r>
          </w:p>
          <w:p w14:paraId="0BE1F0A6">
            <w:pPr>
              <w:pStyle w:val="333"/>
              <w:numPr>
                <w:ilvl w:val="0"/>
                <w:numId w:val="8"/>
              </w:numPr>
              <w:adjustRightInd w:val="0"/>
              <w:snapToGrid w:val="0"/>
              <w:spacing w:line="360" w:lineRule="auto"/>
              <w:ind w:left="0" w:firstLine="0" w:firstLineChars="0"/>
              <w:jc w:val="center"/>
              <w:rPr>
                <w:color w:val="auto"/>
                <w:kern w:val="0"/>
                <w:sz w:val="24"/>
              </w:rPr>
            </w:pPr>
            <w:r>
              <w:rPr>
                <w:color w:val="auto"/>
                <w:kern w:val="0"/>
                <w:sz w:val="24"/>
              </w:rPr>
              <w:t xml:space="preserve"> 202</w:t>
            </w:r>
            <w:r>
              <w:rPr>
                <w:rFonts w:hint="eastAsia"/>
                <w:color w:val="auto"/>
                <w:kern w:val="0"/>
                <w:sz w:val="24"/>
              </w:rPr>
              <w:t>5</w:t>
            </w:r>
            <w:r>
              <w:rPr>
                <w:color w:val="auto"/>
                <w:kern w:val="0"/>
                <w:sz w:val="24"/>
              </w:rPr>
              <w:t>年</w:t>
            </w:r>
            <w:r>
              <w:rPr>
                <w:rFonts w:hint="eastAsia"/>
                <w:color w:val="auto"/>
                <w:kern w:val="0"/>
                <w:sz w:val="24"/>
              </w:rPr>
              <w:t>2</w:t>
            </w:r>
            <w:r>
              <w:rPr>
                <w:color w:val="auto"/>
                <w:kern w:val="0"/>
                <w:sz w:val="24"/>
              </w:rPr>
              <w:t>月达州市河流水质评价结果表</w:t>
            </w:r>
          </w:p>
          <w:tbl>
            <w:tblPr>
              <w:tblStyle w:val="44"/>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14:paraId="7FEC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18" w:type="dxa"/>
                  <w:tcBorders>
                    <w:top w:val="single" w:color="auto" w:sz="12" w:space="0"/>
                  </w:tcBorders>
                  <w:vAlign w:val="center"/>
                </w:tcPr>
                <w:p w14:paraId="26ECD9E8">
                  <w:pPr>
                    <w:pStyle w:val="341"/>
                    <w:spacing w:line="240" w:lineRule="auto"/>
                    <w:ind w:firstLine="0" w:firstLineChars="0"/>
                    <w:jc w:val="center"/>
                    <w:rPr>
                      <w:color w:val="auto"/>
                      <w:szCs w:val="21"/>
                    </w:rPr>
                  </w:pPr>
                  <w:r>
                    <w:rPr>
                      <w:color w:val="auto"/>
                      <w:szCs w:val="21"/>
                    </w:rPr>
                    <w:t>序号</w:t>
                  </w:r>
                </w:p>
              </w:tc>
              <w:tc>
                <w:tcPr>
                  <w:tcW w:w="1437" w:type="dxa"/>
                  <w:gridSpan w:val="2"/>
                  <w:tcBorders>
                    <w:top w:val="single" w:color="auto" w:sz="12" w:space="0"/>
                  </w:tcBorders>
                  <w:vAlign w:val="center"/>
                </w:tcPr>
                <w:p w14:paraId="22476C3F">
                  <w:pPr>
                    <w:pStyle w:val="341"/>
                    <w:spacing w:line="240" w:lineRule="auto"/>
                    <w:ind w:firstLine="0" w:firstLineChars="0"/>
                    <w:jc w:val="center"/>
                    <w:rPr>
                      <w:color w:val="auto"/>
                      <w:szCs w:val="21"/>
                    </w:rPr>
                  </w:pPr>
                  <w:r>
                    <w:rPr>
                      <w:color w:val="auto"/>
                      <w:szCs w:val="21"/>
                    </w:rPr>
                    <w:t>河流</w:t>
                  </w:r>
                </w:p>
              </w:tc>
              <w:tc>
                <w:tcPr>
                  <w:tcW w:w="899" w:type="dxa"/>
                  <w:tcBorders>
                    <w:top w:val="single" w:color="auto" w:sz="12" w:space="0"/>
                  </w:tcBorders>
                  <w:vAlign w:val="center"/>
                </w:tcPr>
                <w:p w14:paraId="4A900DDA">
                  <w:pPr>
                    <w:pStyle w:val="341"/>
                    <w:spacing w:line="240" w:lineRule="auto"/>
                    <w:ind w:firstLine="0" w:firstLineChars="0"/>
                    <w:jc w:val="center"/>
                    <w:rPr>
                      <w:color w:val="auto"/>
                      <w:szCs w:val="21"/>
                    </w:rPr>
                  </w:pPr>
                  <w:r>
                    <w:rPr>
                      <w:color w:val="auto"/>
                      <w:szCs w:val="21"/>
                    </w:rPr>
                    <w:t>断面名称</w:t>
                  </w:r>
                </w:p>
              </w:tc>
              <w:tc>
                <w:tcPr>
                  <w:tcW w:w="1497" w:type="dxa"/>
                  <w:tcBorders>
                    <w:top w:val="single" w:color="auto" w:sz="12" w:space="0"/>
                  </w:tcBorders>
                  <w:vAlign w:val="center"/>
                </w:tcPr>
                <w:p w14:paraId="2F5DA8DC">
                  <w:pPr>
                    <w:pStyle w:val="341"/>
                    <w:spacing w:line="240" w:lineRule="auto"/>
                    <w:ind w:firstLine="0" w:firstLineChars="0"/>
                    <w:jc w:val="center"/>
                    <w:rPr>
                      <w:color w:val="auto"/>
                      <w:szCs w:val="21"/>
                    </w:rPr>
                  </w:pPr>
                  <w:r>
                    <w:rPr>
                      <w:color w:val="auto"/>
                      <w:szCs w:val="21"/>
                    </w:rPr>
                    <w:t>断面属性</w:t>
                  </w:r>
                </w:p>
              </w:tc>
              <w:tc>
                <w:tcPr>
                  <w:tcW w:w="899" w:type="dxa"/>
                  <w:tcBorders>
                    <w:top w:val="single" w:color="auto" w:sz="12" w:space="0"/>
                  </w:tcBorders>
                  <w:vAlign w:val="center"/>
                </w:tcPr>
                <w:p w14:paraId="54E3F736">
                  <w:pPr>
                    <w:pStyle w:val="341"/>
                    <w:spacing w:line="240" w:lineRule="auto"/>
                    <w:ind w:firstLine="0" w:firstLineChars="0"/>
                    <w:jc w:val="center"/>
                    <w:rPr>
                      <w:color w:val="auto"/>
                      <w:szCs w:val="21"/>
                    </w:rPr>
                  </w:pPr>
                  <w:r>
                    <w:rPr>
                      <w:color w:val="auto"/>
                      <w:szCs w:val="21"/>
                    </w:rPr>
                    <w:t>断面性质</w:t>
                  </w:r>
                </w:p>
              </w:tc>
              <w:tc>
                <w:tcPr>
                  <w:tcW w:w="531" w:type="dxa"/>
                  <w:tcBorders>
                    <w:top w:val="single" w:color="auto" w:sz="12" w:space="0"/>
                  </w:tcBorders>
                  <w:vAlign w:val="center"/>
                </w:tcPr>
                <w:p w14:paraId="2FB8A8EC">
                  <w:pPr>
                    <w:pStyle w:val="341"/>
                    <w:spacing w:line="240" w:lineRule="auto"/>
                    <w:ind w:firstLine="0" w:firstLineChars="0"/>
                    <w:jc w:val="center"/>
                    <w:rPr>
                      <w:color w:val="auto"/>
                      <w:szCs w:val="21"/>
                    </w:rPr>
                  </w:pPr>
                  <w:r>
                    <w:rPr>
                      <w:color w:val="auto"/>
                      <w:szCs w:val="21"/>
                    </w:rPr>
                    <w:t>上年</w:t>
                  </w:r>
                </w:p>
                <w:p w14:paraId="41E2DCBC">
                  <w:pPr>
                    <w:pStyle w:val="341"/>
                    <w:spacing w:line="240" w:lineRule="auto"/>
                    <w:ind w:firstLine="0" w:firstLineChars="0"/>
                    <w:jc w:val="center"/>
                    <w:rPr>
                      <w:color w:val="auto"/>
                      <w:szCs w:val="21"/>
                    </w:rPr>
                  </w:pPr>
                  <w:r>
                    <w:rPr>
                      <w:color w:val="auto"/>
                      <w:szCs w:val="21"/>
                    </w:rPr>
                    <w:t>同期</w:t>
                  </w:r>
                </w:p>
              </w:tc>
              <w:tc>
                <w:tcPr>
                  <w:tcW w:w="531" w:type="dxa"/>
                  <w:tcBorders>
                    <w:top w:val="single" w:color="auto" w:sz="12" w:space="0"/>
                  </w:tcBorders>
                  <w:vAlign w:val="center"/>
                </w:tcPr>
                <w:p w14:paraId="4AA5C0A4">
                  <w:pPr>
                    <w:pStyle w:val="341"/>
                    <w:spacing w:line="240" w:lineRule="auto"/>
                    <w:ind w:firstLine="0" w:firstLineChars="0"/>
                    <w:jc w:val="center"/>
                    <w:rPr>
                      <w:color w:val="auto"/>
                      <w:szCs w:val="21"/>
                    </w:rPr>
                  </w:pPr>
                  <w:r>
                    <w:rPr>
                      <w:color w:val="auto"/>
                      <w:szCs w:val="21"/>
                    </w:rPr>
                    <w:t>上月</w:t>
                  </w:r>
                </w:p>
                <w:p w14:paraId="1CB0730F">
                  <w:pPr>
                    <w:pStyle w:val="341"/>
                    <w:spacing w:line="240" w:lineRule="auto"/>
                    <w:ind w:firstLine="0" w:firstLineChars="0"/>
                    <w:jc w:val="center"/>
                    <w:rPr>
                      <w:color w:val="auto"/>
                      <w:szCs w:val="21"/>
                    </w:rPr>
                  </w:pPr>
                  <w:r>
                    <w:rPr>
                      <w:color w:val="auto"/>
                      <w:szCs w:val="21"/>
                    </w:rPr>
                    <w:t>类别</w:t>
                  </w:r>
                </w:p>
              </w:tc>
              <w:tc>
                <w:tcPr>
                  <w:tcW w:w="529" w:type="dxa"/>
                  <w:tcBorders>
                    <w:top w:val="single" w:color="auto" w:sz="12" w:space="0"/>
                  </w:tcBorders>
                  <w:vAlign w:val="center"/>
                </w:tcPr>
                <w:p w14:paraId="2EC2F329">
                  <w:pPr>
                    <w:pStyle w:val="341"/>
                    <w:spacing w:line="240" w:lineRule="auto"/>
                    <w:ind w:firstLine="0" w:firstLineChars="0"/>
                    <w:jc w:val="center"/>
                    <w:rPr>
                      <w:color w:val="auto"/>
                      <w:szCs w:val="21"/>
                    </w:rPr>
                  </w:pPr>
                  <w:r>
                    <w:rPr>
                      <w:color w:val="auto"/>
                      <w:szCs w:val="21"/>
                    </w:rPr>
                    <w:t>本月</w:t>
                  </w:r>
                </w:p>
                <w:p w14:paraId="03F28319">
                  <w:pPr>
                    <w:pStyle w:val="341"/>
                    <w:spacing w:line="240" w:lineRule="auto"/>
                    <w:ind w:firstLine="0" w:firstLineChars="0"/>
                    <w:jc w:val="center"/>
                    <w:rPr>
                      <w:color w:val="auto"/>
                      <w:szCs w:val="21"/>
                    </w:rPr>
                  </w:pPr>
                  <w:r>
                    <w:rPr>
                      <w:color w:val="auto"/>
                      <w:szCs w:val="21"/>
                    </w:rPr>
                    <w:t>类别</w:t>
                  </w:r>
                </w:p>
              </w:tc>
              <w:tc>
                <w:tcPr>
                  <w:tcW w:w="1187" w:type="dxa"/>
                  <w:tcBorders>
                    <w:top w:val="single" w:color="auto" w:sz="12" w:space="0"/>
                    <w:right w:val="single" w:color="auto" w:sz="12" w:space="0"/>
                  </w:tcBorders>
                  <w:vAlign w:val="center"/>
                </w:tcPr>
                <w:p w14:paraId="22DE0892">
                  <w:pPr>
                    <w:pStyle w:val="341"/>
                    <w:spacing w:line="240" w:lineRule="auto"/>
                    <w:ind w:firstLine="0" w:firstLineChars="0"/>
                    <w:jc w:val="center"/>
                    <w:rPr>
                      <w:color w:val="auto"/>
                      <w:szCs w:val="21"/>
                    </w:rPr>
                  </w:pPr>
                  <w:r>
                    <w:rPr>
                      <w:color w:val="auto"/>
                      <w:szCs w:val="21"/>
                    </w:rPr>
                    <w:t>主要污染指标（类别）</w:t>
                  </w:r>
                </w:p>
              </w:tc>
            </w:tr>
            <w:tr w14:paraId="50BB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18" w:type="dxa"/>
                  <w:tcBorders>
                    <w:left w:val="single" w:color="auto" w:sz="4" w:space="0"/>
                  </w:tcBorders>
                  <w:vAlign w:val="center"/>
                </w:tcPr>
                <w:p w14:paraId="3BB401F0">
                  <w:pPr>
                    <w:pStyle w:val="341"/>
                    <w:spacing w:line="240" w:lineRule="auto"/>
                    <w:ind w:firstLine="0" w:firstLineChars="0"/>
                    <w:jc w:val="center"/>
                    <w:rPr>
                      <w:color w:val="auto"/>
                      <w:szCs w:val="21"/>
                    </w:rPr>
                  </w:pPr>
                  <w:r>
                    <w:rPr>
                      <w:color w:val="auto"/>
                      <w:szCs w:val="21"/>
                    </w:rPr>
                    <w:t>1</w:t>
                  </w:r>
                </w:p>
              </w:tc>
              <w:tc>
                <w:tcPr>
                  <w:tcW w:w="889" w:type="dxa"/>
                  <w:vMerge w:val="restart"/>
                  <w:vAlign w:val="center"/>
                </w:tcPr>
                <w:p w14:paraId="1B26E5DF">
                  <w:pPr>
                    <w:pStyle w:val="341"/>
                    <w:spacing w:line="240" w:lineRule="auto"/>
                    <w:ind w:firstLine="0" w:firstLineChars="0"/>
                    <w:jc w:val="center"/>
                    <w:rPr>
                      <w:color w:val="auto"/>
                      <w:szCs w:val="21"/>
                    </w:rPr>
                  </w:pPr>
                  <w:r>
                    <w:rPr>
                      <w:rFonts w:hint="eastAsia"/>
                      <w:color w:val="auto"/>
                      <w:szCs w:val="21"/>
                    </w:rPr>
                    <w:t>州河</w:t>
                  </w:r>
                </w:p>
              </w:tc>
              <w:tc>
                <w:tcPr>
                  <w:tcW w:w="548" w:type="dxa"/>
                  <w:vMerge w:val="restart"/>
                  <w:vAlign w:val="center"/>
                </w:tcPr>
                <w:p w14:paraId="379E1022">
                  <w:pPr>
                    <w:pStyle w:val="341"/>
                    <w:spacing w:line="240" w:lineRule="auto"/>
                    <w:ind w:firstLine="0" w:firstLineChars="0"/>
                    <w:jc w:val="center"/>
                    <w:rPr>
                      <w:color w:val="auto"/>
                      <w:szCs w:val="21"/>
                    </w:rPr>
                  </w:pPr>
                  <w:r>
                    <w:rPr>
                      <w:rFonts w:hint="eastAsia"/>
                      <w:color w:val="auto"/>
                      <w:szCs w:val="21"/>
                    </w:rPr>
                    <w:t>干流</w:t>
                  </w:r>
                </w:p>
              </w:tc>
              <w:tc>
                <w:tcPr>
                  <w:tcW w:w="899" w:type="dxa"/>
                  <w:vAlign w:val="center"/>
                </w:tcPr>
                <w:p w14:paraId="07284238">
                  <w:pPr>
                    <w:pStyle w:val="341"/>
                    <w:spacing w:line="240" w:lineRule="auto"/>
                    <w:ind w:firstLine="0" w:firstLineChars="0"/>
                    <w:jc w:val="center"/>
                    <w:rPr>
                      <w:color w:val="auto"/>
                      <w:szCs w:val="21"/>
                    </w:rPr>
                  </w:pPr>
                  <w:r>
                    <w:rPr>
                      <w:rFonts w:hint="eastAsia"/>
                      <w:color w:val="auto"/>
                      <w:szCs w:val="21"/>
                    </w:rPr>
                    <w:t>车家河</w:t>
                  </w:r>
                </w:p>
              </w:tc>
              <w:tc>
                <w:tcPr>
                  <w:tcW w:w="1497" w:type="dxa"/>
                  <w:vAlign w:val="center"/>
                </w:tcPr>
                <w:p w14:paraId="06DD6574">
                  <w:pPr>
                    <w:pStyle w:val="341"/>
                    <w:spacing w:line="240" w:lineRule="auto"/>
                    <w:ind w:firstLine="0" w:firstLineChars="0"/>
                    <w:jc w:val="center"/>
                    <w:rPr>
                      <w:color w:val="auto"/>
                      <w:szCs w:val="21"/>
                    </w:rPr>
                  </w:pPr>
                  <w:r>
                    <w:rPr>
                      <w:rFonts w:hint="eastAsia"/>
                      <w:color w:val="auto"/>
                      <w:szCs w:val="21"/>
                    </w:rPr>
                    <w:t>市城区</w:t>
                  </w:r>
                </w:p>
              </w:tc>
              <w:tc>
                <w:tcPr>
                  <w:tcW w:w="899" w:type="dxa"/>
                  <w:vAlign w:val="center"/>
                </w:tcPr>
                <w:p w14:paraId="6E794F4E">
                  <w:pPr>
                    <w:pStyle w:val="341"/>
                    <w:spacing w:line="240" w:lineRule="auto"/>
                    <w:ind w:firstLine="0" w:firstLineChars="0"/>
                    <w:jc w:val="center"/>
                    <w:rPr>
                      <w:color w:val="auto"/>
                      <w:szCs w:val="21"/>
                    </w:rPr>
                  </w:pPr>
                  <w:r>
                    <w:rPr>
                      <w:rFonts w:hint="eastAsia"/>
                      <w:color w:val="auto"/>
                      <w:szCs w:val="21"/>
                    </w:rPr>
                    <w:t>国考</w:t>
                  </w:r>
                </w:p>
              </w:tc>
              <w:tc>
                <w:tcPr>
                  <w:tcW w:w="531" w:type="dxa"/>
                  <w:vAlign w:val="center"/>
                </w:tcPr>
                <w:p w14:paraId="7B6B0FEE">
                  <w:pPr>
                    <w:pStyle w:val="341"/>
                    <w:spacing w:line="240" w:lineRule="auto"/>
                    <w:ind w:firstLine="0" w:firstLineChars="0"/>
                    <w:jc w:val="center"/>
                    <w:rPr>
                      <w:color w:val="auto"/>
                      <w:szCs w:val="21"/>
                    </w:rPr>
                  </w:pPr>
                  <w:r>
                    <w:rPr>
                      <w:rFonts w:eastAsia="微软雅黑"/>
                      <w:color w:val="auto"/>
                      <w:szCs w:val="21"/>
                    </w:rPr>
                    <w:t>II</w:t>
                  </w:r>
                </w:p>
              </w:tc>
              <w:tc>
                <w:tcPr>
                  <w:tcW w:w="531" w:type="dxa"/>
                  <w:vAlign w:val="center"/>
                </w:tcPr>
                <w:p w14:paraId="5CECFD91">
                  <w:pPr>
                    <w:pStyle w:val="341"/>
                    <w:spacing w:line="240" w:lineRule="auto"/>
                    <w:ind w:firstLine="0" w:firstLineChars="0"/>
                    <w:jc w:val="center"/>
                    <w:rPr>
                      <w:color w:val="auto"/>
                      <w:szCs w:val="21"/>
                    </w:rPr>
                  </w:pPr>
                  <w:r>
                    <w:rPr>
                      <w:color w:val="auto"/>
                      <w:szCs w:val="21"/>
                    </w:rPr>
                    <w:t>II</w:t>
                  </w:r>
                </w:p>
              </w:tc>
              <w:tc>
                <w:tcPr>
                  <w:tcW w:w="529" w:type="dxa"/>
                  <w:vAlign w:val="center"/>
                </w:tcPr>
                <w:p w14:paraId="45D347A1">
                  <w:pPr>
                    <w:pStyle w:val="341"/>
                    <w:spacing w:line="240" w:lineRule="auto"/>
                    <w:ind w:firstLine="0" w:firstLineChars="0"/>
                    <w:jc w:val="center"/>
                    <w:rPr>
                      <w:color w:val="auto"/>
                      <w:szCs w:val="21"/>
                    </w:rPr>
                  </w:pPr>
                  <w:r>
                    <w:rPr>
                      <w:color w:val="auto"/>
                      <w:szCs w:val="21"/>
                    </w:rPr>
                    <w:t>II</w:t>
                  </w:r>
                </w:p>
              </w:tc>
              <w:tc>
                <w:tcPr>
                  <w:tcW w:w="1187" w:type="dxa"/>
                  <w:tcBorders>
                    <w:right w:val="single" w:color="auto" w:sz="12" w:space="0"/>
                  </w:tcBorders>
                  <w:vAlign w:val="center"/>
                </w:tcPr>
                <w:p w14:paraId="19E8722A">
                  <w:pPr>
                    <w:pStyle w:val="341"/>
                    <w:spacing w:line="240" w:lineRule="auto"/>
                    <w:ind w:firstLine="0" w:firstLineChars="0"/>
                    <w:jc w:val="center"/>
                    <w:rPr>
                      <w:color w:val="auto"/>
                      <w:szCs w:val="21"/>
                    </w:rPr>
                  </w:pPr>
                  <w:r>
                    <w:rPr>
                      <w:color w:val="auto"/>
                      <w:szCs w:val="21"/>
                    </w:rPr>
                    <w:t>/</w:t>
                  </w:r>
                </w:p>
              </w:tc>
            </w:tr>
            <w:tr w14:paraId="3A3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18" w:type="dxa"/>
                  <w:tcBorders>
                    <w:left w:val="single" w:color="auto" w:sz="4" w:space="0"/>
                    <w:bottom w:val="single" w:color="auto" w:sz="12" w:space="0"/>
                  </w:tcBorders>
                  <w:vAlign w:val="center"/>
                </w:tcPr>
                <w:p w14:paraId="2427321A">
                  <w:pPr>
                    <w:pStyle w:val="341"/>
                    <w:spacing w:line="240" w:lineRule="auto"/>
                    <w:ind w:firstLine="0" w:firstLineChars="0"/>
                    <w:jc w:val="center"/>
                    <w:rPr>
                      <w:color w:val="auto"/>
                      <w:szCs w:val="21"/>
                    </w:rPr>
                  </w:pPr>
                  <w:r>
                    <w:rPr>
                      <w:rFonts w:hint="eastAsia"/>
                      <w:color w:val="auto"/>
                      <w:szCs w:val="21"/>
                    </w:rPr>
                    <w:t>2</w:t>
                  </w:r>
                </w:p>
              </w:tc>
              <w:tc>
                <w:tcPr>
                  <w:tcW w:w="889" w:type="dxa"/>
                  <w:vMerge w:val="continue"/>
                  <w:tcBorders>
                    <w:bottom w:val="single" w:color="auto" w:sz="12" w:space="0"/>
                  </w:tcBorders>
                  <w:vAlign w:val="center"/>
                </w:tcPr>
                <w:p w14:paraId="614537A2">
                  <w:pPr>
                    <w:pStyle w:val="341"/>
                    <w:spacing w:line="240" w:lineRule="auto"/>
                    <w:ind w:firstLine="0" w:firstLineChars="0"/>
                    <w:jc w:val="center"/>
                    <w:rPr>
                      <w:color w:val="auto"/>
                      <w:szCs w:val="21"/>
                    </w:rPr>
                  </w:pPr>
                </w:p>
              </w:tc>
              <w:tc>
                <w:tcPr>
                  <w:tcW w:w="548" w:type="dxa"/>
                  <w:vMerge w:val="continue"/>
                  <w:tcBorders>
                    <w:bottom w:val="single" w:color="auto" w:sz="12" w:space="0"/>
                  </w:tcBorders>
                  <w:vAlign w:val="center"/>
                </w:tcPr>
                <w:p w14:paraId="5C9DBD29">
                  <w:pPr>
                    <w:pStyle w:val="341"/>
                    <w:spacing w:line="240" w:lineRule="auto"/>
                    <w:ind w:firstLine="0" w:firstLineChars="0"/>
                    <w:jc w:val="center"/>
                    <w:rPr>
                      <w:color w:val="auto"/>
                      <w:szCs w:val="21"/>
                    </w:rPr>
                  </w:pPr>
                </w:p>
              </w:tc>
              <w:tc>
                <w:tcPr>
                  <w:tcW w:w="899" w:type="dxa"/>
                  <w:tcBorders>
                    <w:bottom w:val="single" w:color="auto" w:sz="12" w:space="0"/>
                  </w:tcBorders>
                  <w:vAlign w:val="center"/>
                </w:tcPr>
                <w:p w14:paraId="570950D8">
                  <w:pPr>
                    <w:pStyle w:val="341"/>
                    <w:spacing w:line="240" w:lineRule="auto"/>
                    <w:ind w:firstLine="0" w:firstLineChars="0"/>
                    <w:jc w:val="center"/>
                    <w:rPr>
                      <w:color w:val="auto"/>
                      <w:szCs w:val="21"/>
                    </w:rPr>
                  </w:pPr>
                  <w:r>
                    <w:rPr>
                      <w:rFonts w:hint="eastAsia"/>
                      <w:color w:val="auto"/>
                      <w:szCs w:val="21"/>
                    </w:rPr>
                    <w:t>张鼓坪</w:t>
                  </w:r>
                </w:p>
              </w:tc>
              <w:tc>
                <w:tcPr>
                  <w:tcW w:w="1497" w:type="dxa"/>
                  <w:tcBorders>
                    <w:bottom w:val="single" w:color="auto" w:sz="12" w:space="0"/>
                  </w:tcBorders>
                  <w:vAlign w:val="center"/>
                </w:tcPr>
                <w:p w14:paraId="5F8A9CFA">
                  <w:pPr>
                    <w:pStyle w:val="341"/>
                    <w:spacing w:line="240" w:lineRule="auto"/>
                    <w:ind w:firstLine="0" w:firstLineChars="0"/>
                    <w:jc w:val="center"/>
                    <w:rPr>
                      <w:color w:val="auto"/>
                      <w:szCs w:val="21"/>
                    </w:rPr>
                  </w:pPr>
                  <w:r>
                    <w:rPr>
                      <w:rFonts w:hint="eastAsia"/>
                      <w:color w:val="auto"/>
                      <w:szCs w:val="21"/>
                    </w:rPr>
                    <w:t>县界（宣汉-通川区）</w:t>
                  </w:r>
                </w:p>
              </w:tc>
              <w:tc>
                <w:tcPr>
                  <w:tcW w:w="899" w:type="dxa"/>
                  <w:tcBorders>
                    <w:bottom w:val="single" w:color="auto" w:sz="12" w:space="0"/>
                  </w:tcBorders>
                  <w:vAlign w:val="center"/>
                </w:tcPr>
                <w:p w14:paraId="65D3DC96">
                  <w:pPr>
                    <w:pStyle w:val="341"/>
                    <w:spacing w:line="240" w:lineRule="auto"/>
                    <w:ind w:firstLine="0" w:firstLineChars="0"/>
                    <w:jc w:val="center"/>
                    <w:rPr>
                      <w:color w:val="auto"/>
                      <w:szCs w:val="21"/>
                    </w:rPr>
                  </w:pPr>
                  <w:r>
                    <w:rPr>
                      <w:rFonts w:hint="eastAsia"/>
                      <w:color w:val="auto"/>
                      <w:szCs w:val="21"/>
                    </w:rPr>
                    <w:t>省控考核评价</w:t>
                  </w:r>
                </w:p>
              </w:tc>
              <w:tc>
                <w:tcPr>
                  <w:tcW w:w="531" w:type="dxa"/>
                  <w:tcBorders>
                    <w:bottom w:val="single" w:color="auto" w:sz="12" w:space="0"/>
                  </w:tcBorders>
                  <w:shd w:val="clear" w:color="auto" w:fill="auto"/>
                  <w:vAlign w:val="center"/>
                </w:tcPr>
                <w:p w14:paraId="4F981743">
                  <w:pPr>
                    <w:pStyle w:val="341"/>
                    <w:spacing w:line="240" w:lineRule="auto"/>
                    <w:ind w:firstLine="0" w:firstLineChars="0"/>
                    <w:jc w:val="center"/>
                    <w:rPr>
                      <w:color w:val="auto"/>
                      <w:szCs w:val="21"/>
                    </w:rPr>
                  </w:pPr>
                  <w:r>
                    <w:rPr>
                      <w:rFonts w:eastAsia="微软雅黑"/>
                      <w:color w:val="auto"/>
                      <w:szCs w:val="21"/>
                    </w:rPr>
                    <w:t>II</w:t>
                  </w:r>
                </w:p>
              </w:tc>
              <w:tc>
                <w:tcPr>
                  <w:tcW w:w="531" w:type="dxa"/>
                  <w:tcBorders>
                    <w:bottom w:val="single" w:color="auto" w:sz="12" w:space="0"/>
                  </w:tcBorders>
                  <w:shd w:val="clear" w:color="auto" w:fill="auto"/>
                  <w:vAlign w:val="center"/>
                </w:tcPr>
                <w:p w14:paraId="16C6A1E5">
                  <w:pPr>
                    <w:pStyle w:val="341"/>
                    <w:spacing w:line="240" w:lineRule="auto"/>
                    <w:ind w:firstLine="0" w:firstLineChars="0"/>
                    <w:jc w:val="center"/>
                    <w:rPr>
                      <w:color w:val="auto"/>
                      <w:szCs w:val="21"/>
                    </w:rPr>
                  </w:pPr>
                  <w:r>
                    <w:rPr>
                      <w:color w:val="auto"/>
                      <w:szCs w:val="21"/>
                    </w:rPr>
                    <w:t>II</w:t>
                  </w:r>
                </w:p>
              </w:tc>
              <w:tc>
                <w:tcPr>
                  <w:tcW w:w="529" w:type="dxa"/>
                  <w:tcBorders>
                    <w:bottom w:val="single" w:color="auto" w:sz="12" w:space="0"/>
                  </w:tcBorders>
                  <w:shd w:val="clear" w:color="auto" w:fill="auto"/>
                  <w:vAlign w:val="center"/>
                </w:tcPr>
                <w:p w14:paraId="27C30912">
                  <w:pPr>
                    <w:pStyle w:val="341"/>
                    <w:spacing w:line="240" w:lineRule="auto"/>
                    <w:ind w:firstLine="0" w:firstLineChars="0"/>
                    <w:jc w:val="center"/>
                    <w:rPr>
                      <w:color w:val="auto"/>
                      <w:szCs w:val="21"/>
                    </w:rPr>
                  </w:pPr>
                  <w:r>
                    <w:rPr>
                      <w:color w:val="auto"/>
                      <w:szCs w:val="21"/>
                    </w:rPr>
                    <w:t>II</w:t>
                  </w:r>
                </w:p>
              </w:tc>
              <w:tc>
                <w:tcPr>
                  <w:tcW w:w="1187" w:type="dxa"/>
                  <w:tcBorders>
                    <w:bottom w:val="single" w:color="auto" w:sz="12" w:space="0"/>
                    <w:right w:val="single" w:color="auto" w:sz="12" w:space="0"/>
                  </w:tcBorders>
                  <w:vAlign w:val="center"/>
                </w:tcPr>
                <w:p w14:paraId="7FD8D96D">
                  <w:pPr>
                    <w:pStyle w:val="341"/>
                    <w:spacing w:line="240" w:lineRule="auto"/>
                    <w:ind w:firstLine="0" w:firstLineChars="0"/>
                    <w:jc w:val="center"/>
                    <w:rPr>
                      <w:color w:val="auto"/>
                      <w:szCs w:val="21"/>
                    </w:rPr>
                  </w:pPr>
                </w:p>
              </w:tc>
            </w:tr>
          </w:tbl>
          <w:p w14:paraId="5CF79CAC">
            <w:pPr>
              <w:adjustRightInd w:val="0"/>
              <w:snapToGrid w:val="0"/>
              <w:spacing w:line="360" w:lineRule="auto"/>
              <w:ind w:firstLine="480" w:firstLineChars="200"/>
              <w:rPr>
                <w:color w:val="auto"/>
                <w:kern w:val="0"/>
                <w:sz w:val="24"/>
              </w:rPr>
            </w:pPr>
            <w:r>
              <w:rPr>
                <w:color w:val="auto"/>
                <w:kern w:val="0"/>
                <w:sz w:val="24"/>
              </w:rPr>
              <w:t>根据现场调查本项目最近河流地表水为</w:t>
            </w:r>
            <w:r>
              <w:rPr>
                <w:rFonts w:hint="eastAsia"/>
                <w:color w:val="auto"/>
                <w:kern w:val="0"/>
                <w:sz w:val="24"/>
              </w:rPr>
              <w:t>魏家河</w:t>
            </w:r>
            <w:r>
              <w:rPr>
                <w:color w:val="auto"/>
                <w:kern w:val="0"/>
                <w:sz w:val="24"/>
              </w:rPr>
              <w:t>，距离约为</w:t>
            </w:r>
            <w:r>
              <w:rPr>
                <w:rFonts w:hint="eastAsia"/>
                <w:color w:val="auto"/>
                <w:kern w:val="0"/>
                <w:sz w:val="24"/>
              </w:rPr>
              <w:t>2.7</w:t>
            </w:r>
            <w:r>
              <w:rPr>
                <w:color w:val="auto"/>
                <w:kern w:val="0"/>
                <w:sz w:val="24"/>
              </w:rPr>
              <w:t>km，</w:t>
            </w:r>
            <w:r>
              <w:rPr>
                <w:rFonts w:hint="eastAsia"/>
                <w:color w:val="auto"/>
                <w:kern w:val="0"/>
                <w:sz w:val="24"/>
              </w:rPr>
              <w:t>花魏家河最终汇入州河，</w:t>
            </w:r>
            <w:r>
              <w:rPr>
                <w:color w:val="auto"/>
                <w:kern w:val="0"/>
                <w:sz w:val="24"/>
              </w:rPr>
              <w:t>与项目区相距较近的</w:t>
            </w:r>
            <w:r>
              <w:rPr>
                <w:rFonts w:hint="eastAsia"/>
                <w:color w:val="auto"/>
                <w:kern w:val="0"/>
                <w:sz w:val="24"/>
              </w:rPr>
              <w:t>下游</w:t>
            </w:r>
            <w:r>
              <w:rPr>
                <w:color w:val="auto"/>
                <w:kern w:val="0"/>
                <w:sz w:val="24"/>
              </w:rPr>
              <w:t>监测断面为</w:t>
            </w:r>
            <w:r>
              <w:rPr>
                <w:rFonts w:hint="eastAsia"/>
                <w:color w:val="auto"/>
                <w:kern w:val="0"/>
                <w:sz w:val="24"/>
              </w:rPr>
              <w:t>车家河断面，上游监测断面为张鼓坪监测断面</w:t>
            </w:r>
            <w:r>
              <w:rPr>
                <w:color w:val="auto"/>
                <w:kern w:val="0"/>
                <w:sz w:val="24"/>
              </w:rPr>
              <w:t>。根据上表例行监测数据表明：项目区域</w:t>
            </w:r>
            <w:r>
              <w:rPr>
                <w:rFonts w:hint="eastAsia"/>
                <w:color w:val="auto"/>
                <w:kern w:val="0"/>
                <w:sz w:val="24"/>
              </w:rPr>
              <w:t>上游张鼓坪监测断面、下游车家河</w:t>
            </w:r>
            <w:r>
              <w:rPr>
                <w:color w:val="auto"/>
                <w:kern w:val="0"/>
                <w:sz w:val="24"/>
              </w:rPr>
              <w:t>监测断面的水质能够满足《地表水环境质量标准》（GB3838-2002）II类水域水质标准。</w:t>
            </w:r>
          </w:p>
          <w:p w14:paraId="4EE120DC">
            <w:pPr>
              <w:adjustRightInd w:val="0"/>
              <w:snapToGrid w:val="0"/>
              <w:spacing w:line="360" w:lineRule="auto"/>
              <w:ind w:firstLine="480" w:firstLineChars="200"/>
              <w:rPr>
                <w:color w:val="auto"/>
                <w:kern w:val="0"/>
                <w:sz w:val="24"/>
              </w:rPr>
            </w:pPr>
            <w:bookmarkStart w:id="22" w:name="_Hlk79335615"/>
            <w:r>
              <w:rPr>
                <w:color w:val="auto"/>
                <w:kern w:val="0"/>
                <w:sz w:val="24"/>
              </w:rPr>
              <w:t>本项目</w:t>
            </w:r>
            <w:r>
              <w:rPr>
                <w:rFonts w:hint="eastAsia"/>
                <w:color w:val="auto"/>
                <w:kern w:val="0"/>
                <w:sz w:val="24"/>
              </w:rPr>
              <w:t>钻井废水、</w:t>
            </w:r>
            <w:r>
              <w:rPr>
                <w:color w:val="auto"/>
                <w:kern w:val="0"/>
                <w:sz w:val="24"/>
              </w:rPr>
              <w:t>洗井废水不能回用时用密闭罐车定期拉运至</w:t>
            </w:r>
            <w:r>
              <w:rPr>
                <w:rFonts w:hint="eastAsia"/>
                <w:color w:val="auto"/>
                <w:kern w:val="0"/>
                <w:sz w:val="24"/>
              </w:rPr>
              <w:t>赵家坝污水处理站</w:t>
            </w:r>
            <w:r>
              <w:rPr>
                <w:color w:val="auto"/>
                <w:kern w:val="0"/>
                <w:sz w:val="24"/>
              </w:rPr>
              <w:t>处理达标后</w:t>
            </w:r>
            <w:r>
              <w:rPr>
                <w:rFonts w:hint="eastAsia"/>
                <w:color w:val="auto"/>
                <w:kern w:val="0"/>
                <w:sz w:val="24"/>
              </w:rPr>
              <w:t>由罐车拉运至普光3井等回注站</w:t>
            </w:r>
            <w:r>
              <w:rPr>
                <w:color w:val="auto"/>
                <w:kern w:val="0"/>
                <w:sz w:val="24"/>
              </w:rPr>
              <w:t>回注。压裂返排液用密闭罐车定期拉运至</w:t>
            </w:r>
            <w:r>
              <w:rPr>
                <w:rFonts w:hint="eastAsia"/>
                <w:color w:val="auto"/>
                <w:kern w:val="0"/>
                <w:sz w:val="24"/>
              </w:rPr>
              <w:t>赵家坝污水处理站</w:t>
            </w:r>
            <w:r>
              <w:rPr>
                <w:color w:val="auto"/>
                <w:kern w:val="0"/>
                <w:sz w:val="24"/>
              </w:rPr>
              <w:t>处理达标后</w:t>
            </w:r>
            <w:r>
              <w:rPr>
                <w:rFonts w:hint="eastAsia"/>
                <w:color w:val="auto"/>
                <w:kern w:val="0"/>
                <w:sz w:val="24"/>
              </w:rPr>
              <w:t>由罐车拉运至普光3井等回注站</w:t>
            </w:r>
            <w:r>
              <w:rPr>
                <w:color w:val="auto"/>
                <w:kern w:val="0"/>
                <w:sz w:val="24"/>
              </w:rPr>
              <w:t>回注；生活污水经生态厕所收集后外运至</w:t>
            </w:r>
            <w:r>
              <w:rPr>
                <w:rFonts w:hint="eastAsia"/>
                <w:color w:val="auto"/>
                <w:kern w:val="0"/>
                <w:sz w:val="24"/>
              </w:rPr>
              <w:t>君塘镇</w:t>
            </w:r>
            <w:r>
              <w:rPr>
                <w:color w:val="auto"/>
                <w:kern w:val="0"/>
                <w:sz w:val="24"/>
              </w:rPr>
              <w:t>污水处理厂处理后排放</w:t>
            </w:r>
            <w:r>
              <w:rPr>
                <w:rFonts w:hint="eastAsia"/>
                <w:color w:val="auto"/>
                <w:kern w:val="0"/>
                <w:sz w:val="24"/>
              </w:rPr>
              <w:t>，</w:t>
            </w:r>
            <w:r>
              <w:rPr>
                <w:color w:val="auto"/>
                <w:kern w:val="0"/>
                <w:sz w:val="24"/>
              </w:rPr>
              <w:t>现场不外排</w:t>
            </w:r>
            <w:r>
              <w:rPr>
                <w:rFonts w:hint="eastAsia"/>
                <w:color w:val="auto"/>
                <w:kern w:val="0"/>
                <w:sz w:val="24"/>
              </w:rPr>
              <w:t>，</w:t>
            </w:r>
            <w:r>
              <w:rPr>
                <w:color w:val="auto"/>
                <w:kern w:val="0"/>
                <w:sz w:val="24"/>
              </w:rPr>
              <w:t>项目钻井期间无废水外排，对周边地表水环境影响较小。</w:t>
            </w:r>
            <w:r>
              <w:rPr>
                <w:rFonts w:hint="eastAsia"/>
                <w:color w:val="auto"/>
                <w:kern w:val="0"/>
                <w:sz w:val="24"/>
              </w:rPr>
              <w:t>君塘镇污水处理厂入河排污口位于君塘镇跌马村一组（东经：107.588865，北纬：31.379995），排污口编号5117222021005</w:t>
            </w:r>
            <w:r>
              <w:rPr>
                <w:color w:val="auto"/>
                <w:kern w:val="0"/>
                <w:sz w:val="24"/>
              </w:rPr>
              <w:t>，</w:t>
            </w:r>
            <w:bookmarkEnd w:id="22"/>
            <w:r>
              <w:rPr>
                <w:rFonts w:hint="eastAsia"/>
                <w:color w:val="auto"/>
                <w:kern w:val="0"/>
                <w:sz w:val="24"/>
              </w:rPr>
              <w:t>污水处理厂处理达标后的尾水由管道引至油坊沟左岸排放，通过油坊沟汇入冉家河后最终汇入州河。张鼓坪监测断面位于君塘镇污水处理厂入河排污口下游，根据达州市生态环境局发布的《2025年2月达州市地表水水质月报》，张鼓坪监测断面的水质能够满足《地表水环境质量标准》（GB3838-2002）II类水域水质标准。</w:t>
            </w:r>
          </w:p>
          <w:p w14:paraId="0263E791">
            <w:pPr>
              <w:adjustRightInd w:val="0"/>
              <w:snapToGrid w:val="0"/>
              <w:spacing w:line="360" w:lineRule="auto"/>
              <w:ind w:firstLine="480" w:firstLineChars="200"/>
              <w:rPr>
                <w:color w:val="auto"/>
                <w:sz w:val="24"/>
                <w:lang w:bidi="ar"/>
              </w:rPr>
            </w:pPr>
            <w:r>
              <w:rPr>
                <w:color w:val="auto"/>
                <w:kern w:val="0"/>
                <w:sz w:val="24"/>
              </w:rPr>
              <w:t>本项目废水均不排入外环境，不会影响区域地表水水质</w:t>
            </w:r>
            <w:r>
              <w:rPr>
                <w:color w:val="auto"/>
                <w:sz w:val="24"/>
                <w:lang w:bidi="ar"/>
              </w:rPr>
              <w:t>。</w:t>
            </w:r>
          </w:p>
          <w:p w14:paraId="759BAB0F">
            <w:pPr>
              <w:adjustRightInd w:val="0"/>
              <w:snapToGrid w:val="0"/>
              <w:spacing w:line="360" w:lineRule="auto"/>
              <w:ind w:firstLine="482" w:firstLineChars="200"/>
              <w:rPr>
                <w:b/>
                <w:bCs/>
                <w:sz w:val="24"/>
                <w:lang w:bidi="ar"/>
              </w:rPr>
            </w:pPr>
            <w:r>
              <w:rPr>
                <w:b/>
                <w:bCs/>
                <w:sz w:val="24"/>
                <w:lang w:bidi="ar"/>
              </w:rPr>
              <w:t>3、声环境质量</w:t>
            </w:r>
          </w:p>
          <w:p w14:paraId="5FF1AACB">
            <w:pPr>
              <w:autoSpaceDE w:val="0"/>
              <w:autoSpaceDN w:val="0"/>
              <w:spacing w:line="360" w:lineRule="auto"/>
              <w:ind w:firstLine="480" w:firstLineChars="200"/>
              <w:rPr>
                <w:kern w:val="0"/>
                <w:sz w:val="24"/>
              </w:rPr>
            </w:pPr>
            <w:r>
              <w:rPr>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14:paraId="68A51AF1">
            <w:pPr>
              <w:autoSpaceDE w:val="0"/>
              <w:autoSpaceDN w:val="0"/>
              <w:spacing w:line="360" w:lineRule="auto"/>
              <w:ind w:firstLine="480" w:firstLineChars="200"/>
              <w:rPr>
                <w:kern w:val="0"/>
                <w:sz w:val="24"/>
              </w:rPr>
            </w:pPr>
            <w:r>
              <w:rPr>
                <w:kern w:val="0"/>
                <w:sz w:val="24"/>
              </w:rPr>
              <w:t>为了解当地声环境质量现状，202</w:t>
            </w:r>
            <w:r>
              <w:rPr>
                <w:rFonts w:hint="eastAsia"/>
                <w:kern w:val="0"/>
                <w:sz w:val="24"/>
              </w:rPr>
              <w:t>5</w:t>
            </w:r>
            <w:r>
              <w:rPr>
                <w:kern w:val="0"/>
                <w:sz w:val="24"/>
              </w:rPr>
              <w:t>年</w:t>
            </w:r>
            <w:r>
              <w:rPr>
                <w:rFonts w:hint="eastAsia"/>
                <w:kern w:val="0"/>
                <w:sz w:val="24"/>
              </w:rPr>
              <w:t>2月27日</w:t>
            </w:r>
            <w:r>
              <w:rPr>
                <w:kern w:val="0"/>
                <w:sz w:val="24"/>
              </w:rPr>
              <w:t>至202</w:t>
            </w:r>
            <w:r>
              <w:rPr>
                <w:rFonts w:hint="eastAsia"/>
                <w:kern w:val="0"/>
                <w:sz w:val="24"/>
              </w:rPr>
              <w:t>5</w:t>
            </w:r>
            <w:r>
              <w:rPr>
                <w:kern w:val="0"/>
                <w:sz w:val="24"/>
              </w:rPr>
              <w:t>年</w:t>
            </w:r>
            <w:r>
              <w:rPr>
                <w:rFonts w:hint="eastAsia"/>
                <w:kern w:val="0"/>
                <w:sz w:val="24"/>
              </w:rPr>
              <w:t>2</w:t>
            </w:r>
            <w:r>
              <w:rPr>
                <w:kern w:val="0"/>
                <w:sz w:val="24"/>
              </w:rPr>
              <w:t>月2</w:t>
            </w:r>
            <w:r>
              <w:rPr>
                <w:rFonts w:hint="eastAsia"/>
                <w:kern w:val="0"/>
                <w:sz w:val="24"/>
              </w:rPr>
              <w:t>8</w:t>
            </w:r>
            <w:r>
              <w:rPr>
                <w:kern w:val="0"/>
                <w:sz w:val="24"/>
              </w:rPr>
              <w:t>日，四川华皓检测技术有限公司对</w:t>
            </w:r>
            <w:r>
              <w:rPr>
                <w:rFonts w:hint="eastAsia"/>
                <w:kern w:val="0"/>
                <w:sz w:val="24"/>
              </w:rPr>
              <w:t>双庙页1HF井</w:t>
            </w:r>
            <w:r>
              <w:rPr>
                <w:kern w:val="0"/>
                <w:sz w:val="24"/>
              </w:rPr>
              <w:t>所在地声环境质量现状进行监测。</w:t>
            </w:r>
          </w:p>
          <w:p w14:paraId="76C4AF24">
            <w:pPr>
              <w:widowControl/>
              <w:spacing w:line="360" w:lineRule="auto"/>
              <w:ind w:firstLine="480" w:firstLineChars="200"/>
              <w:jc w:val="left"/>
              <w:rPr>
                <w:sz w:val="24"/>
              </w:rPr>
            </w:pPr>
            <w:r>
              <w:rPr>
                <w:sz w:val="24"/>
              </w:rPr>
              <w:t>监测项目：等效连续A声级</w:t>
            </w:r>
          </w:p>
          <w:p w14:paraId="5297E29D">
            <w:pPr>
              <w:widowControl/>
              <w:spacing w:line="360" w:lineRule="auto"/>
              <w:ind w:firstLine="480" w:firstLineChars="200"/>
              <w:jc w:val="left"/>
              <w:rPr>
                <w:sz w:val="24"/>
              </w:rPr>
            </w:pPr>
            <w:r>
              <w:rPr>
                <w:sz w:val="24"/>
              </w:rPr>
              <w:t>监测布点：设</w:t>
            </w:r>
            <w:r>
              <w:rPr>
                <w:rFonts w:hint="eastAsia"/>
                <w:sz w:val="24"/>
              </w:rPr>
              <w:t>2</w:t>
            </w:r>
            <w:r>
              <w:rPr>
                <w:sz w:val="24"/>
              </w:rPr>
              <w:t>个点，N1点位于项目地</w:t>
            </w:r>
            <w:r>
              <w:rPr>
                <w:rFonts w:hint="eastAsia"/>
                <w:sz w:val="24"/>
              </w:rPr>
              <w:t>南</w:t>
            </w:r>
            <w:r>
              <w:rPr>
                <w:sz w:val="24"/>
              </w:rPr>
              <w:t>侧居民点处；</w:t>
            </w:r>
            <w:r>
              <w:rPr>
                <w:bCs/>
                <w:sz w:val="24"/>
              </w:rPr>
              <w:t>N2</w:t>
            </w:r>
            <w:r>
              <w:rPr>
                <w:sz w:val="24"/>
              </w:rPr>
              <w:t>点位于项目地</w:t>
            </w:r>
            <w:r>
              <w:rPr>
                <w:rFonts w:hint="eastAsia"/>
                <w:sz w:val="24"/>
              </w:rPr>
              <w:t>西</w:t>
            </w:r>
            <w:r>
              <w:rPr>
                <w:sz w:val="24"/>
              </w:rPr>
              <w:t>侧。</w:t>
            </w:r>
          </w:p>
          <w:p w14:paraId="42C14CCD">
            <w:pPr>
              <w:widowControl/>
              <w:spacing w:line="360" w:lineRule="auto"/>
              <w:ind w:firstLine="480" w:firstLineChars="200"/>
              <w:jc w:val="left"/>
              <w:rPr>
                <w:sz w:val="24"/>
              </w:rPr>
            </w:pPr>
            <w:r>
              <w:rPr>
                <w:sz w:val="24"/>
              </w:rPr>
              <w:t>监测频次：2天，2次/天，昼夜各一次。</w:t>
            </w:r>
          </w:p>
          <w:p w14:paraId="01CFEE2E">
            <w:pPr>
              <w:widowControl/>
              <w:spacing w:line="360" w:lineRule="auto"/>
              <w:ind w:firstLine="480" w:firstLineChars="200"/>
              <w:jc w:val="left"/>
              <w:rPr>
                <w:sz w:val="24"/>
              </w:rPr>
            </w:pPr>
            <w:r>
              <w:rPr>
                <w:sz w:val="24"/>
              </w:rPr>
              <w:t>监测结果统计于下表。</w:t>
            </w:r>
          </w:p>
          <w:p w14:paraId="7800EA1A">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噪声监测结果一览表</w:t>
            </w:r>
          </w:p>
          <w:tbl>
            <w:tblPr>
              <w:tblStyle w:val="44"/>
              <w:tblW w:w="80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14:paraId="7643C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restart"/>
                  <w:tcBorders>
                    <w:tl2br w:val="nil"/>
                    <w:tr2bl w:val="nil"/>
                  </w:tcBorders>
                  <w:vAlign w:val="center"/>
                </w:tcPr>
                <w:p w14:paraId="282B6B53">
                  <w:pPr>
                    <w:widowControl/>
                    <w:jc w:val="center"/>
                    <w:rPr>
                      <w:szCs w:val="21"/>
                    </w:rPr>
                  </w:pPr>
                  <w:r>
                    <w:rPr>
                      <w:szCs w:val="21"/>
                    </w:rPr>
                    <w:t>监测点位</w:t>
                  </w:r>
                </w:p>
              </w:tc>
              <w:tc>
                <w:tcPr>
                  <w:tcW w:w="6078" w:type="dxa"/>
                  <w:gridSpan w:val="4"/>
                  <w:tcBorders>
                    <w:tl2br w:val="nil"/>
                    <w:tr2bl w:val="nil"/>
                  </w:tcBorders>
                  <w:vAlign w:val="center"/>
                </w:tcPr>
                <w:p w14:paraId="2610A27D">
                  <w:pPr>
                    <w:widowControl/>
                    <w:jc w:val="center"/>
                    <w:rPr>
                      <w:szCs w:val="21"/>
                    </w:rPr>
                  </w:pPr>
                  <w:r>
                    <w:rPr>
                      <w:szCs w:val="21"/>
                    </w:rPr>
                    <w:t>监测结果（dB）</w:t>
                  </w:r>
                </w:p>
              </w:tc>
            </w:tr>
            <w:tr w14:paraId="05BD5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14:paraId="154B5802">
                  <w:pPr>
                    <w:widowControl/>
                    <w:jc w:val="center"/>
                    <w:rPr>
                      <w:szCs w:val="21"/>
                    </w:rPr>
                  </w:pPr>
                </w:p>
              </w:tc>
              <w:tc>
                <w:tcPr>
                  <w:tcW w:w="3038" w:type="dxa"/>
                  <w:gridSpan w:val="2"/>
                  <w:tcBorders>
                    <w:tl2br w:val="nil"/>
                    <w:tr2bl w:val="nil"/>
                  </w:tcBorders>
                  <w:vAlign w:val="center"/>
                </w:tcPr>
                <w:p w14:paraId="73DF15C0">
                  <w:pPr>
                    <w:widowControl/>
                    <w:jc w:val="center"/>
                    <w:rPr>
                      <w:szCs w:val="21"/>
                    </w:rPr>
                  </w:pPr>
                  <w:r>
                    <w:rPr>
                      <w:szCs w:val="21"/>
                    </w:rPr>
                    <w:t>2024.</w:t>
                  </w:r>
                  <w:r>
                    <w:rPr>
                      <w:rFonts w:hint="eastAsia"/>
                      <w:szCs w:val="21"/>
                    </w:rPr>
                    <w:t>11</w:t>
                  </w:r>
                  <w:r>
                    <w:rPr>
                      <w:szCs w:val="21"/>
                    </w:rPr>
                    <w:t>.</w:t>
                  </w:r>
                  <w:r>
                    <w:rPr>
                      <w:rFonts w:hint="eastAsia"/>
                      <w:szCs w:val="21"/>
                    </w:rPr>
                    <w:t>19</w:t>
                  </w:r>
                </w:p>
              </w:tc>
              <w:tc>
                <w:tcPr>
                  <w:tcW w:w="3040" w:type="dxa"/>
                  <w:gridSpan w:val="2"/>
                  <w:tcBorders>
                    <w:tl2br w:val="nil"/>
                    <w:tr2bl w:val="nil"/>
                  </w:tcBorders>
                  <w:vAlign w:val="center"/>
                </w:tcPr>
                <w:p w14:paraId="287E747F">
                  <w:pPr>
                    <w:widowControl/>
                    <w:jc w:val="center"/>
                    <w:rPr>
                      <w:szCs w:val="21"/>
                    </w:rPr>
                  </w:pPr>
                  <w:r>
                    <w:rPr>
                      <w:szCs w:val="21"/>
                    </w:rPr>
                    <w:t>2024.</w:t>
                  </w:r>
                  <w:r>
                    <w:rPr>
                      <w:rFonts w:hint="eastAsia"/>
                      <w:szCs w:val="21"/>
                    </w:rPr>
                    <w:t>11</w:t>
                  </w:r>
                  <w:r>
                    <w:rPr>
                      <w:szCs w:val="21"/>
                    </w:rPr>
                    <w:t>.</w:t>
                  </w:r>
                  <w:r>
                    <w:rPr>
                      <w:rFonts w:hint="eastAsia"/>
                      <w:szCs w:val="21"/>
                    </w:rPr>
                    <w:t>20</w:t>
                  </w:r>
                </w:p>
              </w:tc>
            </w:tr>
            <w:tr w14:paraId="04BD9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14:paraId="48A22A2F">
                  <w:pPr>
                    <w:widowControl/>
                    <w:jc w:val="center"/>
                    <w:rPr>
                      <w:szCs w:val="21"/>
                    </w:rPr>
                  </w:pPr>
                </w:p>
              </w:tc>
              <w:tc>
                <w:tcPr>
                  <w:tcW w:w="1518" w:type="dxa"/>
                  <w:tcBorders>
                    <w:tl2br w:val="nil"/>
                    <w:tr2bl w:val="nil"/>
                  </w:tcBorders>
                  <w:vAlign w:val="center"/>
                </w:tcPr>
                <w:p w14:paraId="1C0F41C9">
                  <w:pPr>
                    <w:widowControl/>
                    <w:jc w:val="center"/>
                    <w:rPr>
                      <w:rFonts w:hint="eastAsia" w:eastAsia="宋体"/>
                      <w:szCs w:val="21"/>
                      <w:lang w:val="en-US" w:eastAsia="zh-CN"/>
                    </w:rPr>
                  </w:pPr>
                  <w:r>
                    <w:rPr>
                      <w:szCs w:val="21"/>
                    </w:rPr>
                    <w:t>昼间</w:t>
                  </w:r>
                  <w:r>
                    <w:rPr>
                      <w:rFonts w:hint="eastAsia"/>
                      <w:szCs w:val="21"/>
                      <w:lang w:val="en-US" w:eastAsia="zh-CN"/>
                    </w:rPr>
                    <w:t xml:space="preserve"> </w:t>
                  </w:r>
                </w:p>
              </w:tc>
              <w:tc>
                <w:tcPr>
                  <w:tcW w:w="1520" w:type="dxa"/>
                  <w:tcBorders>
                    <w:tl2br w:val="nil"/>
                    <w:tr2bl w:val="nil"/>
                  </w:tcBorders>
                  <w:vAlign w:val="center"/>
                </w:tcPr>
                <w:p w14:paraId="2AF6C5BC">
                  <w:pPr>
                    <w:widowControl/>
                    <w:jc w:val="center"/>
                    <w:rPr>
                      <w:rFonts w:hint="eastAsia" w:eastAsia="宋体"/>
                      <w:szCs w:val="21"/>
                      <w:lang w:val="en-US" w:eastAsia="zh-CN"/>
                    </w:rPr>
                  </w:pPr>
                  <w:r>
                    <w:rPr>
                      <w:szCs w:val="21"/>
                    </w:rPr>
                    <w:t>夜间</w:t>
                  </w:r>
                  <w:r>
                    <w:rPr>
                      <w:rFonts w:hint="eastAsia"/>
                      <w:szCs w:val="21"/>
                      <w:lang w:val="en-US" w:eastAsia="zh-CN"/>
                    </w:rPr>
                    <w:t xml:space="preserve"> </w:t>
                  </w:r>
                </w:p>
              </w:tc>
              <w:tc>
                <w:tcPr>
                  <w:tcW w:w="1518" w:type="dxa"/>
                  <w:tcBorders>
                    <w:tl2br w:val="nil"/>
                    <w:tr2bl w:val="nil"/>
                  </w:tcBorders>
                  <w:vAlign w:val="center"/>
                </w:tcPr>
                <w:p w14:paraId="384098E7">
                  <w:pPr>
                    <w:widowControl/>
                    <w:jc w:val="center"/>
                    <w:rPr>
                      <w:rFonts w:hint="eastAsia" w:eastAsia="宋体"/>
                      <w:szCs w:val="21"/>
                      <w:lang w:val="en-US" w:eastAsia="zh-CN"/>
                    </w:rPr>
                  </w:pPr>
                  <w:r>
                    <w:rPr>
                      <w:szCs w:val="21"/>
                    </w:rPr>
                    <w:t>昼间</w:t>
                  </w:r>
                  <w:r>
                    <w:rPr>
                      <w:rFonts w:hint="eastAsia"/>
                      <w:szCs w:val="21"/>
                      <w:lang w:val="en-US" w:eastAsia="zh-CN"/>
                    </w:rPr>
                    <w:t xml:space="preserve"> </w:t>
                  </w:r>
                </w:p>
              </w:tc>
              <w:tc>
                <w:tcPr>
                  <w:tcW w:w="1522" w:type="dxa"/>
                  <w:tcBorders>
                    <w:tl2br w:val="nil"/>
                    <w:tr2bl w:val="nil"/>
                  </w:tcBorders>
                  <w:vAlign w:val="center"/>
                </w:tcPr>
                <w:p w14:paraId="40BB7265">
                  <w:pPr>
                    <w:widowControl/>
                    <w:jc w:val="center"/>
                    <w:rPr>
                      <w:rFonts w:hint="eastAsia" w:eastAsia="宋体"/>
                      <w:szCs w:val="21"/>
                      <w:lang w:val="en-US" w:eastAsia="zh-CN"/>
                    </w:rPr>
                  </w:pPr>
                  <w:r>
                    <w:rPr>
                      <w:szCs w:val="21"/>
                    </w:rPr>
                    <w:t>夜间</w:t>
                  </w:r>
                  <w:r>
                    <w:rPr>
                      <w:rFonts w:hint="eastAsia"/>
                      <w:szCs w:val="21"/>
                      <w:lang w:val="en-US" w:eastAsia="zh-CN"/>
                    </w:rPr>
                    <w:t xml:space="preserve"> </w:t>
                  </w:r>
                </w:p>
              </w:tc>
            </w:tr>
            <w:tr w14:paraId="6AD37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14:paraId="0555F26A">
                  <w:pPr>
                    <w:widowControl/>
                    <w:jc w:val="center"/>
                    <w:rPr>
                      <w:szCs w:val="21"/>
                    </w:rPr>
                  </w:pPr>
                  <w:r>
                    <w:rPr>
                      <w:szCs w:val="21"/>
                    </w:rPr>
                    <w:t>N1</w:t>
                  </w:r>
                </w:p>
              </w:tc>
              <w:tc>
                <w:tcPr>
                  <w:tcW w:w="1518" w:type="dxa"/>
                  <w:tcBorders>
                    <w:tl2br w:val="nil"/>
                    <w:tr2bl w:val="nil"/>
                  </w:tcBorders>
                  <w:vAlign w:val="center"/>
                </w:tcPr>
                <w:p w14:paraId="5AA36888">
                  <w:pPr>
                    <w:jc w:val="center"/>
                    <w:rPr>
                      <w:szCs w:val="21"/>
                    </w:rPr>
                  </w:pPr>
                  <w:r>
                    <w:rPr>
                      <w:rFonts w:hint="eastAsia"/>
                      <w:bCs/>
                      <w:sz w:val="21"/>
                      <w:szCs w:val="21"/>
                      <w:lang w:val="en-US" w:eastAsia="zh-CN"/>
                    </w:rPr>
                    <w:t>*</w:t>
                  </w:r>
                </w:p>
              </w:tc>
              <w:tc>
                <w:tcPr>
                  <w:tcW w:w="1520" w:type="dxa"/>
                  <w:tcBorders>
                    <w:tl2br w:val="nil"/>
                    <w:tr2bl w:val="nil"/>
                  </w:tcBorders>
                  <w:vAlign w:val="center"/>
                </w:tcPr>
                <w:p w14:paraId="3864BCE8">
                  <w:pPr>
                    <w:jc w:val="center"/>
                    <w:rPr>
                      <w:szCs w:val="21"/>
                    </w:rPr>
                  </w:pPr>
                  <w:r>
                    <w:rPr>
                      <w:rFonts w:hint="eastAsia"/>
                      <w:bCs/>
                      <w:sz w:val="21"/>
                      <w:szCs w:val="21"/>
                      <w:lang w:val="en-US" w:eastAsia="zh-CN"/>
                    </w:rPr>
                    <w:t>*</w:t>
                  </w:r>
                </w:p>
              </w:tc>
              <w:tc>
                <w:tcPr>
                  <w:tcW w:w="1518" w:type="dxa"/>
                  <w:tcBorders>
                    <w:tl2br w:val="nil"/>
                    <w:tr2bl w:val="nil"/>
                  </w:tcBorders>
                  <w:vAlign w:val="center"/>
                </w:tcPr>
                <w:p w14:paraId="56072DAA">
                  <w:pPr>
                    <w:jc w:val="center"/>
                    <w:rPr>
                      <w:szCs w:val="21"/>
                    </w:rPr>
                  </w:pPr>
                  <w:r>
                    <w:rPr>
                      <w:rFonts w:hint="eastAsia"/>
                      <w:bCs/>
                      <w:sz w:val="21"/>
                      <w:szCs w:val="21"/>
                      <w:lang w:val="en-US" w:eastAsia="zh-CN"/>
                    </w:rPr>
                    <w:t>*</w:t>
                  </w:r>
                </w:p>
              </w:tc>
              <w:tc>
                <w:tcPr>
                  <w:tcW w:w="1522" w:type="dxa"/>
                  <w:tcBorders>
                    <w:tl2br w:val="nil"/>
                    <w:tr2bl w:val="nil"/>
                  </w:tcBorders>
                  <w:vAlign w:val="center"/>
                </w:tcPr>
                <w:p w14:paraId="333982DE">
                  <w:pPr>
                    <w:jc w:val="center"/>
                    <w:rPr>
                      <w:szCs w:val="21"/>
                    </w:rPr>
                  </w:pPr>
                  <w:r>
                    <w:rPr>
                      <w:rFonts w:hint="eastAsia"/>
                      <w:bCs/>
                      <w:sz w:val="21"/>
                      <w:szCs w:val="21"/>
                      <w:lang w:val="en-US" w:eastAsia="zh-CN"/>
                    </w:rPr>
                    <w:t>*</w:t>
                  </w:r>
                </w:p>
              </w:tc>
            </w:tr>
            <w:tr w14:paraId="4E3A1D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14:paraId="77ABBDB0">
                  <w:pPr>
                    <w:widowControl/>
                    <w:jc w:val="center"/>
                    <w:rPr>
                      <w:szCs w:val="21"/>
                    </w:rPr>
                  </w:pPr>
                  <w:r>
                    <w:rPr>
                      <w:szCs w:val="21"/>
                    </w:rPr>
                    <w:t>N2</w:t>
                  </w:r>
                </w:p>
              </w:tc>
              <w:tc>
                <w:tcPr>
                  <w:tcW w:w="1518" w:type="dxa"/>
                  <w:tcBorders>
                    <w:tl2br w:val="nil"/>
                    <w:tr2bl w:val="nil"/>
                  </w:tcBorders>
                  <w:vAlign w:val="center"/>
                </w:tcPr>
                <w:p w14:paraId="327051D3">
                  <w:pPr>
                    <w:jc w:val="center"/>
                    <w:rPr>
                      <w:szCs w:val="21"/>
                    </w:rPr>
                  </w:pPr>
                  <w:r>
                    <w:rPr>
                      <w:rFonts w:hint="eastAsia"/>
                      <w:bCs/>
                      <w:sz w:val="21"/>
                      <w:szCs w:val="21"/>
                      <w:lang w:val="en-US" w:eastAsia="zh-CN"/>
                    </w:rPr>
                    <w:t>*</w:t>
                  </w:r>
                </w:p>
              </w:tc>
              <w:tc>
                <w:tcPr>
                  <w:tcW w:w="1520" w:type="dxa"/>
                  <w:tcBorders>
                    <w:tl2br w:val="nil"/>
                    <w:tr2bl w:val="nil"/>
                  </w:tcBorders>
                  <w:vAlign w:val="center"/>
                </w:tcPr>
                <w:p w14:paraId="08147C18">
                  <w:pPr>
                    <w:jc w:val="center"/>
                    <w:rPr>
                      <w:szCs w:val="21"/>
                    </w:rPr>
                  </w:pPr>
                  <w:r>
                    <w:rPr>
                      <w:rFonts w:hint="eastAsia"/>
                      <w:bCs/>
                      <w:sz w:val="21"/>
                      <w:szCs w:val="21"/>
                      <w:lang w:val="en-US" w:eastAsia="zh-CN"/>
                    </w:rPr>
                    <w:t>*</w:t>
                  </w:r>
                </w:p>
              </w:tc>
              <w:tc>
                <w:tcPr>
                  <w:tcW w:w="1518" w:type="dxa"/>
                  <w:tcBorders>
                    <w:tl2br w:val="nil"/>
                    <w:tr2bl w:val="nil"/>
                  </w:tcBorders>
                  <w:vAlign w:val="center"/>
                </w:tcPr>
                <w:p w14:paraId="27787881">
                  <w:pPr>
                    <w:jc w:val="center"/>
                    <w:rPr>
                      <w:szCs w:val="21"/>
                    </w:rPr>
                  </w:pPr>
                  <w:r>
                    <w:rPr>
                      <w:rFonts w:hint="eastAsia"/>
                      <w:bCs/>
                      <w:sz w:val="21"/>
                      <w:szCs w:val="21"/>
                      <w:lang w:val="en-US" w:eastAsia="zh-CN"/>
                    </w:rPr>
                    <w:t>*</w:t>
                  </w:r>
                </w:p>
              </w:tc>
              <w:tc>
                <w:tcPr>
                  <w:tcW w:w="1522" w:type="dxa"/>
                  <w:tcBorders>
                    <w:tl2br w:val="nil"/>
                    <w:tr2bl w:val="nil"/>
                  </w:tcBorders>
                  <w:vAlign w:val="center"/>
                </w:tcPr>
                <w:p w14:paraId="0CFF3958">
                  <w:pPr>
                    <w:jc w:val="center"/>
                    <w:rPr>
                      <w:szCs w:val="21"/>
                    </w:rPr>
                  </w:pPr>
                  <w:r>
                    <w:rPr>
                      <w:rFonts w:hint="eastAsia"/>
                      <w:bCs/>
                      <w:sz w:val="21"/>
                      <w:szCs w:val="21"/>
                      <w:lang w:val="en-US" w:eastAsia="zh-CN"/>
                    </w:rPr>
                    <w:t>*</w:t>
                  </w:r>
                </w:p>
              </w:tc>
            </w:tr>
            <w:tr w14:paraId="2E379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14:paraId="38479021">
                  <w:pPr>
                    <w:widowControl/>
                    <w:jc w:val="center"/>
                    <w:rPr>
                      <w:szCs w:val="21"/>
                    </w:rPr>
                  </w:pPr>
                  <w:r>
                    <w:rPr>
                      <w:szCs w:val="21"/>
                    </w:rPr>
                    <w:t>标准值</w:t>
                  </w:r>
                </w:p>
              </w:tc>
              <w:tc>
                <w:tcPr>
                  <w:tcW w:w="1518" w:type="dxa"/>
                  <w:tcBorders>
                    <w:tl2br w:val="nil"/>
                    <w:tr2bl w:val="nil"/>
                  </w:tcBorders>
                  <w:vAlign w:val="center"/>
                </w:tcPr>
                <w:p w14:paraId="2C856FD8">
                  <w:pPr>
                    <w:widowControl/>
                    <w:jc w:val="center"/>
                    <w:rPr>
                      <w:szCs w:val="21"/>
                    </w:rPr>
                  </w:pPr>
                  <w:r>
                    <w:rPr>
                      <w:szCs w:val="21"/>
                    </w:rPr>
                    <w:t>60</w:t>
                  </w:r>
                </w:p>
              </w:tc>
              <w:tc>
                <w:tcPr>
                  <w:tcW w:w="1520" w:type="dxa"/>
                  <w:tcBorders>
                    <w:tl2br w:val="nil"/>
                    <w:tr2bl w:val="nil"/>
                  </w:tcBorders>
                  <w:vAlign w:val="center"/>
                </w:tcPr>
                <w:p w14:paraId="09B8A489">
                  <w:pPr>
                    <w:widowControl/>
                    <w:jc w:val="center"/>
                    <w:rPr>
                      <w:szCs w:val="21"/>
                    </w:rPr>
                  </w:pPr>
                  <w:r>
                    <w:rPr>
                      <w:szCs w:val="21"/>
                    </w:rPr>
                    <w:t>50</w:t>
                  </w:r>
                </w:p>
              </w:tc>
              <w:tc>
                <w:tcPr>
                  <w:tcW w:w="1518" w:type="dxa"/>
                  <w:tcBorders>
                    <w:tl2br w:val="nil"/>
                    <w:tr2bl w:val="nil"/>
                  </w:tcBorders>
                  <w:vAlign w:val="center"/>
                </w:tcPr>
                <w:p w14:paraId="0420D9AC">
                  <w:pPr>
                    <w:widowControl/>
                    <w:jc w:val="center"/>
                    <w:rPr>
                      <w:szCs w:val="21"/>
                    </w:rPr>
                  </w:pPr>
                  <w:r>
                    <w:rPr>
                      <w:szCs w:val="21"/>
                    </w:rPr>
                    <w:t>60</w:t>
                  </w:r>
                </w:p>
              </w:tc>
              <w:tc>
                <w:tcPr>
                  <w:tcW w:w="1522" w:type="dxa"/>
                  <w:tcBorders>
                    <w:tl2br w:val="nil"/>
                    <w:tr2bl w:val="nil"/>
                  </w:tcBorders>
                  <w:vAlign w:val="center"/>
                </w:tcPr>
                <w:p w14:paraId="7BCD26A4">
                  <w:pPr>
                    <w:widowControl/>
                    <w:jc w:val="center"/>
                    <w:rPr>
                      <w:szCs w:val="21"/>
                    </w:rPr>
                  </w:pPr>
                  <w:r>
                    <w:rPr>
                      <w:szCs w:val="21"/>
                    </w:rPr>
                    <w:t>50</w:t>
                  </w:r>
                </w:p>
              </w:tc>
            </w:tr>
          </w:tbl>
          <w:p w14:paraId="3A59EDAF">
            <w:pPr>
              <w:adjustRightInd w:val="0"/>
              <w:snapToGrid w:val="0"/>
              <w:spacing w:line="360" w:lineRule="auto"/>
              <w:ind w:firstLine="480" w:firstLineChars="200"/>
              <w:rPr>
                <w:kern w:val="0"/>
                <w:sz w:val="24"/>
              </w:rPr>
            </w:pPr>
            <w:r>
              <w:rPr>
                <w:bCs/>
                <w:sz w:val="24"/>
              </w:rPr>
              <w:t>由上表可知，</w:t>
            </w:r>
            <w:r>
              <w:rPr>
                <w:kern w:val="0"/>
                <w:sz w:val="24"/>
              </w:rPr>
              <w:t>项目区域环境噪声昼、夜间等效声级值均达到《声环境质量标准》（GB3096-2008）中的2类声环境功能区环境标准。声环境质量现状良好。</w:t>
            </w:r>
          </w:p>
          <w:p w14:paraId="1C280669">
            <w:pPr>
              <w:adjustRightInd w:val="0"/>
              <w:snapToGrid w:val="0"/>
              <w:spacing w:line="360" w:lineRule="auto"/>
              <w:ind w:firstLine="482" w:firstLineChars="200"/>
              <w:rPr>
                <w:b/>
                <w:bCs/>
                <w:kern w:val="0"/>
                <w:sz w:val="24"/>
              </w:rPr>
            </w:pPr>
            <w:r>
              <w:rPr>
                <w:b/>
                <w:bCs/>
                <w:kern w:val="0"/>
                <w:sz w:val="24"/>
              </w:rPr>
              <w:t>4、地下水环境质量</w:t>
            </w:r>
          </w:p>
          <w:p w14:paraId="1FACCA6C">
            <w:pPr>
              <w:spacing w:line="360" w:lineRule="auto"/>
              <w:ind w:firstLine="480" w:firstLineChars="200"/>
              <w:rPr>
                <w:sz w:val="24"/>
              </w:rPr>
            </w:pPr>
            <w:r>
              <w:rPr>
                <w:sz w:val="24"/>
              </w:rPr>
              <w:t>为了解项目所在地地下水现状，202</w:t>
            </w:r>
            <w:r>
              <w:rPr>
                <w:rFonts w:hint="eastAsia"/>
                <w:sz w:val="24"/>
              </w:rPr>
              <w:t>5</w:t>
            </w:r>
            <w:r>
              <w:rPr>
                <w:sz w:val="24"/>
              </w:rPr>
              <w:t>年</w:t>
            </w:r>
            <w:r>
              <w:rPr>
                <w:rFonts w:hint="eastAsia"/>
                <w:sz w:val="24"/>
              </w:rPr>
              <w:t>2</w:t>
            </w:r>
            <w:r>
              <w:rPr>
                <w:sz w:val="24"/>
              </w:rPr>
              <w:t>月</w:t>
            </w:r>
            <w:r>
              <w:rPr>
                <w:rFonts w:hint="eastAsia"/>
                <w:sz w:val="24"/>
              </w:rPr>
              <w:t>27</w:t>
            </w:r>
            <w:r>
              <w:rPr>
                <w:sz w:val="24"/>
              </w:rPr>
              <w:t>日，四川华皓检测技术有限公司对</w:t>
            </w:r>
            <w:r>
              <w:rPr>
                <w:rFonts w:hint="eastAsia"/>
                <w:sz w:val="24"/>
              </w:rPr>
              <w:t>双庙页1HF井</w:t>
            </w:r>
            <w:r>
              <w:rPr>
                <w:sz w:val="24"/>
              </w:rPr>
              <w:t>所在地地下水质量现状进行监测。</w:t>
            </w:r>
          </w:p>
          <w:p w14:paraId="022D0D15">
            <w:pPr>
              <w:spacing w:line="360" w:lineRule="auto"/>
              <w:ind w:firstLine="480" w:firstLineChars="200"/>
              <w:rPr>
                <w:bCs/>
                <w:sz w:val="24"/>
              </w:rPr>
            </w:pPr>
            <w:r>
              <w:rPr>
                <w:sz w:val="24"/>
              </w:rPr>
              <w:t>（1）监测点布设：设5个监测点</w:t>
            </w:r>
            <w:r>
              <w:rPr>
                <w:bCs/>
                <w:sz w:val="24"/>
              </w:rPr>
              <w:t>。其中</w:t>
            </w:r>
            <w:r>
              <w:rPr>
                <w:rFonts w:hint="eastAsia"/>
                <w:bCs/>
                <w:sz w:val="24"/>
              </w:rPr>
              <w:t>WX</w:t>
            </w:r>
            <w:r>
              <w:rPr>
                <w:bCs/>
                <w:sz w:val="24"/>
              </w:rPr>
              <w:t>1位于井场上游，</w:t>
            </w:r>
            <w:r>
              <w:rPr>
                <w:rFonts w:hint="eastAsia"/>
                <w:bCs/>
                <w:sz w:val="24"/>
              </w:rPr>
              <w:t>WX</w:t>
            </w:r>
            <w:r>
              <w:rPr>
                <w:bCs/>
                <w:sz w:val="24"/>
              </w:rPr>
              <w:t>2、</w:t>
            </w:r>
            <w:r>
              <w:rPr>
                <w:rFonts w:hint="eastAsia"/>
                <w:bCs/>
                <w:sz w:val="24"/>
              </w:rPr>
              <w:t>WX</w:t>
            </w:r>
            <w:r>
              <w:rPr>
                <w:bCs/>
                <w:sz w:val="24"/>
              </w:rPr>
              <w:t>3分别位于井场两侧，</w:t>
            </w:r>
            <w:r>
              <w:rPr>
                <w:rFonts w:hint="eastAsia"/>
                <w:bCs/>
                <w:sz w:val="24"/>
              </w:rPr>
              <w:t>WX</w:t>
            </w:r>
            <w:r>
              <w:rPr>
                <w:bCs/>
                <w:sz w:val="24"/>
              </w:rPr>
              <w:t>4、</w:t>
            </w:r>
            <w:r>
              <w:rPr>
                <w:rFonts w:hint="eastAsia"/>
                <w:bCs/>
                <w:sz w:val="24"/>
              </w:rPr>
              <w:t>WX</w:t>
            </w:r>
            <w:r>
              <w:rPr>
                <w:bCs/>
                <w:sz w:val="24"/>
              </w:rPr>
              <w:t>5位于井场下游。监测布点符合《环境影响评价技术导则 地下水环境》中地下水环境现状监测布设原则。</w:t>
            </w:r>
          </w:p>
          <w:p w14:paraId="769E01F8">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地下水水位监测布点表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77"/>
              <w:gridCol w:w="880"/>
              <w:gridCol w:w="879"/>
              <w:gridCol w:w="879"/>
              <w:gridCol w:w="879"/>
              <w:gridCol w:w="2513"/>
            </w:tblGrid>
            <w:tr w14:paraId="528F0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1C5E1146">
                  <w:pPr>
                    <w:adjustRightInd w:val="0"/>
                    <w:snapToGrid w:val="0"/>
                    <w:jc w:val="center"/>
                    <w:rPr>
                      <w:szCs w:val="21"/>
                    </w:rPr>
                  </w:pPr>
                  <w:r>
                    <w:rPr>
                      <w:szCs w:val="21"/>
                    </w:rPr>
                    <w:t>点位</w:t>
                  </w:r>
                </w:p>
              </w:tc>
              <w:tc>
                <w:tcPr>
                  <w:tcW w:w="549" w:type="pct"/>
                  <w:shd w:val="clear" w:color="auto" w:fill="auto"/>
                  <w:noWrap/>
                  <w:tcMar>
                    <w:top w:w="15" w:type="dxa"/>
                    <w:left w:w="15" w:type="dxa"/>
                    <w:bottom w:w="0" w:type="dxa"/>
                    <w:right w:w="15" w:type="dxa"/>
                  </w:tcMar>
                  <w:vAlign w:val="center"/>
                </w:tcPr>
                <w:p w14:paraId="68D2A2AE">
                  <w:pPr>
                    <w:adjustRightInd w:val="0"/>
                    <w:snapToGrid w:val="0"/>
                    <w:jc w:val="center"/>
                    <w:rPr>
                      <w:szCs w:val="21"/>
                    </w:rPr>
                  </w:pPr>
                  <w:r>
                    <w:rPr>
                      <w:rFonts w:hint="eastAsia"/>
                      <w:szCs w:val="21"/>
                    </w:rPr>
                    <w:t>水井类型</w:t>
                  </w:r>
                </w:p>
              </w:tc>
              <w:tc>
                <w:tcPr>
                  <w:tcW w:w="549" w:type="pct"/>
                  <w:shd w:val="clear" w:color="auto" w:fill="auto"/>
                  <w:noWrap/>
                  <w:tcMar>
                    <w:top w:w="15" w:type="dxa"/>
                    <w:left w:w="15" w:type="dxa"/>
                    <w:bottom w:w="0" w:type="dxa"/>
                    <w:right w:w="15" w:type="dxa"/>
                  </w:tcMar>
                  <w:vAlign w:val="center"/>
                </w:tcPr>
                <w:p w14:paraId="2EFD62DD">
                  <w:pPr>
                    <w:widowControl/>
                    <w:jc w:val="center"/>
                    <w:rPr>
                      <w:szCs w:val="21"/>
                    </w:rPr>
                  </w:pPr>
                  <w:r>
                    <w:rPr>
                      <w:szCs w:val="21"/>
                    </w:rPr>
                    <w:t>海拔（m）</w:t>
                  </w:r>
                </w:p>
              </w:tc>
              <w:tc>
                <w:tcPr>
                  <w:tcW w:w="549" w:type="pct"/>
                  <w:vAlign w:val="center"/>
                </w:tcPr>
                <w:p w14:paraId="481A3A11">
                  <w:pPr>
                    <w:widowControl/>
                    <w:jc w:val="center"/>
                    <w:rPr>
                      <w:szCs w:val="21"/>
                    </w:rPr>
                  </w:pPr>
                  <w:r>
                    <w:rPr>
                      <w:szCs w:val="21"/>
                    </w:rPr>
                    <w:t>水面至井口（m）</w:t>
                  </w:r>
                </w:p>
              </w:tc>
              <w:tc>
                <w:tcPr>
                  <w:tcW w:w="549" w:type="pct"/>
                  <w:vAlign w:val="center"/>
                </w:tcPr>
                <w:p w14:paraId="4732E69C">
                  <w:pPr>
                    <w:widowControl/>
                    <w:jc w:val="center"/>
                    <w:rPr>
                      <w:szCs w:val="21"/>
                    </w:rPr>
                  </w:pPr>
                  <w:r>
                    <w:rPr>
                      <w:szCs w:val="21"/>
                    </w:rPr>
                    <w:t>水位（m）</w:t>
                  </w:r>
                </w:p>
              </w:tc>
              <w:tc>
                <w:tcPr>
                  <w:tcW w:w="1569" w:type="pct"/>
                  <w:shd w:val="clear" w:color="auto" w:fill="auto"/>
                  <w:noWrap/>
                  <w:tcMar>
                    <w:top w:w="15" w:type="dxa"/>
                    <w:left w:w="15" w:type="dxa"/>
                    <w:bottom w:w="0" w:type="dxa"/>
                    <w:right w:w="15" w:type="dxa"/>
                  </w:tcMar>
                  <w:vAlign w:val="center"/>
                </w:tcPr>
                <w:p w14:paraId="04168B16">
                  <w:pPr>
                    <w:adjustRightInd w:val="0"/>
                    <w:snapToGrid w:val="0"/>
                    <w:jc w:val="center"/>
                    <w:rPr>
                      <w:szCs w:val="21"/>
                    </w:rPr>
                  </w:pPr>
                  <w:r>
                    <w:rPr>
                      <w:szCs w:val="21"/>
                    </w:rPr>
                    <w:t>经纬度</w:t>
                  </w:r>
                </w:p>
              </w:tc>
            </w:tr>
            <w:tr w14:paraId="1A3F3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3DB991F8">
                  <w:pPr>
                    <w:jc w:val="center"/>
                    <w:rPr>
                      <w:szCs w:val="21"/>
                    </w:rPr>
                  </w:pPr>
                  <w:r>
                    <w:rPr>
                      <w:szCs w:val="21"/>
                    </w:rPr>
                    <w:t>WX1平台</w:t>
                  </w:r>
                  <w:r>
                    <w:rPr>
                      <w:rFonts w:hint="eastAsia"/>
                      <w:szCs w:val="21"/>
                    </w:rPr>
                    <w:t>东北侧</w:t>
                  </w:r>
                </w:p>
              </w:tc>
              <w:tc>
                <w:tcPr>
                  <w:tcW w:w="549" w:type="pct"/>
                  <w:shd w:val="clear" w:color="auto" w:fill="auto"/>
                  <w:noWrap/>
                  <w:tcMar>
                    <w:top w:w="15" w:type="dxa"/>
                    <w:left w:w="15" w:type="dxa"/>
                    <w:bottom w:w="0" w:type="dxa"/>
                    <w:right w:w="15" w:type="dxa"/>
                  </w:tcMar>
                  <w:vAlign w:val="center"/>
                </w:tcPr>
                <w:p w14:paraId="58581301">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700CC411">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1EDA9B9">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28E98100">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4D535001">
                  <w:pPr>
                    <w:jc w:val="center"/>
                    <w:rPr>
                      <w:rFonts w:hint="default" w:ascii="Times New Roman" w:cs="Times New Roman"/>
                      <w:color w:val="auto"/>
                      <w:szCs w:val="21"/>
                    </w:rPr>
                  </w:pPr>
                  <w:r>
                    <w:rPr>
                      <w:rFonts w:hint="eastAsia"/>
                      <w:bCs/>
                      <w:sz w:val="21"/>
                      <w:szCs w:val="21"/>
                      <w:lang w:val="en-US" w:eastAsia="zh-CN"/>
                    </w:rPr>
                    <w:t>*</w:t>
                  </w:r>
                </w:p>
              </w:tc>
            </w:tr>
            <w:tr w14:paraId="2DAEF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21EF963E">
                  <w:pPr>
                    <w:jc w:val="center"/>
                    <w:rPr>
                      <w:szCs w:val="21"/>
                    </w:rPr>
                  </w:pPr>
                  <w:r>
                    <w:rPr>
                      <w:szCs w:val="21"/>
                    </w:rPr>
                    <w:t>WX2平台</w:t>
                  </w:r>
                  <w:r>
                    <w:rPr>
                      <w:rFonts w:hint="eastAsia"/>
                      <w:szCs w:val="21"/>
                    </w:rPr>
                    <w:t>南侧</w:t>
                  </w:r>
                </w:p>
              </w:tc>
              <w:tc>
                <w:tcPr>
                  <w:tcW w:w="549" w:type="pct"/>
                  <w:shd w:val="clear" w:color="auto" w:fill="auto"/>
                  <w:noWrap/>
                  <w:tcMar>
                    <w:top w:w="15" w:type="dxa"/>
                    <w:left w:w="15" w:type="dxa"/>
                    <w:bottom w:w="0" w:type="dxa"/>
                    <w:right w:w="15" w:type="dxa"/>
                  </w:tcMar>
                  <w:vAlign w:val="center"/>
                </w:tcPr>
                <w:p w14:paraId="68FEFDD6">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428B1E7E">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5E09127F">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5BA74445">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2C1DB3AA">
                  <w:pPr>
                    <w:jc w:val="center"/>
                    <w:rPr>
                      <w:rFonts w:hint="default" w:ascii="Times New Roman" w:cs="Times New Roman"/>
                      <w:color w:val="auto"/>
                      <w:szCs w:val="21"/>
                    </w:rPr>
                  </w:pPr>
                  <w:r>
                    <w:rPr>
                      <w:rFonts w:hint="eastAsia"/>
                      <w:bCs/>
                      <w:sz w:val="21"/>
                      <w:szCs w:val="21"/>
                      <w:lang w:val="en-US" w:eastAsia="zh-CN"/>
                    </w:rPr>
                    <w:t>*</w:t>
                  </w:r>
                </w:p>
              </w:tc>
            </w:tr>
            <w:tr w14:paraId="56221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24CBEDAA">
                  <w:pPr>
                    <w:jc w:val="center"/>
                    <w:rPr>
                      <w:szCs w:val="21"/>
                    </w:rPr>
                  </w:pPr>
                  <w:r>
                    <w:rPr>
                      <w:szCs w:val="21"/>
                    </w:rPr>
                    <w:t>WX3平台</w:t>
                  </w:r>
                  <w:r>
                    <w:rPr>
                      <w:rFonts w:hint="eastAsia"/>
                      <w:szCs w:val="21"/>
                    </w:rPr>
                    <w:t>西</w:t>
                  </w:r>
                  <w:r>
                    <w:rPr>
                      <w:szCs w:val="21"/>
                    </w:rPr>
                    <w:t>侧</w:t>
                  </w:r>
                </w:p>
              </w:tc>
              <w:tc>
                <w:tcPr>
                  <w:tcW w:w="549" w:type="pct"/>
                  <w:shd w:val="clear" w:color="auto" w:fill="auto"/>
                  <w:noWrap/>
                  <w:tcMar>
                    <w:top w:w="15" w:type="dxa"/>
                    <w:left w:w="15" w:type="dxa"/>
                    <w:bottom w:w="0" w:type="dxa"/>
                    <w:right w:w="15" w:type="dxa"/>
                  </w:tcMar>
                  <w:vAlign w:val="center"/>
                </w:tcPr>
                <w:p w14:paraId="5C438349">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610186E2">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09247486">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C78C735">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137B875E">
                  <w:pPr>
                    <w:jc w:val="center"/>
                    <w:rPr>
                      <w:rFonts w:hint="default" w:ascii="Times New Roman" w:cs="Times New Roman"/>
                      <w:color w:val="auto"/>
                      <w:szCs w:val="21"/>
                    </w:rPr>
                  </w:pPr>
                  <w:r>
                    <w:rPr>
                      <w:rFonts w:hint="eastAsia"/>
                      <w:bCs/>
                      <w:sz w:val="21"/>
                      <w:szCs w:val="21"/>
                      <w:lang w:val="en-US" w:eastAsia="zh-CN"/>
                    </w:rPr>
                    <w:t>*</w:t>
                  </w:r>
                </w:p>
              </w:tc>
            </w:tr>
            <w:tr w14:paraId="24D93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732BE98D">
                  <w:pPr>
                    <w:jc w:val="center"/>
                    <w:rPr>
                      <w:szCs w:val="21"/>
                    </w:rPr>
                  </w:pPr>
                  <w:r>
                    <w:rPr>
                      <w:szCs w:val="21"/>
                    </w:rPr>
                    <w:t>WX4平台</w:t>
                  </w:r>
                  <w:r>
                    <w:rPr>
                      <w:rFonts w:hint="eastAsia"/>
                      <w:szCs w:val="21"/>
                    </w:rPr>
                    <w:t>西</w:t>
                  </w:r>
                  <w:r>
                    <w:rPr>
                      <w:szCs w:val="21"/>
                    </w:rPr>
                    <w:t>侧</w:t>
                  </w:r>
                </w:p>
              </w:tc>
              <w:tc>
                <w:tcPr>
                  <w:tcW w:w="549" w:type="pct"/>
                  <w:shd w:val="clear" w:color="auto" w:fill="auto"/>
                  <w:noWrap/>
                  <w:tcMar>
                    <w:top w:w="15" w:type="dxa"/>
                    <w:left w:w="15" w:type="dxa"/>
                    <w:bottom w:w="0" w:type="dxa"/>
                    <w:right w:w="15" w:type="dxa"/>
                  </w:tcMar>
                  <w:vAlign w:val="center"/>
                </w:tcPr>
                <w:p w14:paraId="2DD47772">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28F4F239">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21C4D221">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2A0BDF8">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116DB403">
                  <w:pPr>
                    <w:jc w:val="center"/>
                    <w:rPr>
                      <w:rFonts w:hint="default" w:ascii="Times New Roman" w:cs="Times New Roman"/>
                      <w:color w:val="auto"/>
                      <w:szCs w:val="21"/>
                    </w:rPr>
                  </w:pPr>
                  <w:r>
                    <w:rPr>
                      <w:rFonts w:hint="eastAsia"/>
                      <w:bCs/>
                      <w:sz w:val="21"/>
                      <w:szCs w:val="21"/>
                      <w:lang w:val="en-US" w:eastAsia="zh-CN"/>
                    </w:rPr>
                    <w:t>*</w:t>
                  </w:r>
                </w:p>
              </w:tc>
            </w:tr>
            <w:tr w14:paraId="38125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234" w:type="pct"/>
                  <w:vAlign w:val="center"/>
                </w:tcPr>
                <w:p w14:paraId="677827A0">
                  <w:pPr>
                    <w:jc w:val="center"/>
                    <w:rPr>
                      <w:szCs w:val="21"/>
                    </w:rPr>
                  </w:pPr>
                  <w:r>
                    <w:rPr>
                      <w:szCs w:val="21"/>
                    </w:rPr>
                    <w:t>WX5平台</w:t>
                  </w:r>
                  <w:r>
                    <w:rPr>
                      <w:rFonts w:hint="eastAsia"/>
                      <w:szCs w:val="21"/>
                    </w:rPr>
                    <w:t>西</w:t>
                  </w:r>
                  <w:r>
                    <w:rPr>
                      <w:szCs w:val="21"/>
                    </w:rPr>
                    <w:t>侧</w:t>
                  </w:r>
                </w:p>
              </w:tc>
              <w:tc>
                <w:tcPr>
                  <w:tcW w:w="549" w:type="pct"/>
                  <w:shd w:val="clear" w:color="auto" w:fill="auto"/>
                  <w:noWrap/>
                  <w:tcMar>
                    <w:top w:w="15" w:type="dxa"/>
                    <w:left w:w="15" w:type="dxa"/>
                    <w:bottom w:w="0" w:type="dxa"/>
                    <w:right w:w="15" w:type="dxa"/>
                  </w:tcMar>
                  <w:vAlign w:val="center"/>
                </w:tcPr>
                <w:p w14:paraId="49D07CB1">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76622EDB">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164B87BE">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6F10962">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373719F8">
                  <w:pPr>
                    <w:jc w:val="center"/>
                    <w:rPr>
                      <w:rFonts w:hint="default" w:ascii="Times New Roman" w:cs="Times New Roman"/>
                      <w:color w:val="auto"/>
                      <w:szCs w:val="21"/>
                    </w:rPr>
                  </w:pPr>
                  <w:r>
                    <w:rPr>
                      <w:rFonts w:hint="eastAsia"/>
                      <w:bCs/>
                      <w:sz w:val="21"/>
                      <w:szCs w:val="21"/>
                      <w:lang w:val="en-US" w:eastAsia="zh-CN"/>
                    </w:rPr>
                    <w:t>*</w:t>
                  </w:r>
                </w:p>
              </w:tc>
            </w:tr>
            <w:tr w14:paraId="5C378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1E0EEC8B">
                  <w:pPr>
                    <w:jc w:val="center"/>
                    <w:rPr>
                      <w:szCs w:val="21"/>
                    </w:rPr>
                  </w:pPr>
                  <w:r>
                    <w:rPr>
                      <w:szCs w:val="21"/>
                    </w:rPr>
                    <w:t>WX6</w:t>
                  </w:r>
                </w:p>
              </w:tc>
              <w:tc>
                <w:tcPr>
                  <w:tcW w:w="549" w:type="pct"/>
                  <w:shd w:val="clear" w:color="auto" w:fill="auto"/>
                  <w:noWrap/>
                  <w:tcMar>
                    <w:top w:w="15" w:type="dxa"/>
                    <w:left w:w="15" w:type="dxa"/>
                    <w:bottom w:w="0" w:type="dxa"/>
                    <w:right w:w="15" w:type="dxa"/>
                  </w:tcMar>
                  <w:vAlign w:val="center"/>
                </w:tcPr>
                <w:p w14:paraId="4385DFDA">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5A7FB771">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CC686BE">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53CBB66C">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1F9EBE1D">
                  <w:pPr>
                    <w:autoSpaceDE w:val="0"/>
                    <w:autoSpaceDN w:val="0"/>
                    <w:adjustRightInd w:val="0"/>
                    <w:jc w:val="center"/>
                    <w:rPr>
                      <w:szCs w:val="21"/>
                    </w:rPr>
                  </w:pPr>
                  <w:r>
                    <w:rPr>
                      <w:rFonts w:hint="eastAsia"/>
                      <w:bCs/>
                      <w:sz w:val="21"/>
                      <w:szCs w:val="21"/>
                      <w:lang w:val="en-US" w:eastAsia="zh-CN"/>
                    </w:rPr>
                    <w:t>*</w:t>
                  </w:r>
                </w:p>
              </w:tc>
            </w:tr>
            <w:tr w14:paraId="0F938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56130C40">
                  <w:pPr>
                    <w:jc w:val="center"/>
                    <w:rPr>
                      <w:szCs w:val="21"/>
                    </w:rPr>
                  </w:pPr>
                  <w:r>
                    <w:rPr>
                      <w:szCs w:val="21"/>
                    </w:rPr>
                    <w:t>WX7</w:t>
                  </w:r>
                </w:p>
              </w:tc>
              <w:tc>
                <w:tcPr>
                  <w:tcW w:w="549" w:type="pct"/>
                  <w:shd w:val="clear" w:color="auto" w:fill="auto"/>
                  <w:noWrap/>
                  <w:tcMar>
                    <w:top w:w="15" w:type="dxa"/>
                    <w:left w:w="15" w:type="dxa"/>
                    <w:bottom w:w="0" w:type="dxa"/>
                    <w:right w:w="15" w:type="dxa"/>
                  </w:tcMar>
                  <w:vAlign w:val="center"/>
                </w:tcPr>
                <w:p w14:paraId="34761508">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727F1DC8">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0D880F0B">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23F2433E">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778134D3">
                  <w:pPr>
                    <w:jc w:val="center"/>
                    <w:rPr>
                      <w:rFonts w:hint="default" w:ascii="Times New Roman" w:cs="Times New Roman"/>
                      <w:color w:val="auto"/>
                      <w:szCs w:val="21"/>
                    </w:rPr>
                  </w:pPr>
                  <w:r>
                    <w:rPr>
                      <w:rFonts w:hint="eastAsia"/>
                      <w:bCs/>
                      <w:sz w:val="21"/>
                      <w:szCs w:val="21"/>
                      <w:lang w:val="en-US" w:eastAsia="zh-CN"/>
                    </w:rPr>
                    <w:t>*</w:t>
                  </w:r>
                </w:p>
              </w:tc>
            </w:tr>
            <w:tr w14:paraId="65C46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21689829">
                  <w:pPr>
                    <w:jc w:val="center"/>
                    <w:rPr>
                      <w:szCs w:val="21"/>
                    </w:rPr>
                  </w:pPr>
                  <w:r>
                    <w:rPr>
                      <w:szCs w:val="21"/>
                    </w:rPr>
                    <w:t>WX8</w:t>
                  </w:r>
                </w:p>
              </w:tc>
              <w:tc>
                <w:tcPr>
                  <w:tcW w:w="549" w:type="pct"/>
                  <w:shd w:val="clear" w:color="auto" w:fill="auto"/>
                  <w:noWrap/>
                  <w:tcMar>
                    <w:top w:w="15" w:type="dxa"/>
                    <w:left w:w="15" w:type="dxa"/>
                    <w:bottom w:w="0" w:type="dxa"/>
                    <w:right w:w="15" w:type="dxa"/>
                  </w:tcMar>
                  <w:vAlign w:val="center"/>
                </w:tcPr>
                <w:p w14:paraId="5929EF34">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38EF96DB">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5B3063F6">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30C3C418">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7AA6C1DD">
                  <w:pPr>
                    <w:jc w:val="center"/>
                    <w:rPr>
                      <w:rFonts w:hint="default" w:ascii="Times New Roman" w:cs="Times New Roman"/>
                      <w:color w:val="auto"/>
                      <w:szCs w:val="21"/>
                    </w:rPr>
                  </w:pPr>
                  <w:r>
                    <w:rPr>
                      <w:rFonts w:hint="eastAsia"/>
                      <w:bCs/>
                      <w:sz w:val="21"/>
                      <w:szCs w:val="21"/>
                      <w:lang w:val="en-US" w:eastAsia="zh-CN"/>
                    </w:rPr>
                    <w:t>*</w:t>
                  </w:r>
                </w:p>
              </w:tc>
            </w:tr>
            <w:tr w14:paraId="1EAC9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0D747CE4">
                  <w:pPr>
                    <w:jc w:val="center"/>
                    <w:rPr>
                      <w:szCs w:val="21"/>
                    </w:rPr>
                  </w:pPr>
                  <w:r>
                    <w:rPr>
                      <w:szCs w:val="21"/>
                    </w:rPr>
                    <w:t>WX9</w:t>
                  </w:r>
                </w:p>
              </w:tc>
              <w:tc>
                <w:tcPr>
                  <w:tcW w:w="549" w:type="pct"/>
                  <w:shd w:val="clear" w:color="auto" w:fill="auto"/>
                  <w:noWrap/>
                  <w:tcMar>
                    <w:top w:w="15" w:type="dxa"/>
                    <w:left w:w="15" w:type="dxa"/>
                    <w:bottom w:w="0" w:type="dxa"/>
                    <w:right w:w="15" w:type="dxa"/>
                  </w:tcMar>
                  <w:vAlign w:val="center"/>
                </w:tcPr>
                <w:p w14:paraId="31FC1F0E">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2BC3F2C1">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29A1F7A1">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1FAF8743">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154137C1">
                  <w:pPr>
                    <w:jc w:val="center"/>
                    <w:rPr>
                      <w:rFonts w:hint="default" w:ascii="Times New Roman" w:cs="Times New Roman"/>
                      <w:color w:val="auto"/>
                      <w:szCs w:val="21"/>
                    </w:rPr>
                  </w:pPr>
                  <w:r>
                    <w:rPr>
                      <w:rFonts w:hint="eastAsia"/>
                      <w:bCs/>
                      <w:sz w:val="21"/>
                      <w:szCs w:val="21"/>
                      <w:lang w:val="en-US" w:eastAsia="zh-CN"/>
                    </w:rPr>
                    <w:t>*</w:t>
                  </w:r>
                </w:p>
              </w:tc>
            </w:tr>
            <w:tr w14:paraId="0D234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4" w:type="pct"/>
                  <w:vAlign w:val="center"/>
                </w:tcPr>
                <w:p w14:paraId="19C4829C">
                  <w:pPr>
                    <w:jc w:val="center"/>
                    <w:rPr>
                      <w:szCs w:val="21"/>
                    </w:rPr>
                  </w:pPr>
                  <w:r>
                    <w:rPr>
                      <w:szCs w:val="21"/>
                    </w:rPr>
                    <w:t>WX10</w:t>
                  </w:r>
                </w:p>
              </w:tc>
              <w:tc>
                <w:tcPr>
                  <w:tcW w:w="549" w:type="pct"/>
                  <w:shd w:val="clear" w:color="auto" w:fill="auto"/>
                  <w:noWrap/>
                  <w:tcMar>
                    <w:top w:w="15" w:type="dxa"/>
                    <w:left w:w="15" w:type="dxa"/>
                    <w:bottom w:w="0" w:type="dxa"/>
                    <w:right w:w="15" w:type="dxa"/>
                  </w:tcMar>
                  <w:vAlign w:val="center"/>
                </w:tcPr>
                <w:p w14:paraId="3EDAEA5F">
                  <w:pPr>
                    <w:jc w:val="center"/>
                    <w:rPr>
                      <w:szCs w:val="21"/>
                    </w:rPr>
                  </w:pPr>
                  <w:r>
                    <w:rPr>
                      <w:rFonts w:hint="eastAsia"/>
                      <w:szCs w:val="21"/>
                    </w:rPr>
                    <w:t>浅井</w:t>
                  </w:r>
                </w:p>
              </w:tc>
              <w:tc>
                <w:tcPr>
                  <w:tcW w:w="549" w:type="pct"/>
                  <w:shd w:val="clear" w:color="auto" w:fill="auto"/>
                  <w:noWrap/>
                  <w:tcMar>
                    <w:top w:w="15" w:type="dxa"/>
                    <w:left w:w="15" w:type="dxa"/>
                    <w:bottom w:w="0" w:type="dxa"/>
                    <w:right w:w="15" w:type="dxa"/>
                  </w:tcMar>
                  <w:vAlign w:val="center"/>
                </w:tcPr>
                <w:p w14:paraId="0A7CC1B3">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4B5D7B3E">
                  <w:pPr>
                    <w:adjustRightInd w:val="0"/>
                    <w:spacing w:before="120" w:beforeLines="50" w:line="360" w:lineRule="auto"/>
                    <w:jc w:val="center"/>
                    <w:rPr>
                      <w:szCs w:val="21"/>
                    </w:rPr>
                  </w:pPr>
                  <w:r>
                    <w:rPr>
                      <w:rFonts w:hint="eastAsia"/>
                      <w:bCs/>
                      <w:sz w:val="21"/>
                      <w:szCs w:val="21"/>
                      <w:lang w:val="en-US" w:eastAsia="zh-CN"/>
                    </w:rPr>
                    <w:t>*</w:t>
                  </w:r>
                </w:p>
              </w:tc>
              <w:tc>
                <w:tcPr>
                  <w:tcW w:w="549" w:type="pct"/>
                  <w:vAlign w:val="center"/>
                </w:tcPr>
                <w:p w14:paraId="696F1323">
                  <w:pPr>
                    <w:adjustRightInd w:val="0"/>
                    <w:spacing w:before="120" w:beforeLines="50" w:line="360" w:lineRule="auto"/>
                    <w:jc w:val="center"/>
                    <w:rPr>
                      <w:szCs w:val="21"/>
                    </w:rPr>
                  </w:pPr>
                  <w:r>
                    <w:rPr>
                      <w:rFonts w:hint="eastAsia"/>
                      <w:bCs/>
                      <w:sz w:val="21"/>
                      <w:szCs w:val="21"/>
                      <w:lang w:val="en-US" w:eastAsia="zh-CN"/>
                    </w:rPr>
                    <w:t>*</w:t>
                  </w:r>
                </w:p>
              </w:tc>
              <w:tc>
                <w:tcPr>
                  <w:tcW w:w="1569" w:type="pct"/>
                  <w:shd w:val="clear" w:color="auto" w:fill="auto"/>
                  <w:noWrap/>
                  <w:tcMar>
                    <w:top w:w="15" w:type="dxa"/>
                    <w:left w:w="15" w:type="dxa"/>
                    <w:bottom w:w="0" w:type="dxa"/>
                    <w:right w:w="15" w:type="dxa"/>
                  </w:tcMar>
                  <w:vAlign w:val="center"/>
                </w:tcPr>
                <w:p w14:paraId="0C26083C">
                  <w:pPr>
                    <w:jc w:val="center"/>
                    <w:rPr>
                      <w:rFonts w:hint="default" w:ascii="Times New Roman" w:cs="Times New Roman"/>
                      <w:color w:val="auto"/>
                      <w:szCs w:val="21"/>
                    </w:rPr>
                  </w:pPr>
                  <w:r>
                    <w:rPr>
                      <w:rFonts w:hint="eastAsia"/>
                      <w:bCs/>
                      <w:sz w:val="21"/>
                      <w:szCs w:val="21"/>
                      <w:lang w:val="en-US" w:eastAsia="zh-CN"/>
                    </w:rPr>
                    <w:t>*</w:t>
                  </w:r>
                </w:p>
              </w:tc>
            </w:tr>
          </w:tbl>
          <w:p w14:paraId="16AEDD3D">
            <w:pPr>
              <w:autoSpaceDE w:val="0"/>
              <w:autoSpaceDN w:val="0"/>
              <w:spacing w:line="360" w:lineRule="auto"/>
              <w:rPr>
                <w:kern w:val="0"/>
                <w:sz w:val="24"/>
              </w:rPr>
            </w:pPr>
            <w:r>
              <w:rPr>
                <w:kern w:val="0"/>
                <w:sz w:val="24"/>
              </w:rPr>
              <w:t>（2）监测因子：</w:t>
            </w:r>
          </w:p>
          <w:p w14:paraId="3A97FD05">
            <w:pPr>
              <w:widowControl/>
              <w:spacing w:line="360" w:lineRule="auto"/>
              <w:ind w:firstLine="480" w:firstLineChars="200"/>
              <w:rPr>
                <w:bCs/>
                <w:sz w:val="24"/>
              </w:rPr>
            </w:pPr>
            <w:r>
              <w:rPr>
                <w:bCs/>
                <w:sz w:val="24"/>
              </w:rPr>
              <w:t>本项目监测因子如下：</w:t>
            </w:r>
          </w:p>
          <w:p w14:paraId="24B7D9B4">
            <w:pPr>
              <w:widowControl/>
              <w:spacing w:line="360" w:lineRule="auto"/>
              <w:ind w:firstLine="480" w:firstLineChars="200"/>
              <w:rPr>
                <w:rFonts w:eastAsia="附件"/>
                <w:bCs/>
                <w:sz w:val="24"/>
              </w:rPr>
            </w:pPr>
            <w:r>
              <w:rPr>
                <w:bCs/>
                <w:sz w:val="24"/>
              </w:rPr>
              <w:t>基本水质因子：</w:t>
            </w:r>
            <w:r>
              <w:rPr>
                <w:rFonts w:eastAsia="附件"/>
                <w:bCs/>
                <w:sz w:val="24"/>
              </w:rPr>
              <w:t>pH、总硬度、溶解性总固体、硫酸盐、氯化物、铁、锰、挥发性酚类、耗氧量、氨氮、硫化物、硝酸盐、亚硝酸盐、氰化物、氟化物、汞、砷、镉、铬（六价）、铅、石油类、总大肠菌群。</w:t>
            </w:r>
          </w:p>
          <w:p w14:paraId="0DA2FD0A">
            <w:pPr>
              <w:widowControl/>
              <w:spacing w:line="360" w:lineRule="auto"/>
              <w:ind w:firstLine="480" w:firstLineChars="200"/>
              <w:rPr>
                <w:rFonts w:eastAsia="附件"/>
                <w:bCs/>
                <w:sz w:val="24"/>
              </w:rPr>
            </w:pPr>
            <w:r>
              <w:rPr>
                <w:rFonts w:eastAsia="附件"/>
                <w:sz w:val="24"/>
              </w:rPr>
              <w:t>八大离子：Na</w:t>
            </w:r>
            <w:r>
              <w:rPr>
                <w:rFonts w:eastAsia="附件"/>
                <w:sz w:val="24"/>
                <w:vertAlign w:val="superscript"/>
              </w:rPr>
              <w:t>+</w:t>
            </w:r>
            <w:r>
              <w:rPr>
                <w:rFonts w:eastAsia="附件"/>
                <w:sz w:val="24"/>
              </w:rPr>
              <w:t>、K</w:t>
            </w:r>
            <w:r>
              <w:rPr>
                <w:rFonts w:eastAsia="附件"/>
                <w:sz w:val="24"/>
                <w:vertAlign w:val="superscript"/>
              </w:rPr>
              <w:t>+</w:t>
            </w:r>
            <w:r>
              <w:rPr>
                <w:rFonts w:eastAsia="附件"/>
                <w:sz w:val="24"/>
              </w:rPr>
              <w:t>、Ca</w:t>
            </w:r>
            <w:r>
              <w:rPr>
                <w:rFonts w:eastAsia="附件"/>
                <w:sz w:val="24"/>
                <w:vertAlign w:val="superscript"/>
              </w:rPr>
              <w:t>2+</w:t>
            </w:r>
            <w:r>
              <w:rPr>
                <w:rFonts w:eastAsia="附件"/>
                <w:sz w:val="24"/>
              </w:rPr>
              <w:t>、Mg</w:t>
            </w:r>
            <w:r>
              <w:rPr>
                <w:rFonts w:eastAsia="附件"/>
                <w:sz w:val="24"/>
                <w:vertAlign w:val="superscript"/>
              </w:rPr>
              <w:t>2+</w:t>
            </w:r>
            <w:r>
              <w:rPr>
                <w:rFonts w:eastAsia="附件"/>
                <w:sz w:val="24"/>
              </w:rPr>
              <w:t>、CO</w:t>
            </w:r>
            <w:r>
              <w:rPr>
                <w:rFonts w:eastAsia="附件"/>
                <w:sz w:val="24"/>
                <w:vertAlign w:val="subscript"/>
              </w:rPr>
              <w:t>3</w:t>
            </w:r>
            <w:r>
              <w:rPr>
                <w:rFonts w:eastAsia="附件"/>
                <w:sz w:val="24"/>
                <w:vertAlign w:val="superscript"/>
              </w:rPr>
              <w:t>2-</w:t>
            </w:r>
            <w:r>
              <w:rPr>
                <w:rFonts w:eastAsia="附件"/>
                <w:sz w:val="24"/>
              </w:rPr>
              <w:t>、HCO</w:t>
            </w:r>
            <w:r>
              <w:rPr>
                <w:rFonts w:eastAsia="附件"/>
                <w:sz w:val="24"/>
                <w:vertAlign w:val="subscript"/>
              </w:rPr>
              <w:t>3</w:t>
            </w:r>
            <w:r>
              <w:rPr>
                <w:rFonts w:eastAsia="附件"/>
                <w:sz w:val="24"/>
                <w:vertAlign w:val="superscript"/>
              </w:rPr>
              <w:t>-</w:t>
            </w:r>
            <w:r>
              <w:rPr>
                <w:rFonts w:eastAsia="附件"/>
                <w:sz w:val="24"/>
              </w:rPr>
              <w:t>、Cl</w:t>
            </w:r>
            <w:r>
              <w:rPr>
                <w:rFonts w:eastAsia="附件"/>
                <w:sz w:val="24"/>
                <w:vertAlign w:val="superscript"/>
              </w:rPr>
              <w:t>-</w:t>
            </w:r>
            <w:r>
              <w:rPr>
                <w:rFonts w:eastAsia="附件"/>
                <w:sz w:val="24"/>
              </w:rPr>
              <w:t>、SO</w:t>
            </w:r>
            <w:r>
              <w:rPr>
                <w:rFonts w:eastAsia="附件"/>
                <w:sz w:val="24"/>
                <w:vertAlign w:val="subscript"/>
              </w:rPr>
              <w:t>4</w:t>
            </w:r>
            <w:r>
              <w:rPr>
                <w:rFonts w:eastAsia="附件"/>
                <w:sz w:val="24"/>
                <w:vertAlign w:val="superscript"/>
              </w:rPr>
              <w:t>2-</w:t>
            </w:r>
            <w:r>
              <w:rPr>
                <w:rFonts w:eastAsia="附件"/>
                <w:sz w:val="24"/>
              </w:rPr>
              <w:t>。</w:t>
            </w:r>
          </w:p>
          <w:p w14:paraId="3ABAC9CD">
            <w:pPr>
              <w:autoSpaceDE w:val="0"/>
              <w:autoSpaceDN w:val="0"/>
              <w:spacing w:line="360" w:lineRule="auto"/>
              <w:ind w:firstLine="480" w:firstLineChars="200"/>
              <w:rPr>
                <w:bCs/>
                <w:sz w:val="24"/>
              </w:rPr>
            </w:pPr>
            <w:r>
              <w:rPr>
                <w:bCs/>
                <w:sz w:val="24"/>
              </w:rPr>
              <w:t>特征因子：石油类、硫化物、氯化物。</w:t>
            </w:r>
          </w:p>
          <w:p w14:paraId="5E528C17">
            <w:pPr>
              <w:autoSpaceDE w:val="0"/>
              <w:autoSpaceDN w:val="0"/>
              <w:spacing w:line="360" w:lineRule="auto"/>
              <w:ind w:firstLine="480" w:firstLineChars="200"/>
              <w:rPr>
                <w:kern w:val="0"/>
                <w:sz w:val="24"/>
              </w:rPr>
            </w:pPr>
            <w:r>
              <w:rPr>
                <w:kern w:val="0"/>
                <w:sz w:val="24"/>
              </w:rPr>
              <w:t>（3）监测频次：监测1天，每天采样1次。</w:t>
            </w:r>
          </w:p>
          <w:p w14:paraId="26CEE2BB">
            <w:pPr>
              <w:autoSpaceDE w:val="0"/>
              <w:autoSpaceDN w:val="0"/>
              <w:spacing w:line="360" w:lineRule="auto"/>
              <w:ind w:firstLine="480" w:firstLineChars="200"/>
              <w:rPr>
                <w:kern w:val="0"/>
                <w:sz w:val="24"/>
              </w:rPr>
            </w:pPr>
            <w:r>
              <w:rPr>
                <w:kern w:val="0"/>
                <w:sz w:val="24"/>
              </w:rPr>
              <w:t>（4）评价标准：《地下水质量标准》</w:t>
            </w:r>
            <w:r>
              <w:rPr>
                <w:rFonts w:hint="eastAsia"/>
                <w:kern w:val="0"/>
                <w:sz w:val="24"/>
              </w:rPr>
              <w:t>（</w:t>
            </w:r>
            <w:r>
              <w:rPr>
                <w:kern w:val="0"/>
                <w:sz w:val="24"/>
              </w:rPr>
              <w:t>GB/T 14848—2017</w:t>
            </w:r>
            <w:r>
              <w:rPr>
                <w:rFonts w:hint="eastAsia"/>
                <w:kern w:val="0"/>
                <w:sz w:val="24"/>
              </w:rPr>
              <w:t>）</w:t>
            </w:r>
            <w:r>
              <w:rPr>
                <w:kern w:val="0"/>
                <w:sz w:val="24"/>
              </w:rPr>
              <w:t>中Ⅲ类标准。</w:t>
            </w:r>
          </w:p>
          <w:p w14:paraId="369B9D2E">
            <w:pPr>
              <w:autoSpaceDE w:val="0"/>
              <w:autoSpaceDN w:val="0"/>
              <w:spacing w:line="360" w:lineRule="auto"/>
              <w:ind w:firstLine="480" w:firstLineChars="200"/>
              <w:rPr>
                <w:kern w:val="0"/>
                <w:sz w:val="24"/>
              </w:rPr>
            </w:pPr>
            <w:r>
              <w:rPr>
                <w:kern w:val="0"/>
                <w:sz w:val="24"/>
              </w:rPr>
              <w:t>（5）评价方法：根据《环境影响评价技术导则 地下水环境》（HJ610-2016），地下水环境质量现状评价方法采用标准指数法，除pH值外，其它水质参数的单项标准指数S</w:t>
            </w:r>
            <w:r>
              <w:rPr>
                <w:kern w:val="0"/>
                <w:sz w:val="24"/>
                <w:vertAlign w:val="subscript"/>
              </w:rPr>
              <w:t>i</w:t>
            </w:r>
            <w:r>
              <w:rPr>
                <w:kern w:val="0"/>
                <w:sz w:val="24"/>
              </w:rPr>
              <w:t>为：</w:t>
            </w:r>
          </w:p>
          <w:p w14:paraId="629C3456">
            <w:pPr>
              <w:autoSpaceDE w:val="0"/>
              <w:autoSpaceDN w:val="0"/>
              <w:adjustRightInd w:val="0"/>
              <w:spacing w:line="360" w:lineRule="auto"/>
              <w:ind w:firstLine="200"/>
              <w:jc w:val="center"/>
              <w:rPr>
                <w:kern w:val="0"/>
                <w:sz w:val="24"/>
              </w:rPr>
            </w:pPr>
            <w:r>
              <w:rPr>
                <w:kern w:val="0"/>
                <w:sz w:val="24"/>
              </w:rPr>
              <w:t>S</w:t>
            </w:r>
            <w:r>
              <w:rPr>
                <w:kern w:val="0"/>
                <w:sz w:val="24"/>
                <w:vertAlign w:val="subscript"/>
              </w:rPr>
              <w:t>i</w:t>
            </w:r>
            <w:r>
              <w:rPr>
                <w:kern w:val="0"/>
                <w:sz w:val="24"/>
              </w:rPr>
              <w:t>=C</w:t>
            </w:r>
            <w:r>
              <w:rPr>
                <w:kern w:val="0"/>
                <w:sz w:val="24"/>
                <w:vertAlign w:val="subscript"/>
              </w:rPr>
              <w:t>i</w:t>
            </w:r>
            <w:r>
              <w:rPr>
                <w:kern w:val="0"/>
                <w:sz w:val="24"/>
              </w:rPr>
              <w:t>/C</w:t>
            </w:r>
            <w:r>
              <w:rPr>
                <w:kern w:val="0"/>
                <w:sz w:val="24"/>
                <w:vertAlign w:val="subscript"/>
              </w:rPr>
              <w:t>0i</w:t>
            </w:r>
          </w:p>
          <w:p w14:paraId="593AAE70">
            <w:pPr>
              <w:autoSpaceDE w:val="0"/>
              <w:autoSpaceDN w:val="0"/>
              <w:adjustRightInd w:val="0"/>
              <w:spacing w:line="360" w:lineRule="auto"/>
              <w:ind w:firstLine="480" w:firstLineChars="200"/>
              <w:rPr>
                <w:kern w:val="0"/>
                <w:sz w:val="24"/>
              </w:rPr>
            </w:pPr>
            <w:r>
              <w:rPr>
                <w:kern w:val="0"/>
                <w:sz w:val="24"/>
              </w:rPr>
              <w:t>式中：C</w:t>
            </w:r>
            <w:r>
              <w:rPr>
                <w:kern w:val="0"/>
                <w:sz w:val="24"/>
                <w:vertAlign w:val="subscript"/>
              </w:rPr>
              <w:t>i</w:t>
            </w:r>
            <w:r>
              <w:rPr>
                <w:kern w:val="0"/>
                <w:sz w:val="24"/>
              </w:rPr>
              <w:t>——第i种污染物实测浓度值，mg/L；</w:t>
            </w:r>
          </w:p>
          <w:p w14:paraId="0BD66F1E">
            <w:pPr>
              <w:autoSpaceDE w:val="0"/>
              <w:autoSpaceDN w:val="0"/>
              <w:adjustRightInd w:val="0"/>
              <w:spacing w:line="360" w:lineRule="auto"/>
              <w:ind w:firstLine="1200" w:firstLineChars="500"/>
              <w:rPr>
                <w:kern w:val="0"/>
                <w:sz w:val="24"/>
              </w:rPr>
            </w:pPr>
            <w:r>
              <w:rPr>
                <w:kern w:val="0"/>
                <w:sz w:val="24"/>
              </w:rPr>
              <w:t>C</w:t>
            </w:r>
            <w:r>
              <w:rPr>
                <w:kern w:val="0"/>
                <w:sz w:val="24"/>
                <w:vertAlign w:val="subscript"/>
              </w:rPr>
              <w:t>0i</w:t>
            </w:r>
            <w:r>
              <w:rPr>
                <w:kern w:val="0"/>
                <w:sz w:val="24"/>
              </w:rPr>
              <w:t>——第i种污染物在GB3838-2002中III类标准值，mg/L；</w:t>
            </w:r>
          </w:p>
          <w:p w14:paraId="25F3A35C">
            <w:pPr>
              <w:autoSpaceDE w:val="0"/>
              <w:autoSpaceDN w:val="0"/>
              <w:adjustRightInd w:val="0"/>
              <w:spacing w:line="360" w:lineRule="auto"/>
              <w:ind w:firstLine="480" w:firstLineChars="200"/>
              <w:rPr>
                <w:kern w:val="0"/>
                <w:sz w:val="24"/>
              </w:rPr>
            </w:pPr>
            <w:r>
              <w:rPr>
                <w:kern w:val="0"/>
                <w:sz w:val="24"/>
              </w:rPr>
              <w:t>pH的标准指数S</w:t>
            </w:r>
            <w:r>
              <w:rPr>
                <w:kern w:val="0"/>
                <w:sz w:val="24"/>
                <w:vertAlign w:val="subscript"/>
              </w:rPr>
              <w:t>pH</w:t>
            </w:r>
            <w:r>
              <w:rPr>
                <w:kern w:val="0"/>
                <w:sz w:val="24"/>
              </w:rPr>
              <w:t>为：</w:t>
            </w:r>
          </w:p>
          <w:p w14:paraId="7EC03F56">
            <w:pPr>
              <w:autoSpaceDE w:val="0"/>
              <w:autoSpaceDN w:val="0"/>
              <w:adjustRightInd w:val="0"/>
              <w:spacing w:line="360" w:lineRule="auto"/>
              <w:jc w:val="center"/>
              <w:rPr>
                <w:kern w:val="0"/>
                <w:sz w:val="24"/>
              </w:rPr>
            </w:pPr>
            <w:r>
              <w:rPr>
                <w:kern w:val="0"/>
                <w:sz w:val="24"/>
              </w:rPr>
              <w:t>当pH≤7.0  SpH=（7.0-pH）/（7.0-pH</w:t>
            </w:r>
            <w:r>
              <w:rPr>
                <w:kern w:val="0"/>
                <w:sz w:val="24"/>
                <w:vertAlign w:val="subscript"/>
              </w:rPr>
              <w:t>sd</w:t>
            </w:r>
            <w:r>
              <w:rPr>
                <w:kern w:val="0"/>
                <w:sz w:val="24"/>
              </w:rPr>
              <w:t>）</w:t>
            </w:r>
          </w:p>
          <w:p w14:paraId="07026AD0">
            <w:pPr>
              <w:autoSpaceDE w:val="0"/>
              <w:autoSpaceDN w:val="0"/>
              <w:adjustRightInd w:val="0"/>
              <w:spacing w:line="360" w:lineRule="auto"/>
              <w:jc w:val="center"/>
              <w:rPr>
                <w:kern w:val="0"/>
                <w:sz w:val="24"/>
              </w:rPr>
            </w:pPr>
            <w:r>
              <w:rPr>
                <w:kern w:val="0"/>
                <w:sz w:val="24"/>
              </w:rPr>
              <w:t>当pH≥7.0  SpH=（pH-7.0）/（pH</w:t>
            </w:r>
            <w:r>
              <w:rPr>
                <w:kern w:val="0"/>
                <w:sz w:val="24"/>
                <w:vertAlign w:val="subscript"/>
              </w:rPr>
              <w:t>sw</w:t>
            </w:r>
            <w:r>
              <w:rPr>
                <w:kern w:val="0"/>
                <w:sz w:val="24"/>
              </w:rPr>
              <w:t>-7.0）</w:t>
            </w:r>
          </w:p>
          <w:p w14:paraId="6D30465C">
            <w:pPr>
              <w:overflowPunct w:val="0"/>
              <w:autoSpaceDE w:val="0"/>
              <w:autoSpaceDN w:val="0"/>
              <w:adjustRightInd w:val="0"/>
              <w:spacing w:line="360" w:lineRule="auto"/>
              <w:ind w:firstLine="480" w:firstLineChars="200"/>
              <w:rPr>
                <w:kern w:val="0"/>
                <w:sz w:val="24"/>
              </w:rPr>
            </w:pPr>
            <w:r>
              <w:rPr>
                <w:kern w:val="0"/>
                <w:sz w:val="24"/>
              </w:rPr>
              <w:t>式中：pH——实测的pH值；</w:t>
            </w:r>
          </w:p>
          <w:p w14:paraId="4B650ADE">
            <w:pPr>
              <w:autoSpaceDE w:val="0"/>
              <w:autoSpaceDN w:val="0"/>
              <w:adjustRightInd w:val="0"/>
              <w:spacing w:line="360" w:lineRule="auto"/>
              <w:ind w:firstLine="1200" w:firstLineChars="500"/>
              <w:rPr>
                <w:kern w:val="0"/>
                <w:sz w:val="24"/>
              </w:rPr>
            </w:pPr>
            <w:r>
              <w:rPr>
                <w:kern w:val="0"/>
                <w:sz w:val="24"/>
              </w:rPr>
              <w:t>pH</w:t>
            </w:r>
            <w:r>
              <w:rPr>
                <w:kern w:val="0"/>
                <w:sz w:val="24"/>
                <w:vertAlign w:val="subscript"/>
              </w:rPr>
              <w:t>sd</w:t>
            </w:r>
            <w:r>
              <w:rPr>
                <w:kern w:val="0"/>
                <w:sz w:val="24"/>
              </w:rPr>
              <w:t>——地表水质量标准中规定的pH值下限；</w:t>
            </w:r>
          </w:p>
          <w:p w14:paraId="0E5DE36C">
            <w:pPr>
              <w:autoSpaceDE w:val="0"/>
              <w:autoSpaceDN w:val="0"/>
              <w:adjustRightInd w:val="0"/>
              <w:spacing w:line="360" w:lineRule="auto"/>
              <w:ind w:firstLine="1200" w:firstLineChars="500"/>
              <w:rPr>
                <w:kern w:val="0"/>
                <w:sz w:val="24"/>
              </w:rPr>
            </w:pPr>
            <w:r>
              <w:rPr>
                <w:kern w:val="0"/>
                <w:sz w:val="24"/>
              </w:rPr>
              <w:t>pH</w:t>
            </w:r>
            <w:r>
              <w:rPr>
                <w:kern w:val="0"/>
                <w:sz w:val="24"/>
                <w:vertAlign w:val="subscript"/>
              </w:rPr>
              <w:t>sw</w:t>
            </w:r>
            <w:r>
              <w:rPr>
                <w:kern w:val="0"/>
                <w:sz w:val="24"/>
              </w:rPr>
              <w:t>——地表水质量标准中规定的pH值上限。</w:t>
            </w:r>
          </w:p>
          <w:p w14:paraId="7A3D2522">
            <w:pPr>
              <w:autoSpaceDE w:val="0"/>
              <w:autoSpaceDN w:val="0"/>
              <w:spacing w:line="360" w:lineRule="auto"/>
              <w:ind w:firstLine="480" w:firstLineChars="200"/>
              <w:rPr>
                <w:kern w:val="0"/>
                <w:sz w:val="24"/>
              </w:rPr>
            </w:pPr>
            <w:r>
              <w:rPr>
                <w:kern w:val="0"/>
                <w:sz w:val="24"/>
              </w:rPr>
              <w:t>地下水环境质量监测结果及评价结果见下表。</w:t>
            </w:r>
          </w:p>
          <w:p w14:paraId="3BB8A26D">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地下水环境现状监测及评价结果（单位：mg/L，pH无量纲）</w:t>
            </w:r>
          </w:p>
          <w:tbl>
            <w:tblPr>
              <w:tblStyle w:val="44"/>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14:paraId="247CB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14:paraId="0CE7231F">
                  <w:pPr>
                    <w:tabs>
                      <w:tab w:val="left" w:pos="735"/>
                    </w:tabs>
                    <w:snapToGrid w:val="0"/>
                    <w:jc w:val="center"/>
                    <w:rPr>
                      <w:b/>
                      <w:szCs w:val="21"/>
                    </w:rPr>
                  </w:pPr>
                  <w:r>
                    <w:rPr>
                      <w:bCs/>
                      <w:szCs w:val="21"/>
                    </w:rPr>
                    <w:t>监测时间</w:t>
                  </w:r>
                </w:p>
              </w:tc>
              <w:tc>
                <w:tcPr>
                  <w:tcW w:w="805" w:type="dxa"/>
                  <w:vMerge w:val="restart"/>
                  <w:tcBorders>
                    <w:tl2br w:val="nil"/>
                    <w:tr2bl w:val="nil"/>
                  </w:tcBorders>
                  <w:vAlign w:val="center"/>
                </w:tcPr>
                <w:p w14:paraId="54D7FD5E">
                  <w:pPr>
                    <w:tabs>
                      <w:tab w:val="left" w:pos="735"/>
                    </w:tabs>
                    <w:snapToGrid w:val="0"/>
                    <w:jc w:val="center"/>
                    <w:rPr>
                      <w:b/>
                      <w:szCs w:val="21"/>
                    </w:rPr>
                  </w:pPr>
                  <w:r>
                    <w:rPr>
                      <w:bCs/>
                      <w:szCs w:val="21"/>
                    </w:rPr>
                    <w:t>监测项目</w:t>
                  </w:r>
                </w:p>
              </w:tc>
              <w:tc>
                <w:tcPr>
                  <w:tcW w:w="740" w:type="dxa"/>
                  <w:vMerge w:val="restart"/>
                  <w:tcBorders>
                    <w:tl2br w:val="nil"/>
                    <w:tr2bl w:val="nil"/>
                  </w:tcBorders>
                  <w:vAlign w:val="center"/>
                </w:tcPr>
                <w:p w14:paraId="5A78702A">
                  <w:pPr>
                    <w:tabs>
                      <w:tab w:val="left" w:pos="735"/>
                    </w:tabs>
                    <w:snapToGrid w:val="0"/>
                    <w:jc w:val="center"/>
                    <w:rPr>
                      <w:bCs/>
                      <w:szCs w:val="21"/>
                    </w:rPr>
                  </w:pPr>
                  <w:r>
                    <w:rPr>
                      <w:bCs/>
                      <w:szCs w:val="21"/>
                    </w:rPr>
                    <w:t>单位</w:t>
                  </w:r>
                </w:p>
              </w:tc>
              <w:tc>
                <w:tcPr>
                  <w:tcW w:w="3663" w:type="dxa"/>
                  <w:gridSpan w:val="5"/>
                  <w:tcBorders>
                    <w:tl2br w:val="nil"/>
                    <w:tr2bl w:val="nil"/>
                  </w:tcBorders>
                  <w:vAlign w:val="center"/>
                </w:tcPr>
                <w:p w14:paraId="40ED6692">
                  <w:pPr>
                    <w:adjustRightInd w:val="0"/>
                    <w:snapToGrid w:val="0"/>
                    <w:jc w:val="center"/>
                    <w:rPr>
                      <w:b/>
                      <w:bCs/>
                      <w:szCs w:val="21"/>
                    </w:rPr>
                  </w:pPr>
                  <w:r>
                    <w:rPr>
                      <w:bCs/>
                      <w:szCs w:val="21"/>
                    </w:rPr>
                    <w:t>监测点位</w:t>
                  </w:r>
                </w:p>
              </w:tc>
              <w:tc>
                <w:tcPr>
                  <w:tcW w:w="789" w:type="dxa"/>
                  <w:vMerge w:val="restart"/>
                  <w:tcBorders>
                    <w:tl2br w:val="nil"/>
                    <w:tr2bl w:val="nil"/>
                  </w:tcBorders>
                  <w:vAlign w:val="center"/>
                </w:tcPr>
                <w:p w14:paraId="0A39E50D">
                  <w:pPr>
                    <w:adjustRightInd w:val="0"/>
                    <w:snapToGrid w:val="0"/>
                    <w:jc w:val="center"/>
                    <w:rPr>
                      <w:b/>
                      <w:bCs/>
                      <w:szCs w:val="21"/>
                    </w:rPr>
                  </w:pPr>
                  <w:r>
                    <w:rPr>
                      <w:b/>
                      <w:bCs/>
                      <w:szCs w:val="21"/>
                    </w:rPr>
                    <w:t>Ⅲ类</w:t>
                  </w:r>
                </w:p>
                <w:p w14:paraId="34E2A735">
                  <w:pPr>
                    <w:tabs>
                      <w:tab w:val="left" w:pos="735"/>
                    </w:tabs>
                    <w:snapToGrid w:val="0"/>
                    <w:jc w:val="center"/>
                    <w:rPr>
                      <w:bCs/>
                      <w:szCs w:val="21"/>
                    </w:rPr>
                  </w:pPr>
                  <w:r>
                    <w:rPr>
                      <w:b/>
                      <w:bCs/>
                      <w:szCs w:val="21"/>
                    </w:rPr>
                    <w:t>标准值</w:t>
                  </w:r>
                </w:p>
              </w:tc>
              <w:tc>
                <w:tcPr>
                  <w:tcW w:w="790" w:type="dxa"/>
                  <w:vMerge w:val="restart"/>
                  <w:tcBorders>
                    <w:tl2br w:val="nil"/>
                    <w:tr2bl w:val="nil"/>
                  </w:tcBorders>
                  <w:vAlign w:val="center"/>
                </w:tcPr>
                <w:p w14:paraId="6075C3BF">
                  <w:pPr>
                    <w:tabs>
                      <w:tab w:val="left" w:pos="735"/>
                    </w:tabs>
                    <w:snapToGrid w:val="0"/>
                    <w:jc w:val="center"/>
                    <w:rPr>
                      <w:bCs/>
                      <w:szCs w:val="21"/>
                    </w:rPr>
                  </w:pPr>
                  <w:r>
                    <w:rPr>
                      <w:bCs/>
                      <w:szCs w:val="21"/>
                    </w:rPr>
                    <w:t>最大标准指数值</w:t>
                  </w:r>
                </w:p>
              </w:tc>
              <w:tc>
                <w:tcPr>
                  <w:tcW w:w="673" w:type="dxa"/>
                  <w:vMerge w:val="restart"/>
                  <w:tcBorders>
                    <w:tl2br w:val="nil"/>
                    <w:tr2bl w:val="nil"/>
                  </w:tcBorders>
                  <w:vAlign w:val="center"/>
                </w:tcPr>
                <w:p w14:paraId="487BE2B5">
                  <w:pPr>
                    <w:adjustRightInd w:val="0"/>
                    <w:snapToGrid w:val="0"/>
                    <w:jc w:val="center"/>
                    <w:rPr>
                      <w:b/>
                      <w:bCs/>
                      <w:szCs w:val="21"/>
                    </w:rPr>
                  </w:pPr>
                  <w:r>
                    <w:rPr>
                      <w:b/>
                      <w:bCs/>
                      <w:szCs w:val="21"/>
                    </w:rPr>
                    <w:t>超标率</w:t>
                  </w:r>
                </w:p>
                <w:p w14:paraId="3350EC8C">
                  <w:pPr>
                    <w:tabs>
                      <w:tab w:val="left" w:pos="735"/>
                    </w:tabs>
                    <w:snapToGrid w:val="0"/>
                    <w:jc w:val="center"/>
                    <w:rPr>
                      <w:bCs/>
                      <w:szCs w:val="21"/>
                    </w:rPr>
                  </w:pPr>
                  <w:r>
                    <w:rPr>
                      <w:b/>
                      <w:bCs/>
                      <w:szCs w:val="21"/>
                    </w:rPr>
                    <w:t>（%）</w:t>
                  </w:r>
                </w:p>
              </w:tc>
            </w:tr>
            <w:tr w14:paraId="15890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C7C0766">
                  <w:pPr>
                    <w:tabs>
                      <w:tab w:val="left" w:pos="735"/>
                    </w:tabs>
                    <w:snapToGrid w:val="0"/>
                    <w:jc w:val="center"/>
                    <w:rPr>
                      <w:bCs/>
                      <w:szCs w:val="21"/>
                    </w:rPr>
                  </w:pPr>
                </w:p>
              </w:tc>
              <w:tc>
                <w:tcPr>
                  <w:tcW w:w="805" w:type="dxa"/>
                  <w:vMerge w:val="continue"/>
                  <w:tcBorders>
                    <w:tl2br w:val="nil"/>
                    <w:tr2bl w:val="nil"/>
                  </w:tcBorders>
                  <w:vAlign w:val="center"/>
                </w:tcPr>
                <w:p w14:paraId="1441644F">
                  <w:pPr>
                    <w:tabs>
                      <w:tab w:val="left" w:pos="735"/>
                    </w:tabs>
                    <w:snapToGrid w:val="0"/>
                    <w:jc w:val="center"/>
                    <w:rPr>
                      <w:bCs/>
                      <w:szCs w:val="21"/>
                    </w:rPr>
                  </w:pPr>
                </w:p>
              </w:tc>
              <w:tc>
                <w:tcPr>
                  <w:tcW w:w="740" w:type="dxa"/>
                  <w:vMerge w:val="continue"/>
                  <w:tcBorders>
                    <w:tl2br w:val="nil"/>
                    <w:tr2bl w:val="nil"/>
                  </w:tcBorders>
                  <w:vAlign w:val="center"/>
                </w:tcPr>
                <w:p w14:paraId="7D34C3CD">
                  <w:pPr>
                    <w:tabs>
                      <w:tab w:val="left" w:pos="735"/>
                    </w:tabs>
                    <w:snapToGrid w:val="0"/>
                    <w:jc w:val="center"/>
                    <w:rPr>
                      <w:bCs/>
                      <w:szCs w:val="21"/>
                    </w:rPr>
                  </w:pPr>
                </w:p>
              </w:tc>
              <w:tc>
                <w:tcPr>
                  <w:tcW w:w="726" w:type="dxa"/>
                  <w:tcBorders>
                    <w:tl2br w:val="nil"/>
                    <w:tr2bl w:val="nil"/>
                  </w:tcBorders>
                  <w:vAlign w:val="center"/>
                </w:tcPr>
                <w:p w14:paraId="774B865D">
                  <w:pPr>
                    <w:tabs>
                      <w:tab w:val="left" w:pos="735"/>
                    </w:tabs>
                    <w:snapToGrid w:val="0"/>
                    <w:jc w:val="center"/>
                    <w:rPr>
                      <w:bCs/>
                      <w:szCs w:val="21"/>
                    </w:rPr>
                  </w:pPr>
                  <w:r>
                    <w:rPr>
                      <w:rFonts w:hint="eastAsia"/>
                      <w:bCs/>
                      <w:szCs w:val="21"/>
                    </w:rPr>
                    <w:t>WX</w:t>
                  </w:r>
                  <w:r>
                    <w:rPr>
                      <w:bCs/>
                      <w:szCs w:val="21"/>
                    </w:rPr>
                    <w:t>1</w:t>
                  </w:r>
                </w:p>
              </w:tc>
              <w:tc>
                <w:tcPr>
                  <w:tcW w:w="677" w:type="dxa"/>
                  <w:tcBorders>
                    <w:tl2br w:val="nil"/>
                    <w:tr2bl w:val="nil"/>
                  </w:tcBorders>
                  <w:vAlign w:val="center"/>
                </w:tcPr>
                <w:p w14:paraId="1A7C4B38">
                  <w:pPr>
                    <w:tabs>
                      <w:tab w:val="left" w:pos="735"/>
                    </w:tabs>
                    <w:snapToGrid w:val="0"/>
                    <w:jc w:val="center"/>
                    <w:rPr>
                      <w:bCs/>
                      <w:szCs w:val="21"/>
                    </w:rPr>
                  </w:pPr>
                  <w:r>
                    <w:rPr>
                      <w:rFonts w:hint="eastAsia"/>
                      <w:bCs/>
                      <w:szCs w:val="21"/>
                    </w:rPr>
                    <w:t>WX</w:t>
                  </w:r>
                  <w:r>
                    <w:rPr>
                      <w:bCs/>
                      <w:szCs w:val="21"/>
                    </w:rPr>
                    <w:t>2</w:t>
                  </w:r>
                </w:p>
              </w:tc>
              <w:tc>
                <w:tcPr>
                  <w:tcW w:w="677" w:type="dxa"/>
                  <w:tcBorders>
                    <w:tl2br w:val="nil"/>
                    <w:tr2bl w:val="nil"/>
                  </w:tcBorders>
                  <w:vAlign w:val="center"/>
                </w:tcPr>
                <w:p w14:paraId="26B61CF0">
                  <w:pPr>
                    <w:tabs>
                      <w:tab w:val="left" w:pos="735"/>
                    </w:tabs>
                    <w:snapToGrid w:val="0"/>
                    <w:jc w:val="center"/>
                    <w:rPr>
                      <w:bCs/>
                      <w:szCs w:val="21"/>
                    </w:rPr>
                  </w:pPr>
                  <w:r>
                    <w:rPr>
                      <w:rFonts w:hint="eastAsia"/>
                      <w:bCs/>
                      <w:szCs w:val="21"/>
                    </w:rPr>
                    <w:t>WX</w:t>
                  </w:r>
                  <w:r>
                    <w:rPr>
                      <w:bCs/>
                      <w:szCs w:val="21"/>
                    </w:rPr>
                    <w:t>3</w:t>
                  </w:r>
                </w:p>
              </w:tc>
              <w:tc>
                <w:tcPr>
                  <w:tcW w:w="789" w:type="dxa"/>
                  <w:tcBorders>
                    <w:tl2br w:val="nil"/>
                    <w:tr2bl w:val="nil"/>
                  </w:tcBorders>
                  <w:vAlign w:val="center"/>
                </w:tcPr>
                <w:p w14:paraId="2AD76DF8">
                  <w:pPr>
                    <w:tabs>
                      <w:tab w:val="left" w:pos="735"/>
                    </w:tabs>
                    <w:snapToGrid w:val="0"/>
                    <w:jc w:val="center"/>
                    <w:rPr>
                      <w:bCs/>
                      <w:szCs w:val="21"/>
                    </w:rPr>
                  </w:pPr>
                  <w:r>
                    <w:rPr>
                      <w:rFonts w:hint="eastAsia"/>
                      <w:bCs/>
                      <w:szCs w:val="21"/>
                    </w:rPr>
                    <w:t>WX</w:t>
                  </w:r>
                  <w:r>
                    <w:rPr>
                      <w:bCs/>
                      <w:szCs w:val="21"/>
                    </w:rPr>
                    <w:t>4</w:t>
                  </w:r>
                </w:p>
              </w:tc>
              <w:tc>
                <w:tcPr>
                  <w:tcW w:w="794" w:type="dxa"/>
                  <w:tcBorders>
                    <w:tl2br w:val="nil"/>
                    <w:tr2bl w:val="nil"/>
                  </w:tcBorders>
                  <w:vAlign w:val="center"/>
                </w:tcPr>
                <w:p w14:paraId="3090EBE3">
                  <w:pPr>
                    <w:tabs>
                      <w:tab w:val="left" w:pos="735"/>
                    </w:tabs>
                    <w:snapToGrid w:val="0"/>
                    <w:jc w:val="center"/>
                    <w:rPr>
                      <w:bCs/>
                      <w:szCs w:val="21"/>
                    </w:rPr>
                  </w:pPr>
                  <w:r>
                    <w:rPr>
                      <w:rFonts w:hint="eastAsia"/>
                      <w:bCs/>
                      <w:szCs w:val="21"/>
                    </w:rPr>
                    <w:t>WX</w:t>
                  </w:r>
                  <w:r>
                    <w:rPr>
                      <w:bCs/>
                      <w:szCs w:val="21"/>
                    </w:rPr>
                    <w:t>5</w:t>
                  </w:r>
                </w:p>
              </w:tc>
              <w:tc>
                <w:tcPr>
                  <w:tcW w:w="789" w:type="dxa"/>
                  <w:vMerge w:val="continue"/>
                  <w:tcBorders>
                    <w:tl2br w:val="nil"/>
                    <w:tr2bl w:val="nil"/>
                  </w:tcBorders>
                  <w:vAlign w:val="center"/>
                </w:tcPr>
                <w:p w14:paraId="069C49C5">
                  <w:pPr>
                    <w:tabs>
                      <w:tab w:val="left" w:pos="735"/>
                    </w:tabs>
                    <w:snapToGrid w:val="0"/>
                    <w:jc w:val="center"/>
                    <w:rPr>
                      <w:bCs/>
                      <w:szCs w:val="21"/>
                    </w:rPr>
                  </w:pPr>
                </w:p>
              </w:tc>
              <w:tc>
                <w:tcPr>
                  <w:tcW w:w="790" w:type="dxa"/>
                  <w:vMerge w:val="continue"/>
                  <w:tcBorders>
                    <w:tl2br w:val="nil"/>
                    <w:tr2bl w:val="nil"/>
                  </w:tcBorders>
                  <w:vAlign w:val="center"/>
                </w:tcPr>
                <w:p w14:paraId="5197DC4B">
                  <w:pPr>
                    <w:tabs>
                      <w:tab w:val="left" w:pos="735"/>
                    </w:tabs>
                    <w:snapToGrid w:val="0"/>
                    <w:jc w:val="center"/>
                    <w:rPr>
                      <w:bCs/>
                      <w:szCs w:val="21"/>
                    </w:rPr>
                  </w:pPr>
                </w:p>
              </w:tc>
              <w:tc>
                <w:tcPr>
                  <w:tcW w:w="673" w:type="dxa"/>
                  <w:vMerge w:val="continue"/>
                  <w:tcBorders>
                    <w:tl2br w:val="nil"/>
                    <w:tr2bl w:val="nil"/>
                  </w:tcBorders>
                  <w:vAlign w:val="center"/>
                </w:tcPr>
                <w:p w14:paraId="0BED7917">
                  <w:pPr>
                    <w:tabs>
                      <w:tab w:val="left" w:pos="735"/>
                    </w:tabs>
                    <w:snapToGrid w:val="0"/>
                    <w:jc w:val="center"/>
                    <w:rPr>
                      <w:bCs/>
                      <w:szCs w:val="21"/>
                    </w:rPr>
                  </w:pPr>
                </w:p>
              </w:tc>
            </w:tr>
            <w:tr w14:paraId="59C14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14:paraId="685107AE">
                  <w:pPr>
                    <w:tabs>
                      <w:tab w:val="left" w:pos="735"/>
                    </w:tabs>
                    <w:snapToGrid w:val="0"/>
                    <w:jc w:val="center"/>
                    <w:rPr>
                      <w:bCs/>
                      <w:szCs w:val="21"/>
                    </w:rPr>
                  </w:pPr>
                  <w:r>
                    <w:rPr>
                      <w:bCs/>
                      <w:szCs w:val="21"/>
                    </w:rPr>
                    <w:t>202</w:t>
                  </w:r>
                  <w:r>
                    <w:rPr>
                      <w:rFonts w:hint="eastAsia"/>
                      <w:bCs/>
                      <w:szCs w:val="21"/>
                    </w:rPr>
                    <w:t>5.2.27</w:t>
                  </w:r>
                </w:p>
              </w:tc>
              <w:tc>
                <w:tcPr>
                  <w:tcW w:w="805" w:type="dxa"/>
                  <w:tcBorders>
                    <w:tl2br w:val="nil"/>
                    <w:tr2bl w:val="nil"/>
                  </w:tcBorders>
                  <w:vAlign w:val="center"/>
                </w:tcPr>
                <w:p w14:paraId="671C3474">
                  <w:pPr>
                    <w:tabs>
                      <w:tab w:val="left" w:pos="735"/>
                    </w:tabs>
                    <w:snapToGrid w:val="0"/>
                    <w:jc w:val="center"/>
                    <w:rPr>
                      <w:b/>
                      <w:szCs w:val="21"/>
                    </w:rPr>
                  </w:pPr>
                  <w:r>
                    <w:rPr>
                      <w:kern w:val="0"/>
                      <w:szCs w:val="21"/>
                      <w:lang w:bidi="ar"/>
                    </w:rPr>
                    <w:t>pH</w:t>
                  </w:r>
                </w:p>
              </w:tc>
              <w:tc>
                <w:tcPr>
                  <w:tcW w:w="740" w:type="dxa"/>
                  <w:tcBorders>
                    <w:tl2br w:val="nil"/>
                    <w:tr2bl w:val="nil"/>
                  </w:tcBorders>
                  <w:vAlign w:val="center"/>
                </w:tcPr>
                <w:p w14:paraId="62BFED5C">
                  <w:pPr>
                    <w:tabs>
                      <w:tab w:val="left" w:pos="735"/>
                    </w:tabs>
                    <w:snapToGrid w:val="0"/>
                    <w:jc w:val="center"/>
                    <w:rPr>
                      <w:b/>
                      <w:szCs w:val="21"/>
                    </w:rPr>
                  </w:pPr>
                  <w:r>
                    <w:rPr>
                      <w:kern w:val="0"/>
                      <w:szCs w:val="21"/>
                      <w:lang w:bidi="ar"/>
                    </w:rPr>
                    <w:t>无量纲</w:t>
                  </w:r>
                </w:p>
              </w:tc>
              <w:tc>
                <w:tcPr>
                  <w:tcW w:w="726" w:type="dxa"/>
                  <w:tcBorders>
                    <w:tl2br w:val="nil"/>
                    <w:tr2bl w:val="nil"/>
                  </w:tcBorders>
                  <w:vAlign w:val="center"/>
                </w:tcPr>
                <w:p w14:paraId="57450588">
                  <w:pPr>
                    <w:widowControl/>
                    <w:jc w:val="center"/>
                    <w:rPr>
                      <w:szCs w:val="21"/>
                    </w:rPr>
                  </w:pPr>
                  <w:r>
                    <w:rPr>
                      <w:rFonts w:hint="eastAsia"/>
                      <w:bCs/>
                      <w:sz w:val="21"/>
                      <w:szCs w:val="21"/>
                      <w:lang w:val="en-US" w:eastAsia="zh-CN"/>
                    </w:rPr>
                    <w:t>*</w:t>
                  </w:r>
                </w:p>
              </w:tc>
              <w:tc>
                <w:tcPr>
                  <w:tcW w:w="677" w:type="dxa"/>
                  <w:tcBorders>
                    <w:tl2br w:val="nil"/>
                    <w:tr2bl w:val="nil"/>
                  </w:tcBorders>
                  <w:vAlign w:val="center"/>
                </w:tcPr>
                <w:p w14:paraId="09331467">
                  <w:pPr>
                    <w:widowControl/>
                    <w:jc w:val="center"/>
                    <w:rPr>
                      <w:szCs w:val="21"/>
                    </w:rPr>
                  </w:pPr>
                  <w:r>
                    <w:rPr>
                      <w:rFonts w:hint="eastAsia"/>
                      <w:bCs/>
                      <w:sz w:val="21"/>
                      <w:szCs w:val="21"/>
                      <w:lang w:val="en-US" w:eastAsia="zh-CN"/>
                    </w:rPr>
                    <w:t>*</w:t>
                  </w:r>
                </w:p>
              </w:tc>
              <w:tc>
                <w:tcPr>
                  <w:tcW w:w="677" w:type="dxa"/>
                  <w:tcBorders>
                    <w:tl2br w:val="nil"/>
                    <w:tr2bl w:val="nil"/>
                  </w:tcBorders>
                  <w:vAlign w:val="center"/>
                </w:tcPr>
                <w:p w14:paraId="5A795E18">
                  <w:pPr>
                    <w:widowControl/>
                    <w:jc w:val="center"/>
                    <w:rPr>
                      <w:szCs w:val="21"/>
                    </w:rPr>
                  </w:pPr>
                  <w:r>
                    <w:rPr>
                      <w:rFonts w:hint="eastAsia"/>
                      <w:bCs/>
                      <w:sz w:val="21"/>
                      <w:szCs w:val="21"/>
                      <w:lang w:val="en-US" w:eastAsia="zh-CN"/>
                    </w:rPr>
                    <w:t>*</w:t>
                  </w:r>
                </w:p>
              </w:tc>
              <w:tc>
                <w:tcPr>
                  <w:tcW w:w="789" w:type="dxa"/>
                  <w:tcBorders>
                    <w:tl2br w:val="nil"/>
                    <w:tr2bl w:val="nil"/>
                  </w:tcBorders>
                  <w:vAlign w:val="center"/>
                </w:tcPr>
                <w:p w14:paraId="1AA970E9">
                  <w:pPr>
                    <w:widowControl/>
                    <w:jc w:val="center"/>
                    <w:rPr>
                      <w:szCs w:val="21"/>
                    </w:rPr>
                  </w:pPr>
                  <w:r>
                    <w:rPr>
                      <w:rFonts w:hint="eastAsia"/>
                      <w:bCs/>
                      <w:sz w:val="21"/>
                      <w:szCs w:val="21"/>
                      <w:lang w:val="en-US" w:eastAsia="zh-CN"/>
                    </w:rPr>
                    <w:t>*</w:t>
                  </w:r>
                </w:p>
              </w:tc>
              <w:tc>
                <w:tcPr>
                  <w:tcW w:w="794" w:type="dxa"/>
                  <w:tcBorders>
                    <w:tl2br w:val="nil"/>
                    <w:tr2bl w:val="nil"/>
                  </w:tcBorders>
                  <w:vAlign w:val="center"/>
                </w:tcPr>
                <w:p w14:paraId="2CE9B8D4">
                  <w:pPr>
                    <w:widowControl/>
                    <w:jc w:val="center"/>
                    <w:rPr>
                      <w:szCs w:val="21"/>
                    </w:rPr>
                  </w:pPr>
                  <w:r>
                    <w:rPr>
                      <w:rFonts w:hint="eastAsia"/>
                      <w:bCs/>
                      <w:sz w:val="21"/>
                      <w:szCs w:val="21"/>
                      <w:lang w:val="en-US" w:eastAsia="zh-CN"/>
                    </w:rPr>
                    <w:t>*</w:t>
                  </w:r>
                </w:p>
              </w:tc>
              <w:tc>
                <w:tcPr>
                  <w:tcW w:w="789" w:type="dxa"/>
                  <w:tcBorders>
                    <w:tl2br w:val="nil"/>
                    <w:tr2bl w:val="nil"/>
                  </w:tcBorders>
                  <w:vAlign w:val="center"/>
                </w:tcPr>
                <w:p w14:paraId="1031A8AF">
                  <w:pPr>
                    <w:tabs>
                      <w:tab w:val="left" w:pos="735"/>
                    </w:tabs>
                    <w:snapToGrid w:val="0"/>
                    <w:jc w:val="center"/>
                    <w:rPr>
                      <w:bCs/>
                      <w:szCs w:val="21"/>
                    </w:rPr>
                  </w:pPr>
                  <w:r>
                    <w:rPr>
                      <w:kern w:val="0"/>
                      <w:szCs w:val="21"/>
                      <w:lang w:bidi="ar"/>
                    </w:rPr>
                    <w:t>6.5-8.5</w:t>
                  </w:r>
                </w:p>
              </w:tc>
              <w:tc>
                <w:tcPr>
                  <w:tcW w:w="790" w:type="dxa"/>
                  <w:tcBorders>
                    <w:tl2br w:val="nil"/>
                    <w:tr2bl w:val="nil"/>
                  </w:tcBorders>
                  <w:vAlign w:val="center"/>
                </w:tcPr>
                <w:p w14:paraId="59A7B511">
                  <w:pPr>
                    <w:snapToGrid w:val="0"/>
                    <w:jc w:val="center"/>
                    <w:rPr>
                      <w:szCs w:val="21"/>
                    </w:rPr>
                  </w:pPr>
                  <w:r>
                    <w:rPr>
                      <w:szCs w:val="21"/>
                    </w:rPr>
                    <w:t>0.</w:t>
                  </w:r>
                  <w:r>
                    <w:rPr>
                      <w:rFonts w:hint="eastAsia"/>
                      <w:szCs w:val="21"/>
                    </w:rPr>
                    <w:t>6</w:t>
                  </w:r>
                </w:p>
              </w:tc>
              <w:tc>
                <w:tcPr>
                  <w:tcW w:w="673" w:type="dxa"/>
                  <w:tcBorders>
                    <w:tl2br w:val="nil"/>
                    <w:tr2bl w:val="nil"/>
                  </w:tcBorders>
                  <w:vAlign w:val="center"/>
                </w:tcPr>
                <w:p w14:paraId="2685FDF4">
                  <w:pPr>
                    <w:tabs>
                      <w:tab w:val="left" w:pos="735"/>
                    </w:tabs>
                    <w:snapToGrid w:val="0"/>
                    <w:jc w:val="center"/>
                    <w:rPr>
                      <w:bCs/>
                      <w:szCs w:val="21"/>
                    </w:rPr>
                  </w:pPr>
                  <w:r>
                    <w:rPr>
                      <w:bCs/>
                      <w:szCs w:val="21"/>
                    </w:rPr>
                    <w:t>0</w:t>
                  </w:r>
                </w:p>
              </w:tc>
            </w:tr>
            <w:tr w14:paraId="7C7F5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0FC5508">
                  <w:pPr>
                    <w:tabs>
                      <w:tab w:val="left" w:pos="735"/>
                    </w:tabs>
                    <w:snapToGrid w:val="0"/>
                    <w:jc w:val="center"/>
                    <w:rPr>
                      <w:bCs/>
                      <w:szCs w:val="21"/>
                    </w:rPr>
                  </w:pPr>
                </w:p>
              </w:tc>
              <w:tc>
                <w:tcPr>
                  <w:tcW w:w="805" w:type="dxa"/>
                  <w:tcBorders>
                    <w:tl2br w:val="nil"/>
                    <w:tr2bl w:val="nil"/>
                  </w:tcBorders>
                  <w:shd w:val="clear" w:color="auto" w:fill="auto"/>
                  <w:vAlign w:val="center"/>
                </w:tcPr>
                <w:p w14:paraId="2B445062">
                  <w:pPr>
                    <w:jc w:val="center"/>
                    <w:rPr>
                      <w:kern w:val="0"/>
                      <w:sz w:val="18"/>
                      <w:szCs w:val="18"/>
                    </w:rPr>
                  </w:pPr>
                  <w:r>
                    <w:rPr>
                      <w:kern w:val="0"/>
                      <w:sz w:val="18"/>
                      <w:szCs w:val="18"/>
                      <w:lang w:bidi="ar"/>
                    </w:rPr>
                    <w:t>氨氮</w:t>
                  </w:r>
                </w:p>
              </w:tc>
              <w:tc>
                <w:tcPr>
                  <w:tcW w:w="740" w:type="dxa"/>
                  <w:tcBorders>
                    <w:tl2br w:val="nil"/>
                    <w:tr2bl w:val="nil"/>
                  </w:tcBorders>
                  <w:shd w:val="clear" w:color="auto" w:fill="auto"/>
                  <w:vAlign w:val="center"/>
                </w:tcPr>
                <w:p w14:paraId="6ACE12A5">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0C17532D">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880EAF5">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019B914">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6EF74C8">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4D523169">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6D35CA6">
                  <w:pPr>
                    <w:snapToGrid w:val="0"/>
                    <w:jc w:val="center"/>
                    <w:rPr>
                      <w:szCs w:val="21"/>
                    </w:rPr>
                  </w:pPr>
                  <w:r>
                    <w:rPr>
                      <w:kern w:val="0"/>
                      <w:szCs w:val="21"/>
                      <w:lang w:bidi="ar"/>
                    </w:rPr>
                    <w:t>0.50mg/L</w:t>
                  </w:r>
                </w:p>
              </w:tc>
              <w:tc>
                <w:tcPr>
                  <w:tcW w:w="790" w:type="dxa"/>
                  <w:tcBorders>
                    <w:tl2br w:val="nil"/>
                    <w:tr2bl w:val="nil"/>
                  </w:tcBorders>
                  <w:shd w:val="clear" w:color="auto" w:fill="auto"/>
                  <w:vAlign w:val="center"/>
                </w:tcPr>
                <w:p w14:paraId="18BE7E17">
                  <w:pPr>
                    <w:snapToGrid w:val="0"/>
                    <w:jc w:val="center"/>
                    <w:rPr>
                      <w:rFonts w:eastAsia="等线"/>
                      <w:szCs w:val="21"/>
                    </w:rPr>
                  </w:pPr>
                  <w:r>
                    <w:rPr>
                      <w:rFonts w:eastAsia="等线"/>
                      <w:szCs w:val="21"/>
                    </w:rPr>
                    <w:t>0.</w:t>
                  </w:r>
                  <w:r>
                    <w:rPr>
                      <w:rFonts w:hint="eastAsia" w:eastAsia="等线"/>
                      <w:szCs w:val="21"/>
                    </w:rPr>
                    <w:t>154</w:t>
                  </w:r>
                </w:p>
              </w:tc>
              <w:tc>
                <w:tcPr>
                  <w:tcW w:w="673" w:type="dxa"/>
                  <w:tcBorders>
                    <w:tl2br w:val="nil"/>
                    <w:tr2bl w:val="nil"/>
                  </w:tcBorders>
                  <w:shd w:val="clear" w:color="auto" w:fill="auto"/>
                  <w:vAlign w:val="center"/>
                </w:tcPr>
                <w:p w14:paraId="3C0A2224">
                  <w:pPr>
                    <w:snapToGrid w:val="0"/>
                    <w:jc w:val="center"/>
                    <w:rPr>
                      <w:szCs w:val="21"/>
                    </w:rPr>
                  </w:pPr>
                  <w:r>
                    <w:rPr>
                      <w:szCs w:val="21"/>
                    </w:rPr>
                    <w:t>0</w:t>
                  </w:r>
                </w:p>
              </w:tc>
            </w:tr>
            <w:tr w14:paraId="4C5C7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E069080">
                  <w:pPr>
                    <w:tabs>
                      <w:tab w:val="left" w:pos="735"/>
                    </w:tabs>
                    <w:snapToGrid w:val="0"/>
                    <w:jc w:val="center"/>
                    <w:rPr>
                      <w:bCs/>
                      <w:szCs w:val="21"/>
                    </w:rPr>
                  </w:pPr>
                </w:p>
              </w:tc>
              <w:tc>
                <w:tcPr>
                  <w:tcW w:w="805" w:type="dxa"/>
                  <w:tcBorders>
                    <w:tl2br w:val="nil"/>
                    <w:tr2bl w:val="nil"/>
                  </w:tcBorders>
                  <w:vAlign w:val="center"/>
                </w:tcPr>
                <w:p w14:paraId="4B2E2DD9">
                  <w:pPr>
                    <w:jc w:val="center"/>
                    <w:rPr>
                      <w:sz w:val="18"/>
                      <w:szCs w:val="18"/>
                    </w:rPr>
                  </w:pPr>
                  <w:r>
                    <w:rPr>
                      <w:kern w:val="0"/>
                      <w:sz w:val="18"/>
                      <w:szCs w:val="18"/>
                      <w:lang w:bidi="ar"/>
                    </w:rPr>
                    <w:t>溶解性总固体</w:t>
                  </w:r>
                </w:p>
              </w:tc>
              <w:tc>
                <w:tcPr>
                  <w:tcW w:w="740" w:type="dxa"/>
                  <w:tcBorders>
                    <w:tl2br w:val="nil"/>
                    <w:tr2bl w:val="nil"/>
                  </w:tcBorders>
                  <w:vAlign w:val="center"/>
                </w:tcPr>
                <w:p w14:paraId="4AD39BF1">
                  <w:pPr>
                    <w:snapToGrid w:val="0"/>
                    <w:jc w:val="center"/>
                    <w:rPr>
                      <w:szCs w:val="21"/>
                    </w:rPr>
                  </w:pPr>
                  <w:r>
                    <w:rPr>
                      <w:kern w:val="0"/>
                      <w:szCs w:val="21"/>
                      <w:lang w:bidi="ar"/>
                    </w:rPr>
                    <w:t>mg/L</w:t>
                  </w:r>
                </w:p>
              </w:tc>
              <w:tc>
                <w:tcPr>
                  <w:tcW w:w="726" w:type="dxa"/>
                  <w:tcBorders>
                    <w:tl2br w:val="nil"/>
                    <w:tr2bl w:val="nil"/>
                  </w:tcBorders>
                  <w:vAlign w:val="center"/>
                </w:tcPr>
                <w:p w14:paraId="49F34673">
                  <w:pPr>
                    <w:widowControl/>
                    <w:jc w:val="center"/>
                    <w:rPr>
                      <w:spacing w:val="6"/>
                      <w:szCs w:val="21"/>
                    </w:rPr>
                  </w:pPr>
                  <w:r>
                    <w:rPr>
                      <w:rFonts w:hint="eastAsia"/>
                      <w:bCs/>
                      <w:sz w:val="21"/>
                      <w:szCs w:val="21"/>
                      <w:lang w:val="en-US" w:eastAsia="zh-CN"/>
                    </w:rPr>
                    <w:t>*</w:t>
                  </w:r>
                </w:p>
              </w:tc>
              <w:tc>
                <w:tcPr>
                  <w:tcW w:w="677" w:type="dxa"/>
                  <w:tcBorders>
                    <w:tl2br w:val="nil"/>
                    <w:tr2bl w:val="nil"/>
                  </w:tcBorders>
                  <w:vAlign w:val="center"/>
                </w:tcPr>
                <w:p w14:paraId="0466A163">
                  <w:pPr>
                    <w:widowControl/>
                    <w:jc w:val="center"/>
                    <w:rPr>
                      <w:spacing w:val="6"/>
                      <w:szCs w:val="21"/>
                    </w:rPr>
                  </w:pPr>
                  <w:r>
                    <w:rPr>
                      <w:rFonts w:hint="eastAsia"/>
                      <w:bCs/>
                      <w:sz w:val="21"/>
                      <w:szCs w:val="21"/>
                      <w:lang w:val="en-US" w:eastAsia="zh-CN"/>
                    </w:rPr>
                    <w:t>*</w:t>
                  </w:r>
                </w:p>
              </w:tc>
              <w:tc>
                <w:tcPr>
                  <w:tcW w:w="677" w:type="dxa"/>
                  <w:tcBorders>
                    <w:tl2br w:val="nil"/>
                    <w:tr2bl w:val="nil"/>
                  </w:tcBorders>
                  <w:vAlign w:val="center"/>
                </w:tcPr>
                <w:p w14:paraId="6521F05B">
                  <w:pPr>
                    <w:widowControl/>
                    <w:jc w:val="center"/>
                    <w:rPr>
                      <w:spacing w:val="6"/>
                      <w:szCs w:val="21"/>
                    </w:rPr>
                  </w:pPr>
                  <w:r>
                    <w:rPr>
                      <w:rFonts w:hint="eastAsia"/>
                      <w:bCs/>
                      <w:sz w:val="21"/>
                      <w:szCs w:val="21"/>
                      <w:lang w:val="en-US" w:eastAsia="zh-CN"/>
                    </w:rPr>
                    <w:t>*</w:t>
                  </w:r>
                </w:p>
              </w:tc>
              <w:tc>
                <w:tcPr>
                  <w:tcW w:w="789" w:type="dxa"/>
                  <w:tcBorders>
                    <w:tl2br w:val="nil"/>
                    <w:tr2bl w:val="nil"/>
                  </w:tcBorders>
                  <w:vAlign w:val="center"/>
                </w:tcPr>
                <w:p w14:paraId="511AC1A1">
                  <w:pPr>
                    <w:widowControl/>
                    <w:jc w:val="center"/>
                    <w:rPr>
                      <w:spacing w:val="6"/>
                      <w:szCs w:val="21"/>
                    </w:rPr>
                  </w:pPr>
                  <w:r>
                    <w:rPr>
                      <w:rFonts w:hint="eastAsia"/>
                      <w:bCs/>
                      <w:sz w:val="21"/>
                      <w:szCs w:val="21"/>
                      <w:lang w:val="en-US" w:eastAsia="zh-CN"/>
                    </w:rPr>
                    <w:t>*</w:t>
                  </w:r>
                </w:p>
              </w:tc>
              <w:tc>
                <w:tcPr>
                  <w:tcW w:w="794" w:type="dxa"/>
                  <w:tcBorders>
                    <w:tl2br w:val="nil"/>
                    <w:tr2bl w:val="nil"/>
                  </w:tcBorders>
                  <w:vAlign w:val="center"/>
                </w:tcPr>
                <w:p w14:paraId="564218C2">
                  <w:pPr>
                    <w:widowControl/>
                    <w:jc w:val="center"/>
                    <w:rPr>
                      <w:spacing w:val="6"/>
                      <w:szCs w:val="21"/>
                    </w:rPr>
                  </w:pPr>
                  <w:r>
                    <w:rPr>
                      <w:rFonts w:hint="eastAsia"/>
                      <w:bCs/>
                      <w:sz w:val="21"/>
                      <w:szCs w:val="21"/>
                      <w:lang w:val="en-US" w:eastAsia="zh-CN"/>
                    </w:rPr>
                    <w:t>*</w:t>
                  </w:r>
                </w:p>
              </w:tc>
              <w:tc>
                <w:tcPr>
                  <w:tcW w:w="789" w:type="dxa"/>
                  <w:tcBorders>
                    <w:tl2br w:val="nil"/>
                    <w:tr2bl w:val="nil"/>
                  </w:tcBorders>
                  <w:vAlign w:val="center"/>
                </w:tcPr>
                <w:p w14:paraId="7CBC6F02">
                  <w:pPr>
                    <w:snapToGrid w:val="0"/>
                    <w:jc w:val="center"/>
                    <w:rPr>
                      <w:szCs w:val="21"/>
                    </w:rPr>
                  </w:pPr>
                  <w:r>
                    <w:rPr>
                      <w:kern w:val="0"/>
                      <w:szCs w:val="21"/>
                      <w:lang w:bidi="ar"/>
                    </w:rPr>
                    <w:t>1000mg/L</w:t>
                  </w:r>
                </w:p>
              </w:tc>
              <w:tc>
                <w:tcPr>
                  <w:tcW w:w="790" w:type="dxa"/>
                  <w:tcBorders>
                    <w:tl2br w:val="nil"/>
                    <w:tr2bl w:val="nil"/>
                  </w:tcBorders>
                  <w:vAlign w:val="center"/>
                </w:tcPr>
                <w:p w14:paraId="77F05A38">
                  <w:pPr>
                    <w:snapToGrid w:val="0"/>
                    <w:jc w:val="center"/>
                    <w:rPr>
                      <w:szCs w:val="21"/>
                    </w:rPr>
                  </w:pPr>
                  <w:r>
                    <w:rPr>
                      <w:szCs w:val="21"/>
                    </w:rPr>
                    <w:t>0.</w:t>
                  </w:r>
                  <w:r>
                    <w:rPr>
                      <w:rFonts w:hint="eastAsia"/>
                      <w:szCs w:val="21"/>
                    </w:rPr>
                    <w:t>174</w:t>
                  </w:r>
                </w:p>
              </w:tc>
              <w:tc>
                <w:tcPr>
                  <w:tcW w:w="673" w:type="dxa"/>
                  <w:tcBorders>
                    <w:tl2br w:val="nil"/>
                    <w:tr2bl w:val="nil"/>
                  </w:tcBorders>
                  <w:vAlign w:val="center"/>
                </w:tcPr>
                <w:p w14:paraId="53357896">
                  <w:pPr>
                    <w:snapToGrid w:val="0"/>
                    <w:jc w:val="center"/>
                    <w:rPr>
                      <w:szCs w:val="21"/>
                    </w:rPr>
                  </w:pPr>
                  <w:r>
                    <w:rPr>
                      <w:szCs w:val="21"/>
                    </w:rPr>
                    <w:t>0</w:t>
                  </w:r>
                </w:p>
              </w:tc>
            </w:tr>
            <w:tr w14:paraId="54831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F42B2FA">
                  <w:pPr>
                    <w:tabs>
                      <w:tab w:val="left" w:pos="735"/>
                    </w:tabs>
                    <w:snapToGrid w:val="0"/>
                    <w:jc w:val="center"/>
                    <w:rPr>
                      <w:bCs/>
                      <w:szCs w:val="21"/>
                    </w:rPr>
                  </w:pPr>
                </w:p>
              </w:tc>
              <w:tc>
                <w:tcPr>
                  <w:tcW w:w="805" w:type="dxa"/>
                  <w:tcBorders>
                    <w:tl2br w:val="nil"/>
                    <w:tr2bl w:val="nil"/>
                  </w:tcBorders>
                  <w:shd w:val="clear" w:color="auto" w:fill="auto"/>
                  <w:vAlign w:val="center"/>
                </w:tcPr>
                <w:p w14:paraId="5188FBF7">
                  <w:pPr>
                    <w:jc w:val="center"/>
                    <w:rPr>
                      <w:bCs/>
                      <w:szCs w:val="21"/>
                    </w:rPr>
                  </w:pPr>
                  <w:r>
                    <w:rPr>
                      <w:szCs w:val="21"/>
                    </w:rPr>
                    <w:t>总大肠菌群</w:t>
                  </w:r>
                </w:p>
              </w:tc>
              <w:tc>
                <w:tcPr>
                  <w:tcW w:w="740" w:type="dxa"/>
                  <w:tcBorders>
                    <w:tl2br w:val="nil"/>
                    <w:tr2bl w:val="nil"/>
                  </w:tcBorders>
                  <w:shd w:val="clear" w:color="auto" w:fill="auto"/>
                  <w:vAlign w:val="center"/>
                </w:tcPr>
                <w:p w14:paraId="603C6C51">
                  <w:pPr>
                    <w:tabs>
                      <w:tab w:val="left" w:pos="735"/>
                    </w:tabs>
                    <w:snapToGrid w:val="0"/>
                    <w:jc w:val="center"/>
                    <w:rPr>
                      <w:bCs/>
                      <w:szCs w:val="21"/>
                    </w:rPr>
                  </w:pPr>
                  <w:r>
                    <w:rPr>
                      <w:bCs/>
                      <w:szCs w:val="21"/>
                    </w:rPr>
                    <w:t>MPN/100mL</w:t>
                  </w:r>
                </w:p>
              </w:tc>
              <w:tc>
                <w:tcPr>
                  <w:tcW w:w="726" w:type="dxa"/>
                  <w:tcBorders>
                    <w:tl2br w:val="nil"/>
                    <w:tr2bl w:val="nil"/>
                  </w:tcBorders>
                  <w:shd w:val="clear" w:color="auto" w:fill="auto"/>
                  <w:vAlign w:val="center"/>
                </w:tcPr>
                <w:p w14:paraId="7D74EC04">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0B23A321">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BC86353">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C7E223E">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4573B3A9">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A85DB66">
                  <w:pPr>
                    <w:tabs>
                      <w:tab w:val="left" w:pos="735"/>
                    </w:tabs>
                    <w:snapToGrid w:val="0"/>
                    <w:jc w:val="center"/>
                    <w:rPr>
                      <w:szCs w:val="21"/>
                    </w:rPr>
                  </w:pPr>
                  <w:r>
                    <w:rPr>
                      <w:bCs/>
                      <w:szCs w:val="21"/>
                    </w:rPr>
                    <w:t>3.0MPN/100mL</w:t>
                  </w:r>
                </w:p>
              </w:tc>
              <w:tc>
                <w:tcPr>
                  <w:tcW w:w="790" w:type="dxa"/>
                  <w:tcBorders>
                    <w:tl2br w:val="nil"/>
                    <w:tr2bl w:val="nil"/>
                  </w:tcBorders>
                  <w:shd w:val="clear" w:color="auto" w:fill="auto"/>
                  <w:vAlign w:val="center"/>
                </w:tcPr>
                <w:p w14:paraId="660F6917">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0EA72DB1">
                  <w:pPr>
                    <w:tabs>
                      <w:tab w:val="left" w:pos="735"/>
                    </w:tabs>
                    <w:snapToGrid w:val="0"/>
                    <w:jc w:val="center"/>
                    <w:rPr>
                      <w:bCs/>
                      <w:szCs w:val="21"/>
                    </w:rPr>
                  </w:pPr>
                  <w:r>
                    <w:rPr>
                      <w:bCs/>
                      <w:szCs w:val="21"/>
                    </w:rPr>
                    <w:t>/</w:t>
                  </w:r>
                </w:p>
              </w:tc>
            </w:tr>
            <w:tr w14:paraId="5A531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7CBC458">
                  <w:pPr>
                    <w:tabs>
                      <w:tab w:val="left" w:pos="735"/>
                    </w:tabs>
                    <w:snapToGrid w:val="0"/>
                    <w:jc w:val="center"/>
                    <w:rPr>
                      <w:bCs/>
                      <w:szCs w:val="21"/>
                    </w:rPr>
                  </w:pPr>
                </w:p>
              </w:tc>
              <w:tc>
                <w:tcPr>
                  <w:tcW w:w="805" w:type="dxa"/>
                  <w:tcBorders>
                    <w:tl2br w:val="nil"/>
                    <w:tr2bl w:val="nil"/>
                  </w:tcBorders>
                  <w:shd w:val="clear" w:color="auto" w:fill="auto"/>
                  <w:vAlign w:val="center"/>
                </w:tcPr>
                <w:p w14:paraId="2B486547">
                  <w:pPr>
                    <w:jc w:val="center"/>
                    <w:rPr>
                      <w:bCs/>
                      <w:szCs w:val="21"/>
                    </w:rPr>
                  </w:pPr>
                  <w:r>
                    <w:rPr>
                      <w:szCs w:val="21"/>
                    </w:rPr>
                    <w:t>细菌总数</w:t>
                  </w:r>
                </w:p>
              </w:tc>
              <w:tc>
                <w:tcPr>
                  <w:tcW w:w="740" w:type="dxa"/>
                  <w:tcBorders>
                    <w:tl2br w:val="nil"/>
                    <w:tr2bl w:val="nil"/>
                  </w:tcBorders>
                  <w:shd w:val="clear" w:color="auto" w:fill="auto"/>
                  <w:vAlign w:val="center"/>
                </w:tcPr>
                <w:p w14:paraId="3E5C7C46">
                  <w:pPr>
                    <w:tabs>
                      <w:tab w:val="left" w:pos="735"/>
                    </w:tabs>
                    <w:snapToGrid w:val="0"/>
                    <w:jc w:val="center"/>
                    <w:rPr>
                      <w:bCs/>
                      <w:szCs w:val="21"/>
                    </w:rPr>
                  </w:pPr>
                  <w:r>
                    <w:rPr>
                      <w:bCs/>
                      <w:szCs w:val="21"/>
                    </w:rPr>
                    <w:t>CFU/mL</w:t>
                  </w:r>
                </w:p>
              </w:tc>
              <w:tc>
                <w:tcPr>
                  <w:tcW w:w="726" w:type="dxa"/>
                  <w:tcBorders>
                    <w:tl2br w:val="nil"/>
                    <w:tr2bl w:val="nil"/>
                  </w:tcBorders>
                  <w:shd w:val="clear" w:color="auto" w:fill="auto"/>
                  <w:vAlign w:val="center"/>
                </w:tcPr>
                <w:p w14:paraId="67DFA118">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84A49D8">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D954097">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728C808">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515C23B0">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F9B930E">
                  <w:pPr>
                    <w:tabs>
                      <w:tab w:val="left" w:pos="735"/>
                    </w:tabs>
                    <w:snapToGrid w:val="0"/>
                    <w:jc w:val="center"/>
                    <w:rPr>
                      <w:szCs w:val="21"/>
                    </w:rPr>
                  </w:pPr>
                  <w:r>
                    <w:rPr>
                      <w:bCs/>
                      <w:szCs w:val="21"/>
                    </w:rPr>
                    <w:t>100CFU/mL</w:t>
                  </w:r>
                </w:p>
              </w:tc>
              <w:tc>
                <w:tcPr>
                  <w:tcW w:w="790" w:type="dxa"/>
                  <w:tcBorders>
                    <w:tl2br w:val="nil"/>
                    <w:tr2bl w:val="nil"/>
                  </w:tcBorders>
                  <w:shd w:val="clear" w:color="auto" w:fill="auto"/>
                  <w:vAlign w:val="center"/>
                </w:tcPr>
                <w:p w14:paraId="61157CC3">
                  <w:pPr>
                    <w:snapToGrid w:val="0"/>
                    <w:jc w:val="center"/>
                    <w:rPr>
                      <w:rFonts w:eastAsia="等线"/>
                      <w:szCs w:val="21"/>
                    </w:rPr>
                  </w:pPr>
                  <w:r>
                    <w:rPr>
                      <w:rFonts w:eastAsia="等线"/>
                      <w:szCs w:val="21"/>
                    </w:rPr>
                    <w:t>0.2</w:t>
                  </w:r>
                  <w:r>
                    <w:rPr>
                      <w:rFonts w:hint="eastAsia" w:eastAsia="等线"/>
                      <w:szCs w:val="21"/>
                    </w:rPr>
                    <w:t>4</w:t>
                  </w:r>
                </w:p>
              </w:tc>
              <w:tc>
                <w:tcPr>
                  <w:tcW w:w="673" w:type="dxa"/>
                  <w:tcBorders>
                    <w:tl2br w:val="nil"/>
                    <w:tr2bl w:val="nil"/>
                  </w:tcBorders>
                  <w:shd w:val="clear" w:color="auto" w:fill="auto"/>
                  <w:vAlign w:val="center"/>
                </w:tcPr>
                <w:p w14:paraId="4912E3C1">
                  <w:pPr>
                    <w:tabs>
                      <w:tab w:val="left" w:pos="735"/>
                    </w:tabs>
                    <w:snapToGrid w:val="0"/>
                    <w:jc w:val="center"/>
                    <w:rPr>
                      <w:bCs/>
                      <w:szCs w:val="21"/>
                    </w:rPr>
                  </w:pPr>
                  <w:r>
                    <w:rPr>
                      <w:bCs/>
                      <w:szCs w:val="21"/>
                    </w:rPr>
                    <w:t>/</w:t>
                  </w:r>
                </w:p>
              </w:tc>
            </w:tr>
            <w:tr w14:paraId="41F4C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07CD167C">
                  <w:pPr>
                    <w:tabs>
                      <w:tab w:val="left" w:pos="735"/>
                    </w:tabs>
                    <w:snapToGrid w:val="0"/>
                    <w:jc w:val="center"/>
                    <w:rPr>
                      <w:bCs/>
                      <w:szCs w:val="21"/>
                    </w:rPr>
                  </w:pPr>
                </w:p>
              </w:tc>
              <w:tc>
                <w:tcPr>
                  <w:tcW w:w="805" w:type="dxa"/>
                  <w:tcBorders>
                    <w:tl2br w:val="nil"/>
                    <w:tr2bl w:val="nil"/>
                  </w:tcBorders>
                  <w:shd w:val="clear" w:color="auto" w:fill="auto"/>
                  <w:vAlign w:val="center"/>
                </w:tcPr>
                <w:p w14:paraId="0796A8F0">
                  <w:pPr>
                    <w:jc w:val="center"/>
                    <w:rPr>
                      <w:sz w:val="18"/>
                      <w:szCs w:val="18"/>
                    </w:rPr>
                  </w:pPr>
                  <w:r>
                    <w:rPr>
                      <w:kern w:val="0"/>
                      <w:sz w:val="18"/>
                      <w:szCs w:val="18"/>
                      <w:lang w:bidi="ar"/>
                    </w:rPr>
                    <w:t>碳酸根</w:t>
                  </w:r>
                </w:p>
              </w:tc>
              <w:tc>
                <w:tcPr>
                  <w:tcW w:w="740" w:type="dxa"/>
                  <w:tcBorders>
                    <w:tl2br w:val="nil"/>
                    <w:tr2bl w:val="nil"/>
                  </w:tcBorders>
                  <w:shd w:val="clear" w:color="auto" w:fill="auto"/>
                  <w:vAlign w:val="center"/>
                </w:tcPr>
                <w:p w14:paraId="6CD402CA">
                  <w:pPr>
                    <w:jc w:val="center"/>
                    <w:rPr>
                      <w:szCs w:val="21"/>
                    </w:rPr>
                  </w:pPr>
                  <w:r>
                    <w:rPr>
                      <w:kern w:val="0"/>
                      <w:szCs w:val="21"/>
                      <w:lang w:bidi="ar"/>
                    </w:rPr>
                    <w:t>mg/L</w:t>
                  </w:r>
                </w:p>
              </w:tc>
              <w:tc>
                <w:tcPr>
                  <w:tcW w:w="726" w:type="dxa"/>
                  <w:tcBorders>
                    <w:tl2br w:val="nil"/>
                    <w:tr2bl w:val="nil"/>
                  </w:tcBorders>
                  <w:shd w:val="clear" w:color="auto" w:fill="auto"/>
                  <w:vAlign w:val="center"/>
                </w:tcPr>
                <w:p w14:paraId="26D5842A">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29398F7">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AA38267">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72D869C">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7D5498EA">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6F85912D">
                  <w:pPr>
                    <w:snapToGrid w:val="0"/>
                    <w:jc w:val="center"/>
                    <w:rPr>
                      <w:szCs w:val="21"/>
                    </w:rPr>
                  </w:pPr>
                  <w:r>
                    <w:rPr>
                      <w:bCs/>
                      <w:szCs w:val="21"/>
                    </w:rPr>
                    <w:t>/</w:t>
                  </w:r>
                </w:p>
              </w:tc>
              <w:tc>
                <w:tcPr>
                  <w:tcW w:w="790" w:type="dxa"/>
                  <w:tcBorders>
                    <w:tl2br w:val="nil"/>
                    <w:tr2bl w:val="nil"/>
                  </w:tcBorders>
                  <w:shd w:val="clear" w:color="auto" w:fill="auto"/>
                  <w:vAlign w:val="center"/>
                </w:tcPr>
                <w:p w14:paraId="1A43E77C">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08E4D585">
                  <w:pPr>
                    <w:snapToGrid w:val="0"/>
                    <w:jc w:val="center"/>
                    <w:rPr>
                      <w:szCs w:val="21"/>
                    </w:rPr>
                  </w:pPr>
                  <w:r>
                    <w:rPr>
                      <w:szCs w:val="21"/>
                    </w:rPr>
                    <w:t>0</w:t>
                  </w:r>
                </w:p>
              </w:tc>
            </w:tr>
            <w:tr w14:paraId="21913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CAC7C6D">
                  <w:pPr>
                    <w:tabs>
                      <w:tab w:val="left" w:pos="735"/>
                    </w:tabs>
                    <w:snapToGrid w:val="0"/>
                    <w:jc w:val="center"/>
                    <w:rPr>
                      <w:bCs/>
                      <w:szCs w:val="21"/>
                    </w:rPr>
                  </w:pPr>
                </w:p>
              </w:tc>
              <w:tc>
                <w:tcPr>
                  <w:tcW w:w="805" w:type="dxa"/>
                  <w:tcBorders>
                    <w:tl2br w:val="nil"/>
                    <w:tr2bl w:val="nil"/>
                  </w:tcBorders>
                  <w:shd w:val="clear" w:color="auto" w:fill="auto"/>
                  <w:vAlign w:val="center"/>
                </w:tcPr>
                <w:p w14:paraId="4E45C70F">
                  <w:pPr>
                    <w:jc w:val="center"/>
                    <w:rPr>
                      <w:sz w:val="18"/>
                      <w:szCs w:val="18"/>
                    </w:rPr>
                  </w:pPr>
                  <w:r>
                    <w:rPr>
                      <w:kern w:val="0"/>
                      <w:sz w:val="18"/>
                      <w:szCs w:val="18"/>
                      <w:lang w:bidi="ar"/>
                    </w:rPr>
                    <w:t>重碳酸根</w:t>
                  </w:r>
                </w:p>
              </w:tc>
              <w:tc>
                <w:tcPr>
                  <w:tcW w:w="740" w:type="dxa"/>
                  <w:tcBorders>
                    <w:tl2br w:val="nil"/>
                    <w:tr2bl w:val="nil"/>
                  </w:tcBorders>
                  <w:shd w:val="clear" w:color="auto" w:fill="auto"/>
                  <w:vAlign w:val="center"/>
                </w:tcPr>
                <w:p w14:paraId="76875FA6">
                  <w:pPr>
                    <w:jc w:val="center"/>
                    <w:rPr>
                      <w:szCs w:val="21"/>
                    </w:rPr>
                  </w:pPr>
                  <w:r>
                    <w:rPr>
                      <w:kern w:val="0"/>
                      <w:szCs w:val="21"/>
                      <w:lang w:bidi="ar"/>
                    </w:rPr>
                    <w:t>mg/L</w:t>
                  </w:r>
                </w:p>
              </w:tc>
              <w:tc>
                <w:tcPr>
                  <w:tcW w:w="726" w:type="dxa"/>
                  <w:tcBorders>
                    <w:tl2br w:val="nil"/>
                    <w:tr2bl w:val="nil"/>
                  </w:tcBorders>
                  <w:shd w:val="clear" w:color="auto" w:fill="auto"/>
                  <w:vAlign w:val="center"/>
                </w:tcPr>
                <w:p w14:paraId="005FE96E">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90F96BE">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74BC2FC">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D612641">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40E37E07">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B671D64">
                  <w:pPr>
                    <w:snapToGrid w:val="0"/>
                    <w:jc w:val="center"/>
                    <w:rPr>
                      <w:szCs w:val="21"/>
                    </w:rPr>
                  </w:pPr>
                  <w:r>
                    <w:rPr>
                      <w:bCs/>
                      <w:szCs w:val="21"/>
                    </w:rPr>
                    <w:t>/</w:t>
                  </w:r>
                </w:p>
              </w:tc>
              <w:tc>
                <w:tcPr>
                  <w:tcW w:w="790" w:type="dxa"/>
                  <w:tcBorders>
                    <w:tl2br w:val="nil"/>
                    <w:tr2bl w:val="nil"/>
                  </w:tcBorders>
                  <w:shd w:val="clear" w:color="auto" w:fill="auto"/>
                  <w:vAlign w:val="center"/>
                </w:tcPr>
                <w:p w14:paraId="552FF2E3">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7C0BFBAA">
                  <w:pPr>
                    <w:snapToGrid w:val="0"/>
                    <w:jc w:val="center"/>
                    <w:rPr>
                      <w:szCs w:val="21"/>
                    </w:rPr>
                  </w:pPr>
                  <w:r>
                    <w:rPr>
                      <w:szCs w:val="21"/>
                    </w:rPr>
                    <w:t>0</w:t>
                  </w:r>
                </w:p>
              </w:tc>
            </w:tr>
            <w:tr w14:paraId="3813D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5A663D5">
                  <w:pPr>
                    <w:tabs>
                      <w:tab w:val="left" w:pos="735"/>
                    </w:tabs>
                    <w:snapToGrid w:val="0"/>
                    <w:jc w:val="center"/>
                    <w:rPr>
                      <w:bCs/>
                      <w:szCs w:val="21"/>
                    </w:rPr>
                  </w:pPr>
                </w:p>
              </w:tc>
              <w:tc>
                <w:tcPr>
                  <w:tcW w:w="805" w:type="dxa"/>
                  <w:tcBorders>
                    <w:tl2br w:val="nil"/>
                    <w:tr2bl w:val="nil"/>
                  </w:tcBorders>
                  <w:shd w:val="clear" w:color="auto" w:fill="auto"/>
                  <w:vAlign w:val="center"/>
                </w:tcPr>
                <w:p w14:paraId="0BE684FF">
                  <w:pPr>
                    <w:widowControl/>
                    <w:jc w:val="center"/>
                    <w:rPr>
                      <w:kern w:val="0"/>
                      <w:sz w:val="18"/>
                      <w:szCs w:val="18"/>
                    </w:rPr>
                  </w:pPr>
                  <w:r>
                    <w:rPr>
                      <w:sz w:val="18"/>
                      <w:szCs w:val="18"/>
                      <w:shd w:val="clear" w:color="auto" w:fill="FFFFFF"/>
                    </w:rPr>
                    <w:t>氯化物</w:t>
                  </w:r>
                </w:p>
              </w:tc>
              <w:tc>
                <w:tcPr>
                  <w:tcW w:w="740" w:type="dxa"/>
                  <w:tcBorders>
                    <w:tl2br w:val="nil"/>
                    <w:tr2bl w:val="nil"/>
                  </w:tcBorders>
                  <w:shd w:val="clear" w:color="auto" w:fill="auto"/>
                  <w:vAlign w:val="center"/>
                </w:tcPr>
                <w:p w14:paraId="1F7B917C">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45C5A8FF">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63FA5E6">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8E92015">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B9BE4CA">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1F41E1AB">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5E39557">
                  <w:pPr>
                    <w:tabs>
                      <w:tab w:val="left" w:pos="735"/>
                    </w:tabs>
                    <w:snapToGrid w:val="0"/>
                    <w:jc w:val="center"/>
                    <w:rPr>
                      <w:szCs w:val="21"/>
                    </w:rPr>
                  </w:pPr>
                  <w:r>
                    <w:rPr>
                      <w:rFonts w:hint="eastAsia"/>
                      <w:szCs w:val="21"/>
                    </w:rPr>
                    <w:t>250mg/L</w:t>
                  </w:r>
                </w:p>
              </w:tc>
              <w:tc>
                <w:tcPr>
                  <w:tcW w:w="790" w:type="dxa"/>
                  <w:tcBorders>
                    <w:tl2br w:val="nil"/>
                    <w:tr2bl w:val="nil"/>
                  </w:tcBorders>
                  <w:shd w:val="clear" w:color="auto" w:fill="auto"/>
                  <w:vAlign w:val="center"/>
                </w:tcPr>
                <w:p w14:paraId="2B8F99DA">
                  <w:pPr>
                    <w:snapToGrid w:val="0"/>
                    <w:jc w:val="center"/>
                    <w:rPr>
                      <w:szCs w:val="21"/>
                    </w:rPr>
                  </w:pPr>
                  <w:r>
                    <w:rPr>
                      <w:szCs w:val="21"/>
                    </w:rPr>
                    <w:t>/</w:t>
                  </w:r>
                </w:p>
              </w:tc>
              <w:tc>
                <w:tcPr>
                  <w:tcW w:w="673" w:type="dxa"/>
                  <w:tcBorders>
                    <w:tl2br w:val="nil"/>
                    <w:tr2bl w:val="nil"/>
                  </w:tcBorders>
                  <w:shd w:val="clear" w:color="auto" w:fill="auto"/>
                  <w:vAlign w:val="center"/>
                </w:tcPr>
                <w:p w14:paraId="2FEAE009">
                  <w:pPr>
                    <w:tabs>
                      <w:tab w:val="left" w:pos="735"/>
                    </w:tabs>
                    <w:snapToGrid w:val="0"/>
                    <w:jc w:val="center"/>
                    <w:rPr>
                      <w:bCs/>
                      <w:szCs w:val="21"/>
                    </w:rPr>
                  </w:pPr>
                  <w:r>
                    <w:rPr>
                      <w:bCs/>
                      <w:szCs w:val="21"/>
                    </w:rPr>
                    <w:t>0</w:t>
                  </w:r>
                </w:p>
              </w:tc>
            </w:tr>
            <w:tr w14:paraId="3B02D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98385BA">
                  <w:pPr>
                    <w:tabs>
                      <w:tab w:val="left" w:pos="735"/>
                    </w:tabs>
                    <w:snapToGrid w:val="0"/>
                    <w:jc w:val="center"/>
                    <w:rPr>
                      <w:bCs/>
                      <w:szCs w:val="21"/>
                    </w:rPr>
                  </w:pPr>
                </w:p>
              </w:tc>
              <w:tc>
                <w:tcPr>
                  <w:tcW w:w="805" w:type="dxa"/>
                  <w:tcBorders>
                    <w:tl2br w:val="nil"/>
                    <w:tr2bl w:val="nil"/>
                  </w:tcBorders>
                  <w:shd w:val="clear" w:color="auto" w:fill="auto"/>
                  <w:vAlign w:val="center"/>
                </w:tcPr>
                <w:p w14:paraId="1219CCAE">
                  <w:pPr>
                    <w:widowControl/>
                    <w:jc w:val="center"/>
                    <w:rPr>
                      <w:kern w:val="0"/>
                      <w:sz w:val="18"/>
                      <w:szCs w:val="18"/>
                    </w:rPr>
                  </w:pPr>
                  <w:r>
                    <w:rPr>
                      <w:sz w:val="18"/>
                      <w:szCs w:val="18"/>
                      <w:shd w:val="clear" w:color="auto" w:fill="FFFFFF"/>
                    </w:rPr>
                    <w:t>硫酸盐</w:t>
                  </w:r>
                </w:p>
              </w:tc>
              <w:tc>
                <w:tcPr>
                  <w:tcW w:w="740" w:type="dxa"/>
                  <w:tcBorders>
                    <w:tl2br w:val="nil"/>
                    <w:tr2bl w:val="nil"/>
                  </w:tcBorders>
                  <w:shd w:val="clear" w:color="auto" w:fill="auto"/>
                  <w:vAlign w:val="center"/>
                </w:tcPr>
                <w:p w14:paraId="301F39BC">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261E7A11">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4B0BA7D">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5D92B7C">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7FAFA0A">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3546999D">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8E4394C">
                  <w:pPr>
                    <w:tabs>
                      <w:tab w:val="left" w:pos="735"/>
                    </w:tabs>
                    <w:snapToGrid w:val="0"/>
                    <w:jc w:val="center"/>
                    <w:rPr>
                      <w:szCs w:val="21"/>
                    </w:rPr>
                  </w:pPr>
                  <w:r>
                    <w:rPr>
                      <w:rFonts w:hint="eastAsia"/>
                      <w:szCs w:val="21"/>
                    </w:rPr>
                    <w:t>250mg/L</w:t>
                  </w:r>
                </w:p>
              </w:tc>
              <w:tc>
                <w:tcPr>
                  <w:tcW w:w="790" w:type="dxa"/>
                  <w:tcBorders>
                    <w:tl2br w:val="nil"/>
                    <w:tr2bl w:val="nil"/>
                  </w:tcBorders>
                  <w:shd w:val="clear" w:color="auto" w:fill="auto"/>
                  <w:vAlign w:val="center"/>
                </w:tcPr>
                <w:p w14:paraId="0A438612">
                  <w:pPr>
                    <w:snapToGrid w:val="0"/>
                    <w:jc w:val="center"/>
                    <w:rPr>
                      <w:szCs w:val="21"/>
                    </w:rPr>
                  </w:pPr>
                  <w:r>
                    <w:rPr>
                      <w:szCs w:val="21"/>
                    </w:rPr>
                    <w:t>/</w:t>
                  </w:r>
                </w:p>
              </w:tc>
              <w:tc>
                <w:tcPr>
                  <w:tcW w:w="673" w:type="dxa"/>
                  <w:tcBorders>
                    <w:tl2br w:val="nil"/>
                    <w:tr2bl w:val="nil"/>
                  </w:tcBorders>
                  <w:shd w:val="clear" w:color="auto" w:fill="auto"/>
                  <w:vAlign w:val="center"/>
                </w:tcPr>
                <w:p w14:paraId="17F78F67">
                  <w:pPr>
                    <w:tabs>
                      <w:tab w:val="left" w:pos="735"/>
                    </w:tabs>
                    <w:snapToGrid w:val="0"/>
                    <w:jc w:val="center"/>
                    <w:rPr>
                      <w:bCs/>
                      <w:szCs w:val="21"/>
                    </w:rPr>
                  </w:pPr>
                  <w:r>
                    <w:rPr>
                      <w:bCs/>
                      <w:szCs w:val="21"/>
                    </w:rPr>
                    <w:t>0</w:t>
                  </w:r>
                </w:p>
              </w:tc>
            </w:tr>
            <w:tr w14:paraId="0B643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2E572ACD">
                  <w:pPr>
                    <w:tabs>
                      <w:tab w:val="left" w:pos="735"/>
                    </w:tabs>
                    <w:snapToGrid w:val="0"/>
                    <w:jc w:val="center"/>
                    <w:rPr>
                      <w:bCs/>
                      <w:szCs w:val="21"/>
                    </w:rPr>
                  </w:pPr>
                </w:p>
              </w:tc>
              <w:tc>
                <w:tcPr>
                  <w:tcW w:w="805" w:type="dxa"/>
                  <w:tcBorders>
                    <w:tl2br w:val="nil"/>
                    <w:tr2bl w:val="nil"/>
                  </w:tcBorders>
                  <w:shd w:val="clear" w:color="auto" w:fill="auto"/>
                  <w:vAlign w:val="center"/>
                </w:tcPr>
                <w:p w14:paraId="3BDCB520">
                  <w:pPr>
                    <w:jc w:val="center"/>
                    <w:rPr>
                      <w:kern w:val="0"/>
                      <w:sz w:val="18"/>
                      <w:szCs w:val="18"/>
                    </w:rPr>
                  </w:pPr>
                  <w:r>
                    <w:rPr>
                      <w:kern w:val="0"/>
                      <w:sz w:val="18"/>
                      <w:szCs w:val="18"/>
                    </w:rPr>
                    <w:t>硝酸盐</w:t>
                  </w:r>
                </w:p>
              </w:tc>
              <w:tc>
                <w:tcPr>
                  <w:tcW w:w="740" w:type="dxa"/>
                  <w:tcBorders>
                    <w:tl2br w:val="nil"/>
                    <w:tr2bl w:val="nil"/>
                  </w:tcBorders>
                  <w:shd w:val="clear" w:color="auto" w:fill="auto"/>
                  <w:vAlign w:val="center"/>
                </w:tcPr>
                <w:p w14:paraId="5E190466">
                  <w:pPr>
                    <w:tabs>
                      <w:tab w:val="left" w:pos="735"/>
                    </w:tabs>
                    <w:snapToGrid w:val="0"/>
                    <w:jc w:val="center"/>
                    <w:rPr>
                      <w:b/>
                      <w:szCs w:val="21"/>
                    </w:rPr>
                  </w:pPr>
                  <w:r>
                    <w:rPr>
                      <w:kern w:val="0"/>
                      <w:szCs w:val="21"/>
                      <w:lang w:bidi="ar"/>
                    </w:rPr>
                    <w:t>mg/L</w:t>
                  </w:r>
                </w:p>
              </w:tc>
              <w:tc>
                <w:tcPr>
                  <w:tcW w:w="726" w:type="dxa"/>
                  <w:tcBorders>
                    <w:tl2br w:val="nil"/>
                    <w:tr2bl w:val="nil"/>
                  </w:tcBorders>
                  <w:shd w:val="clear" w:color="auto" w:fill="auto"/>
                  <w:vAlign w:val="center"/>
                </w:tcPr>
                <w:p w14:paraId="244A1899">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8DB1F2F">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C4D4A35">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CA17A3D">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00444DC1">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7BD467D">
                  <w:pPr>
                    <w:tabs>
                      <w:tab w:val="left" w:pos="735"/>
                    </w:tabs>
                    <w:snapToGrid w:val="0"/>
                    <w:jc w:val="center"/>
                    <w:rPr>
                      <w:bCs/>
                      <w:szCs w:val="21"/>
                    </w:rPr>
                  </w:pPr>
                  <w:r>
                    <w:rPr>
                      <w:bCs/>
                      <w:szCs w:val="21"/>
                    </w:rPr>
                    <w:t>/</w:t>
                  </w:r>
                </w:p>
              </w:tc>
              <w:tc>
                <w:tcPr>
                  <w:tcW w:w="790" w:type="dxa"/>
                  <w:tcBorders>
                    <w:tl2br w:val="nil"/>
                    <w:tr2bl w:val="nil"/>
                  </w:tcBorders>
                  <w:shd w:val="clear" w:color="auto" w:fill="auto"/>
                  <w:vAlign w:val="center"/>
                </w:tcPr>
                <w:p w14:paraId="27586EA1">
                  <w:pPr>
                    <w:snapToGrid w:val="0"/>
                    <w:jc w:val="center"/>
                    <w:rPr>
                      <w:szCs w:val="21"/>
                    </w:rPr>
                  </w:pPr>
                  <w:r>
                    <w:rPr>
                      <w:szCs w:val="21"/>
                    </w:rPr>
                    <w:t>/</w:t>
                  </w:r>
                </w:p>
              </w:tc>
              <w:tc>
                <w:tcPr>
                  <w:tcW w:w="673" w:type="dxa"/>
                  <w:tcBorders>
                    <w:tl2br w:val="nil"/>
                    <w:tr2bl w:val="nil"/>
                  </w:tcBorders>
                  <w:shd w:val="clear" w:color="auto" w:fill="auto"/>
                  <w:vAlign w:val="center"/>
                </w:tcPr>
                <w:p w14:paraId="53F9866D">
                  <w:pPr>
                    <w:snapToGrid w:val="0"/>
                    <w:jc w:val="center"/>
                    <w:rPr>
                      <w:bCs/>
                      <w:szCs w:val="21"/>
                    </w:rPr>
                  </w:pPr>
                  <w:r>
                    <w:rPr>
                      <w:bCs/>
                      <w:szCs w:val="21"/>
                    </w:rPr>
                    <w:t>0</w:t>
                  </w:r>
                </w:p>
              </w:tc>
            </w:tr>
            <w:tr w14:paraId="701EE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BA996CD">
                  <w:pPr>
                    <w:tabs>
                      <w:tab w:val="left" w:pos="735"/>
                    </w:tabs>
                    <w:snapToGrid w:val="0"/>
                    <w:jc w:val="center"/>
                    <w:rPr>
                      <w:bCs/>
                      <w:szCs w:val="21"/>
                    </w:rPr>
                  </w:pPr>
                </w:p>
              </w:tc>
              <w:tc>
                <w:tcPr>
                  <w:tcW w:w="805" w:type="dxa"/>
                  <w:tcBorders>
                    <w:tl2br w:val="nil"/>
                    <w:tr2bl w:val="nil"/>
                  </w:tcBorders>
                  <w:shd w:val="clear" w:color="auto" w:fill="auto"/>
                  <w:vAlign w:val="center"/>
                </w:tcPr>
                <w:p w14:paraId="0E67871D">
                  <w:pPr>
                    <w:widowControl/>
                    <w:jc w:val="center"/>
                    <w:rPr>
                      <w:kern w:val="0"/>
                      <w:sz w:val="18"/>
                      <w:szCs w:val="18"/>
                    </w:rPr>
                  </w:pPr>
                  <w:r>
                    <w:rPr>
                      <w:kern w:val="0"/>
                      <w:sz w:val="18"/>
                      <w:szCs w:val="18"/>
                    </w:rPr>
                    <w:t>亚硝酸盐</w:t>
                  </w:r>
                </w:p>
              </w:tc>
              <w:tc>
                <w:tcPr>
                  <w:tcW w:w="740" w:type="dxa"/>
                  <w:tcBorders>
                    <w:tl2br w:val="nil"/>
                    <w:tr2bl w:val="nil"/>
                  </w:tcBorders>
                  <w:shd w:val="clear" w:color="auto" w:fill="auto"/>
                  <w:vAlign w:val="center"/>
                </w:tcPr>
                <w:p w14:paraId="7856AE6C">
                  <w:pPr>
                    <w:tabs>
                      <w:tab w:val="left" w:pos="735"/>
                    </w:tabs>
                    <w:snapToGrid w:val="0"/>
                    <w:jc w:val="center"/>
                    <w:rPr>
                      <w:b/>
                      <w:szCs w:val="21"/>
                    </w:rPr>
                  </w:pPr>
                  <w:r>
                    <w:rPr>
                      <w:kern w:val="0"/>
                      <w:szCs w:val="21"/>
                      <w:lang w:bidi="ar"/>
                    </w:rPr>
                    <w:t>mg/L</w:t>
                  </w:r>
                </w:p>
              </w:tc>
              <w:tc>
                <w:tcPr>
                  <w:tcW w:w="726" w:type="dxa"/>
                  <w:tcBorders>
                    <w:tl2br w:val="nil"/>
                    <w:tr2bl w:val="nil"/>
                  </w:tcBorders>
                  <w:shd w:val="clear" w:color="auto" w:fill="auto"/>
                  <w:vAlign w:val="center"/>
                </w:tcPr>
                <w:p w14:paraId="63B757EE">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E71D25B">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67BA2BA">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32712A1">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27762C39">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FCA4C2D">
                  <w:pPr>
                    <w:tabs>
                      <w:tab w:val="left" w:pos="735"/>
                    </w:tabs>
                    <w:snapToGrid w:val="0"/>
                    <w:jc w:val="center"/>
                    <w:rPr>
                      <w:bCs/>
                      <w:szCs w:val="21"/>
                    </w:rPr>
                  </w:pPr>
                  <w:r>
                    <w:rPr>
                      <w:bCs/>
                      <w:szCs w:val="21"/>
                    </w:rPr>
                    <w:t>1.00</w:t>
                  </w:r>
                  <w:r>
                    <w:rPr>
                      <w:kern w:val="0"/>
                      <w:szCs w:val="21"/>
                      <w:lang w:bidi="ar"/>
                    </w:rPr>
                    <w:t>mg/L</w:t>
                  </w:r>
                </w:p>
              </w:tc>
              <w:tc>
                <w:tcPr>
                  <w:tcW w:w="790" w:type="dxa"/>
                  <w:tcBorders>
                    <w:tl2br w:val="nil"/>
                    <w:tr2bl w:val="nil"/>
                  </w:tcBorders>
                  <w:shd w:val="clear" w:color="auto" w:fill="auto"/>
                  <w:vAlign w:val="center"/>
                </w:tcPr>
                <w:p w14:paraId="28DBD305">
                  <w:pPr>
                    <w:snapToGrid w:val="0"/>
                    <w:jc w:val="center"/>
                    <w:rPr>
                      <w:szCs w:val="21"/>
                    </w:rPr>
                  </w:pPr>
                  <w:r>
                    <w:rPr>
                      <w:rFonts w:eastAsia="等线"/>
                      <w:szCs w:val="21"/>
                    </w:rPr>
                    <w:t xml:space="preserve">/ </w:t>
                  </w:r>
                </w:p>
              </w:tc>
              <w:tc>
                <w:tcPr>
                  <w:tcW w:w="673" w:type="dxa"/>
                  <w:tcBorders>
                    <w:tl2br w:val="nil"/>
                    <w:tr2bl w:val="nil"/>
                  </w:tcBorders>
                  <w:shd w:val="clear" w:color="auto" w:fill="auto"/>
                  <w:vAlign w:val="center"/>
                </w:tcPr>
                <w:p w14:paraId="737D0218">
                  <w:pPr>
                    <w:snapToGrid w:val="0"/>
                    <w:jc w:val="center"/>
                    <w:rPr>
                      <w:bCs/>
                      <w:szCs w:val="21"/>
                    </w:rPr>
                  </w:pPr>
                  <w:r>
                    <w:rPr>
                      <w:bCs/>
                      <w:szCs w:val="21"/>
                    </w:rPr>
                    <w:t>0</w:t>
                  </w:r>
                </w:p>
              </w:tc>
            </w:tr>
            <w:tr w14:paraId="67667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5267BF84">
                  <w:pPr>
                    <w:tabs>
                      <w:tab w:val="left" w:pos="735"/>
                    </w:tabs>
                    <w:snapToGrid w:val="0"/>
                    <w:jc w:val="center"/>
                    <w:rPr>
                      <w:bCs/>
                      <w:szCs w:val="21"/>
                    </w:rPr>
                  </w:pPr>
                </w:p>
              </w:tc>
              <w:tc>
                <w:tcPr>
                  <w:tcW w:w="805" w:type="dxa"/>
                  <w:tcBorders>
                    <w:tl2br w:val="nil"/>
                    <w:tr2bl w:val="nil"/>
                  </w:tcBorders>
                  <w:shd w:val="clear" w:color="auto" w:fill="auto"/>
                  <w:vAlign w:val="center"/>
                </w:tcPr>
                <w:p w14:paraId="2463B724">
                  <w:pPr>
                    <w:jc w:val="center"/>
                    <w:rPr>
                      <w:sz w:val="18"/>
                      <w:szCs w:val="18"/>
                    </w:rPr>
                  </w:pPr>
                  <w:r>
                    <w:rPr>
                      <w:kern w:val="0"/>
                      <w:sz w:val="18"/>
                      <w:szCs w:val="18"/>
                      <w:lang w:bidi="ar"/>
                    </w:rPr>
                    <w:t>挥发酚</w:t>
                  </w:r>
                </w:p>
              </w:tc>
              <w:tc>
                <w:tcPr>
                  <w:tcW w:w="740" w:type="dxa"/>
                  <w:tcBorders>
                    <w:tl2br w:val="nil"/>
                    <w:tr2bl w:val="nil"/>
                  </w:tcBorders>
                  <w:shd w:val="clear" w:color="auto" w:fill="auto"/>
                  <w:vAlign w:val="center"/>
                </w:tcPr>
                <w:p w14:paraId="21D1831A">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73170159">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083C531F">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E8138B0">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604415F4">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0075797E">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2AFE2DD">
                  <w:pPr>
                    <w:snapToGrid w:val="0"/>
                    <w:jc w:val="center"/>
                    <w:rPr>
                      <w:szCs w:val="21"/>
                    </w:rPr>
                  </w:pPr>
                  <w:r>
                    <w:rPr>
                      <w:kern w:val="0"/>
                      <w:szCs w:val="21"/>
                      <w:lang w:bidi="ar"/>
                    </w:rPr>
                    <w:t>0.002mg/L</w:t>
                  </w:r>
                </w:p>
              </w:tc>
              <w:tc>
                <w:tcPr>
                  <w:tcW w:w="790" w:type="dxa"/>
                  <w:tcBorders>
                    <w:tl2br w:val="nil"/>
                    <w:tr2bl w:val="nil"/>
                  </w:tcBorders>
                  <w:shd w:val="clear" w:color="auto" w:fill="auto"/>
                  <w:vAlign w:val="center"/>
                </w:tcPr>
                <w:p w14:paraId="4ABE6366">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3F4F3720">
                  <w:pPr>
                    <w:snapToGrid w:val="0"/>
                    <w:jc w:val="center"/>
                    <w:rPr>
                      <w:szCs w:val="21"/>
                    </w:rPr>
                  </w:pPr>
                  <w:r>
                    <w:rPr>
                      <w:szCs w:val="21"/>
                    </w:rPr>
                    <w:t>0</w:t>
                  </w:r>
                </w:p>
              </w:tc>
            </w:tr>
            <w:tr w14:paraId="5C2AF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8BBFDAB">
                  <w:pPr>
                    <w:tabs>
                      <w:tab w:val="left" w:pos="735"/>
                    </w:tabs>
                    <w:snapToGrid w:val="0"/>
                    <w:jc w:val="center"/>
                    <w:rPr>
                      <w:bCs/>
                      <w:szCs w:val="21"/>
                    </w:rPr>
                  </w:pPr>
                </w:p>
              </w:tc>
              <w:tc>
                <w:tcPr>
                  <w:tcW w:w="805" w:type="dxa"/>
                  <w:tcBorders>
                    <w:tl2br w:val="nil"/>
                    <w:tr2bl w:val="nil"/>
                  </w:tcBorders>
                  <w:shd w:val="clear" w:color="auto" w:fill="auto"/>
                  <w:vAlign w:val="center"/>
                </w:tcPr>
                <w:p w14:paraId="6796FC4E">
                  <w:pPr>
                    <w:jc w:val="center"/>
                    <w:rPr>
                      <w:sz w:val="18"/>
                      <w:szCs w:val="18"/>
                    </w:rPr>
                  </w:pPr>
                  <w:r>
                    <w:rPr>
                      <w:kern w:val="0"/>
                      <w:sz w:val="18"/>
                      <w:szCs w:val="18"/>
                      <w:lang w:bidi="ar"/>
                    </w:rPr>
                    <w:t>氰化物</w:t>
                  </w:r>
                </w:p>
              </w:tc>
              <w:tc>
                <w:tcPr>
                  <w:tcW w:w="740" w:type="dxa"/>
                  <w:tcBorders>
                    <w:tl2br w:val="nil"/>
                    <w:tr2bl w:val="nil"/>
                  </w:tcBorders>
                  <w:shd w:val="clear" w:color="auto" w:fill="auto"/>
                  <w:vAlign w:val="center"/>
                </w:tcPr>
                <w:p w14:paraId="3BC5C673">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23E26BD3">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15434AE">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1D43BD6">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A0E398E">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334B0BCC">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49F1809">
                  <w:pPr>
                    <w:snapToGrid w:val="0"/>
                    <w:jc w:val="center"/>
                    <w:rPr>
                      <w:szCs w:val="21"/>
                    </w:rPr>
                  </w:pPr>
                  <w:r>
                    <w:rPr>
                      <w:kern w:val="0"/>
                      <w:szCs w:val="21"/>
                      <w:lang w:bidi="ar"/>
                    </w:rPr>
                    <w:t>0.05mg/L</w:t>
                  </w:r>
                </w:p>
              </w:tc>
              <w:tc>
                <w:tcPr>
                  <w:tcW w:w="790" w:type="dxa"/>
                  <w:tcBorders>
                    <w:tl2br w:val="nil"/>
                    <w:tr2bl w:val="nil"/>
                  </w:tcBorders>
                  <w:shd w:val="clear" w:color="auto" w:fill="auto"/>
                  <w:vAlign w:val="center"/>
                </w:tcPr>
                <w:p w14:paraId="67BB0598">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59836C41">
                  <w:pPr>
                    <w:snapToGrid w:val="0"/>
                    <w:jc w:val="center"/>
                    <w:rPr>
                      <w:szCs w:val="21"/>
                    </w:rPr>
                  </w:pPr>
                  <w:r>
                    <w:rPr>
                      <w:szCs w:val="21"/>
                    </w:rPr>
                    <w:t>0</w:t>
                  </w:r>
                </w:p>
              </w:tc>
            </w:tr>
            <w:tr w14:paraId="58543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C4FEC96">
                  <w:pPr>
                    <w:tabs>
                      <w:tab w:val="left" w:pos="735"/>
                    </w:tabs>
                    <w:snapToGrid w:val="0"/>
                    <w:jc w:val="center"/>
                    <w:rPr>
                      <w:bCs/>
                      <w:szCs w:val="21"/>
                    </w:rPr>
                  </w:pPr>
                </w:p>
              </w:tc>
              <w:tc>
                <w:tcPr>
                  <w:tcW w:w="805" w:type="dxa"/>
                  <w:tcBorders>
                    <w:tl2br w:val="nil"/>
                    <w:tr2bl w:val="nil"/>
                  </w:tcBorders>
                  <w:shd w:val="clear" w:color="auto" w:fill="auto"/>
                  <w:vAlign w:val="center"/>
                </w:tcPr>
                <w:p w14:paraId="797CE9E8">
                  <w:pPr>
                    <w:jc w:val="center"/>
                    <w:rPr>
                      <w:sz w:val="18"/>
                      <w:szCs w:val="18"/>
                    </w:rPr>
                  </w:pPr>
                  <w:r>
                    <w:rPr>
                      <w:kern w:val="0"/>
                      <w:sz w:val="18"/>
                      <w:szCs w:val="18"/>
                      <w:lang w:bidi="ar"/>
                    </w:rPr>
                    <w:t>铬（六价）</w:t>
                  </w:r>
                </w:p>
              </w:tc>
              <w:tc>
                <w:tcPr>
                  <w:tcW w:w="740" w:type="dxa"/>
                  <w:tcBorders>
                    <w:tl2br w:val="nil"/>
                    <w:tr2bl w:val="nil"/>
                  </w:tcBorders>
                  <w:shd w:val="clear" w:color="auto" w:fill="auto"/>
                  <w:vAlign w:val="center"/>
                </w:tcPr>
                <w:p w14:paraId="5A63C779">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31C65D16">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C8FA776">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ADF3B26">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1FE709E5">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79E6061C">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F79EBBD">
                  <w:pPr>
                    <w:snapToGrid w:val="0"/>
                    <w:jc w:val="center"/>
                    <w:rPr>
                      <w:szCs w:val="21"/>
                    </w:rPr>
                  </w:pPr>
                  <w:r>
                    <w:rPr>
                      <w:kern w:val="0"/>
                      <w:szCs w:val="21"/>
                      <w:lang w:bidi="ar"/>
                    </w:rPr>
                    <w:t>0.05mg/L</w:t>
                  </w:r>
                </w:p>
              </w:tc>
              <w:tc>
                <w:tcPr>
                  <w:tcW w:w="790" w:type="dxa"/>
                  <w:tcBorders>
                    <w:tl2br w:val="nil"/>
                    <w:tr2bl w:val="nil"/>
                  </w:tcBorders>
                  <w:shd w:val="clear" w:color="auto" w:fill="auto"/>
                  <w:vAlign w:val="center"/>
                </w:tcPr>
                <w:p w14:paraId="0B7A0568">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6882486E">
                  <w:pPr>
                    <w:snapToGrid w:val="0"/>
                    <w:jc w:val="center"/>
                    <w:rPr>
                      <w:szCs w:val="21"/>
                    </w:rPr>
                  </w:pPr>
                  <w:r>
                    <w:rPr>
                      <w:szCs w:val="21"/>
                    </w:rPr>
                    <w:t>0</w:t>
                  </w:r>
                </w:p>
              </w:tc>
            </w:tr>
            <w:tr w14:paraId="3943E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09FC4C81">
                  <w:pPr>
                    <w:tabs>
                      <w:tab w:val="left" w:pos="735"/>
                    </w:tabs>
                    <w:snapToGrid w:val="0"/>
                    <w:jc w:val="center"/>
                    <w:rPr>
                      <w:bCs/>
                      <w:szCs w:val="21"/>
                    </w:rPr>
                  </w:pPr>
                </w:p>
              </w:tc>
              <w:tc>
                <w:tcPr>
                  <w:tcW w:w="805" w:type="dxa"/>
                  <w:tcBorders>
                    <w:tl2br w:val="nil"/>
                    <w:tr2bl w:val="nil"/>
                  </w:tcBorders>
                  <w:shd w:val="clear" w:color="auto" w:fill="auto"/>
                  <w:vAlign w:val="center"/>
                </w:tcPr>
                <w:p w14:paraId="4465DEAE">
                  <w:pPr>
                    <w:jc w:val="center"/>
                    <w:rPr>
                      <w:sz w:val="18"/>
                      <w:szCs w:val="18"/>
                    </w:rPr>
                  </w:pPr>
                  <w:r>
                    <w:rPr>
                      <w:kern w:val="0"/>
                      <w:sz w:val="18"/>
                      <w:szCs w:val="18"/>
                      <w:lang w:bidi="ar"/>
                    </w:rPr>
                    <w:t>总硬度</w:t>
                  </w:r>
                </w:p>
              </w:tc>
              <w:tc>
                <w:tcPr>
                  <w:tcW w:w="740" w:type="dxa"/>
                  <w:tcBorders>
                    <w:tl2br w:val="nil"/>
                    <w:tr2bl w:val="nil"/>
                  </w:tcBorders>
                  <w:shd w:val="clear" w:color="auto" w:fill="auto"/>
                  <w:vAlign w:val="center"/>
                </w:tcPr>
                <w:p w14:paraId="67BBA58A">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55551149">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3F44E99">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0E6DF0A">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EEA56CF">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1B7178EE">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6672221B">
                  <w:pPr>
                    <w:snapToGrid w:val="0"/>
                    <w:jc w:val="center"/>
                    <w:rPr>
                      <w:szCs w:val="21"/>
                    </w:rPr>
                  </w:pPr>
                  <w:r>
                    <w:rPr>
                      <w:kern w:val="0"/>
                      <w:szCs w:val="21"/>
                      <w:lang w:bidi="ar"/>
                    </w:rPr>
                    <w:t>450mg/L</w:t>
                  </w:r>
                </w:p>
              </w:tc>
              <w:tc>
                <w:tcPr>
                  <w:tcW w:w="790" w:type="dxa"/>
                  <w:tcBorders>
                    <w:tl2br w:val="nil"/>
                    <w:tr2bl w:val="nil"/>
                  </w:tcBorders>
                  <w:shd w:val="clear" w:color="auto" w:fill="auto"/>
                  <w:vAlign w:val="center"/>
                </w:tcPr>
                <w:p w14:paraId="73482936">
                  <w:pPr>
                    <w:snapToGrid w:val="0"/>
                    <w:jc w:val="center"/>
                    <w:rPr>
                      <w:szCs w:val="21"/>
                    </w:rPr>
                  </w:pPr>
                  <w:r>
                    <w:rPr>
                      <w:szCs w:val="21"/>
                    </w:rPr>
                    <w:t>0.</w:t>
                  </w:r>
                  <w:r>
                    <w:rPr>
                      <w:rFonts w:hint="eastAsia"/>
                      <w:szCs w:val="21"/>
                    </w:rPr>
                    <w:t>34</w:t>
                  </w:r>
                </w:p>
              </w:tc>
              <w:tc>
                <w:tcPr>
                  <w:tcW w:w="673" w:type="dxa"/>
                  <w:tcBorders>
                    <w:tl2br w:val="nil"/>
                    <w:tr2bl w:val="nil"/>
                  </w:tcBorders>
                  <w:shd w:val="clear" w:color="auto" w:fill="auto"/>
                  <w:vAlign w:val="center"/>
                </w:tcPr>
                <w:p w14:paraId="638AF594">
                  <w:pPr>
                    <w:snapToGrid w:val="0"/>
                    <w:jc w:val="center"/>
                    <w:rPr>
                      <w:szCs w:val="21"/>
                    </w:rPr>
                  </w:pPr>
                  <w:r>
                    <w:rPr>
                      <w:szCs w:val="21"/>
                    </w:rPr>
                    <w:t>0</w:t>
                  </w:r>
                </w:p>
              </w:tc>
            </w:tr>
            <w:tr w14:paraId="6849A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B3E870D">
                  <w:pPr>
                    <w:tabs>
                      <w:tab w:val="left" w:pos="735"/>
                    </w:tabs>
                    <w:snapToGrid w:val="0"/>
                    <w:jc w:val="center"/>
                    <w:rPr>
                      <w:bCs/>
                      <w:szCs w:val="21"/>
                    </w:rPr>
                  </w:pPr>
                </w:p>
              </w:tc>
              <w:tc>
                <w:tcPr>
                  <w:tcW w:w="805" w:type="dxa"/>
                  <w:tcBorders>
                    <w:tl2br w:val="nil"/>
                    <w:tr2bl w:val="nil"/>
                  </w:tcBorders>
                  <w:shd w:val="clear" w:color="auto" w:fill="auto"/>
                  <w:vAlign w:val="center"/>
                </w:tcPr>
                <w:p w14:paraId="5700777C">
                  <w:pPr>
                    <w:widowControl/>
                    <w:jc w:val="center"/>
                    <w:rPr>
                      <w:kern w:val="0"/>
                      <w:sz w:val="18"/>
                      <w:szCs w:val="18"/>
                    </w:rPr>
                  </w:pPr>
                  <w:r>
                    <w:rPr>
                      <w:kern w:val="0"/>
                      <w:sz w:val="18"/>
                      <w:szCs w:val="18"/>
                      <w:lang w:bidi="ar"/>
                    </w:rPr>
                    <w:t>氟化物</w:t>
                  </w:r>
                </w:p>
              </w:tc>
              <w:tc>
                <w:tcPr>
                  <w:tcW w:w="740" w:type="dxa"/>
                  <w:tcBorders>
                    <w:tl2br w:val="nil"/>
                    <w:tr2bl w:val="nil"/>
                  </w:tcBorders>
                  <w:shd w:val="clear" w:color="auto" w:fill="auto"/>
                  <w:vAlign w:val="center"/>
                </w:tcPr>
                <w:p w14:paraId="2B7A692E">
                  <w:pPr>
                    <w:tabs>
                      <w:tab w:val="left" w:pos="735"/>
                    </w:tabs>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7ED3BFD9">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01C7844">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FBB65DB">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41FB8F4">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6F357D22">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9C9FBD2">
                  <w:pPr>
                    <w:tabs>
                      <w:tab w:val="left" w:pos="735"/>
                    </w:tabs>
                    <w:snapToGrid w:val="0"/>
                    <w:jc w:val="center"/>
                    <w:rPr>
                      <w:szCs w:val="21"/>
                    </w:rPr>
                  </w:pPr>
                  <w:r>
                    <w:rPr>
                      <w:bCs/>
                      <w:szCs w:val="21"/>
                    </w:rPr>
                    <w:t>1.0</w:t>
                  </w:r>
                  <w:r>
                    <w:rPr>
                      <w:kern w:val="0"/>
                      <w:szCs w:val="21"/>
                      <w:lang w:bidi="ar"/>
                    </w:rPr>
                    <w:t>mg/L</w:t>
                  </w:r>
                </w:p>
              </w:tc>
              <w:tc>
                <w:tcPr>
                  <w:tcW w:w="790" w:type="dxa"/>
                  <w:tcBorders>
                    <w:tl2br w:val="nil"/>
                    <w:tr2bl w:val="nil"/>
                  </w:tcBorders>
                  <w:shd w:val="clear" w:color="auto" w:fill="auto"/>
                  <w:vAlign w:val="center"/>
                </w:tcPr>
                <w:p w14:paraId="79DE0F3E">
                  <w:pPr>
                    <w:snapToGrid w:val="0"/>
                    <w:jc w:val="center"/>
                    <w:rPr>
                      <w:szCs w:val="21"/>
                    </w:rPr>
                  </w:pPr>
                  <w:r>
                    <w:rPr>
                      <w:rFonts w:hint="eastAsia" w:eastAsia="等线"/>
                      <w:szCs w:val="21"/>
                    </w:rPr>
                    <w:t>0.28</w:t>
                  </w:r>
                </w:p>
              </w:tc>
              <w:tc>
                <w:tcPr>
                  <w:tcW w:w="673" w:type="dxa"/>
                  <w:tcBorders>
                    <w:tl2br w:val="nil"/>
                    <w:tr2bl w:val="nil"/>
                  </w:tcBorders>
                  <w:shd w:val="clear" w:color="auto" w:fill="auto"/>
                  <w:vAlign w:val="center"/>
                </w:tcPr>
                <w:p w14:paraId="77185DDD">
                  <w:pPr>
                    <w:snapToGrid w:val="0"/>
                    <w:jc w:val="center"/>
                    <w:rPr>
                      <w:bCs/>
                      <w:szCs w:val="21"/>
                    </w:rPr>
                  </w:pPr>
                </w:p>
              </w:tc>
            </w:tr>
            <w:tr w14:paraId="1BB3D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AFED4B8">
                  <w:pPr>
                    <w:tabs>
                      <w:tab w:val="left" w:pos="735"/>
                    </w:tabs>
                    <w:snapToGrid w:val="0"/>
                    <w:jc w:val="center"/>
                    <w:rPr>
                      <w:bCs/>
                      <w:szCs w:val="21"/>
                    </w:rPr>
                  </w:pPr>
                </w:p>
              </w:tc>
              <w:tc>
                <w:tcPr>
                  <w:tcW w:w="805" w:type="dxa"/>
                  <w:tcBorders>
                    <w:tl2br w:val="nil"/>
                    <w:tr2bl w:val="nil"/>
                  </w:tcBorders>
                  <w:shd w:val="clear" w:color="auto" w:fill="auto"/>
                  <w:vAlign w:val="center"/>
                </w:tcPr>
                <w:p w14:paraId="5819715A">
                  <w:pPr>
                    <w:jc w:val="center"/>
                    <w:rPr>
                      <w:sz w:val="18"/>
                      <w:szCs w:val="18"/>
                    </w:rPr>
                  </w:pPr>
                  <w:r>
                    <w:rPr>
                      <w:rStyle w:val="52"/>
                      <w:rFonts w:hint="eastAsia"/>
                      <w:kern w:val="0"/>
                    </w:rPr>
                    <w:t>耗氧量</w:t>
                  </w:r>
                </w:p>
              </w:tc>
              <w:tc>
                <w:tcPr>
                  <w:tcW w:w="740" w:type="dxa"/>
                  <w:tcBorders>
                    <w:tl2br w:val="nil"/>
                    <w:tr2bl w:val="nil"/>
                  </w:tcBorders>
                  <w:shd w:val="clear" w:color="auto" w:fill="auto"/>
                  <w:vAlign w:val="center"/>
                </w:tcPr>
                <w:p w14:paraId="2606919B">
                  <w:pPr>
                    <w:snapToGrid w:val="0"/>
                    <w:jc w:val="center"/>
                    <w:rPr>
                      <w:szCs w:val="21"/>
                    </w:rPr>
                  </w:pPr>
                  <w:r>
                    <w:rPr>
                      <w:kern w:val="0"/>
                      <w:szCs w:val="21"/>
                      <w:lang w:bidi="ar"/>
                    </w:rPr>
                    <w:t>mg/L</w:t>
                  </w:r>
                </w:p>
              </w:tc>
              <w:tc>
                <w:tcPr>
                  <w:tcW w:w="726" w:type="dxa"/>
                  <w:tcBorders>
                    <w:tl2br w:val="nil"/>
                    <w:tr2bl w:val="nil"/>
                  </w:tcBorders>
                  <w:shd w:val="clear" w:color="auto" w:fill="auto"/>
                  <w:vAlign w:val="center"/>
                </w:tcPr>
                <w:p w14:paraId="0ACCE399">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09B0745">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B085421">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8CF208E">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33DFCA63">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E2B4E50">
                  <w:pPr>
                    <w:snapToGrid w:val="0"/>
                    <w:jc w:val="center"/>
                    <w:rPr>
                      <w:szCs w:val="21"/>
                    </w:rPr>
                  </w:pPr>
                  <w:r>
                    <w:rPr>
                      <w:kern w:val="0"/>
                      <w:szCs w:val="21"/>
                      <w:lang w:bidi="ar"/>
                    </w:rPr>
                    <w:t>3.0mg/L</w:t>
                  </w:r>
                </w:p>
              </w:tc>
              <w:tc>
                <w:tcPr>
                  <w:tcW w:w="790" w:type="dxa"/>
                  <w:tcBorders>
                    <w:tl2br w:val="nil"/>
                    <w:tr2bl w:val="nil"/>
                  </w:tcBorders>
                  <w:shd w:val="clear" w:color="auto" w:fill="auto"/>
                  <w:vAlign w:val="center"/>
                </w:tcPr>
                <w:p w14:paraId="658ECB0F">
                  <w:pPr>
                    <w:snapToGrid w:val="0"/>
                    <w:jc w:val="center"/>
                    <w:rPr>
                      <w:szCs w:val="21"/>
                    </w:rPr>
                  </w:pPr>
                  <w:r>
                    <w:rPr>
                      <w:szCs w:val="21"/>
                    </w:rPr>
                    <w:t>0.</w:t>
                  </w:r>
                  <w:r>
                    <w:rPr>
                      <w:rFonts w:hint="eastAsia"/>
                      <w:szCs w:val="21"/>
                    </w:rPr>
                    <w:t>83</w:t>
                  </w:r>
                </w:p>
              </w:tc>
              <w:tc>
                <w:tcPr>
                  <w:tcW w:w="673" w:type="dxa"/>
                  <w:tcBorders>
                    <w:tl2br w:val="nil"/>
                    <w:tr2bl w:val="nil"/>
                  </w:tcBorders>
                  <w:shd w:val="clear" w:color="auto" w:fill="auto"/>
                  <w:vAlign w:val="center"/>
                </w:tcPr>
                <w:p w14:paraId="2B313FDF">
                  <w:pPr>
                    <w:snapToGrid w:val="0"/>
                    <w:jc w:val="center"/>
                    <w:rPr>
                      <w:szCs w:val="21"/>
                    </w:rPr>
                  </w:pPr>
                  <w:r>
                    <w:rPr>
                      <w:szCs w:val="21"/>
                    </w:rPr>
                    <w:t>0</w:t>
                  </w:r>
                </w:p>
              </w:tc>
            </w:tr>
            <w:tr w14:paraId="1E53E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7A58BD2">
                  <w:pPr>
                    <w:tabs>
                      <w:tab w:val="left" w:pos="735"/>
                    </w:tabs>
                    <w:snapToGrid w:val="0"/>
                    <w:jc w:val="center"/>
                    <w:rPr>
                      <w:bCs/>
                      <w:szCs w:val="21"/>
                    </w:rPr>
                  </w:pPr>
                </w:p>
              </w:tc>
              <w:tc>
                <w:tcPr>
                  <w:tcW w:w="805" w:type="dxa"/>
                  <w:tcBorders>
                    <w:tl2br w:val="nil"/>
                    <w:tr2bl w:val="nil"/>
                  </w:tcBorders>
                  <w:shd w:val="clear" w:color="auto" w:fill="auto"/>
                  <w:vAlign w:val="center"/>
                </w:tcPr>
                <w:p w14:paraId="6CC5C8CA">
                  <w:pPr>
                    <w:jc w:val="center"/>
                    <w:rPr>
                      <w:kern w:val="0"/>
                      <w:szCs w:val="21"/>
                    </w:rPr>
                  </w:pPr>
                  <w:r>
                    <w:rPr>
                      <w:kern w:val="0"/>
                      <w:szCs w:val="21"/>
                      <w:lang w:bidi="ar"/>
                    </w:rPr>
                    <w:t>汞</w:t>
                  </w:r>
                </w:p>
              </w:tc>
              <w:tc>
                <w:tcPr>
                  <w:tcW w:w="740" w:type="dxa"/>
                  <w:tcBorders>
                    <w:tl2br w:val="nil"/>
                    <w:tr2bl w:val="nil"/>
                  </w:tcBorders>
                  <w:shd w:val="clear" w:color="auto" w:fill="auto"/>
                  <w:vAlign w:val="center"/>
                </w:tcPr>
                <w:p w14:paraId="4D4ED06E">
                  <w:pPr>
                    <w:snapToGrid w:val="0"/>
                    <w:jc w:val="center"/>
                    <w:rPr>
                      <w:szCs w:val="21"/>
                    </w:rPr>
                  </w:pPr>
                  <w:r>
                    <w:rPr>
                      <w:kern w:val="0"/>
                      <w:szCs w:val="21"/>
                      <w:lang w:bidi="ar"/>
                    </w:rPr>
                    <w:t>μg/L</w:t>
                  </w:r>
                </w:p>
              </w:tc>
              <w:tc>
                <w:tcPr>
                  <w:tcW w:w="726" w:type="dxa"/>
                  <w:tcBorders>
                    <w:tl2br w:val="nil"/>
                    <w:tr2bl w:val="nil"/>
                  </w:tcBorders>
                  <w:shd w:val="clear" w:color="auto" w:fill="auto"/>
                  <w:vAlign w:val="center"/>
                </w:tcPr>
                <w:p w14:paraId="7CA7870A">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6FD6A23">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263F989">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7F74DEC">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731EEFFD">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8BE40BF">
                  <w:pPr>
                    <w:tabs>
                      <w:tab w:val="left" w:pos="735"/>
                    </w:tabs>
                    <w:snapToGrid w:val="0"/>
                    <w:jc w:val="center"/>
                    <w:rPr>
                      <w:bCs/>
                      <w:szCs w:val="21"/>
                    </w:rPr>
                  </w:pPr>
                  <w:r>
                    <w:rPr>
                      <w:kern w:val="0"/>
                      <w:szCs w:val="21"/>
                      <w:lang w:bidi="ar"/>
                    </w:rPr>
                    <w:t>0.001mg/L</w:t>
                  </w:r>
                </w:p>
              </w:tc>
              <w:tc>
                <w:tcPr>
                  <w:tcW w:w="790" w:type="dxa"/>
                  <w:tcBorders>
                    <w:tl2br w:val="nil"/>
                    <w:tr2bl w:val="nil"/>
                  </w:tcBorders>
                  <w:shd w:val="clear" w:color="auto" w:fill="auto"/>
                  <w:vAlign w:val="center"/>
                </w:tcPr>
                <w:p w14:paraId="7153E7D8">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5685ECF9">
                  <w:pPr>
                    <w:snapToGrid w:val="0"/>
                    <w:jc w:val="center"/>
                    <w:rPr>
                      <w:bCs/>
                      <w:szCs w:val="21"/>
                    </w:rPr>
                  </w:pPr>
                  <w:r>
                    <w:rPr>
                      <w:bCs/>
                      <w:szCs w:val="21"/>
                    </w:rPr>
                    <w:t>0</w:t>
                  </w:r>
                </w:p>
              </w:tc>
            </w:tr>
            <w:tr w14:paraId="63AF0DF8">
              <w:tblPrEx>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14BDBC0">
                  <w:pPr>
                    <w:tabs>
                      <w:tab w:val="left" w:pos="735"/>
                    </w:tabs>
                    <w:snapToGrid w:val="0"/>
                    <w:jc w:val="center"/>
                    <w:rPr>
                      <w:bCs/>
                      <w:szCs w:val="21"/>
                    </w:rPr>
                  </w:pPr>
                </w:p>
              </w:tc>
              <w:tc>
                <w:tcPr>
                  <w:tcW w:w="805" w:type="dxa"/>
                  <w:tcBorders>
                    <w:tl2br w:val="nil"/>
                    <w:tr2bl w:val="nil"/>
                  </w:tcBorders>
                  <w:shd w:val="clear" w:color="auto" w:fill="auto"/>
                  <w:vAlign w:val="center"/>
                </w:tcPr>
                <w:p w14:paraId="702EDA5B">
                  <w:pPr>
                    <w:jc w:val="center"/>
                    <w:rPr>
                      <w:kern w:val="0"/>
                      <w:szCs w:val="21"/>
                    </w:rPr>
                  </w:pPr>
                  <w:r>
                    <w:rPr>
                      <w:kern w:val="0"/>
                      <w:szCs w:val="21"/>
                      <w:lang w:bidi="ar"/>
                    </w:rPr>
                    <w:t>砷</w:t>
                  </w:r>
                </w:p>
              </w:tc>
              <w:tc>
                <w:tcPr>
                  <w:tcW w:w="740" w:type="dxa"/>
                  <w:tcBorders>
                    <w:tl2br w:val="nil"/>
                    <w:tr2bl w:val="nil"/>
                  </w:tcBorders>
                  <w:shd w:val="clear" w:color="auto" w:fill="auto"/>
                  <w:vAlign w:val="center"/>
                </w:tcPr>
                <w:p w14:paraId="6F7FFED4">
                  <w:pPr>
                    <w:tabs>
                      <w:tab w:val="left" w:pos="735"/>
                    </w:tabs>
                    <w:snapToGrid w:val="0"/>
                    <w:jc w:val="center"/>
                    <w:rPr>
                      <w:b/>
                      <w:szCs w:val="21"/>
                    </w:rPr>
                  </w:pPr>
                  <w:r>
                    <w:rPr>
                      <w:kern w:val="0"/>
                      <w:szCs w:val="21"/>
                      <w:lang w:bidi="ar"/>
                    </w:rPr>
                    <w:t>μg/L</w:t>
                  </w:r>
                </w:p>
              </w:tc>
              <w:tc>
                <w:tcPr>
                  <w:tcW w:w="726" w:type="dxa"/>
                  <w:tcBorders>
                    <w:tl2br w:val="nil"/>
                    <w:tr2bl w:val="nil"/>
                  </w:tcBorders>
                  <w:shd w:val="clear" w:color="auto" w:fill="auto"/>
                  <w:vAlign w:val="center"/>
                </w:tcPr>
                <w:p w14:paraId="6BDA2D39">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9BD42CB">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38B8C95">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DB9A636">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6D3241F0">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7BA192C">
                  <w:pPr>
                    <w:tabs>
                      <w:tab w:val="left" w:pos="735"/>
                    </w:tabs>
                    <w:snapToGrid w:val="0"/>
                    <w:jc w:val="center"/>
                    <w:rPr>
                      <w:bCs/>
                      <w:szCs w:val="21"/>
                    </w:rPr>
                  </w:pPr>
                  <w:r>
                    <w:rPr>
                      <w:kern w:val="0"/>
                      <w:szCs w:val="21"/>
                      <w:lang w:bidi="ar"/>
                    </w:rPr>
                    <w:t>0.01mg/L</w:t>
                  </w:r>
                </w:p>
              </w:tc>
              <w:tc>
                <w:tcPr>
                  <w:tcW w:w="790" w:type="dxa"/>
                  <w:tcBorders>
                    <w:tl2br w:val="nil"/>
                    <w:tr2bl w:val="nil"/>
                  </w:tcBorders>
                  <w:shd w:val="clear" w:color="auto" w:fill="auto"/>
                  <w:vAlign w:val="center"/>
                </w:tcPr>
                <w:p w14:paraId="04F416CF">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32B14691">
                  <w:pPr>
                    <w:tabs>
                      <w:tab w:val="left" w:pos="735"/>
                    </w:tabs>
                    <w:snapToGrid w:val="0"/>
                    <w:jc w:val="center"/>
                    <w:rPr>
                      <w:bCs/>
                      <w:szCs w:val="21"/>
                    </w:rPr>
                  </w:pPr>
                  <w:r>
                    <w:rPr>
                      <w:bCs/>
                      <w:szCs w:val="21"/>
                    </w:rPr>
                    <w:t>0</w:t>
                  </w:r>
                </w:p>
              </w:tc>
            </w:tr>
            <w:tr w14:paraId="299A4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6FA8731">
                  <w:pPr>
                    <w:tabs>
                      <w:tab w:val="left" w:pos="735"/>
                    </w:tabs>
                    <w:snapToGrid w:val="0"/>
                    <w:jc w:val="center"/>
                    <w:rPr>
                      <w:bCs/>
                      <w:szCs w:val="21"/>
                    </w:rPr>
                  </w:pPr>
                </w:p>
              </w:tc>
              <w:tc>
                <w:tcPr>
                  <w:tcW w:w="805" w:type="dxa"/>
                  <w:tcBorders>
                    <w:tl2br w:val="nil"/>
                    <w:tr2bl w:val="nil"/>
                  </w:tcBorders>
                  <w:shd w:val="clear" w:color="auto" w:fill="auto"/>
                  <w:vAlign w:val="center"/>
                </w:tcPr>
                <w:p w14:paraId="1379843E">
                  <w:pPr>
                    <w:jc w:val="center"/>
                    <w:rPr>
                      <w:bCs/>
                      <w:szCs w:val="21"/>
                    </w:rPr>
                  </w:pPr>
                  <w:r>
                    <w:rPr>
                      <w:kern w:val="0"/>
                      <w:szCs w:val="21"/>
                      <w:lang w:bidi="ar"/>
                    </w:rPr>
                    <w:t>铅</w:t>
                  </w:r>
                </w:p>
              </w:tc>
              <w:tc>
                <w:tcPr>
                  <w:tcW w:w="740" w:type="dxa"/>
                  <w:tcBorders>
                    <w:tl2br w:val="nil"/>
                    <w:tr2bl w:val="nil"/>
                  </w:tcBorders>
                  <w:shd w:val="clear" w:color="auto" w:fill="auto"/>
                  <w:vAlign w:val="center"/>
                </w:tcPr>
                <w:p w14:paraId="79EB57C6">
                  <w:pPr>
                    <w:tabs>
                      <w:tab w:val="left" w:pos="735"/>
                    </w:tabs>
                    <w:snapToGrid w:val="0"/>
                    <w:jc w:val="center"/>
                    <w:rPr>
                      <w:bCs/>
                      <w:szCs w:val="21"/>
                    </w:rPr>
                  </w:pPr>
                  <w:r>
                    <w:rPr>
                      <w:kern w:val="0"/>
                      <w:szCs w:val="21"/>
                      <w:lang w:bidi="ar"/>
                    </w:rPr>
                    <w:t>μg/L</w:t>
                  </w:r>
                </w:p>
              </w:tc>
              <w:tc>
                <w:tcPr>
                  <w:tcW w:w="726" w:type="dxa"/>
                  <w:tcBorders>
                    <w:tl2br w:val="nil"/>
                    <w:tr2bl w:val="nil"/>
                  </w:tcBorders>
                  <w:shd w:val="clear" w:color="auto" w:fill="auto"/>
                  <w:vAlign w:val="center"/>
                </w:tcPr>
                <w:p w14:paraId="698E8BFD">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0CC2579">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6F1024B">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6588042D">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537FF7D8">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30B1988">
                  <w:pPr>
                    <w:tabs>
                      <w:tab w:val="left" w:pos="735"/>
                    </w:tabs>
                    <w:snapToGrid w:val="0"/>
                    <w:jc w:val="center"/>
                    <w:rPr>
                      <w:szCs w:val="21"/>
                    </w:rPr>
                  </w:pPr>
                  <w:r>
                    <w:rPr>
                      <w:kern w:val="0"/>
                      <w:szCs w:val="21"/>
                      <w:lang w:bidi="ar"/>
                    </w:rPr>
                    <w:t>0.01mg/L</w:t>
                  </w:r>
                </w:p>
              </w:tc>
              <w:tc>
                <w:tcPr>
                  <w:tcW w:w="790" w:type="dxa"/>
                  <w:tcBorders>
                    <w:tl2br w:val="nil"/>
                    <w:tr2bl w:val="nil"/>
                  </w:tcBorders>
                  <w:shd w:val="clear" w:color="auto" w:fill="auto"/>
                  <w:vAlign w:val="center"/>
                </w:tcPr>
                <w:p w14:paraId="7D43B8B0">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770A0C74">
                  <w:pPr>
                    <w:tabs>
                      <w:tab w:val="left" w:pos="735"/>
                    </w:tabs>
                    <w:snapToGrid w:val="0"/>
                    <w:jc w:val="center"/>
                    <w:rPr>
                      <w:bCs/>
                      <w:szCs w:val="21"/>
                    </w:rPr>
                  </w:pPr>
                  <w:r>
                    <w:rPr>
                      <w:bCs/>
                      <w:szCs w:val="21"/>
                    </w:rPr>
                    <w:t>/</w:t>
                  </w:r>
                </w:p>
              </w:tc>
            </w:tr>
            <w:tr w14:paraId="4759A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056BC49E">
                  <w:pPr>
                    <w:tabs>
                      <w:tab w:val="left" w:pos="735"/>
                    </w:tabs>
                    <w:snapToGrid w:val="0"/>
                    <w:jc w:val="center"/>
                    <w:rPr>
                      <w:bCs/>
                      <w:szCs w:val="21"/>
                    </w:rPr>
                  </w:pPr>
                </w:p>
              </w:tc>
              <w:tc>
                <w:tcPr>
                  <w:tcW w:w="805" w:type="dxa"/>
                  <w:tcBorders>
                    <w:tl2br w:val="nil"/>
                    <w:tr2bl w:val="nil"/>
                  </w:tcBorders>
                  <w:shd w:val="clear" w:color="auto" w:fill="auto"/>
                  <w:vAlign w:val="center"/>
                </w:tcPr>
                <w:p w14:paraId="1B3FF26C">
                  <w:pPr>
                    <w:jc w:val="center"/>
                    <w:rPr>
                      <w:bCs/>
                      <w:szCs w:val="21"/>
                    </w:rPr>
                  </w:pPr>
                  <w:r>
                    <w:rPr>
                      <w:kern w:val="0"/>
                      <w:szCs w:val="21"/>
                      <w:lang w:bidi="ar"/>
                    </w:rPr>
                    <w:t>铁</w:t>
                  </w:r>
                </w:p>
              </w:tc>
              <w:tc>
                <w:tcPr>
                  <w:tcW w:w="740" w:type="dxa"/>
                  <w:tcBorders>
                    <w:tl2br w:val="nil"/>
                    <w:tr2bl w:val="nil"/>
                  </w:tcBorders>
                  <w:shd w:val="clear" w:color="auto" w:fill="auto"/>
                  <w:vAlign w:val="center"/>
                </w:tcPr>
                <w:p w14:paraId="47B95FFA">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04739540">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1CA1321">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74A4262">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EC74EF4">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082C8602">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16F9035">
                  <w:pPr>
                    <w:tabs>
                      <w:tab w:val="left" w:pos="735"/>
                    </w:tabs>
                    <w:snapToGrid w:val="0"/>
                    <w:jc w:val="center"/>
                    <w:rPr>
                      <w:szCs w:val="21"/>
                    </w:rPr>
                  </w:pPr>
                  <w:r>
                    <w:rPr>
                      <w:bCs/>
                      <w:szCs w:val="21"/>
                    </w:rPr>
                    <w:t>0.3</w:t>
                  </w:r>
                  <w:r>
                    <w:rPr>
                      <w:kern w:val="0"/>
                      <w:szCs w:val="21"/>
                      <w:lang w:bidi="ar"/>
                    </w:rPr>
                    <w:t>mg/L</w:t>
                  </w:r>
                </w:p>
              </w:tc>
              <w:tc>
                <w:tcPr>
                  <w:tcW w:w="790" w:type="dxa"/>
                  <w:tcBorders>
                    <w:tl2br w:val="nil"/>
                    <w:tr2bl w:val="nil"/>
                  </w:tcBorders>
                  <w:shd w:val="clear" w:color="auto" w:fill="auto"/>
                  <w:vAlign w:val="center"/>
                </w:tcPr>
                <w:p w14:paraId="11FA71E9">
                  <w:pPr>
                    <w:snapToGrid w:val="0"/>
                    <w:jc w:val="center"/>
                    <w:rPr>
                      <w:rFonts w:eastAsia="等线"/>
                      <w:szCs w:val="21"/>
                    </w:rPr>
                  </w:pPr>
                  <w:r>
                    <w:rPr>
                      <w:rFonts w:hint="eastAsia" w:eastAsia="等线"/>
                      <w:szCs w:val="21"/>
                    </w:rPr>
                    <w:t>0.2</w:t>
                  </w:r>
                </w:p>
              </w:tc>
              <w:tc>
                <w:tcPr>
                  <w:tcW w:w="673" w:type="dxa"/>
                  <w:tcBorders>
                    <w:tl2br w:val="nil"/>
                    <w:tr2bl w:val="nil"/>
                  </w:tcBorders>
                  <w:shd w:val="clear" w:color="auto" w:fill="auto"/>
                  <w:vAlign w:val="center"/>
                </w:tcPr>
                <w:p w14:paraId="53CFEF56">
                  <w:pPr>
                    <w:tabs>
                      <w:tab w:val="left" w:pos="735"/>
                    </w:tabs>
                    <w:snapToGrid w:val="0"/>
                    <w:jc w:val="center"/>
                    <w:rPr>
                      <w:bCs/>
                      <w:szCs w:val="21"/>
                    </w:rPr>
                  </w:pPr>
                  <w:r>
                    <w:rPr>
                      <w:bCs/>
                      <w:szCs w:val="21"/>
                    </w:rPr>
                    <w:t>/</w:t>
                  </w:r>
                </w:p>
              </w:tc>
            </w:tr>
            <w:tr w14:paraId="0E3AE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82817F0">
                  <w:pPr>
                    <w:tabs>
                      <w:tab w:val="left" w:pos="735"/>
                    </w:tabs>
                    <w:snapToGrid w:val="0"/>
                    <w:jc w:val="center"/>
                    <w:rPr>
                      <w:bCs/>
                      <w:szCs w:val="21"/>
                    </w:rPr>
                  </w:pPr>
                </w:p>
              </w:tc>
              <w:tc>
                <w:tcPr>
                  <w:tcW w:w="805" w:type="dxa"/>
                  <w:tcBorders>
                    <w:tl2br w:val="nil"/>
                    <w:tr2bl w:val="nil"/>
                  </w:tcBorders>
                  <w:shd w:val="clear" w:color="auto" w:fill="auto"/>
                  <w:vAlign w:val="center"/>
                </w:tcPr>
                <w:p w14:paraId="15BE3547">
                  <w:pPr>
                    <w:jc w:val="center"/>
                    <w:rPr>
                      <w:bCs/>
                      <w:szCs w:val="21"/>
                    </w:rPr>
                  </w:pPr>
                  <w:r>
                    <w:rPr>
                      <w:kern w:val="0"/>
                      <w:szCs w:val="21"/>
                      <w:lang w:bidi="ar"/>
                    </w:rPr>
                    <w:t>锰</w:t>
                  </w:r>
                </w:p>
              </w:tc>
              <w:tc>
                <w:tcPr>
                  <w:tcW w:w="740" w:type="dxa"/>
                  <w:tcBorders>
                    <w:tl2br w:val="nil"/>
                    <w:tr2bl w:val="nil"/>
                  </w:tcBorders>
                  <w:shd w:val="clear" w:color="auto" w:fill="auto"/>
                  <w:vAlign w:val="center"/>
                </w:tcPr>
                <w:p w14:paraId="1A55CEAC">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07456845">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288B441">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7DAB637">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838163A">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7CBC0AB3">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4C52BF3">
                  <w:pPr>
                    <w:tabs>
                      <w:tab w:val="left" w:pos="735"/>
                    </w:tabs>
                    <w:snapToGrid w:val="0"/>
                    <w:jc w:val="center"/>
                    <w:rPr>
                      <w:szCs w:val="21"/>
                    </w:rPr>
                  </w:pPr>
                  <w:r>
                    <w:rPr>
                      <w:bCs/>
                      <w:szCs w:val="21"/>
                    </w:rPr>
                    <w:t>0.10</w:t>
                  </w:r>
                  <w:r>
                    <w:rPr>
                      <w:kern w:val="0"/>
                      <w:szCs w:val="21"/>
                      <w:lang w:bidi="ar"/>
                    </w:rPr>
                    <w:t>mg/L</w:t>
                  </w:r>
                </w:p>
              </w:tc>
              <w:tc>
                <w:tcPr>
                  <w:tcW w:w="790" w:type="dxa"/>
                  <w:tcBorders>
                    <w:tl2br w:val="nil"/>
                    <w:tr2bl w:val="nil"/>
                  </w:tcBorders>
                  <w:shd w:val="clear" w:color="auto" w:fill="auto"/>
                  <w:vAlign w:val="center"/>
                </w:tcPr>
                <w:p w14:paraId="4430D70C">
                  <w:pPr>
                    <w:snapToGrid w:val="0"/>
                    <w:jc w:val="center"/>
                    <w:rPr>
                      <w:szCs w:val="21"/>
                    </w:rPr>
                  </w:pPr>
                  <w:r>
                    <w:rPr>
                      <w:rFonts w:hint="eastAsia"/>
                      <w:szCs w:val="21"/>
                    </w:rPr>
                    <w:t>0.63</w:t>
                  </w:r>
                </w:p>
              </w:tc>
              <w:tc>
                <w:tcPr>
                  <w:tcW w:w="673" w:type="dxa"/>
                  <w:tcBorders>
                    <w:tl2br w:val="nil"/>
                    <w:tr2bl w:val="nil"/>
                  </w:tcBorders>
                  <w:shd w:val="clear" w:color="auto" w:fill="auto"/>
                  <w:vAlign w:val="center"/>
                </w:tcPr>
                <w:p w14:paraId="29ECF461">
                  <w:pPr>
                    <w:tabs>
                      <w:tab w:val="left" w:pos="735"/>
                    </w:tabs>
                    <w:snapToGrid w:val="0"/>
                    <w:jc w:val="center"/>
                    <w:rPr>
                      <w:bCs/>
                      <w:szCs w:val="21"/>
                    </w:rPr>
                  </w:pPr>
                  <w:r>
                    <w:rPr>
                      <w:bCs/>
                      <w:szCs w:val="21"/>
                    </w:rPr>
                    <w:t>/</w:t>
                  </w:r>
                </w:p>
              </w:tc>
            </w:tr>
            <w:tr w14:paraId="71B23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65D59CF7">
                  <w:pPr>
                    <w:tabs>
                      <w:tab w:val="left" w:pos="735"/>
                    </w:tabs>
                    <w:snapToGrid w:val="0"/>
                    <w:jc w:val="center"/>
                    <w:rPr>
                      <w:bCs/>
                      <w:szCs w:val="21"/>
                    </w:rPr>
                  </w:pPr>
                </w:p>
              </w:tc>
              <w:tc>
                <w:tcPr>
                  <w:tcW w:w="805" w:type="dxa"/>
                  <w:tcBorders>
                    <w:tl2br w:val="nil"/>
                    <w:tr2bl w:val="nil"/>
                  </w:tcBorders>
                  <w:shd w:val="clear" w:color="auto" w:fill="auto"/>
                  <w:vAlign w:val="center"/>
                </w:tcPr>
                <w:p w14:paraId="6EF94121">
                  <w:pPr>
                    <w:widowControl/>
                    <w:jc w:val="center"/>
                    <w:rPr>
                      <w:kern w:val="0"/>
                      <w:szCs w:val="21"/>
                    </w:rPr>
                  </w:pPr>
                  <w:r>
                    <w:rPr>
                      <w:kern w:val="0"/>
                      <w:szCs w:val="21"/>
                      <w:lang w:bidi="ar"/>
                    </w:rPr>
                    <w:t>K</w:t>
                  </w:r>
                  <w:r>
                    <w:rPr>
                      <w:kern w:val="0"/>
                      <w:szCs w:val="21"/>
                      <w:vertAlign w:val="superscript"/>
                      <w:lang w:bidi="ar"/>
                    </w:rPr>
                    <w:t>+</w:t>
                  </w:r>
                </w:p>
              </w:tc>
              <w:tc>
                <w:tcPr>
                  <w:tcW w:w="740" w:type="dxa"/>
                  <w:tcBorders>
                    <w:tl2br w:val="nil"/>
                    <w:tr2bl w:val="nil"/>
                  </w:tcBorders>
                  <w:shd w:val="clear" w:color="auto" w:fill="auto"/>
                  <w:vAlign w:val="center"/>
                </w:tcPr>
                <w:p w14:paraId="6C1CF555">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1CA4ABBE">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CB04D9A">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23074A5">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3E56AC8">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3858F649">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1475422D">
                  <w:pPr>
                    <w:tabs>
                      <w:tab w:val="left" w:pos="735"/>
                    </w:tabs>
                    <w:snapToGrid w:val="0"/>
                    <w:jc w:val="center"/>
                    <w:rPr>
                      <w:szCs w:val="21"/>
                    </w:rPr>
                  </w:pPr>
                  <w:r>
                    <w:rPr>
                      <w:kern w:val="0"/>
                      <w:szCs w:val="21"/>
                      <w:lang w:bidi="ar"/>
                    </w:rPr>
                    <w:t>/</w:t>
                  </w:r>
                </w:p>
              </w:tc>
              <w:tc>
                <w:tcPr>
                  <w:tcW w:w="790" w:type="dxa"/>
                  <w:tcBorders>
                    <w:tl2br w:val="nil"/>
                    <w:tr2bl w:val="nil"/>
                  </w:tcBorders>
                  <w:shd w:val="clear" w:color="auto" w:fill="auto"/>
                  <w:vAlign w:val="center"/>
                </w:tcPr>
                <w:p w14:paraId="3F8D5387">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53576DDB">
                  <w:pPr>
                    <w:tabs>
                      <w:tab w:val="left" w:pos="735"/>
                    </w:tabs>
                    <w:snapToGrid w:val="0"/>
                    <w:jc w:val="center"/>
                    <w:rPr>
                      <w:bCs/>
                      <w:szCs w:val="21"/>
                    </w:rPr>
                  </w:pPr>
                  <w:r>
                    <w:rPr>
                      <w:bCs/>
                      <w:szCs w:val="21"/>
                    </w:rPr>
                    <w:t>0</w:t>
                  </w:r>
                </w:p>
              </w:tc>
            </w:tr>
            <w:tr w14:paraId="79C89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8C50CD4">
                  <w:pPr>
                    <w:tabs>
                      <w:tab w:val="left" w:pos="735"/>
                    </w:tabs>
                    <w:snapToGrid w:val="0"/>
                    <w:jc w:val="center"/>
                    <w:rPr>
                      <w:bCs/>
                      <w:szCs w:val="21"/>
                    </w:rPr>
                  </w:pPr>
                </w:p>
              </w:tc>
              <w:tc>
                <w:tcPr>
                  <w:tcW w:w="805" w:type="dxa"/>
                  <w:tcBorders>
                    <w:tl2br w:val="nil"/>
                    <w:tr2bl w:val="nil"/>
                  </w:tcBorders>
                  <w:shd w:val="clear" w:color="auto" w:fill="auto"/>
                  <w:vAlign w:val="center"/>
                </w:tcPr>
                <w:p w14:paraId="238C4E9D">
                  <w:pPr>
                    <w:widowControl/>
                    <w:jc w:val="center"/>
                    <w:rPr>
                      <w:kern w:val="0"/>
                      <w:szCs w:val="21"/>
                    </w:rPr>
                  </w:pPr>
                  <w:r>
                    <w:rPr>
                      <w:kern w:val="0"/>
                      <w:szCs w:val="21"/>
                      <w:lang w:bidi="ar"/>
                    </w:rPr>
                    <w:t>Na</w:t>
                  </w:r>
                  <w:r>
                    <w:rPr>
                      <w:kern w:val="0"/>
                      <w:szCs w:val="21"/>
                      <w:vertAlign w:val="superscript"/>
                      <w:lang w:bidi="ar"/>
                    </w:rPr>
                    <w:t>+</w:t>
                  </w:r>
                </w:p>
              </w:tc>
              <w:tc>
                <w:tcPr>
                  <w:tcW w:w="740" w:type="dxa"/>
                  <w:tcBorders>
                    <w:tl2br w:val="nil"/>
                    <w:tr2bl w:val="nil"/>
                  </w:tcBorders>
                  <w:shd w:val="clear" w:color="auto" w:fill="auto"/>
                  <w:vAlign w:val="center"/>
                </w:tcPr>
                <w:p w14:paraId="1F6D8437">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5D95F058">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2D2A6BF">
                  <w:pPr>
                    <w:widowControl/>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C8A419A">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0145601D">
                  <w:pPr>
                    <w:widowControl/>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0EEAE56C">
                  <w:pPr>
                    <w:widowControl/>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FC8ED9B">
                  <w:pPr>
                    <w:tabs>
                      <w:tab w:val="left" w:pos="735"/>
                    </w:tabs>
                    <w:snapToGrid w:val="0"/>
                    <w:jc w:val="center"/>
                    <w:rPr>
                      <w:szCs w:val="21"/>
                    </w:rPr>
                  </w:pPr>
                  <w:r>
                    <w:rPr>
                      <w:kern w:val="0"/>
                      <w:szCs w:val="21"/>
                      <w:lang w:bidi="ar"/>
                    </w:rPr>
                    <w:t>/</w:t>
                  </w:r>
                </w:p>
              </w:tc>
              <w:tc>
                <w:tcPr>
                  <w:tcW w:w="790" w:type="dxa"/>
                  <w:tcBorders>
                    <w:tl2br w:val="nil"/>
                    <w:tr2bl w:val="nil"/>
                  </w:tcBorders>
                  <w:shd w:val="clear" w:color="auto" w:fill="auto"/>
                  <w:vAlign w:val="center"/>
                </w:tcPr>
                <w:p w14:paraId="66421E4B">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073318D4">
                  <w:pPr>
                    <w:tabs>
                      <w:tab w:val="left" w:pos="735"/>
                    </w:tabs>
                    <w:snapToGrid w:val="0"/>
                    <w:jc w:val="center"/>
                    <w:rPr>
                      <w:bCs/>
                      <w:szCs w:val="21"/>
                    </w:rPr>
                  </w:pPr>
                  <w:r>
                    <w:rPr>
                      <w:bCs/>
                      <w:szCs w:val="21"/>
                    </w:rPr>
                    <w:t>0</w:t>
                  </w:r>
                </w:p>
              </w:tc>
            </w:tr>
            <w:tr w14:paraId="026A4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1CC4FA9B">
                  <w:pPr>
                    <w:tabs>
                      <w:tab w:val="left" w:pos="735"/>
                    </w:tabs>
                    <w:snapToGrid w:val="0"/>
                    <w:jc w:val="center"/>
                    <w:rPr>
                      <w:bCs/>
                      <w:szCs w:val="21"/>
                    </w:rPr>
                  </w:pPr>
                </w:p>
              </w:tc>
              <w:tc>
                <w:tcPr>
                  <w:tcW w:w="805" w:type="dxa"/>
                  <w:tcBorders>
                    <w:tl2br w:val="nil"/>
                    <w:tr2bl w:val="nil"/>
                  </w:tcBorders>
                  <w:shd w:val="clear" w:color="auto" w:fill="auto"/>
                  <w:vAlign w:val="center"/>
                </w:tcPr>
                <w:p w14:paraId="29B60D18">
                  <w:pPr>
                    <w:widowControl/>
                    <w:jc w:val="center"/>
                    <w:rPr>
                      <w:kern w:val="0"/>
                      <w:szCs w:val="21"/>
                    </w:rPr>
                  </w:pPr>
                  <w:r>
                    <w:rPr>
                      <w:kern w:val="0"/>
                      <w:szCs w:val="21"/>
                      <w:lang w:bidi="ar"/>
                    </w:rPr>
                    <w:t>Ca</w:t>
                  </w:r>
                  <w:r>
                    <w:rPr>
                      <w:kern w:val="0"/>
                      <w:szCs w:val="21"/>
                      <w:vertAlign w:val="superscript"/>
                      <w:lang w:bidi="ar"/>
                    </w:rPr>
                    <w:t>2+</w:t>
                  </w:r>
                </w:p>
              </w:tc>
              <w:tc>
                <w:tcPr>
                  <w:tcW w:w="740" w:type="dxa"/>
                  <w:tcBorders>
                    <w:tl2br w:val="nil"/>
                    <w:tr2bl w:val="nil"/>
                  </w:tcBorders>
                  <w:shd w:val="clear" w:color="auto" w:fill="auto"/>
                  <w:vAlign w:val="center"/>
                </w:tcPr>
                <w:p w14:paraId="0AA0345F">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7004D2A9">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0DF38D8">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1349B10">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2CEF7B4">
                  <w:pPr>
                    <w:spacing w:line="240" w:lineRule="exact"/>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360F2F6D">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CDEC985">
                  <w:pPr>
                    <w:tabs>
                      <w:tab w:val="left" w:pos="735"/>
                    </w:tabs>
                    <w:snapToGrid w:val="0"/>
                    <w:jc w:val="center"/>
                    <w:rPr>
                      <w:szCs w:val="21"/>
                    </w:rPr>
                  </w:pPr>
                  <w:r>
                    <w:rPr>
                      <w:kern w:val="0"/>
                      <w:szCs w:val="21"/>
                      <w:lang w:bidi="ar"/>
                    </w:rPr>
                    <w:t>/</w:t>
                  </w:r>
                </w:p>
              </w:tc>
              <w:tc>
                <w:tcPr>
                  <w:tcW w:w="790" w:type="dxa"/>
                  <w:tcBorders>
                    <w:tl2br w:val="nil"/>
                    <w:tr2bl w:val="nil"/>
                  </w:tcBorders>
                  <w:shd w:val="clear" w:color="auto" w:fill="auto"/>
                  <w:vAlign w:val="center"/>
                </w:tcPr>
                <w:p w14:paraId="2862C378">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49F23DE4">
                  <w:pPr>
                    <w:tabs>
                      <w:tab w:val="left" w:pos="735"/>
                    </w:tabs>
                    <w:snapToGrid w:val="0"/>
                    <w:jc w:val="center"/>
                    <w:rPr>
                      <w:bCs/>
                      <w:szCs w:val="21"/>
                    </w:rPr>
                  </w:pPr>
                  <w:r>
                    <w:rPr>
                      <w:bCs/>
                      <w:szCs w:val="21"/>
                    </w:rPr>
                    <w:t>0</w:t>
                  </w:r>
                </w:p>
              </w:tc>
            </w:tr>
            <w:tr w14:paraId="5FDC5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2DB8F4A">
                  <w:pPr>
                    <w:tabs>
                      <w:tab w:val="left" w:pos="735"/>
                    </w:tabs>
                    <w:snapToGrid w:val="0"/>
                    <w:jc w:val="center"/>
                    <w:rPr>
                      <w:bCs/>
                      <w:szCs w:val="21"/>
                    </w:rPr>
                  </w:pPr>
                </w:p>
              </w:tc>
              <w:tc>
                <w:tcPr>
                  <w:tcW w:w="805" w:type="dxa"/>
                  <w:tcBorders>
                    <w:tl2br w:val="nil"/>
                    <w:tr2bl w:val="nil"/>
                  </w:tcBorders>
                  <w:shd w:val="clear" w:color="auto" w:fill="auto"/>
                  <w:vAlign w:val="center"/>
                </w:tcPr>
                <w:p w14:paraId="2177B2B8">
                  <w:pPr>
                    <w:widowControl/>
                    <w:jc w:val="center"/>
                    <w:rPr>
                      <w:kern w:val="0"/>
                      <w:szCs w:val="21"/>
                    </w:rPr>
                  </w:pPr>
                  <w:r>
                    <w:rPr>
                      <w:kern w:val="0"/>
                      <w:szCs w:val="21"/>
                      <w:lang w:bidi="ar"/>
                    </w:rPr>
                    <w:t>Mg</w:t>
                  </w:r>
                  <w:r>
                    <w:rPr>
                      <w:kern w:val="0"/>
                      <w:szCs w:val="21"/>
                      <w:vertAlign w:val="superscript"/>
                      <w:lang w:bidi="ar"/>
                    </w:rPr>
                    <w:t>2+</w:t>
                  </w:r>
                </w:p>
              </w:tc>
              <w:tc>
                <w:tcPr>
                  <w:tcW w:w="740" w:type="dxa"/>
                  <w:tcBorders>
                    <w:tl2br w:val="nil"/>
                    <w:tr2bl w:val="nil"/>
                  </w:tcBorders>
                  <w:shd w:val="clear" w:color="auto" w:fill="auto"/>
                  <w:vAlign w:val="center"/>
                </w:tcPr>
                <w:p w14:paraId="5BD58A40">
                  <w:pPr>
                    <w:tabs>
                      <w:tab w:val="left" w:pos="735"/>
                    </w:tabs>
                    <w:snapToGrid w:val="0"/>
                    <w:jc w:val="center"/>
                    <w:rPr>
                      <w:b/>
                      <w:szCs w:val="21"/>
                    </w:rPr>
                  </w:pPr>
                  <w:r>
                    <w:rPr>
                      <w:kern w:val="0"/>
                      <w:szCs w:val="21"/>
                      <w:lang w:bidi="ar"/>
                    </w:rPr>
                    <w:t>mg/L</w:t>
                  </w:r>
                </w:p>
              </w:tc>
              <w:tc>
                <w:tcPr>
                  <w:tcW w:w="726" w:type="dxa"/>
                  <w:tcBorders>
                    <w:tl2br w:val="nil"/>
                    <w:tr2bl w:val="nil"/>
                  </w:tcBorders>
                  <w:shd w:val="clear" w:color="auto" w:fill="auto"/>
                  <w:vAlign w:val="center"/>
                </w:tcPr>
                <w:p w14:paraId="5C406253">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299834A">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BBD31D0">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9FDFC99">
                  <w:pPr>
                    <w:spacing w:line="240" w:lineRule="exact"/>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655E1220">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557D3057">
                  <w:pPr>
                    <w:tabs>
                      <w:tab w:val="left" w:pos="735"/>
                    </w:tabs>
                    <w:snapToGrid w:val="0"/>
                    <w:jc w:val="center"/>
                    <w:rPr>
                      <w:bCs/>
                      <w:szCs w:val="21"/>
                    </w:rPr>
                  </w:pPr>
                  <w:r>
                    <w:rPr>
                      <w:kern w:val="0"/>
                      <w:szCs w:val="21"/>
                      <w:lang w:bidi="ar"/>
                    </w:rPr>
                    <w:t>/</w:t>
                  </w:r>
                </w:p>
              </w:tc>
              <w:tc>
                <w:tcPr>
                  <w:tcW w:w="790" w:type="dxa"/>
                  <w:tcBorders>
                    <w:tl2br w:val="nil"/>
                    <w:tr2bl w:val="nil"/>
                  </w:tcBorders>
                  <w:shd w:val="clear" w:color="auto" w:fill="auto"/>
                  <w:vAlign w:val="center"/>
                </w:tcPr>
                <w:p w14:paraId="2568B92C">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28513E0C">
                  <w:pPr>
                    <w:tabs>
                      <w:tab w:val="left" w:pos="735"/>
                    </w:tabs>
                    <w:snapToGrid w:val="0"/>
                    <w:jc w:val="center"/>
                    <w:rPr>
                      <w:bCs/>
                      <w:szCs w:val="21"/>
                    </w:rPr>
                  </w:pPr>
                  <w:r>
                    <w:rPr>
                      <w:bCs/>
                      <w:szCs w:val="21"/>
                    </w:rPr>
                    <w:t>0</w:t>
                  </w:r>
                </w:p>
              </w:tc>
            </w:tr>
            <w:tr w14:paraId="43051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7ED8393">
                  <w:pPr>
                    <w:tabs>
                      <w:tab w:val="left" w:pos="735"/>
                    </w:tabs>
                    <w:snapToGrid w:val="0"/>
                    <w:jc w:val="center"/>
                    <w:rPr>
                      <w:bCs/>
                      <w:szCs w:val="21"/>
                    </w:rPr>
                  </w:pPr>
                </w:p>
              </w:tc>
              <w:tc>
                <w:tcPr>
                  <w:tcW w:w="805" w:type="dxa"/>
                  <w:tcBorders>
                    <w:tl2br w:val="nil"/>
                    <w:tr2bl w:val="nil"/>
                  </w:tcBorders>
                  <w:shd w:val="clear" w:color="auto" w:fill="auto"/>
                  <w:vAlign w:val="center"/>
                </w:tcPr>
                <w:p w14:paraId="460BB2E7">
                  <w:pPr>
                    <w:jc w:val="center"/>
                    <w:rPr>
                      <w:bCs/>
                      <w:szCs w:val="21"/>
                    </w:rPr>
                  </w:pPr>
                  <w:r>
                    <w:rPr>
                      <w:kern w:val="0"/>
                      <w:szCs w:val="21"/>
                      <w:lang w:bidi="ar"/>
                    </w:rPr>
                    <w:t>镉</w:t>
                  </w:r>
                </w:p>
              </w:tc>
              <w:tc>
                <w:tcPr>
                  <w:tcW w:w="740" w:type="dxa"/>
                  <w:tcBorders>
                    <w:tl2br w:val="nil"/>
                    <w:tr2bl w:val="nil"/>
                  </w:tcBorders>
                  <w:shd w:val="clear" w:color="auto" w:fill="auto"/>
                  <w:vAlign w:val="center"/>
                </w:tcPr>
                <w:p w14:paraId="5DA8C193">
                  <w:pPr>
                    <w:tabs>
                      <w:tab w:val="left" w:pos="735"/>
                    </w:tabs>
                    <w:snapToGrid w:val="0"/>
                    <w:jc w:val="center"/>
                    <w:rPr>
                      <w:bCs/>
                      <w:szCs w:val="21"/>
                    </w:rPr>
                  </w:pPr>
                  <w:r>
                    <w:rPr>
                      <w:kern w:val="0"/>
                      <w:szCs w:val="21"/>
                      <w:lang w:bidi="ar"/>
                    </w:rPr>
                    <w:t>g/L</w:t>
                  </w:r>
                </w:p>
              </w:tc>
              <w:tc>
                <w:tcPr>
                  <w:tcW w:w="726" w:type="dxa"/>
                  <w:tcBorders>
                    <w:tl2br w:val="nil"/>
                    <w:tr2bl w:val="nil"/>
                  </w:tcBorders>
                  <w:shd w:val="clear" w:color="auto" w:fill="auto"/>
                  <w:vAlign w:val="center"/>
                </w:tcPr>
                <w:p w14:paraId="6D1FCD9D">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504D3D5A">
                  <w:pPr>
                    <w:spacing w:line="240" w:lineRule="exact"/>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D4D05CE">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1D9A28A9">
                  <w:pPr>
                    <w:spacing w:line="240" w:lineRule="exact"/>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2CA8191E">
                  <w:pPr>
                    <w:spacing w:line="240" w:lineRule="exact"/>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100ED98">
                  <w:pPr>
                    <w:tabs>
                      <w:tab w:val="left" w:pos="735"/>
                    </w:tabs>
                    <w:snapToGrid w:val="0"/>
                    <w:jc w:val="center"/>
                    <w:rPr>
                      <w:szCs w:val="21"/>
                    </w:rPr>
                  </w:pPr>
                  <w:r>
                    <w:rPr>
                      <w:kern w:val="0"/>
                      <w:szCs w:val="21"/>
                      <w:lang w:bidi="ar"/>
                    </w:rPr>
                    <w:t>0.005mg/L</w:t>
                  </w:r>
                </w:p>
              </w:tc>
              <w:tc>
                <w:tcPr>
                  <w:tcW w:w="790" w:type="dxa"/>
                  <w:tcBorders>
                    <w:tl2br w:val="nil"/>
                    <w:tr2bl w:val="nil"/>
                  </w:tcBorders>
                  <w:shd w:val="clear" w:color="auto" w:fill="auto"/>
                  <w:vAlign w:val="center"/>
                </w:tcPr>
                <w:p w14:paraId="24B82612">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195F3ECF">
                  <w:pPr>
                    <w:tabs>
                      <w:tab w:val="left" w:pos="735"/>
                    </w:tabs>
                    <w:snapToGrid w:val="0"/>
                    <w:jc w:val="center"/>
                    <w:rPr>
                      <w:bCs/>
                      <w:szCs w:val="21"/>
                    </w:rPr>
                  </w:pPr>
                  <w:r>
                    <w:rPr>
                      <w:bCs/>
                      <w:szCs w:val="21"/>
                    </w:rPr>
                    <w:t>/</w:t>
                  </w:r>
                </w:p>
              </w:tc>
            </w:tr>
            <w:tr w14:paraId="3766E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5579740">
                  <w:pPr>
                    <w:tabs>
                      <w:tab w:val="left" w:pos="735"/>
                    </w:tabs>
                    <w:snapToGrid w:val="0"/>
                    <w:jc w:val="center"/>
                    <w:rPr>
                      <w:bCs/>
                      <w:szCs w:val="21"/>
                    </w:rPr>
                  </w:pPr>
                </w:p>
              </w:tc>
              <w:tc>
                <w:tcPr>
                  <w:tcW w:w="805" w:type="dxa"/>
                  <w:tcBorders>
                    <w:tl2br w:val="nil"/>
                    <w:tr2bl w:val="nil"/>
                  </w:tcBorders>
                  <w:shd w:val="clear" w:color="auto" w:fill="auto"/>
                  <w:vAlign w:val="center"/>
                </w:tcPr>
                <w:p w14:paraId="2B523851">
                  <w:pPr>
                    <w:widowControl/>
                    <w:jc w:val="center"/>
                    <w:rPr>
                      <w:kern w:val="0"/>
                      <w:szCs w:val="21"/>
                    </w:rPr>
                  </w:pPr>
                  <w:r>
                    <w:rPr>
                      <w:rFonts w:hint="eastAsia"/>
                      <w:kern w:val="0"/>
                      <w:szCs w:val="21"/>
                    </w:rPr>
                    <w:t>钡</w:t>
                  </w:r>
                </w:p>
              </w:tc>
              <w:tc>
                <w:tcPr>
                  <w:tcW w:w="740" w:type="dxa"/>
                  <w:tcBorders>
                    <w:tl2br w:val="nil"/>
                    <w:tr2bl w:val="nil"/>
                  </w:tcBorders>
                  <w:shd w:val="clear" w:color="auto" w:fill="auto"/>
                  <w:vAlign w:val="center"/>
                </w:tcPr>
                <w:p w14:paraId="4FEEDDAF">
                  <w:pPr>
                    <w:tabs>
                      <w:tab w:val="left" w:pos="735"/>
                    </w:tabs>
                    <w:snapToGrid w:val="0"/>
                    <w:jc w:val="center"/>
                    <w:rPr>
                      <w:bCs/>
                      <w:szCs w:val="21"/>
                    </w:rPr>
                  </w:pPr>
                  <w:r>
                    <w:rPr>
                      <w:bCs/>
                      <w:szCs w:val="21"/>
                    </w:rPr>
                    <w:t>mg/L</w:t>
                  </w:r>
                </w:p>
              </w:tc>
              <w:tc>
                <w:tcPr>
                  <w:tcW w:w="726" w:type="dxa"/>
                  <w:tcBorders>
                    <w:tl2br w:val="nil"/>
                    <w:tr2bl w:val="nil"/>
                  </w:tcBorders>
                  <w:shd w:val="clear" w:color="auto" w:fill="auto"/>
                  <w:vAlign w:val="center"/>
                </w:tcPr>
                <w:p w14:paraId="111034E4">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1B8FB9D3">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A44B1EC">
                  <w:pPr>
                    <w:widowControl/>
                    <w:jc w:val="center"/>
                    <w:rPr>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B8AD25F">
                  <w:pPr>
                    <w:widowControl/>
                    <w:jc w:val="center"/>
                    <w:rPr>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25DA31D1">
                  <w:pPr>
                    <w:widowControl/>
                    <w:jc w:val="center"/>
                    <w:rPr>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2FC3D46A">
                  <w:pPr>
                    <w:tabs>
                      <w:tab w:val="left" w:pos="735"/>
                    </w:tabs>
                    <w:snapToGrid w:val="0"/>
                    <w:jc w:val="center"/>
                    <w:rPr>
                      <w:szCs w:val="21"/>
                    </w:rPr>
                  </w:pPr>
                  <w:r>
                    <w:rPr>
                      <w:rFonts w:hint="eastAsia"/>
                      <w:szCs w:val="21"/>
                    </w:rPr>
                    <w:t>/</w:t>
                  </w:r>
                </w:p>
              </w:tc>
              <w:tc>
                <w:tcPr>
                  <w:tcW w:w="790" w:type="dxa"/>
                  <w:tcBorders>
                    <w:tl2br w:val="nil"/>
                    <w:tr2bl w:val="nil"/>
                  </w:tcBorders>
                  <w:shd w:val="clear" w:color="auto" w:fill="auto"/>
                  <w:vAlign w:val="center"/>
                </w:tcPr>
                <w:p w14:paraId="10406544">
                  <w:pPr>
                    <w:snapToGrid w:val="0"/>
                    <w:jc w:val="center"/>
                    <w:rPr>
                      <w:szCs w:val="21"/>
                    </w:rPr>
                  </w:pPr>
                  <w:r>
                    <w:rPr>
                      <w:rFonts w:hint="eastAsia"/>
                      <w:szCs w:val="21"/>
                    </w:rPr>
                    <w:t>/</w:t>
                  </w:r>
                </w:p>
              </w:tc>
              <w:tc>
                <w:tcPr>
                  <w:tcW w:w="673" w:type="dxa"/>
                  <w:tcBorders>
                    <w:tl2br w:val="nil"/>
                    <w:tr2bl w:val="nil"/>
                  </w:tcBorders>
                  <w:shd w:val="clear" w:color="auto" w:fill="auto"/>
                  <w:vAlign w:val="center"/>
                </w:tcPr>
                <w:p w14:paraId="2F308DF8">
                  <w:pPr>
                    <w:tabs>
                      <w:tab w:val="left" w:pos="735"/>
                    </w:tabs>
                    <w:snapToGrid w:val="0"/>
                    <w:jc w:val="center"/>
                    <w:rPr>
                      <w:bCs/>
                      <w:szCs w:val="21"/>
                    </w:rPr>
                  </w:pPr>
                  <w:r>
                    <w:rPr>
                      <w:rFonts w:hint="eastAsia"/>
                      <w:bCs/>
                      <w:szCs w:val="21"/>
                    </w:rPr>
                    <w:t>/</w:t>
                  </w:r>
                </w:p>
              </w:tc>
            </w:tr>
            <w:tr w14:paraId="328D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79D28F9">
                  <w:pPr>
                    <w:tabs>
                      <w:tab w:val="left" w:pos="735"/>
                    </w:tabs>
                    <w:snapToGrid w:val="0"/>
                    <w:jc w:val="center"/>
                    <w:rPr>
                      <w:bCs/>
                      <w:szCs w:val="21"/>
                    </w:rPr>
                  </w:pPr>
                </w:p>
              </w:tc>
              <w:tc>
                <w:tcPr>
                  <w:tcW w:w="805" w:type="dxa"/>
                  <w:tcBorders>
                    <w:tl2br w:val="nil"/>
                    <w:tr2bl w:val="nil"/>
                  </w:tcBorders>
                  <w:shd w:val="clear" w:color="auto" w:fill="auto"/>
                  <w:vAlign w:val="center"/>
                </w:tcPr>
                <w:p w14:paraId="7CE10F63">
                  <w:pPr>
                    <w:widowControl/>
                    <w:jc w:val="center"/>
                    <w:rPr>
                      <w:kern w:val="0"/>
                      <w:sz w:val="18"/>
                      <w:szCs w:val="18"/>
                    </w:rPr>
                  </w:pPr>
                  <w:r>
                    <w:rPr>
                      <w:kern w:val="0"/>
                      <w:sz w:val="18"/>
                      <w:szCs w:val="18"/>
                      <w:lang w:bidi="ar"/>
                    </w:rPr>
                    <w:t>石油类</w:t>
                  </w:r>
                </w:p>
              </w:tc>
              <w:tc>
                <w:tcPr>
                  <w:tcW w:w="740" w:type="dxa"/>
                  <w:tcBorders>
                    <w:tl2br w:val="nil"/>
                    <w:tr2bl w:val="nil"/>
                  </w:tcBorders>
                  <w:shd w:val="clear" w:color="auto" w:fill="auto"/>
                  <w:vAlign w:val="center"/>
                </w:tcPr>
                <w:p w14:paraId="5B3BBA31">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414ADCD5">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11725B1">
                  <w:pPr>
                    <w:adjustRightInd w:val="0"/>
                    <w:jc w:val="center"/>
                    <w:rPr>
                      <w:bCs/>
                      <w:kern w:val="0"/>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3F89F6A0">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46CFDC92">
                  <w:pPr>
                    <w:adjustRightInd w:val="0"/>
                    <w:jc w:val="center"/>
                    <w:rPr>
                      <w:bCs/>
                      <w:kern w:val="0"/>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7642B0BA">
                  <w:pPr>
                    <w:adjustRightInd w:val="0"/>
                    <w:jc w:val="center"/>
                    <w:rPr>
                      <w:bCs/>
                      <w:kern w:val="0"/>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1561E1A">
                  <w:pPr>
                    <w:tabs>
                      <w:tab w:val="left" w:pos="735"/>
                    </w:tabs>
                    <w:snapToGrid w:val="0"/>
                    <w:jc w:val="center"/>
                    <w:rPr>
                      <w:szCs w:val="21"/>
                    </w:rPr>
                  </w:pPr>
                  <w:r>
                    <w:rPr>
                      <w:bCs/>
                      <w:szCs w:val="21"/>
                    </w:rPr>
                    <w:t>/</w:t>
                  </w:r>
                </w:p>
              </w:tc>
              <w:tc>
                <w:tcPr>
                  <w:tcW w:w="790" w:type="dxa"/>
                  <w:tcBorders>
                    <w:tl2br w:val="nil"/>
                    <w:tr2bl w:val="nil"/>
                  </w:tcBorders>
                  <w:shd w:val="clear" w:color="auto" w:fill="auto"/>
                  <w:vAlign w:val="center"/>
                </w:tcPr>
                <w:p w14:paraId="2CB9AC28">
                  <w:pPr>
                    <w:snapToGrid w:val="0"/>
                    <w:jc w:val="center"/>
                    <w:rPr>
                      <w:szCs w:val="21"/>
                    </w:rPr>
                  </w:pPr>
                  <w:r>
                    <w:rPr>
                      <w:rFonts w:eastAsia="等线"/>
                      <w:szCs w:val="21"/>
                    </w:rPr>
                    <w:t>/</w:t>
                  </w:r>
                </w:p>
              </w:tc>
              <w:tc>
                <w:tcPr>
                  <w:tcW w:w="673" w:type="dxa"/>
                  <w:tcBorders>
                    <w:tl2br w:val="nil"/>
                    <w:tr2bl w:val="nil"/>
                  </w:tcBorders>
                  <w:shd w:val="clear" w:color="auto" w:fill="auto"/>
                  <w:vAlign w:val="center"/>
                </w:tcPr>
                <w:p w14:paraId="497DAA37">
                  <w:pPr>
                    <w:snapToGrid w:val="0"/>
                    <w:jc w:val="center"/>
                    <w:rPr>
                      <w:bCs/>
                      <w:szCs w:val="21"/>
                    </w:rPr>
                  </w:pPr>
                  <w:r>
                    <w:rPr>
                      <w:bCs/>
                      <w:szCs w:val="21"/>
                    </w:rPr>
                    <w:t>0</w:t>
                  </w:r>
                </w:p>
              </w:tc>
            </w:tr>
            <w:tr w14:paraId="5F1DF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1258F40">
                  <w:pPr>
                    <w:tabs>
                      <w:tab w:val="left" w:pos="735"/>
                    </w:tabs>
                    <w:snapToGrid w:val="0"/>
                    <w:jc w:val="center"/>
                    <w:rPr>
                      <w:b/>
                      <w:szCs w:val="21"/>
                    </w:rPr>
                  </w:pPr>
                </w:p>
              </w:tc>
              <w:tc>
                <w:tcPr>
                  <w:tcW w:w="805" w:type="dxa"/>
                  <w:tcBorders>
                    <w:tl2br w:val="nil"/>
                    <w:tr2bl w:val="nil"/>
                  </w:tcBorders>
                  <w:vAlign w:val="center"/>
                </w:tcPr>
                <w:p w14:paraId="5EFACC84">
                  <w:pPr>
                    <w:widowControl/>
                    <w:jc w:val="center"/>
                    <w:rPr>
                      <w:kern w:val="0"/>
                      <w:sz w:val="18"/>
                      <w:szCs w:val="18"/>
                    </w:rPr>
                  </w:pPr>
                  <w:r>
                    <w:rPr>
                      <w:kern w:val="0"/>
                      <w:sz w:val="18"/>
                      <w:szCs w:val="18"/>
                      <w:lang w:bidi="ar"/>
                    </w:rPr>
                    <w:t>硫化物</w:t>
                  </w:r>
                </w:p>
              </w:tc>
              <w:tc>
                <w:tcPr>
                  <w:tcW w:w="740" w:type="dxa"/>
                  <w:tcBorders>
                    <w:tl2br w:val="nil"/>
                    <w:tr2bl w:val="nil"/>
                  </w:tcBorders>
                  <w:vAlign w:val="center"/>
                </w:tcPr>
                <w:p w14:paraId="0C1E76DD">
                  <w:pPr>
                    <w:tabs>
                      <w:tab w:val="left" w:pos="735"/>
                    </w:tabs>
                    <w:snapToGrid w:val="0"/>
                    <w:jc w:val="center"/>
                    <w:rPr>
                      <w:bCs/>
                      <w:szCs w:val="21"/>
                    </w:rPr>
                  </w:pPr>
                  <w:r>
                    <w:rPr>
                      <w:kern w:val="0"/>
                      <w:szCs w:val="21"/>
                      <w:lang w:bidi="ar"/>
                    </w:rPr>
                    <w:t>mg/L</w:t>
                  </w:r>
                </w:p>
              </w:tc>
              <w:tc>
                <w:tcPr>
                  <w:tcW w:w="726" w:type="dxa"/>
                  <w:tcBorders>
                    <w:tl2br w:val="nil"/>
                    <w:tr2bl w:val="nil"/>
                  </w:tcBorders>
                  <w:vAlign w:val="center"/>
                </w:tcPr>
                <w:p w14:paraId="5BDE8AD2">
                  <w:pPr>
                    <w:adjustRightInd w:val="0"/>
                    <w:jc w:val="center"/>
                    <w:rPr>
                      <w:bCs/>
                      <w:kern w:val="0"/>
                      <w:szCs w:val="21"/>
                    </w:rPr>
                  </w:pPr>
                  <w:r>
                    <w:rPr>
                      <w:rFonts w:hint="eastAsia"/>
                      <w:bCs/>
                      <w:sz w:val="21"/>
                      <w:szCs w:val="21"/>
                      <w:lang w:val="en-US" w:eastAsia="zh-CN"/>
                    </w:rPr>
                    <w:t>*</w:t>
                  </w:r>
                </w:p>
              </w:tc>
              <w:tc>
                <w:tcPr>
                  <w:tcW w:w="677" w:type="dxa"/>
                  <w:tcBorders>
                    <w:tl2br w:val="nil"/>
                    <w:tr2bl w:val="nil"/>
                  </w:tcBorders>
                  <w:vAlign w:val="center"/>
                </w:tcPr>
                <w:p w14:paraId="7354E518">
                  <w:pPr>
                    <w:adjustRightInd w:val="0"/>
                    <w:jc w:val="center"/>
                    <w:rPr>
                      <w:bCs/>
                      <w:kern w:val="0"/>
                      <w:szCs w:val="21"/>
                    </w:rPr>
                  </w:pPr>
                  <w:r>
                    <w:rPr>
                      <w:rFonts w:hint="eastAsia"/>
                      <w:bCs/>
                      <w:sz w:val="21"/>
                      <w:szCs w:val="21"/>
                      <w:lang w:val="en-US" w:eastAsia="zh-CN"/>
                    </w:rPr>
                    <w:t>*</w:t>
                  </w:r>
                </w:p>
              </w:tc>
              <w:tc>
                <w:tcPr>
                  <w:tcW w:w="677" w:type="dxa"/>
                  <w:tcBorders>
                    <w:tl2br w:val="nil"/>
                    <w:tr2bl w:val="nil"/>
                  </w:tcBorders>
                  <w:vAlign w:val="center"/>
                </w:tcPr>
                <w:p w14:paraId="3C5713C9">
                  <w:pPr>
                    <w:adjustRightInd w:val="0"/>
                    <w:jc w:val="center"/>
                    <w:rPr>
                      <w:bCs/>
                      <w:kern w:val="0"/>
                      <w:szCs w:val="21"/>
                    </w:rPr>
                  </w:pPr>
                  <w:r>
                    <w:rPr>
                      <w:rFonts w:hint="eastAsia"/>
                      <w:bCs/>
                      <w:sz w:val="21"/>
                      <w:szCs w:val="21"/>
                      <w:lang w:val="en-US" w:eastAsia="zh-CN"/>
                    </w:rPr>
                    <w:t>*</w:t>
                  </w:r>
                </w:p>
              </w:tc>
              <w:tc>
                <w:tcPr>
                  <w:tcW w:w="789" w:type="dxa"/>
                  <w:tcBorders>
                    <w:tl2br w:val="nil"/>
                    <w:tr2bl w:val="nil"/>
                  </w:tcBorders>
                  <w:vAlign w:val="center"/>
                </w:tcPr>
                <w:p w14:paraId="74B40BF4">
                  <w:pPr>
                    <w:adjustRightInd w:val="0"/>
                    <w:jc w:val="center"/>
                    <w:rPr>
                      <w:bCs/>
                      <w:kern w:val="0"/>
                      <w:szCs w:val="21"/>
                    </w:rPr>
                  </w:pPr>
                  <w:r>
                    <w:rPr>
                      <w:rFonts w:hint="eastAsia"/>
                      <w:bCs/>
                      <w:sz w:val="21"/>
                      <w:szCs w:val="21"/>
                      <w:lang w:val="en-US" w:eastAsia="zh-CN"/>
                    </w:rPr>
                    <w:t>*</w:t>
                  </w:r>
                </w:p>
              </w:tc>
              <w:tc>
                <w:tcPr>
                  <w:tcW w:w="794" w:type="dxa"/>
                  <w:tcBorders>
                    <w:tl2br w:val="nil"/>
                    <w:tr2bl w:val="nil"/>
                  </w:tcBorders>
                  <w:vAlign w:val="center"/>
                </w:tcPr>
                <w:p w14:paraId="6D755BDD">
                  <w:pPr>
                    <w:adjustRightInd w:val="0"/>
                    <w:jc w:val="center"/>
                    <w:rPr>
                      <w:bCs/>
                      <w:kern w:val="0"/>
                      <w:szCs w:val="21"/>
                    </w:rPr>
                  </w:pPr>
                  <w:r>
                    <w:rPr>
                      <w:rFonts w:hint="eastAsia"/>
                      <w:bCs/>
                      <w:sz w:val="21"/>
                      <w:szCs w:val="21"/>
                      <w:lang w:val="en-US" w:eastAsia="zh-CN"/>
                    </w:rPr>
                    <w:t>*</w:t>
                  </w:r>
                </w:p>
              </w:tc>
              <w:tc>
                <w:tcPr>
                  <w:tcW w:w="789" w:type="dxa"/>
                  <w:tcBorders>
                    <w:tl2br w:val="nil"/>
                    <w:tr2bl w:val="nil"/>
                  </w:tcBorders>
                  <w:vAlign w:val="center"/>
                </w:tcPr>
                <w:p w14:paraId="1160DDF9">
                  <w:pPr>
                    <w:tabs>
                      <w:tab w:val="left" w:pos="735"/>
                    </w:tabs>
                    <w:snapToGrid w:val="0"/>
                    <w:jc w:val="center"/>
                    <w:rPr>
                      <w:szCs w:val="21"/>
                    </w:rPr>
                  </w:pPr>
                  <w:r>
                    <w:rPr>
                      <w:kern w:val="0"/>
                      <w:szCs w:val="21"/>
                      <w:lang w:bidi="ar"/>
                    </w:rPr>
                    <w:t>0.02mg/L</w:t>
                  </w:r>
                </w:p>
              </w:tc>
              <w:tc>
                <w:tcPr>
                  <w:tcW w:w="790" w:type="dxa"/>
                  <w:tcBorders>
                    <w:tl2br w:val="nil"/>
                    <w:tr2bl w:val="nil"/>
                  </w:tcBorders>
                  <w:vAlign w:val="center"/>
                </w:tcPr>
                <w:p w14:paraId="7F250888">
                  <w:pPr>
                    <w:snapToGrid w:val="0"/>
                    <w:jc w:val="center"/>
                    <w:rPr>
                      <w:szCs w:val="21"/>
                    </w:rPr>
                  </w:pPr>
                  <w:r>
                    <w:rPr>
                      <w:rFonts w:eastAsia="等线"/>
                      <w:szCs w:val="21"/>
                    </w:rPr>
                    <w:t>/</w:t>
                  </w:r>
                </w:p>
              </w:tc>
              <w:tc>
                <w:tcPr>
                  <w:tcW w:w="673" w:type="dxa"/>
                  <w:tcBorders>
                    <w:tl2br w:val="nil"/>
                    <w:tr2bl w:val="nil"/>
                  </w:tcBorders>
                  <w:vAlign w:val="center"/>
                </w:tcPr>
                <w:p w14:paraId="55D462AA">
                  <w:pPr>
                    <w:snapToGrid w:val="0"/>
                    <w:jc w:val="center"/>
                    <w:rPr>
                      <w:bCs/>
                      <w:szCs w:val="21"/>
                    </w:rPr>
                  </w:pPr>
                  <w:r>
                    <w:rPr>
                      <w:bCs/>
                      <w:szCs w:val="21"/>
                    </w:rPr>
                    <w:t>0</w:t>
                  </w:r>
                </w:p>
              </w:tc>
            </w:tr>
            <w:tr w14:paraId="4740A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4C489F46">
                  <w:pPr>
                    <w:tabs>
                      <w:tab w:val="left" w:pos="735"/>
                    </w:tabs>
                    <w:snapToGrid w:val="0"/>
                    <w:jc w:val="center"/>
                    <w:rPr>
                      <w:b/>
                      <w:szCs w:val="21"/>
                    </w:rPr>
                  </w:pPr>
                </w:p>
              </w:tc>
              <w:tc>
                <w:tcPr>
                  <w:tcW w:w="805" w:type="dxa"/>
                  <w:tcBorders>
                    <w:tl2br w:val="nil"/>
                    <w:tr2bl w:val="nil"/>
                  </w:tcBorders>
                  <w:shd w:val="clear" w:color="auto" w:fill="auto"/>
                  <w:vAlign w:val="center"/>
                </w:tcPr>
                <w:p w14:paraId="5645A2D3">
                  <w:pPr>
                    <w:widowControl/>
                    <w:spacing w:line="240" w:lineRule="exact"/>
                    <w:jc w:val="center"/>
                    <w:rPr>
                      <w:color w:val="000000"/>
                      <w:kern w:val="0"/>
                      <w:szCs w:val="21"/>
                    </w:rPr>
                  </w:pPr>
                  <w:r>
                    <w:rPr>
                      <w:rFonts w:hint="eastAsia" w:hAnsi="宋体"/>
                    </w:rPr>
                    <w:t>Cl</w:t>
                  </w:r>
                  <w:r>
                    <w:rPr>
                      <w:rFonts w:hint="eastAsia" w:hAnsi="宋体"/>
                      <w:vertAlign w:val="superscript"/>
                    </w:rPr>
                    <w:t>-</w:t>
                  </w:r>
                </w:p>
              </w:tc>
              <w:tc>
                <w:tcPr>
                  <w:tcW w:w="740" w:type="dxa"/>
                  <w:tcBorders>
                    <w:tl2br w:val="nil"/>
                    <w:tr2bl w:val="nil"/>
                  </w:tcBorders>
                  <w:vAlign w:val="center"/>
                </w:tcPr>
                <w:p w14:paraId="39CBF6F3">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243EA527">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2936242B">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43B2E8A7">
                  <w:pPr>
                    <w:widowControl/>
                    <w:jc w:val="center"/>
                    <w:rPr>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A32956F">
                  <w:pPr>
                    <w:widowControl/>
                    <w:jc w:val="center"/>
                    <w:rPr>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0F025732">
                  <w:pPr>
                    <w:widowControl/>
                    <w:jc w:val="center"/>
                    <w:rPr>
                      <w:szCs w:val="21"/>
                    </w:rPr>
                  </w:pPr>
                  <w:r>
                    <w:rPr>
                      <w:rFonts w:hint="eastAsia"/>
                      <w:bCs/>
                      <w:sz w:val="21"/>
                      <w:szCs w:val="21"/>
                      <w:lang w:val="en-US" w:eastAsia="zh-CN"/>
                    </w:rPr>
                    <w:t>*</w:t>
                  </w:r>
                </w:p>
              </w:tc>
              <w:tc>
                <w:tcPr>
                  <w:tcW w:w="789" w:type="dxa"/>
                  <w:tcBorders>
                    <w:tl2br w:val="nil"/>
                    <w:tr2bl w:val="nil"/>
                  </w:tcBorders>
                  <w:vAlign w:val="center"/>
                </w:tcPr>
                <w:p w14:paraId="56A888B0">
                  <w:pPr>
                    <w:tabs>
                      <w:tab w:val="left" w:pos="735"/>
                    </w:tabs>
                    <w:snapToGrid w:val="0"/>
                    <w:jc w:val="center"/>
                    <w:rPr>
                      <w:szCs w:val="21"/>
                    </w:rPr>
                  </w:pPr>
                  <w:r>
                    <w:rPr>
                      <w:rFonts w:hint="eastAsia"/>
                      <w:szCs w:val="21"/>
                    </w:rPr>
                    <w:t>/</w:t>
                  </w:r>
                </w:p>
              </w:tc>
              <w:tc>
                <w:tcPr>
                  <w:tcW w:w="790" w:type="dxa"/>
                  <w:tcBorders>
                    <w:tl2br w:val="nil"/>
                    <w:tr2bl w:val="nil"/>
                  </w:tcBorders>
                  <w:vAlign w:val="center"/>
                </w:tcPr>
                <w:p w14:paraId="34ADB44F">
                  <w:pPr>
                    <w:snapToGrid w:val="0"/>
                    <w:jc w:val="center"/>
                    <w:rPr>
                      <w:szCs w:val="21"/>
                    </w:rPr>
                  </w:pPr>
                  <w:r>
                    <w:rPr>
                      <w:rFonts w:hint="eastAsia"/>
                      <w:szCs w:val="21"/>
                    </w:rPr>
                    <w:t>/</w:t>
                  </w:r>
                </w:p>
              </w:tc>
              <w:tc>
                <w:tcPr>
                  <w:tcW w:w="673" w:type="dxa"/>
                  <w:tcBorders>
                    <w:tl2br w:val="nil"/>
                    <w:tr2bl w:val="nil"/>
                  </w:tcBorders>
                  <w:vAlign w:val="center"/>
                </w:tcPr>
                <w:p w14:paraId="7BEDDB3C">
                  <w:pPr>
                    <w:snapToGrid w:val="0"/>
                    <w:jc w:val="center"/>
                    <w:rPr>
                      <w:bCs/>
                      <w:szCs w:val="21"/>
                    </w:rPr>
                  </w:pPr>
                  <w:r>
                    <w:rPr>
                      <w:rFonts w:hint="eastAsia"/>
                      <w:bCs/>
                      <w:szCs w:val="21"/>
                    </w:rPr>
                    <w:t>0</w:t>
                  </w:r>
                </w:p>
              </w:tc>
            </w:tr>
            <w:tr w14:paraId="7D11F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14:paraId="31CBED13">
                  <w:pPr>
                    <w:tabs>
                      <w:tab w:val="left" w:pos="735"/>
                    </w:tabs>
                    <w:snapToGrid w:val="0"/>
                    <w:jc w:val="center"/>
                    <w:rPr>
                      <w:b/>
                      <w:szCs w:val="21"/>
                    </w:rPr>
                  </w:pPr>
                </w:p>
              </w:tc>
              <w:tc>
                <w:tcPr>
                  <w:tcW w:w="805" w:type="dxa"/>
                  <w:tcBorders>
                    <w:tl2br w:val="nil"/>
                    <w:tr2bl w:val="nil"/>
                  </w:tcBorders>
                  <w:shd w:val="clear" w:color="auto" w:fill="auto"/>
                  <w:vAlign w:val="center"/>
                </w:tcPr>
                <w:p w14:paraId="75F15FD6">
                  <w:pPr>
                    <w:widowControl/>
                    <w:spacing w:line="240" w:lineRule="exact"/>
                    <w:jc w:val="center"/>
                    <w:rPr>
                      <w:color w:val="000000"/>
                      <w:kern w:val="0"/>
                      <w:szCs w:val="21"/>
                    </w:rPr>
                  </w:pPr>
                  <w:r>
                    <w:rPr>
                      <w:rFonts w:hint="eastAsia" w:hAnsi="宋体"/>
                    </w:rPr>
                    <w:t>SO</w:t>
                  </w:r>
                  <w:r>
                    <w:rPr>
                      <w:rFonts w:hint="eastAsia" w:hAnsi="宋体"/>
                      <w:vertAlign w:val="subscript"/>
                    </w:rPr>
                    <w:t>4</w:t>
                  </w:r>
                  <w:r>
                    <w:rPr>
                      <w:rFonts w:hint="eastAsia" w:hAnsi="宋体"/>
                      <w:vertAlign w:val="superscript"/>
                    </w:rPr>
                    <w:t>2-</w:t>
                  </w:r>
                </w:p>
              </w:tc>
              <w:tc>
                <w:tcPr>
                  <w:tcW w:w="740" w:type="dxa"/>
                  <w:tcBorders>
                    <w:tl2br w:val="nil"/>
                    <w:tr2bl w:val="nil"/>
                  </w:tcBorders>
                  <w:shd w:val="clear" w:color="auto" w:fill="auto"/>
                  <w:vAlign w:val="center"/>
                </w:tcPr>
                <w:p w14:paraId="64B13096">
                  <w:pPr>
                    <w:tabs>
                      <w:tab w:val="left" w:pos="735"/>
                    </w:tabs>
                    <w:snapToGrid w:val="0"/>
                    <w:jc w:val="center"/>
                    <w:rPr>
                      <w:bCs/>
                      <w:szCs w:val="21"/>
                    </w:rPr>
                  </w:pPr>
                  <w:r>
                    <w:rPr>
                      <w:kern w:val="0"/>
                      <w:szCs w:val="21"/>
                      <w:lang w:bidi="ar"/>
                    </w:rPr>
                    <w:t>mg/L</w:t>
                  </w:r>
                </w:p>
              </w:tc>
              <w:tc>
                <w:tcPr>
                  <w:tcW w:w="726" w:type="dxa"/>
                  <w:tcBorders>
                    <w:tl2br w:val="nil"/>
                    <w:tr2bl w:val="nil"/>
                  </w:tcBorders>
                  <w:shd w:val="clear" w:color="auto" w:fill="auto"/>
                  <w:vAlign w:val="center"/>
                </w:tcPr>
                <w:p w14:paraId="2A43E625">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64BD8BAB">
                  <w:pPr>
                    <w:widowControl/>
                    <w:jc w:val="center"/>
                    <w:rPr>
                      <w:szCs w:val="21"/>
                    </w:rPr>
                  </w:pPr>
                  <w:r>
                    <w:rPr>
                      <w:rFonts w:hint="eastAsia"/>
                      <w:bCs/>
                      <w:sz w:val="21"/>
                      <w:szCs w:val="21"/>
                      <w:lang w:val="en-US" w:eastAsia="zh-CN"/>
                    </w:rPr>
                    <w:t>*</w:t>
                  </w:r>
                </w:p>
              </w:tc>
              <w:tc>
                <w:tcPr>
                  <w:tcW w:w="677" w:type="dxa"/>
                  <w:tcBorders>
                    <w:tl2br w:val="nil"/>
                    <w:tr2bl w:val="nil"/>
                  </w:tcBorders>
                  <w:shd w:val="clear" w:color="auto" w:fill="auto"/>
                  <w:vAlign w:val="center"/>
                </w:tcPr>
                <w:p w14:paraId="779B2624">
                  <w:pPr>
                    <w:widowControl/>
                    <w:jc w:val="center"/>
                    <w:rPr>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36EC9A6B">
                  <w:pPr>
                    <w:widowControl/>
                    <w:jc w:val="center"/>
                    <w:rPr>
                      <w:szCs w:val="21"/>
                    </w:rPr>
                  </w:pPr>
                  <w:r>
                    <w:rPr>
                      <w:rFonts w:hint="eastAsia"/>
                      <w:bCs/>
                      <w:sz w:val="21"/>
                      <w:szCs w:val="21"/>
                      <w:lang w:val="en-US" w:eastAsia="zh-CN"/>
                    </w:rPr>
                    <w:t>*</w:t>
                  </w:r>
                </w:p>
              </w:tc>
              <w:tc>
                <w:tcPr>
                  <w:tcW w:w="794" w:type="dxa"/>
                  <w:tcBorders>
                    <w:tl2br w:val="nil"/>
                    <w:tr2bl w:val="nil"/>
                  </w:tcBorders>
                  <w:shd w:val="clear" w:color="auto" w:fill="auto"/>
                  <w:vAlign w:val="center"/>
                </w:tcPr>
                <w:p w14:paraId="5B564D47">
                  <w:pPr>
                    <w:widowControl/>
                    <w:jc w:val="center"/>
                    <w:rPr>
                      <w:szCs w:val="21"/>
                    </w:rPr>
                  </w:pPr>
                  <w:r>
                    <w:rPr>
                      <w:rFonts w:hint="eastAsia"/>
                      <w:bCs/>
                      <w:sz w:val="21"/>
                      <w:szCs w:val="21"/>
                      <w:lang w:val="en-US" w:eastAsia="zh-CN"/>
                    </w:rPr>
                    <w:t>*</w:t>
                  </w:r>
                </w:p>
              </w:tc>
              <w:tc>
                <w:tcPr>
                  <w:tcW w:w="789" w:type="dxa"/>
                  <w:tcBorders>
                    <w:tl2br w:val="nil"/>
                    <w:tr2bl w:val="nil"/>
                  </w:tcBorders>
                  <w:shd w:val="clear" w:color="auto" w:fill="auto"/>
                  <w:vAlign w:val="center"/>
                </w:tcPr>
                <w:p w14:paraId="715831E1">
                  <w:pPr>
                    <w:tabs>
                      <w:tab w:val="left" w:pos="735"/>
                    </w:tabs>
                    <w:snapToGrid w:val="0"/>
                    <w:jc w:val="center"/>
                    <w:rPr>
                      <w:szCs w:val="21"/>
                    </w:rPr>
                  </w:pPr>
                  <w:r>
                    <w:rPr>
                      <w:rFonts w:hint="eastAsia"/>
                      <w:szCs w:val="21"/>
                    </w:rPr>
                    <w:t>/</w:t>
                  </w:r>
                </w:p>
              </w:tc>
              <w:tc>
                <w:tcPr>
                  <w:tcW w:w="790" w:type="dxa"/>
                  <w:tcBorders>
                    <w:tl2br w:val="nil"/>
                    <w:tr2bl w:val="nil"/>
                  </w:tcBorders>
                  <w:shd w:val="clear" w:color="auto" w:fill="auto"/>
                  <w:vAlign w:val="center"/>
                </w:tcPr>
                <w:p w14:paraId="24B7AFD3">
                  <w:pPr>
                    <w:snapToGrid w:val="0"/>
                    <w:jc w:val="center"/>
                    <w:rPr>
                      <w:szCs w:val="21"/>
                    </w:rPr>
                  </w:pPr>
                  <w:r>
                    <w:rPr>
                      <w:rFonts w:hint="eastAsia"/>
                      <w:szCs w:val="21"/>
                    </w:rPr>
                    <w:t>/</w:t>
                  </w:r>
                </w:p>
              </w:tc>
              <w:tc>
                <w:tcPr>
                  <w:tcW w:w="673" w:type="dxa"/>
                  <w:tcBorders>
                    <w:tl2br w:val="nil"/>
                    <w:tr2bl w:val="nil"/>
                  </w:tcBorders>
                  <w:shd w:val="clear" w:color="auto" w:fill="auto"/>
                  <w:vAlign w:val="center"/>
                </w:tcPr>
                <w:p w14:paraId="2EBB620B">
                  <w:pPr>
                    <w:tabs>
                      <w:tab w:val="left" w:pos="735"/>
                    </w:tabs>
                    <w:snapToGrid w:val="0"/>
                    <w:jc w:val="center"/>
                    <w:rPr>
                      <w:bCs/>
                      <w:szCs w:val="21"/>
                    </w:rPr>
                  </w:pPr>
                  <w:r>
                    <w:rPr>
                      <w:rFonts w:hint="eastAsia"/>
                      <w:bCs/>
                      <w:szCs w:val="21"/>
                    </w:rPr>
                    <w:t>0</w:t>
                  </w:r>
                </w:p>
              </w:tc>
            </w:tr>
            <w:tr w14:paraId="25DC0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14:paraId="73DAF9AA">
                  <w:pPr>
                    <w:tabs>
                      <w:tab w:val="left" w:pos="735"/>
                    </w:tabs>
                    <w:snapToGrid w:val="0"/>
                    <w:jc w:val="center"/>
                    <w:rPr>
                      <w:bCs/>
                      <w:szCs w:val="21"/>
                    </w:rPr>
                  </w:pPr>
                  <w:r>
                    <w:rPr>
                      <w:bCs/>
                      <w:szCs w:val="21"/>
                    </w:rPr>
                    <w:t>备注</w:t>
                  </w:r>
                </w:p>
              </w:tc>
              <w:tc>
                <w:tcPr>
                  <w:tcW w:w="7460" w:type="dxa"/>
                  <w:gridSpan w:val="10"/>
                  <w:tcBorders>
                    <w:tl2br w:val="nil"/>
                    <w:tr2bl w:val="nil"/>
                  </w:tcBorders>
                  <w:vAlign w:val="center"/>
                </w:tcPr>
                <w:p w14:paraId="6C456661">
                  <w:pPr>
                    <w:tabs>
                      <w:tab w:val="left" w:pos="735"/>
                    </w:tabs>
                    <w:snapToGrid w:val="0"/>
                    <w:rPr>
                      <w:bCs/>
                      <w:szCs w:val="21"/>
                    </w:rPr>
                  </w:pPr>
                  <w:r>
                    <w:rPr>
                      <w:bCs/>
                      <w:szCs w:val="21"/>
                    </w:rPr>
                    <w:t>“</w:t>
                  </w:r>
                  <w:r>
                    <w:rPr>
                      <w:rFonts w:hint="eastAsia"/>
                      <w:bCs/>
                      <w:szCs w:val="21"/>
                    </w:rPr>
                    <w:t>ND</w:t>
                  </w:r>
                  <w:r>
                    <w:rPr>
                      <w:bCs/>
                      <w:szCs w:val="21"/>
                    </w:rPr>
                    <w:t>”表示监测值低于方法检出限值，报出值为检出限值。石油类参照地表水环境质量标准</w:t>
                  </w:r>
                  <w:r>
                    <w:rPr>
                      <w:b/>
                      <w:bCs/>
                      <w:szCs w:val="21"/>
                    </w:rPr>
                    <w:fldChar w:fldCharType="begin"/>
                  </w:r>
                  <w:r>
                    <w:rPr>
                      <w:b/>
                      <w:bCs/>
                      <w:szCs w:val="21"/>
                    </w:rPr>
                    <w:instrText xml:space="preserve"> = 3 \* ROMAN </w:instrText>
                  </w:r>
                  <w:r>
                    <w:rPr>
                      <w:b/>
                      <w:bCs/>
                      <w:szCs w:val="21"/>
                    </w:rPr>
                    <w:fldChar w:fldCharType="separate"/>
                  </w:r>
                  <w:r>
                    <w:rPr>
                      <w:b/>
                      <w:bCs/>
                      <w:szCs w:val="21"/>
                    </w:rPr>
                    <w:t>III</w:t>
                  </w:r>
                  <w:r>
                    <w:rPr>
                      <w:b/>
                      <w:bCs/>
                      <w:szCs w:val="21"/>
                    </w:rPr>
                    <w:fldChar w:fldCharType="end"/>
                  </w:r>
                  <w:r>
                    <w:rPr>
                      <w:b/>
                      <w:bCs/>
                      <w:szCs w:val="21"/>
                    </w:rPr>
                    <w:t>类标准值。</w:t>
                  </w:r>
                </w:p>
              </w:tc>
            </w:tr>
          </w:tbl>
          <w:p w14:paraId="53CB4D2B">
            <w:pPr>
              <w:spacing w:line="360" w:lineRule="auto"/>
              <w:ind w:firstLine="480" w:firstLineChars="200"/>
              <w:rPr>
                <w:bCs/>
                <w:sz w:val="24"/>
              </w:rPr>
            </w:pPr>
            <w:r>
              <w:rPr>
                <w:bCs/>
                <w:sz w:val="24"/>
              </w:rPr>
              <w:t>本次评价对地下水八大主要水化学离子进行了监测，并采用毫克当量百分数来评价地下水的水化学类型。</w:t>
            </w:r>
          </w:p>
          <w:p w14:paraId="395C450F">
            <w:pPr>
              <w:spacing w:line="360" w:lineRule="auto"/>
              <w:ind w:firstLine="480" w:firstLineChars="200"/>
              <w:rPr>
                <w:bCs/>
                <w:sz w:val="24"/>
              </w:rPr>
            </w:pPr>
            <w:r>
              <w:rPr>
                <w:bCs/>
                <w:sz w:val="24"/>
              </w:rPr>
              <w:t>地下水水化学离子监测结果见表</w:t>
            </w:r>
            <w:r>
              <w:rPr>
                <w:rFonts w:hint="eastAsia"/>
                <w:bCs/>
                <w:sz w:val="24"/>
              </w:rPr>
              <w:t>3</w:t>
            </w:r>
            <w:r>
              <w:rPr>
                <w:bCs/>
                <w:sz w:val="24"/>
              </w:rPr>
              <w:t>-7，化学离子当量浓度计算见表</w:t>
            </w:r>
            <w:r>
              <w:rPr>
                <w:rFonts w:hint="eastAsia"/>
                <w:bCs/>
                <w:sz w:val="24"/>
              </w:rPr>
              <w:t>3</w:t>
            </w:r>
            <w:r>
              <w:rPr>
                <w:bCs/>
                <w:sz w:val="24"/>
              </w:rPr>
              <w:t>-8。毫克当量百分数计算见表</w:t>
            </w:r>
            <w:r>
              <w:rPr>
                <w:rFonts w:hint="eastAsia"/>
                <w:bCs/>
                <w:sz w:val="24"/>
              </w:rPr>
              <w:t>3</w:t>
            </w:r>
            <w:r>
              <w:rPr>
                <w:bCs/>
                <w:sz w:val="24"/>
              </w:rPr>
              <w:t>-9。</w:t>
            </w:r>
          </w:p>
          <w:p w14:paraId="459710C6">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地下水化学离子监测结果  单位：mg/L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44"/>
              <w:gridCol w:w="683"/>
              <w:gridCol w:w="661"/>
              <w:gridCol w:w="694"/>
              <w:gridCol w:w="727"/>
              <w:gridCol w:w="773"/>
              <w:gridCol w:w="942"/>
              <w:gridCol w:w="672"/>
              <w:gridCol w:w="883"/>
            </w:tblGrid>
            <w:tr w14:paraId="0792C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shd w:val="clear" w:color="auto" w:fill="auto"/>
                  <w:vAlign w:val="center"/>
                </w:tcPr>
                <w:p w14:paraId="260EBB3D">
                  <w:pPr>
                    <w:adjustRightInd w:val="0"/>
                    <w:jc w:val="center"/>
                    <w:rPr>
                      <w:spacing w:val="6"/>
                      <w:szCs w:val="21"/>
                    </w:rPr>
                  </w:pPr>
                  <w:r>
                    <w:rPr>
                      <w:spacing w:val="6"/>
                      <w:szCs w:val="21"/>
                    </w:rPr>
                    <w:t>监测点位</w:t>
                  </w:r>
                </w:p>
              </w:tc>
              <w:tc>
                <w:tcPr>
                  <w:tcW w:w="1266" w:type="dxa"/>
                  <w:tcBorders>
                    <w:tl2br w:val="nil"/>
                    <w:tr2bl w:val="nil"/>
                  </w:tcBorders>
                  <w:shd w:val="clear" w:color="auto" w:fill="auto"/>
                  <w:vAlign w:val="center"/>
                </w:tcPr>
                <w:p w14:paraId="2777540C">
                  <w:pPr>
                    <w:adjustRightInd w:val="0"/>
                    <w:jc w:val="center"/>
                    <w:rPr>
                      <w:spacing w:val="6"/>
                      <w:szCs w:val="21"/>
                    </w:rPr>
                  </w:pPr>
                  <w:r>
                    <w:rPr>
                      <w:spacing w:val="6"/>
                      <w:szCs w:val="21"/>
                    </w:rPr>
                    <w:t>监测时间</w:t>
                  </w:r>
                </w:p>
              </w:tc>
              <w:tc>
                <w:tcPr>
                  <w:tcW w:w="693" w:type="dxa"/>
                  <w:tcBorders>
                    <w:tl2br w:val="nil"/>
                    <w:tr2bl w:val="nil"/>
                  </w:tcBorders>
                  <w:vAlign w:val="center"/>
                </w:tcPr>
                <w:p w14:paraId="038C13AC">
                  <w:pPr>
                    <w:adjustRightInd w:val="0"/>
                    <w:jc w:val="center"/>
                    <w:rPr>
                      <w:spacing w:val="6"/>
                      <w:szCs w:val="21"/>
                    </w:rPr>
                  </w:pPr>
                  <w:r>
                    <w:rPr>
                      <w:spacing w:val="6"/>
                      <w:szCs w:val="21"/>
                    </w:rPr>
                    <w:t>K</w:t>
                  </w:r>
                  <w:r>
                    <w:rPr>
                      <w:spacing w:val="6"/>
                      <w:szCs w:val="21"/>
                      <w:vertAlign w:val="superscript"/>
                    </w:rPr>
                    <w:t>+</w:t>
                  </w:r>
                </w:p>
              </w:tc>
              <w:tc>
                <w:tcPr>
                  <w:tcW w:w="670" w:type="dxa"/>
                  <w:tcBorders>
                    <w:tl2br w:val="nil"/>
                    <w:tr2bl w:val="nil"/>
                  </w:tcBorders>
                  <w:vAlign w:val="center"/>
                </w:tcPr>
                <w:p w14:paraId="0EA8D4A7">
                  <w:pPr>
                    <w:adjustRightInd w:val="0"/>
                    <w:jc w:val="center"/>
                    <w:rPr>
                      <w:spacing w:val="6"/>
                      <w:szCs w:val="21"/>
                    </w:rPr>
                  </w:pPr>
                  <w:r>
                    <w:rPr>
                      <w:spacing w:val="6"/>
                      <w:szCs w:val="21"/>
                    </w:rPr>
                    <w:t>Na</w:t>
                  </w:r>
                  <w:r>
                    <w:rPr>
                      <w:spacing w:val="6"/>
                      <w:szCs w:val="21"/>
                      <w:vertAlign w:val="superscript"/>
                    </w:rPr>
                    <w:t>+</w:t>
                  </w:r>
                </w:p>
              </w:tc>
              <w:tc>
                <w:tcPr>
                  <w:tcW w:w="704" w:type="dxa"/>
                  <w:tcBorders>
                    <w:tl2br w:val="nil"/>
                    <w:tr2bl w:val="nil"/>
                  </w:tcBorders>
                  <w:vAlign w:val="center"/>
                </w:tcPr>
                <w:p w14:paraId="5D1F3CCF">
                  <w:pPr>
                    <w:adjustRightInd w:val="0"/>
                    <w:jc w:val="center"/>
                    <w:rPr>
                      <w:spacing w:val="6"/>
                      <w:szCs w:val="21"/>
                    </w:rPr>
                  </w:pPr>
                  <w:r>
                    <w:rPr>
                      <w:spacing w:val="6"/>
                      <w:szCs w:val="21"/>
                    </w:rPr>
                    <w:t>Ca</w:t>
                  </w:r>
                  <w:r>
                    <w:rPr>
                      <w:spacing w:val="6"/>
                      <w:szCs w:val="21"/>
                      <w:vertAlign w:val="superscript"/>
                    </w:rPr>
                    <w:t>2+</w:t>
                  </w:r>
                </w:p>
              </w:tc>
              <w:tc>
                <w:tcPr>
                  <w:tcW w:w="738" w:type="dxa"/>
                  <w:tcBorders>
                    <w:tl2br w:val="nil"/>
                    <w:tr2bl w:val="nil"/>
                  </w:tcBorders>
                  <w:vAlign w:val="center"/>
                </w:tcPr>
                <w:p w14:paraId="5C45E7E0">
                  <w:pPr>
                    <w:adjustRightInd w:val="0"/>
                    <w:jc w:val="center"/>
                    <w:rPr>
                      <w:spacing w:val="6"/>
                      <w:szCs w:val="21"/>
                    </w:rPr>
                  </w:pPr>
                  <w:r>
                    <w:rPr>
                      <w:spacing w:val="6"/>
                      <w:szCs w:val="21"/>
                    </w:rPr>
                    <w:t>Mg</w:t>
                  </w:r>
                  <w:r>
                    <w:rPr>
                      <w:spacing w:val="6"/>
                      <w:szCs w:val="21"/>
                      <w:vertAlign w:val="superscript"/>
                    </w:rPr>
                    <w:t>2+</w:t>
                  </w:r>
                </w:p>
              </w:tc>
              <w:tc>
                <w:tcPr>
                  <w:tcW w:w="785" w:type="dxa"/>
                  <w:tcBorders>
                    <w:tl2br w:val="nil"/>
                    <w:tr2bl w:val="nil"/>
                  </w:tcBorders>
                  <w:vAlign w:val="center"/>
                </w:tcPr>
                <w:p w14:paraId="3FDE6BCF">
                  <w:pPr>
                    <w:adjustRightInd w:val="0"/>
                    <w:jc w:val="center"/>
                    <w:rPr>
                      <w:spacing w:val="6"/>
                      <w:szCs w:val="21"/>
                    </w:rPr>
                  </w:pPr>
                  <w:r>
                    <w:rPr>
                      <w:spacing w:val="6"/>
                      <w:szCs w:val="21"/>
                    </w:rPr>
                    <w:t>CO</w:t>
                  </w:r>
                  <w:r>
                    <w:rPr>
                      <w:spacing w:val="6"/>
                      <w:szCs w:val="21"/>
                      <w:vertAlign w:val="subscript"/>
                    </w:rPr>
                    <w:t>3</w:t>
                  </w:r>
                  <w:r>
                    <w:rPr>
                      <w:spacing w:val="6"/>
                      <w:szCs w:val="21"/>
                      <w:vertAlign w:val="superscript"/>
                    </w:rPr>
                    <w:t>2-</w:t>
                  </w:r>
                </w:p>
              </w:tc>
              <w:tc>
                <w:tcPr>
                  <w:tcW w:w="957" w:type="dxa"/>
                  <w:tcBorders>
                    <w:tl2br w:val="nil"/>
                    <w:tr2bl w:val="nil"/>
                  </w:tcBorders>
                  <w:vAlign w:val="center"/>
                </w:tcPr>
                <w:p w14:paraId="3EB025C9">
                  <w:pPr>
                    <w:adjustRightInd w:val="0"/>
                    <w:jc w:val="center"/>
                    <w:rPr>
                      <w:spacing w:val="6"/>
                      <w:szCs w:val="21"/>
                    </w:rPr>
                  </w:pPr>
                  <w:r>
                    <w:rPr>
                      <w:spacing w:val="6"/>
                      <w:szCs w:val="21"/>
                    </w:rPr>
                    <w:t>HCO</w:t>
                  </w:r>
                  <w:r>
                    <w:rPr>
                      <w:spacing w:val="6"/>
                      <w:szCs w:val="21"/>
                      <w:vertAlign w:val="subscript"/>
                    </w:rPr>
                    <w:t>3</w:t>
                  </w:r>
                  <w:r>
                    <w:rPr>
                      <w:spacing w:val="6"/>
                      <w:szCs w:val="21"/>
                    </w:rPr>
                    <w:t>-</w:t>
                  </w:r>
                </w:p>
              </w:tc>
              <w:tc>
                <w:tcPr>
                  <w:tcW w:w="681" w:type="dxa"/>
                  <w:tcBorders>
                    <w:tl2br w:val="nil"/>
                    <w:tr2bl w:val="nil"/>
                  </w:tcBorders>
                  <w:vAlign w:val="center"/>
                </w:tcPr>
                <w:p w14:paraId="3A952F86">
                  <w:pPr>
                    <w:adjustRightInd w:val="0"/>
                    <w:jc w:val="center"/>
                    <w:rPr>
                      <w:spacing w:val="6"/>
                      <w:szCs w:val="21"/>
                    </w:rPr>
                  </w:pPr>
                  <w:r>
                    <w:rPr>
                      <w:spacing w:val="6"/>
                      <w:szCs w:val="21"/>
                    </w:rPr>
                    <w:t>Cl</w:t>
                  </w:r>
                  <w:r>
                    <w:rPr>
                      <w:spacing w:val="6"/>
                      <w:szCs w:val="21"/>
                      <w:vertAlign w:val="superscript"/>
                    </w:rPr>
                    <w:t>-</w:t>
                  </w:r>
                </w:p>
              </w:tc>
              <w:tc>
                <w:tcPr>
                  <w:tcW w:w="897" w:type="dxa"/>
                  <w:tcBorders>
                    <w:tl2br w:val="nil"/>
                    <w:tr2bl w:val="nil"/>
                  </w:tcBorders>
                  <w:vAlign w:val="center"/>
                </w:tcPr>
                <w:p w14:paraId="07F036B1">
                  <w:pPr>
                    <w:adjustRightInd w:val="0"/>
                    <w:jc w:val="center"/>
                    <w:rPr>
                      <w:spacing w:val="6"/>
                      <w:szCs w:val="21"/>
                    </w:rPr>
                  </w:pPr>
                  <w:r>
                    <w:rPr>
                      <w:spacing w:val="6"/>
                      <w:szCs w:val="21"/>
                    </w:rPr>
                    <w:t>SO</w:t>
                  </w:r>
                  <w:r>
                    <w:rPr>
                      <w:spacing w:val="6"/>
                      <w:szCs w:val="21"/>
                      <w:vertAlign w:val="subscript"/>
                    </w:rPr>
                    <w:t>4</w:t>
                  </w:r>
                  <w:r>
                    <w:rPr>
                      <w:spacing w:val="6"/>
                      <w:szCs w:val="21"/>
                      <w:vertAlign w:val="superscript"/>
                    </w:rPr>
                    <w:t>2-</w:t>
                  </w:r>
                </w:p>
              </w:tc>
            </w:tr>
            <w:tr w14:paraId="2EA2C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vAlign w:val="center"/>
                </w:tcPr>
                <w:p w14:paraId="38AE3A9C">
                  <w:pPr>
                    <w:adjustRightInd w:val="0"/>
                    <w:jc w:val="center"/>
                    <w:rPr>
                      <w:spacing w:val="6"/>
                      <w:szCs w:val="21"/>
                    </w:rPr>
                  </w:pPr>
                  <w:r>
                    <w:rPr>
                      <w:spacing w:val="6"/>
                      <w:szCs w:val="21"/>
                    </w:rPr>
                    <w:t>D1</w:t>
                  </w:r>
                </w:p>
              </w:tc>
              <w:tc>
                <w:tcPr>
                  <w:tcW w:w="1266" w:type="dxa"/>
                  <w:tcBorders>
                    <w:tl2br w:val="nil"/>
                    <w:tr2bl w:val="nil"/>
                  </w:tcBorders>
                  <w:vAlign w:val="center"/>
                </w:tcPr>
                <w:p w14:paraId="7D358F20">
                  <w:pPr>
                    <w:adjustRightInd w:val="0"/>
                    <w:jc w:val="center"/>
                    <w:rPr>
                      <w:spacing w:val="6"/>
                      <w:szCs w:val="21"/>
                    </w:rPr>
                  </w:pPr>
                  <w:r>
                    <w:rPr>
                      <w:spacing w:val="6"/>
                      <w:szCs w:val="21"/>
                    </w:rPr>
                    <w:t>2025.2.27</w:t>
                  </w:r>
                </w:p>
              </w:tc>
              <w:tc>
                <w:tcPr>
                  <w:tcW w:w="693" w:type="dxa"/>
                  <w:tcBorders>
                    <w:tl2br w:val="nil"/>
                    <w:tr2bl w:val="nil"/>
                  </w:tcBorders>
                  <w:vAlign w:val="bottom"/>
                </w:tcPr>
                <w:p w14:paraId="56DE7A35">
                  <w:pPr>
                    <w:widowControl/>
                    <w:jc w:val="center"/>
                    <w:textAlignment w:val="bottom"/>
                    <w:rPr>
                      <w:spacing w:val="6"/>
                      <w:szCs w:val="21"/>
                    </w:rPr>
                  </w:pPr>
                  <w:r>
                    <w:rPr>
                      <w:rFonts w:hint="eastAsia"/>
                      <w:bCs/>
                      <w:sz w:val="21"/>
                      <w:szCs w:val="21"/>
                      <w:lang w:val="en-US" w:eastAsia="zh-CN"/>
                    </w:rPr>
                    <w:t>*</w:t>
                  </w:r>
                </w:p>
              </w:tc>
              <w:tc>
                <w:tcPr>
                  <w:tcW w:w="670" w:type="dxa"/>
                  <w:tcBorders>
                    <w:tl2br w:val="nil"/>
                    <w:tr2bl w:val="nil"/>
                  </w:tcBorders>
                  <w:vAlign w:val="bottom"/>
                </w:tcPr>
                <w:p w14:paraId="77C95FF8">
                  <w:pPr>
                    <w:widowControl/>
                    <w:jc w:val="center"/>
                    <w:textAlignment w:val="bottom"/>
                    <w:rPr>
                      <w:spacing w:val="6"/>
                      <w:szCs w:val="21"/>
                    </w:rPr>
                  </w:pPr>
                  <w:r>
                    <w:rPr>
                      <w:rFonts w:hint="eastAsia"/>
                      <w:bCs/>
                      <w:sz w:val="21"/>
                      <w:szCs w:val="21"/>
                      <w:lang w:val="en-US" w:eastAsia="zh-CN"/>
                    </w:rPr>
                    <w:t>*</w:t>
                  </w:r>
                </w:p>
              </w:tc>
              <w:tc>
                <w:tcPr>
                  <w:tcW w:w="704" w:type="dxa"/>
                  <w:tcBorders>
                    <w:tl2br w:val="nil"/>
                    <w:tr2bl w:val="nil"/>
                  </w:tcBorders>
                  <w:vAlign w:val="bottom"/>
                </w:tcPr>
                <w:p w14:paraId="12300A69">
                  <w:pPr>
                    <w:widowControl/>
                    <w:jc w:val="center"/>
                    <w:textAlignment w:val="bottom"/>
                    <w:rPr>
                      <w:spacing w:val="6"/>
                      <w:szCs w:val="21"/>
                    </w:rPr>
                  </w:pPr>
                  <w:r>
                    <w:rPr>
                      <w:rFonts w:hint="eastAsia"/>
                      <w:bCs/>
                      <w:sz w:val="21"/>
                      <w:szCs w:val="21"/>
                      <w:lang w:val="en-US" w:eastAsia="zh-CN"/>
                    </w:rPr>
                    <w:t>*</w:t>
                  </w:r>
                </w:p>
              </w:tc>
              <w:tc>
                <w:tcPr>
                  <w:tcW w:w="738" w:type="dxa"/>
                  <w:tcBorders>
                    <w:tl2br w:val="nil"/>
                    <w:tr2bl w:val="nil"/>
                  </w:tcBorders>
                  <w:vAlign w:val="bottom"/>
                </w:tcPr>
                <w:p w14:paraId="01F1633B">
                  <w:pPr>
                    <w:widowControl/>
                    <w:jc w:val="center"/>
                    <w:textAlignment w:val="bottom"/>
                    <w:rPr>
                      <w:spacing w:val="6"/>
                      <w:szCs w:val="21"/>
                    </w:rPr>
                  </w:pPr>
                  <w:r>
                    <w:rPr>
                      <w:rFonts w:hint="eastAsia"/>
                      <w:bCs/>
                      <w:sz w:val="21"/>
                      <w:szCs w:val="21"/>
                      <w:lang w:val="en-US" w:eastAsia="zh-CN"/>
                    </w:rPr>
                    <w:t>*</w:t>
                  </w:r>
                </w:p>
              </w:tc>
              <w:tc>
                <w:tcPr>
                  <w:tcW w:w="785" w:type="dxa"/>
                  <w:tcBorders>
                    <w:tl2br w:val="nil"/>
                    <w:tr2bl w:val="nil"/>
                  </w:tcBorders>
                  <w:vAlign w:val="bottom"/>
                </w:tcPr>
                <w:p w14:paraId="5F357100">
                  <w:pPr>
                    <w:adjustRightInd w:val="0"/>
                    <w:jc w:val="center"/>
                    <w:rPr>
                      <w:spacing w:val="6"/>
                      <w:szCs w:val="21"/>
                    </w:rPr>
                  </w:pPr>
                  <w:r>
                    <w:rPr>
                      <w:rFonts w:hint="eastAsia"/>
                      <w:bCs/>
                      <w:sz w:val="21"/>
                      <w:szCs w:val="21"/>
                      <w:lang w:val="en-US" w:eastAsia="zh-CN"/>
                    </w:rPr>
                    <w:t>*</w:t>
                  </w:r>
                </w:p>
              </w:tc>
              <w:tc>
                <w:tcPr>
                  <w:tcW w:w="957" w:type="dxa"/>
                  <w:tcBorders>
                    <w:tl2br w:val="nil"/>
                    <w:tr2bl w:val="nil"/>
                  </w:tcBorders>
                  <w:vAlign w:val="center"/>
                </w:tcPr>
                <w:p w14:paraId="0E151F82">
                  <w:pPr>
                    <w:adjustRightInd w:val="0"/>
                    <w:jc w:val="center"/>
                    <w:rPr>
                      <w:spacing w:val="6"/>
                      <w:szCs w:val="21"/>
                    </w:rPr>
                  </w:pPr>
                  <w:r>
                    <w:rPr>
                      <w:rFonts w:hint="eastAsia"/>
                      <w:bCs/>
                      <w:sz w:val="21"/>
                      <w:szCs w:val="21"/>
                      <w:lang w:val="en-US" w:eastAsia="zh-CN"/>
                    </w:rPr>
                    <w:t>*</w:t>
                  </w:r>
                </w:p>
              </w:tc>
              <w:tc>
                <w:tcPr>
                  <w:tcW w:w="681" w:type="dxa"/>
                  <w:tcBorders>
                    <w:tl2br w:val="nil"/>
                    <w:tr2bl w:val="nil"/>
                  </w:tcBorders>
                  <w:vAlign w:val="bottom"/>
                </w:tcPr>
                <w:p w14:paraId="2E814EC9">
                  <w:pPr>
                    <w:adjustRightInd w:val="0"/>
                    <w:jc w:val="center"/>
                    <w:rPr>
                      <w:spacing w:val="6"/>
                      <w:szCs w:val="21"/>
                    </w:rPr>
                  </w:pPr>
                  <w:r>
                    <w:rPr>
                      <w:rFonts w:hint="eastAsia"/>
                      <w:bCs/>
                      <w:sz w:val="21"/>
                      <w:szCs w:val="21"/>
                      <w:lang w:val="en-US" w:eastAsia="zh-CN"/>
                    </w:rPr>
                    <w:t>*</w:t>
                  </w:r>
                </w:p>
              </w:tc>
              <w:tc>
                <w:tcPr>
                  <w:tcW w:w="897" w:type="dxa"/>
                  <w:tcBorders>
                    <w:tl2br w:val="nil"/>
                    <w:tr2bl w:val="nil"/>
                  </w:tcBorders>
                  <w:vAlign w:val="bottom"/>
                </w:tcPr>
                <w:p w14:paraId="12A49F27">
                  <w:pPr>
                    <w:adjustRightInd w:val="0"/>
                    <w:jc w:val="center"/>
                    <w:rPr>
                      <w:spacing w:val="6"/>
                      <w:szCs w:val="21"/>
                    </w:rPr>
                  </w:pPr>
                  <w:r>
                    <w:rPr>
                      <w:rFonts w:hint="eastAsia"/>
                      <w:bCs/>
                      <w:sz w:val="21"/>
                      <w:szCs w:val="21"/>
                      <w:lang w:val="en-US" w:eastAsia="zh-CN"/>
                    </w:rPr>
                    <w:t>*</w:t>
                  </w:r>
                </w:p>
              </w:tc>
            </w:tr>
            <w:tr w14:paraId="264BA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vAlign w:val="center"/>
                </w:tcPr>
                <w:p w14:paraId="7CBB8BDD">
                  <w:pPr>
                    <w:adjustRightInd w:val="0"/>
                    <w:jc w:val="center"/>
                    <w:rPr>
                      <w:spacing w:val="6"/>
                      <w:szCs w:val="21"/>
                    </w:rPr>
                  </w:pPr>
                  <w:r>
                    <w:rPr>
                      <w:spacing w:val="6"/>
                      <w:szCs w:val="21"/>
                    </w:rPr>
                    <w:t>D2</w:t>
                  </w:r>
                </w:p>
              </w:tc>
              <w:tc>
                <w:tcPr>
                  <w:tcW w:w="1266" w:type="dxa"/>
                  <w:tcBorders>
                    <w:tl2br w:val="nil"/>
                    <w:tr2bl w:val="nil"/>
                  </w:tcBorders>
                  <w:vAlign w:val="center"/>
                </w:tcPr>
                <w:p w14:paraId="3FE5F21C">
                  <w:pPr>
                    <w:adjustRightInd w:val="0"/>
                    <w:jc w:val="center"/>
                    <w:rPr>
                      <w:spacing w:val="6"/>
                      <w:szCs w:val="21"/>
                    </w:rPr>
                  </w:pPr>
                  <w:r>
                    <w:rPr>
                      <w:spacing w:val="6"/>
                      <w:szCs w:val="21"/>
                    </w:rPr>
                    <w:t>2025.2.27</w:t>
                  </w:r>
                </w:p>
              </w:tc>
              <w:tc>
                <w:tcPr>
                  <w:tcW w:w="693" w:type="dxa"/>
                  <w:tcBorders>
                    <w:tl2br w:val="nil"/>
                    <w:tr2bl w:val="nil"/>
                  </w:tcBorders>
                  <w:vAlign w:val="bottom"/>
                </w:tcPr>
                <w:p w14:paraId="7851D610">
                  <w:pPr>
                    <w:widowControl/>
                    <w:jc w:val="center"/>
                    <w:textAlignment w:val="bottom"/>
                    <w:rPr>
                      <w:spacing w:val="6"/>
                      <w:szCs w:val="21"/>
                    </w:rPr>
                  </w:pPr>
                  <w:r>
                    <w:rPr>
                      <w:rFonts w:hint="eastAsia"/>
                      <w:bCs/>
                      <w:sz w:val="21"/>
                      <w:szCs w:val="21"/>
                      <w:lang w:val="en-US" w:eastAsia="zh-CN"/>
                    </w:rPr>
                    <w:t>*</w:t>
                  </w:r>
                </w:p>
              </w:tc>
              <w:tc>
                <w:tcPr>
                  <w:tcW w:w="670" w:type="dxa"/>
                  <w:tcBorders>
                    <w:tl2br w:val="nil"/>
                    <w:tr2bl w:val="nil"/>
                  </w:tcBorders>
                  <w:vAlign w:val="bottom"/>
                </w:tcPr>
                <w:p w14:paraId="5C060E21">
                  <w:pPr>
                    <w:widowControl/>
                    <w:jc w:val="center"/>
                    <w:textAlignment w:val="bottom"/>
                    <w:rPr>
                      <w:spacing w:val="6"/>
                      <w:szCs w:val="21"/>
                    </w:rPr>
                  </w:pPr>
                  <w:r>
                    <w:rPr>
                      <w:rFonts w:hint="eastAsia"/>
                      <w:bCs/>
                      <w:sz w:val="21"/>
                      <w:szCs w:val="21"/>
                      <w:lang w:val="en-US" w:eastAsia="zh-CN"/>
                    </w:rPr>
                    <w:t>*</w:t>
                  </w:r>
                </w:p>
              </w:tc>
              <w:tc>
                <w:tcPr>
                  <w:tcW w:w="704" w:type="dxa"/>
                  <w:tcBorders>
                    <w:tl2br w:val="nil"/>
                    <w:tr2bl w:val="nil"/>
                  </w:tcBorders>
                  <w:vAlign w:val="bottom"/>
                </w:tcPr>
                <w:p w14:paraId="46C75F4A">
                  <w:pPr>
                    <w:widowControl/>
                    <w:jc w:val="center"/>
                    <w:textAlignment w:val="bottom"/>
                    <w:rPr>
                      <w:spacing w:val="6"/>
                      <w:szCs w:val="21"/>
                    </w:rPr>
                  </w:pPr>
                  <w:r>
                    <w:rPr>
                      <w:rFonts w:hint="eastAsia"/>
                      <w:bCs/>
                      <w:sz w:val="21"/>
                      <w:szCs w:val="21"/>
                      <w:lang w:val="en-US" w:eastAsia="zh-CN"/>
                    </w:rPr>
                    <w:t>*</w:t>
                  </w:r>
                </w:p>
              </w:tc>
              <w:tc>
                <w:tcPr>
                  <w:tcW w:w="738" w:type="dxa"/>
                  <w:tcBorders>
                    <w:tl2br w:val="nil"/>
                    <w:tr2bl w:val="nil"/>
                  </w:tcBorders>
                  <w:vAlign w:val="bottom"/>
                </w:tcPr>
                <w:p w14:paraId="36697D90">
                  <w:pPr>
                    <w:widowControl/>
                    <w:jc w:val="center"/>
                    <w:textAlignment w:val="bottom"/>
                    <w:rPr>
                      <w:spacing w:val="6"/>
                      <w:szCs w:val="21"/>
                    </w:rPr>
                  </w:pPr>
                  <w:r>
                    <w:rPr>
                      <w:rFonts w:hint="eastAsia"/>
                      <w:bCs/>
                      <w:sz w:val="21"/>
                      <w:szCs w:val="21"/>
                      <w:lang w:val="en-US" w:eastAsia="zh-CN"/>
                    </w:rPr>
                    <w:t>*</w:t>
                  </w:r>
                </w:p>
              </w:tc>
              <w:tc>
                <w:tcPr>
                  <w:tcW w:w="785" w:type="dxa"/>
                  <w:tcBorders>
                    <w:tl2br w:val="nil"/>
                    <w:tr2bl w:val="nil"/>
                  </w:tcBorders>
                  <w:vAlign w:val="bottom"/>
                </w:tcPr>
                <w:p w14:paraId="2A0DBFEE">
                  <w:pPr>
                    <w:adjustRightInd w:val="0"/>
                    <w:jc w:val="center"/>
                    <w:rPr>
                      <w:spacing w:val="6"/>
                      <w:szCs w:val="21"/>
                    </w:rPr>
                  </w:pPr>
                  <w:r>
                    <w:rPr>
                      <w:rFonts w:hint="eastAsia"/>
                      <w:bCs/>
                      <w:sz w:val="21"/>
                      <w:szCs w:val="21"/>
                      <w:lang w:val="en-US" w:eastAsia="zh-CN"/>
                    </w:rPr>
                    <w:t>*</w:t>
                  </w:r>
                </w:p>
              </w:tc>
              <w:tc>
                <w:tcPr>
                  <w:tcW w:w="957" w:type="dxa"/>
                  <w:tcBorders>
                    <w:tl2br w:val="nil"/>
                    <w:tr2bl w:val="nil"/>
                  </w:tcBorders>
                  <w:vAlign w:val="center"/>
                </w:tcPr>
                <w:p w14:paraId="412A6A5F">
                  <w:pPr>
                    <w:adjustRightInd w:val="0"/>
                    <w:jc w:val="center"/>
                    <w:rPr>
                      <w:spacing w:val="6"/>
                      <w:szCs w:val="21"/>
                    </w:rPr>
                  </w:pPr>
                  <w:r>
                    <w:rPr>
                      <w:rFonts w:hint="eastAsia"/>
                      <w:bCs/>
                      <w:sz w:val="21"/>
                      <w:szCs w:val="21"/>
                      <w:lang w:val="en-US" w:eastAsia="zh-CN"/>
                    </w:rPr>
                    <w:t>*</w:t>
                  </w:r>
                </w:p>
              </w:tc>
              <w:tc>
                <w:tcPr>
                  <w:tcW w:w="681" w:type="dxa"/>
                  <w:tcBorders>
                    <w:tl2br w:val="nil"/>
                    <w:tr2bl w:val="nil"/>
                  </w:tcBorders>
                  <w:vAlign w:val="bottom"/>
                </w:tcPr>
                <w:p w14:paraId="5F950AEE">
                  <w:pPr>
                    <w:adjustRightInd w:val="0"/>
                    <w:jc w:val="center"/>
                    <w:rPr>
                      <w:spacing w:val="6"/>
                      <w:szCs w:val="21"/>
                    </w:rPr>
                  </w:pPr>
                  <w:r>
                    <w:rPr>
                      <w:rFonts w:hint="eastAsia"/>
                      <w:bCs/>
                      <w:sz w:val="21"/>
                      <w:szCs w:val="21"/>
                      <w:lang w:val="en-US" w:eastAsia="zh-CN"/>
                    </w:rPr>
                    <w:t>*</w:t>
                  </w:r>
                </w:p>
              </w:tc>
              <w:tc>
                <w:tcPr>
                  <w:tcW w:w="897" w:type="dxa"/>
                  <w:tcBorders>
                    <w:tl2br w:val="nil"/>
                    <w:tr2bl w:val="nil"/>
                  </w:tcBorders>
                  <w:vAlign w:val="bottom"/>
                </w:tcPr>
                <w:p w14:paraId="4B8FC539">
                  <w:pPr>
                    <w:adjustRightInd w:val="0"/>
                    <w:jc w:val="center"/>
                    <w:rPr>
                      <w:spacing w:val="6"/>
                      <w:szCs w:val="21"/>
                    </w:rPr>
                  </w:pPr>
                  <w:r>
                    <w:rPr>
                      <w:rFonts w:hint="eastAsia"/>
                      <w:bCs/>
                      <w:sz w:val="21"/>
                      <w:szCs w:val="21"/>
                      <w:lang w:val="en-US" w:eastAsia="zh-CN"/>
                    </w:rPr>
                    <w:t>*</w:t>
                  </w:r>
                </w:p>
              </w:tc>
            </w:tr>
            <w:tr w14:paraId="3DF2C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vAlign w:val="center"/>
                </w:tcPr>
                <w:p w14:paraId="046CD658">
                  <w:pPr>
                    <w:adjustRightInd w:val="0"/>
                    <w:jc w:val="center"/>
                    <w:rPr>
                      <w:spacing w:val="6"/>
                      <w:szCs w:val="21"/>
                    </w:rPr>
                  </w:pPr>
                  <w:r>
                    <w:rPr>
                      <w:spacing w:val="6"/>
                      <w:szCs w:val="21"/>
                    </w:rPr>
                    <w:t>D3</w:t>
                  </w:r>
                </w:p>
              </w:tc>
              <w:tc>
                <w:tcPr>
                  <w:tcW w:w="1266" w:type="dxa"/>
                  <w:tcBorders>
                    <w:tl2br w:val="nil"/>
                    <w:tr2bl w:val="nil"/>
                  </w:tcBorders>
                  <w:vAlign w:val="center"/>
                </w:tcPr>
                <w:p w14:paraId="231B9223">
                  <w:pPr>
                    <w:adjustRightInd w:val="0"/>
                    <w:jc w:val="center"/>
                    <w:rPr>
                      <w:spacing w:val="6"/>
                      <w:szCs w:val="21"/>
                    </w:rPr>
                  </w:pPr>
                  <w:r>
                    <w:rPr>
                      <w:spacing w:val="6"/>
                      <w:szCs w:val="21"/>
                    </w:rPr>
                    <w:t>2025.2.27</w:t>
                  </w:r>
                </w:p>
              </w:tc>
              <w:tc>
                <w:tcPr>
                  <w:tcW w:w="693" w:type="dxa"/>
                  <w:tcBorders>
                    <w:tl2br w:val="nil"/>
                    <w:tr2bl w:val="nil"/>
                  </w:tcBorders>
                  <w:vAlign w:val="bottom"/>
                </w:tcPr>
                <w:p w14:paraId="0C55FA0F">
                  <w:pPr>
                    <w:widowControl/>
                    <w:jc w:val="center"/>
                    <w:textAlignment w:val="bottom"/>
                    <w:rPr>
                      <w:spacing w:val="6"/>
                      <w:szCs w:val="21"/>
                    </w:rPr>
                  </w:pPr>
                  <w:r>
                    <w:rPr>
                      <w:rFonts w:hint="eastAsia"/>
                      <w:bCs/>
                      <w:sz w:val="21"/>
                      <w:szCs w:val="21"/>
                      <w:lang w:val="en-US" w:eastAsia="zh-CN"/>
                    </w:rPr>
                    <w:t>*</w:t>
                  </w:r>
                </w:p>
              </w:tc>
              <w:tc>
                <w:tcPr>
                  <w:tcW w:w="670" w:type="dxa"/>
                  <w:tcBorders>
                    <w:tl2br w:val="nil"/>
                    <w:tr2bl w:val="nil"/>
                  </w:tcBorders>
                  <w:vAlign w:val="bottom"/>
                </w:tcPr>
                <w:p w14:paraId="34F98861">
                  <w:pPr>
                    <w:widowControl/>
                    <w:jc w:val="center"/>
                    <w:textAlignment w:val="bottom"/>
                    <w:rPr>
                      <w:spacing w:val="6"/>
                      <w:szCs w:val="21"/>
                    </w:rPr>
                  </w:pPr>
                  <w:r>
                    <w:rPr>
                      <w:rFonts w:hint="eastAsia"/>
                      <w:bCs/>
                      <w:sz w:val="21"/>
                      <w:szCs w:val="21"/>
                      <w:lang w:val="en-US" w:eastAsia="zh-CN"/>
                    </w:rPr>
                    <w:t>*</w:t>
                  </w:r>
                </w:p>
              </w:tc>
              <w:tc>
                <w:tcPr>
                  <w:tcW w:w="704" w:type="dxa"/>
                  <w:tcBorders>
                    <w:tl2br w:val="nil"/>
                    <w:tr2bl w:val="nil"/>
                  </w:tcBorders>
                  <w:vAlign w:val="bottom"/>
                </w:tcPr>
                <w:p w14:paraId="28F0FD3F">
                  <w:pPr>
                    <w:widowControl/>
                    <w:jc w:val="center"/>
                    <w:textAlignment w:val="bottom"/>
                    <w:rPr>
                      <w:spacing w:val="6"/>
                      <w:szCs w:val="21"/>
                    </w:rPr>
                  </w:pPr>
                  <w:r>
                    <w:rPr>
                      <w:rFonts w:hint="eastAsia"/>
                      <w:bCs/>
                      <w:sz w:val="21"/>
                      <w:szCs w:val="21"/>
                      <w:lang w:val="en-US" w:eastAsia="zh-CN"/>
                    </w:rPr>
                    <w:t>*</w:t>
                  </w:r>
                </w:p>
              </w:tc>
              <w:tc>
                <w:tcPr>
                  <w:tcW w:w="738" w:type="dxa"/>
                  <w:tcBorders>
                    <w:tl2br w:val="nil"/>
                    <w:tr2bl w:val="nil"/>
                  </w:tcBorders>
                  <w:vAlign w:val="bottom"/>
                </w:tcPr>
                <w:p w14:paraId="727C861F">
                  <w:pPr>
                    <w:widowControl/>
                    <w:jc w:val="center"/>
                    <w:textAlignment w:val="bottom"/>
                    <w:rPr>
                      <w:spacing w:val="6"/>
                      <w:szCs w:val="21"/>
                    </w:rPr>
                  </w:pPr>
                  <w:r>
                    <w:rPr>
                      <w:rFonts w:hint="eastAsia"/>
                      <w:bCs/>
                      <w:sz w:val="21"/>
                      <w:szCs w:val="21"/>
                      <w:lang w:val="en-US" w:eastAsia="zh-CN"/>
                    </w:rPr>
                    <w:t>*</w:t>
                  </w:r>
                </w:p>
              </w:tc>
              <w:tc>
                <w:tcPr>
                  <w:tcW w:w="785" w:type="dxa"/>
                  <w:tcBorders>
                    <w:tl2br w:val="nil"/>
                    <w:tr2bl w:val="nil"/>
                  </w:tcBorders>
                  <w:vAlign w:val="bottom"/>
                </w:tcPr>
                <w:p w14:paraId="20EC4C88">
                  <w:pPr>
                    <w:adjustRightInd w:val="0"/>
                    <w:jc w:val="center"/>
                    <w:rPr>
                      <w:spacing w:val="6"/>
                      <w:szCs w:val="21"/>
                    </w:rPr>
                  </w:pPr>
                  <w:r>
                    <w:rPr>
                      <w:rFonts w:hint="eastAsia"/>
                      <w:bCs/>
                      <w:sz w:val="21"/>
                      <w:szCs w:val="21"/>
                      <w:lang w:val="en-US" w:eastAsia="zh-CN"/>
                    </w:rPr>
                    <w:t>*</w:t>
                  </w:r>
                </w:p>
              </w:tc>
              <w:tc>
                <w:tcPr>
                  <w:tcW w:w="957" w:type="dxa"/>
                  <w:tcBorders>
                    <w:tl2br w:val="nil"/>
                    <w:tr2bl w:val="nil"/>
                  </w:tcBorders>
                  <w:vAlign w:val="center"/>
                </w:tcPr>
                <w:p w14:paraId="74FCA712">
                  <w:pPr>
                    <w:adjustRightInd w:val="0"/>
                    <w:jc w:val="center"/>
                    <w:rPr>
                      <w:spacing w:val="6"/>
                      <w:szCs w:val="21"/>
                    </w:rPr>
                  </w:pPr>
                  <w:r>
                    <w:rPr>
                      <w:rFonts w:hint="eastAsia"/>
                      <w:bCs/>
                      <w:sz w:val="21"/>
                      <w:szCs w:val="21"/>
                      <w:lang w:val="en-US" w:eastAsia="zh-CN"/>
                    </w:rPr>
                    <w:t>*</w:t>
                  </w:r>
                </w:p>
              </w:tc>
              <w:tc>
                <w:tcPr>
                  <w:tcW w:w="681" w:type="dxa"/>
                  <w:tcBorders>
                    <w:tl2br w:val="nil"/>
                    <w:tr2bl w:val="nil"/>
                  </w:tcBorders>
                  <w:vAlign w:val="bottom"/>
                </w:tcPr>
                <w:p w14:paraId="4DB0008F">
                  <w:pPr>
                    <w:adjustRightInd w:val="0"/>
                    <w:jc w:val="center"/>
                    <w:rPr>
                      <w:spacing w:val="6"/>
                      <w:szCs w:val="21"/>
                    </w:rPr>
                  </w:pPr>
                  <w:r>
                    <w:rPr>
                      <w:rFonts w:hint="eastAsia"/>
                      <w:bCs/>
                      <w:sz w:val="21"/>
                      <w:szCs w:val="21"/>
                      <w:lang w:val="en-US" w:eastAsia="zh-CN"/>
                    </w:rPr>
                    <w:t>*</w:t>
                  </w:r>
                </w:p>
              </w:tc>
              <w:tc>
                <w:tcPr>
                  <w:tcW w:w="897" w:type="dxa"/>
                  <w:tcBorders>
                    <w:tl2br w:val="nil"/>
                    <w:tr2bl w:val="nil"/>
                  </w:tcBorders>
                  <w:vAlign w:val="bottom"/>
                </w:tcPr>
                <w:p w14:paraId="297FCDB7">
                  <w:pPr>
                    <w:adjustRightInd w:val="0"/>
                    <w:jc w:val="center"/>
                    <w:rPr>
                      <w:spacing w:val="6"/>
                      <w:szCs w:val="21"/>
                    </w:rPr>
                  </w:pPr>
                  <w:r>
                    <w:rPr>
                      <w:rFonts w:hint="eastAsia"/>
                      <w:bCs/>
                      <w:sz w:val="21"/>
                      <w:szCs w:val="21"/>
                      <w:lang w:val="en-US" w:eastAsia="zh-CN"/>
                    </w:rPr>
                    <w:t>*</w:t>
                  </w:r>
                </w:p>
              </w:tc>
            </w:tr>
            <w:tr w14:paraId="18D2B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vAlign w:val="center"/>
                </w:tcPr>
                <w:p w14:paraId="15BC1391">
                  <w:pPr>
                    <w:adjustRightInd w:val="0"/>
                    <w:jc w:val="center"/>
                    <w:rPr>
                      <w:spacing w:val="6"/>
                      <w:szCs w:val="21"/>
                    </w:rPr>
                  </w:pPr>
                  <w:r>
                    <w:rPr>
                      <w:spacing w:val="6"/>
                      <w:szCs w:val="21"/>
                    </w:rPr>
                    <w:t>D4</w:t>
                  </w:r>
                </w:p>
              </w:tc>
              <w:tc>
                <w:tcPr>
                  <w:tcW w:w="1266" w:type="dxa"/>
                  <w:tcBorders>
                    <w:tl2br w:val="nil"/>
                    <w:tr2bl w:val="nil"/>
                  </w:tcBorders>
                  <w:vAlign w:val="center"/>
                </w:tcPr>
                <w:p w14:paraId="038A2DF6">
                  <w:pPr>
                    <w:adjustRightInd w:val="0"/>
                    <w:jc w:val="center"/>
                    <w:rPr>
                      <w:spacing w:val="6"/>
                      <w:szCs w:val="21"/>
                    </w:rPr>
                  </w:pPr>
                  <w:r>
                    <w:rPr>
                      <w:spacing w:val="6"/>
                      <w:szCs w:val="21"/>
                    </w:rPr>
                    <w:t>2025.2.27</w:t>
                  </w:r>
                </w:p>
              </w:tc>
              <w:tc>
                <w:tcPr>
                  <w:tcW w:w="693" w:type="dxa"/>
                  <w:tcBorders>
                    <w:tl2br w:val="nil"/>
                    <w:tr2bl w:val="nil"/>
                  </w:tcBorders>
                  <w:vAlign w:val="bottom"/>
                </w:tcPr>
                <w:p w14:paraId="68D5F87E">
                  <w:pPr>
                    <w:widowControl/>
                    <w:jc w:val="center"/>
                    <w:textAlignment w:val="bottom"/>
                    <w:rPr>
                      <w:spacing w:val="6"/>
                      <w:szCs w:val="21"/>
                    </w:rPr>
                  </w:pPr>
                  <w:r>
                    <w:rPr>
                      <w:rFonts w:hint="eastAsia"/>
                      <w:bCs/>
                      <w:sz w:val="21"/>
                      <w:szCs w:val="21"/>
                      <w:lang w:val="en-US" w:eastAsia="zh-CN"/>
                    </w:rPr>
                    <w:t>*</w:t>
                  </w:r>
                </w:p>
              </w:tc>
              <w:tc>
                <w:tcPr>
                  <w:tcW w:w="670" w:type="dxa"/>
                  <w:tcBorders>
                    <w:tl2br w:val="nil"/>
                    <w:tr2bl w:val="nil"/>
                  </w:tcBorders>
                  <w:vAlign w:val="bottom"/>
                </w:tcPr>
                <w:p w14:paraId="7465F9A1">
                  <w:pPr>
                    <w:widowControl/>
                    <w:jc w:val="center"/>
                    <w:textAlignment w:val="bottom"/>
                    <w:rPr>
                      <w:spacing w:val="6"/>
                      <w:szCs w:val="21"/>
                    </w:rPr>
                  </w:pPr>
                  <w:r>
                    <w:rPr>
                      <w:rFonts w:hint="eastAsia"/>
                      <w:bCs/>
                      <w:sz w:val="21"/>
                      <w:szCs w:val="21"/>
                      <w:lang w:val="en-US" w:eastAsia="zh-CN"/>
                    </w:rPr>
                    <w:t>*</w:t>
                  </w:r>
                </w:p>
              </w:tc>
              <w:tc>
                <w:tcPr>
                  <w:tcW w:w="704" w:type="dxa"/>
                  <w:tcBorders>
                    <w:tl2br w:val="nil"/>
                    <w:tr2bl w:val="nil"/>
                  </w:tcBorders>
                  <w:vAlign w:val="bottom"/>
                </w:tcPr>
                <w:p w14:paraId="1872B6AA">
                  <w:pPr>
                    <w:widowControl/>
                    <w:jc w:val="center"/>
                    <w:textAlignment w:val="bottom"/>
                    <w:rPr>
                      <w:spacing w:val="6"/>
                      <w:szCs w:val="21"/>
                    </w:rPr>
                  </w:pPr>
                  <w:r>
                    <w:rPr>
                      <w:rFonts w:hint="eastAsia"/>
                      <w:bCs/>
                      <w:sz w:val="21"/>
                      <w:szCs w:val="21"/>
                      <w:lang w:val="en-US" w:eastAsia="zh-CN"/>
                    </w:rPr>
                    <w:t>*</w:t>
                  </w:r>
                </w:p>
              </w:tc>
              <w:tc>
                <w:tcPr>
                  <w:tcW w:w="738" w:type="dxa"/>
                  <w:tcBorders>
                    <w:tl2br w:val="nil"/>
                    <w:tr2bl w:val="nil"/>
                  </w:tcBorders>
                  <w:vAlign w:val="bottom"/>
                </w:tcPr>
                <w:p w14:paraId="0BF3F600">
                  <w:pPr>
                    <w:widowControl/>
                    <w:jc w:val="center"/>
                    <w:textAlignment w:val="bottom"/>
                    <w:rPr>
                      <w:spacing w:val="6"/>
                      <w:szCs w:val="21"/>
                    </w:rPr>
                  </w:pPr>
                  <w:r>
                    <w:rPr>
                      <w:rFonts w:hint="eastAsia"/>
                      <w:bCs/>
                      <w:sz w:val="21"/>
                      <w:szCs w:val="21"/>
                      <w:lang w:val="en-US" w:eastAsia="zh-CN"/>
                    </w:rPr>
                    <w:t>*</w:t>
                  </w:r>
                </w:p>
              </w:tc>
              <w:tc>
                <w:tcPr>
                  <w:tcW w:w="785" w:type="dxa"/>
                  <w:tcBorders>
                    <w:tl2br w:val="nil"/>
                    <w:tr2bl w:val="nil"/>
                  </w:tcBorders>
                  <w:vAlign w:val="bottom"/>
                </w:tcPr>
                <w:p w14:paraId="2BE88FF7">
                  <w:pPr>
                    <w:adjustRightInd w:val="0"/>
                    <w:jc w:val="center"/>
                    <w:rPr>
                      <w:spacing w:val="6"/>
                      <w:szCs w:val="21"/>
                    </w:rPr>
                  </w:pPr>
                  <w:r>
                    <w:rPr>
                      <w:rFonts w:hint="eastAsia"/>
                      <w:bCs/>
                      <w:sz w:val="21"/>
                      <w:szCs w:val="21"/>
                      <w:lang w:val="en-US" w:eastAsia="zh-CN"/>
                    </w:rPr>
                    <w:t>*</w:t>
                  </w:r>
                </w:p>
              </w:tc>
              <w:tc>
                <w:tcPr>
                  <w:tcW w:w="957" w:type="dxa"/>
                  <w:tcBorders>
                    <w:tl2br w:val="nil"/>
                    <w:tr2bl w:val="nil"/>
                  </w:tcBorders>
                  <w:vAlign w:val="center"/>
                </w:tcPr>
                <w:p w14:paraId="3801576E">
                  <w:pPr>
                    <w:adjustRightInd w:val="0"/>
                    <w:jc w:val="center"/>
                    <w:rPr>
                      <w:spacing w:val="6"/>
                      <w:szCs w:val="21"/>
                    </w:rPr>
                  </w:pPr>
                  <w:r>
                    <w:rPr>
                      <w:rFonts w:hint="eastAsia"/>
                      <w:bCs/>
                      <w:sz w:val="21"/>
                      <w:szCs w:val="21"/>
                      <w:lang w:val="en-US" w:eastAsia="zh-CN"/>
                    </w:rPr>
                    <w:t>*</w:t>
                  </w:r>
                </w:p>
              </w:tc>
              <w:tc>
                <w:tcPr>
                  <w:tcW w:w="681" w:type="dxa"/>
                  <w:tcBorders>
                    <w:tl2br w:val="nil"/>
                    <w:tr2bl w:val="nil"/>
                  </w:tcBorders>
                  <w:vAlign w:val="bottom"/>
                </w:tcPr>
                <w:p w14:paraId="6CF2C68B">
                  <w:pPr>
                    <w:adjustRightInd w:val="0"/>
                    <w:jc w:val="center"/>
                    <w:rPr>
                      <w:spacing w:val="6"/>
                      <w:szCs w:val="21"/>
                    </w:rPr>
                  </w:pPr>
                  <w:r>
                    <w:rPr>
                      <w:rFonts w:hint="eastAsia"/>
                      <w:bCs/>
                      <w:sz w:val="21"/>
                      <w:szCs w:val="21"/>
                      <w:lang w:val="en-US" w:eastAsia="zh-CN"/>
                    </w:rPr>
                    <w:t>*</w:t>
                  </w:r>
                </w:p>
              </w:tc>
              <w:tc>
                <w:tcPr>
                  <w:tcW w:w="897" w:type="dxa"/>
                  <w:tcBorders>
                    <w:tl2br w:val="nil"/>
                    <w:tr2bl w:val="nil"/>
                  </w:tcBorders>
                  <w:vAlign w:val="bottom"/>
                </w:tcPr>
                <w:p w14:paraId="62D07F02">
                  <w:pPr>
                    <w:adjustRightInd w:val="0"/>
                    <w:jc w:val="center"/>
                    <w:rPr>
                      <w:spacing w:val="6"/>
                      <w:szCs w:val="21"/>
                    </w:rPr>
                  </w:pPr>
                  <w:r>
                    <w:rPr>
                      <w:rFonts w:hint="eastAsia"/>
                      <w:bCs/>
                      <w:sz w:val="21"/>
                      <w:szCs w:val="21"/>
                      <w:lang w:val="en-US" w:eastAsia="zh-CN"/>
                    </w:rPr>
                    <w:t>*</w:t>
                  </w:r>
                </w:p>
              </w:tc>
            </w:tr>
            <w:tr w14:paraId="7CD16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8" w:type="dxa"/>
                  <w:tcBorders>
                    <w:tl2br w:val="nil"/>
                    <w:tr2bl w:val="nil"/>
                  </w:tcBorders>
                  <w:vAlign w:val="center"/>
                </w:tcPr>
                <w:p w14:paraId="31F6E4CE">
                  <w:pPr>
                    <w:adjustRightInd w:val="0"/>
                    <w:jc w:val="center"/>
                    <w:rPr>
                      <w:spacing w:val="6"/>
                      <w:szCs w:val="21"/>
                    </w:rPr>
                  </w:pPr>
                  <w:r>
                    <w:rPr>
                      <w:spacing w:val="6"/>
                      <w:szCs w:val="21"/>
                    </w:rPr>
                    <w:t>D5</w:t>
                  </w:r>
                </w:p>
              </w:tc>
              <w:tc>
                <w:tcPr>
                  <w:tcW w:w="1266" w:type="dxa"/>
                  <w:tcBorders>
                    <w:tl2br w:val="nil"/>
                    <w:tr2bl w:val="nil"/>
                  </w:tcBorders>
                  <w:vAlign w:val="center"/>
                </w:tcPr>
                <w:p w14:paraId="541F1668">
                  <w:pPr>
                    <w:adjustRightInd w:val="0"/>
                    <w:jc w:val="center"/>
                    <w:rPr>
                      <w:spacing w:val="6"/>
                      <w:szCs w:val="21"/>
                    </w:rPr>
                  </w:pPr>
                  <w:r>
                    <w:rPr>
                      <w:spacing w:val="6"/>
                      <w:szCs w:val="21"/>
                    </w:rPr>
                    <w:t>2025.2.27</w:t>
                  </w:r>
                </w:p>
              </w:tc>
              <w:tc>
                <w:tcPr>
                  <w:tcW w:w="693" w:type="dxa"/>
                  <w:tcBorders>
                    <w:tl2br w:val="nil"/>
                    <w:tr2bl w:val="nil"/>
                  </w:tcBorders>
                  <w:vAlign w:val="bottom"/>
                </w:tcPr>
                <w:p w14:paraId="6929E9FF">
                  <w:pPr>
                    <w:widowControl/>
                    <w:jc w:val="center"/>
                    <w:textAlignment w:val="bottom"/>
                    <w:rPr>
                      <w:spacing w:val="6"/>
                      <w:szCs w:val="21"/>
                    </w:rPr>
                  </w:pPr>
                  <w:r>
                    <w:rPr>
                      <w:rFonts w:hint="eastAsia"/>
                      <w:bCs/>
                      <w:sz w:val="21"/>
                      <w:szCs w:val="21"/>
                      <w:lang w:val="en-US" w:eastAsia="zh-CN"/>
                    </w:rPr>
                    <w:t>*</w:t>
                  </w:r>
                </w:p>
              </w:tc>
              <w:tc>
                <w:tcPr>
                  <w:tcW w:w="670" w:type="dxa"/>
                  <w:tcBorders>
                    <w:tl2br w:val="nil"/>
                    <w:tr2bl w:val="nil"/>
                  </w:tcBorders>
                  <w:vAlign w:val="bottom"/>
                </w:tcPr>
                <w:p w14:paraId="4F70A6EC">
                  <w:pPr>
                    <w:widowControl/>
                    <w:jc w:val="center"/>
                    <w:textAlignment w:val="bottom"/>
                    <w:rPr>
                      <w:spacing w:val="6"/>
                      <w:szCs w:val="21"/>
                    </w:rPr>
                  </w:pPr>
                  <w:r>
                    <w:rPr>
                      <w:rFonts w:hint="eastAsia"/>
                      <w:bCs/>
                      <w:sz w:val="21"/>
                      <w:szCs w:val="21"/>
                      <w:lang w:val="en-US" w:eastAsia="zh-CN"/>
                    </w:rPr>
                    <w:t>*</w:t>
                  </w:r>
                </w:p>
              </w:tc>
              <w:tc>
                <w:tcPr>
                  <w:tcW w:w="704" w:type="dxa"/>
                  <w:tcBorders>
                    <w:tl2br w:val="nil"/>
                    <w:tr2bl w:val="nil"/>
                  </w:tcBorders>
                  <w:vAlign w:val="bottom"/>
                </w:tcPr>
                <w:p w14:paraId="7FF61667">
                  <w:pPr>
                    <w:widowControl/>
                    <w:jc w:val="center"/>
                    <w:textAlignment w:val="bottom"/>
                    <w:rPr>
                      <w:spacing w:val="6"/>
                      <w:szCs w:val="21"/>
                    </w:rPr>
                  </w:pPr>
                  <w:r>
                    <w:rPr>
                      <w:rFonts w:hint="eastAsia"/>
                      <w:bCs/>
                      <w:sz w:val="21"/>
                      <w:szCs w:val="21"/>
                      <w:lang w:val="en-US" w:eastAsia="zh-CN"/>
                    </w:rPr>
                    <w:t>*</w:t>
                  </w:r>
                </w:p>
              </w:tc>
              <w:tc>
                <w:tcPr>
                  <w:tcW w:w="738" w:type="dxa"/>
                  <w:tcBorders>
                    <w:tl2br w:val="nil"/>
                    <w:tr2bl w:val="nil"/>
                  </w:tcBorders>
                  <w:vAlign w:val="bottom"/>
                </w:tcPr>
                <w:p w14:paraId="0A0687FF">
                  <w:pPr>
                    <w:widowControl/>
                    <w:jc w:val="center"/>
                    <w:textAlignment w:val="bottom"/>
                    <w:rPr>
                      <w:spacing w:val="6"/>
                      <w:szCs w:val="21"/>
                    </w:rPr>
                  </w:pPr>
                  <w:r>
                    <w:rPr>
                      <w:rFonts w:hint="eastAsia"/>
                      <w:bCs/>
                      <w:sz w:val="21"/>
                      <w:szCs w:val="21"/>
                      <w:lang w:val="en-US" w:eastAsia="zh-CN"/>
                    </w:rPr>
                    <w:t>*</w:t>
                  </w:r>
                </w:p>
              </w:tc>
              <w:tc>
                <w:tcPr>
                  <w:tcW w:w="785" w:type="dxa"/>
                  <w:tcBorders>
                    <w:tl2br w:val="nil"/>
                    <w:tr2bl w:val="nil"/>
                  </w:tcBorders>
                  <w:vAlign w:val="bottom"/>
                </w:tcPr>
                <w:p w14:paraId="1E5DB4F8">
                  <w:pPr>
                    <w:adjustRightInd w:val="0"/>
                    <w:jc w:val="center"/>
                    <w:rPr>
                      <w:spacing w:val="6"/>
                      <w:szCs w:val="21"/>
                    </w:rPr>
                  </w:pPr>
                  <w:r>
                    <w:rPr>
                      <w:rFonts w:hint="eastAsia"/>
                      <w:bCs/>
                      <w:sz w:val="21"/>
                      <w:szCs w:val="21"/>
                      <w:lang w:val="en-US" w:eastAsia="zh-CN"/>
                    </w:rPr>
                    <w:t>*</w:t>
                  </w:r>
                </w:p>
              </w:tc>
              <w:tc>
                <w:tcPr>
                  <w:tcW w:w="957" w:type="dxa"/>
                  <w:tcBorders>
                    <w:tl2br w:val="nil"/>
                    <w:tr2bl w:val="nil"/>
                  </w:tcBorders>
                  <w:vAlign w:val="center"/>
                </w:tcPr>
                <w:p w14:paraId="6416F508">
                  <w:pPr>
                    <w:adjustRightInd w:val="0"/>
                    <w:jc w:val="center"/>
                    <w:rPr>
                      <w:spacing w:val="6"/>
                      <w:szCs w:val="21"/>
                    </w:rPr>
                  </w:pPr>
                  <w:r>
                    <w:rPr>
                      <w:rFonts w:hint="eastAsia"/>
                      <w:bCs/>
                      <w:sz w:val="21"/>
                      <w:szCs w:val="21"/>
                      <w:lang w:val="en-US" w:eastAsia="zh-CN"/>
                    </w:rPr>
                    <w:t>*</w:t>
                  </w:r>
                </w:p>
              </w:tc>
              <w:tc>
                <w:tcPr>
                  <w:tcW w:w="681" w:type="dxa"/>
                  <w:tcBorders>
                    <w:tl2br w:val="nil"/>
                    <w:tr2bl w:val="nil"/>
                  </w:tcBorders>
                  <w:vAlign w:val="bottom"/>
                </w:tcPr>
                <w:p w14:paraId="2375B7E1">
                  <w:pPr>
                    <w:adjustRightInd w:val="0"/>
                    <w:jc w:val="center"/>
                    <w:rPr>
                      <w:spacing w:val="6"/>
                      <w:szCs w:val="21"/>
                    </w:rPr>
                  </w:pPr>
                  <w:r>
                    <w:rPr>
                      <w:rFonts w:hint="eastAsia"/>
                      <w:bCs/>
                      <w:sz w:val="21"/>
                      <w:szCs w:val="21"/>
                      <w:lang w:val="en-US" w:eastAsia="zh-CN"/>
                    </w:rPr>
                    <w:t>*</w:t>
                  </w:r>
                </w:p>
              </w:tc>
              <w:tc>
                <w:tcPr>
                  <w:tcW w:w="897" w:type="dxa"/>
                  <w:tcBorders>
                    <w:tl2br w:val="nil"/>
                    <w:tr2bl w:val="nil"/>
                  </w:tcBorders>
                  <w:vAlign w:val="bottom"/>
                </w:tcPr>
                <w:p w14:paraId="1E91F6E8">
                  <w:pPr>
                    <w:adjustRightInd w:val="0"/>
                    <w:jc w:val="center"/>
                    <w:rPr>
                      <w:spacing w:val="6"/>
                      <w:szCs w:val="21"/>
                    </w:rPr>
                  </w:pPr>
                  <w:r>
                    <w:rPr>
                      <w:rFonts w:hint="eastAsia"/>
                      <w:bCs/>
                      <w:sz w:val="21"/>
                      <w:szCs w:val="21"/>
                      <w:lang w:val="en-US" w:eastAsia="zh-CN"/>
                    </w:rPr>
                    <w:t>*</w:t>
                  </w:r>
                </w:p>
              </w:tc>
            </w:tr>
          </w:tbl>
          <w:p w14:paraId="23D23382">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表2-8 地下水化学离子当量浓度  单位：mmol/L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2"/>
              <w:gridCol w:w="647"/>
              <w:gridCol w:w="647"/>
              <w:gridCol w:w="648"/>
              <w:gridCol w:w="648"/>
              <w:gridCol w:w="647"/>
              <w:gridCol w:w="647"/>
              <w:gridCol w:w="647"/>
              <w:gridCol w:w="649"/>
              <w:gridCol w:w="896"/>
              <w:gridCol w:w="813"/>
              <w:gridCol w:w="616"/>
            </w:tblGrid>
            <w:tr w14:paraId="28398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shd w:val="clear" w:color="auto" w:fill="auto"/>
                  <w:vAlign w:val="center"/>
                </w:tcPr>
                <w:p w14:paraId="2F699902">
                  <w:pPr>
                    <w:adjustRightInd w:val="0"/>
                    <w:jc w:val="center"/>
                    <w:rPr>
                      <w:spacing w:val="6"/>
                      <w:szCs w:val="21"/>
                    </w:rPr>
                  </w:pPr>
                  <w:r>
                    <w:rPr>
                      <w:spacing w:val="6"/>
                      <w:szCs w:val="21"/>
                    </w:rPr>
                    <w:t>监测点位</w:t>
                  </w:r>
                </w:p>
              </w:tc>
              <w:tc>
                <w:tcPr>
                  <w:tcW w:w="727" w:type="dxa"/>
                  <w:tcBorders>
                    <w:tl2br w:val="nil"/>
                    <w:tr2bl w:val="nil"/>
                  </w:tcBorders>
                  <w:vAlign w:val="center"/>
                </w:tcPr>
                <w:p w14:paraId="34C570E4">
                  <w:pPr>
                    <w:adjustRightInd w:val="0"/>
                    <w:jc w:val="center"/>
                    <w:rPr>
                      <w:spacing w:val="6"/>
                      <w:szCs w:val="21"/>
                    </w:rPr>
                  </w:pPr>
                  <w:r>
                    <w:rPr>
                      <w:spacing w:val="6"/>
                      <w:szCs w:val="21"/>
                    </w:rPr>
                    <w:t>K</w:t>
                  </w:r>
                  <w:r>
                    <w:rPr>
                      <w:spacing w:val="6"/>
                      <w:szCs w:val="21"/>
                      <w:vertAlign w:val="superscript"/>
                    </w:rPr>
                    <w:t>+</w:t>
                  </w:r>
                </w:p>
              </w:tc>
              <w:tc>
                <w:tcPr>
                  <w:tcW w:w="727" w:type="dxa"/>
                  <w:tcBorders>
                    <w:tl2br w:val="nil"/>
                    <w:tr2bl w:val="nil"/>
                  </w:tcBorders>
                  <w:vAlign w:val="center"/>
                </w:tcPr>
                <w:p w14:paraId="15889FFE">
                  <w:pPr>
                    <w:adjustRightInd w:val="0"/>
                    <w:jc w:val="center"/>
                    <w:rPr>
                      <w:spacing w:val="6"/>
                      <w:szCs w:val="21"/>
                    </w:rPr>
                  </w:pPr>
                  <w:r>
                    <w:rPr>
                      <w:spacing w:val="6"/>
                      <w:szCs w:val="21"/>
                    </w:rPr>
                    <w:t>Na</w:t>
                  </w:r>
                  <w:r>
                    <w:rPr>
                      <w:spacing w:val="6"/>
                      <w:szCs w:val="21"/>
                      <w:vertAlign w:val="superscript"/>
                    </w:rPr>
                    <w:t>+</w:t>
                  </w:r>
                </w:p>
              </w:tc>
              <w:tc>
                <w:tcPr>
                  <w:tcW w:w="727" w:type="dxa"/>
                  <w:tcBorders>
                    <w:tl2br w:val="nil"/>
                    <w:tr2bl w:val="nil"/>
                  </w:tcBorders>
                  <w:vAlign w:val="center"/>
                </w:tcPr>
                <w:p w14:paraId="356E84FD">
                  <w:pPr>
                    <w:adjustRightInd w:val="0"/>
                    <w:jc w:val="center"/>
                    <w:rPr>
                      <w:spacing w:val="6"/>
                      <w:szCs w:val="21"/>
                    </w:rPr>
                  </w:pPr>
                  <w:r>
                    <w:rPr>
                      <w:spacing w:val="6"/>
                      <w:szCs w:val="21"/>
                    </w:rPr>
                    <w:t>Ca</w:t>
                  </w:r>
                  <w:r>
                    <w:rPr>
                      <w:spacing w:val="6"/>
                      <w:szCs w:val="21"/>
                      <w:vertAlign w:val="superscript"/>
                    </w:rPr>
                    <w:t>2+</w:t>
                  </w:r>
                </w:p>
              </w:tc>
              <w:tc>
                <w:tcPr>
                  <w:tcW w:w="727" w:type="dxa"/>
                  <w:tcBorders>
                    <w:tl2br w:val="nil"/>
                    <w:tr2bl w:val="nil"/>
                  </w:tcBorders>
                  <w:vAlign w:val="center"/>
                </w:tcPr>
                <w:p w14:paraId="6BF0B875">
                  <w:pPr>
                    <w:adjustRightInd w:val="0"/>
                    <w:jc w:val="center"/>
                    <w:rPr>
                      <w:spacing w:val="6"/>
                      <w:szCs w:val="21"/>
                    </w:rPr>
                  </w:pPr>
                  <w:r>
                    <w:rPr>
                      <w:spacing w:val="6"/>
                      <w:szCs w:val="21"/>
                    </w:rPr>
                    <w:t>Mg</w:t>
                  </w:r>
                  <w:r>
                    <w:rPr>
                      <w:spacing w:val="6"/>
                      <w:szCs w:val="21"/>
                      <w:vertAlign w:val="superscript"/>
                    </w:rPr>
                    <w:t>2+</w:t>
                  </w:r>
                </w:p>
              </w:tc>
              <w:tc>
                <w:tcPr>
                  <w:tcW w:w="726" w:type="dxa"/>
                  <w:tcBorders>
                    <w:tl2br w:val="nil"/>
                    <w:tr2bl w:val="nil"/>
                  </w:tcBorders>
                  <w:vAlign w:val="center"/>
                </w:tcPr>
                <w:p w14:paraId="0CE1613C">
                  <w:pPr>
                    <w:adjustRightInd w:val="0"/>
                    <w:jc w:val="center"/>
                    <w:rPr>
                      <w:spacing w:val="6"/>
                      <w:szCs w:val="21"/>
                    </w:rPr>
                  </w:pPr>
                  <w:r>
                    <w:rPr>
                      <w:spacing w:val="6"/>
                      <w:szCs w:val="21"/>
                    </w:rPr>
                    <w:t>CO</w:t>
                  </w:r>
                  <w:r>
                    <w:rPr>
                      <w:spacing w:val="6"/>
                      <w:szCs w:val="21"/>
                      <w:vertAlign w:val="subscript"/>
                    </w:rPr>
                    <w:t>3</w:t>
                  </w:r>
                  <w:r>
                    <w:rPr>
                      <w:spacing w:val="6"/>
                      <w:szCs w:val="21"/>
                      <w:vertAlign w:val="superscript"/>
                    </w:rPr>
                    <w:t>2-</w:t>
                  </w:r>
                </w:p>
              </w:tc>
              <w:tc>
                <w:tcPr>
                  <w:tcW w:w="726" w:type="dxa"/>
                  <w:tcBorders>
                    <w:tl2br w:val="nil"/>
                    <w:tr2bl w:val="nil"/>
                  </w:tcBorders>
                  <w:vAlign w:val="center"/>
                </w:tcPr>
                <w:p w14:paraId="3D5BF0AC">
                  <w:pPr>
                    <w:adjustRightInd w:val="0"/>
                    <w:jc w:val="center"/>
                    <w:rPr>
                      <w:spacing w:val="6"/>
                      <w:szCs w:val="21"/>
                    </w:rPr>
                  </w:pPr>
                  <w:r>
                    <w:rPr>
                      <w:spacing w:val="6"/>
                      <w:szCs w:val="21"/>
                    </w:rPr>
                    <w:t>HCO</w:t>
                  </w:r>
                  <w:r>
                    <w:rPr>
                      <w:spacing w:val="6"/>
                      <w:szCs w:val="21"/>
                      <w:vertAlign w:val="subscript"/>
                    </w:rPr>
                    <w:t>3</w:t>
                  </w:r>
                  <w:r>
                    <w:rPr>
                      <w:spacing w:val="6"/>
                      <w:szCs w:val="21"/>
                      <w:vertAlign w:val="superscript"/>
                    </w:rPr>
                    <w:t>-</w:t>
                  </w:r>
                </w:p>
              </w:tc>
              <w:tc>
                <w:tcPr>
                  <w:tcW w:w="726" w:type="dxa"/>
                  <w:tcBorders>
                    <w:tl2br w:val="nil"/>
                    <w:tr2bl w:val="nil"/>
                  </w:tcBorders>
                  <w:vAlign w:val="center"/>
                </w:tcPr>
                <w:p w14:paraId="0B2CC0F7">
                  <w:pPr>
                    <w:adjustRightInd w:val="0"/>
                    <w:jc w:val="center"/>
                    <w:rPr>
                      <w:spacing w:val="6"/>
                      <w:szCs w:val="21"/>
                    </w:rPr>
                  </w:pPr>
                  <w:r>
                    <w:rPr>
                      <w:spacing w:val="6"/>
                      <w:szCs w:val="21"/>
                    </w:rPr>
                    <w:t>Cl</w:t>
                  </w:r>
                  <w:r>
                    <w:rPr>
                      <w:spacing w:val="6"/>
                      <w:szCs w:val="21"/>
                      <w:vertAlign w:val="superscript"/>
                    </w:rPr>
                    <w:t>-</w:t>
                  </w:r>
                </w:p>
              </w:tc>
              <w:tc>
                <w:tcPr>
                  <w:tcW w:w="729" w:type="dxa"/>
                  <w:tcBorders>
                    <w:tl2br w:val="nil"/>
                    <w:tr2bl w:val="nil"/>
                  </w:tcBorders>
                  <w:vAlign w:val="center"/>
                </w:tcPr>
                <w:p w14:paraId="4EF38C56">
                  <w:pPr>
                    <w:adjustRightInd w:val="0"/>
                    <w:jc w:val="center"/>
                    <w:rPr>
                      <w:spacing w:val="6"/>
                      <w:szCs w:val="21"/>
                    </w:rPr>
                  </w:pPr>
                  <w:r>
                    <w:rPr>
                      <w:spacing w:val="6"/>
                      <w:szCs w:val="21"/>
                    </w:rPr>
                    <w:t>SO</w:t>
                  </w:r>
                  <w:r>
                    <w:rPr>
                      <w:spacing w:val="6"/>
                      <w:szCs w:val="21"/>
                      <w:vertAlign w:val="subscript"/>
                    </w:rPr>
                    <w:t>4</w:t>
                  </w:r>
                  <w:r>
                    <w:rPr>
                      <w:spacing w:val="6"/>
                      <w:szCs w:val="21"/>
                      <w:vertAlign w:val="superscript"/>
                    </w:rPr>
                    <w:t>2-</w:t>
                  </w:r>
                </w:p>
              </w:tc>
              <w:tc>
                <w:tcPr>
                  <w:tcW w:w="1023" w:type="dxa"/>
                  <w:tcBorders>
                    <w:tl2br w:val="nil"/>
                    <w:tr2bl w:val="nil"/>
                  </w:tcBorders>
                  <w:shd w:val="clear" w:color="auto" w:fill="auto"/>
                  <w:vAlign w:val="center"/>
                </w:tcPr>
                <w:p w14:paraId="1496A712">
                  <w:pPr>
                    <w:adjustRightInd w:val="0"/>
                    <w:jc w:val="center"/>
                    <w:rPr>
                      <w:spacing w:val="6"/>
                      <w:szCs w:val="21"/>
                    </w:rPr>
                  </w:pPr>
                  <w:r>
                    <w:rPr>
                      <w:spacing w:val="6"/>
                      <w:szCs w:val="21"/>
                    </w:rPr>
                    <w:t>阳离子总毫克当量Mc</w:t>
                  </w:r>
                </w:p>
              </w:tc>
              <w:tc>
                <w:tcPr>
                  <w:tcW w:w="924" w:type="dxa"/>
                  <w:tcBorders>
                    <w:tl2br w:val="nil"/>
                    <w:tr2bl w:val="nil"/>
                  </w:tcBorders>
                  <w:shd w:val="clear" w:color="auto" w:fill="auto"/>
                  <w:vAlign w:val="center"/>
                </w:tcPr>
                <w:p w14:paraId="632A6D60">
                  <w:pPr>
                    <w:adjustRightInd w:val="0"/>
                    <w:jc w:val="center"/>
                    <w:rPr>
                      <w:spacing w:val="6"/>
                      <w:szCs w:val="21"/>
                    </w:rPr>
                  </w:pPr>
                  <w:r>
                    <w:rPr>
                      <w:spacing w:val="6"/>
                      <w:szCs w:val="21"/>
                    </w:rPr>
                    <w:t>阴离子总毫克当量Ma</w:t>
                  </w:r>
                </w:p>
              </w:tc>
              <w:tc>
                <w:tcPr>
                  <w:tcW w:w="689" w:type="dxa"/>
                  <w:tcBorders>
                    <w:tl2br w:val="nil"/>
                    <w:tr2bl w:val="nil"/>
                  </w:tcBorders>
                  <w:shd w:val="clear" w:color="auto" w:fill="auto"/>
                  <w:vAlign w:val="center"/>
                </w:tcPr>
                <w:p w14:paraId="51EF1B4B">
                  <w:pPr>
                    <w:adjustRightInd w:val="0"/>
                    <w:jc w:val="center"/>
                    <w:rPr>
                      <w:spacing w:val="6"/>
                      <w:szCs w:val="21"/>
                    </w:rPr>
                  </w:pPr>
                  <w:r>
                    <w:rPr>
                      <w:spacing w:val="6"/>
                      <w:szCs w:val="21"/>
                    </w:rPr>
                    <w:t>相对误差E</w:t>
                  </w:r>
                </w:p>
              </w:tc>
            </w:tr>
            <w:tr w14:paraId="4CC4E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vAlign w:val="center"/>
                </w:tcPr>
                <w:p w14:paraId="051AEBA8">
                  <w:pPr>
                    <w:adjustRightInd w:val="0"/>
                    <w:jc w:val="center"/>
                    <w:rPr>
                      <w:spacing w:val="6"/>
                      <w:szCs w:val="21"/>
                    </w:rPr>
                  </w:pPr>
                  <w:r>
                    <w:rPr>
                      <w:spacing w:val="6"/>
                      <w:szCs w:val="21"/>
                    </w:rPr>
                    <w:t>D1</w:t>
                  </w:r>
                </w:p>
              </w:tc>
              <w:tc>
                <w:tcPr>
                  <w:tcW w:w="727" w:type="dxa"/>
                  <w:tcBorders>
                    <w:tl2br w:val="nil"/>
                    <w:tr2bl w:val="nil"/>
                  </w:tcBorders>
                  <w:vAlign w:val="center"/>
                </w:tcPr>
                <w:p w14:paraId="505F11E5">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6A3E5ABA">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752B77EB">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1FA47739">
                  <w:pPr>
                    <w:widowControl/>
                    <w:jc w:val="center"/>
                    <w:textAlignment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037E7B23">
                  <w:pPr>
                    <w:adjustRightInd w:val="0"/>
                    <w:jc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26468E63">
                  <w:pPr>
                    <w:adjustRightInd w:val="0"/>
                    <w:jc w:val="center"/>
                    <w:rPr>
                      <w:spacing w:val="6"/>
                      <w:szCs w:val="21"/>
                    </w:rPr>
                  </w:pPr>
                  <w:r>
                    <w:rPr>
                      <w:rFonts w:hint="eastAsia"/>
                      <w:bCs/>
                      <w:sz w:val="21"/>
                      <w:szCs w:val="21"/>
                      <w:lang w:val="en-US" w:eastAsia="zh-CN"/>
                    </w:rPr>
                    <w:t>*</w:t>
                  </w:r>
                </w:p>
              </w:tc>
              <w:tc>
                <w:tcPr>
                  <w:tcW w:w="726" w:type="dxa"/>
                  <w:tcBorders>
                    <w:tl2br w:val="nil"/>
                    <w:tr2bl w:val="nil"/>
                  </w:tcBorders>
                  <w:vAlign w:val="center"/>
                </w:tcPr>
                <w:p w14:paraId="7BD126EE">
                  <w:pPr>
                    <w:adjustRightInd w:val="0"/>
                    <w:jc w:val="center"/>
                    <w:rPr>
                      <w:spacing w:val="6"/>
                      <w:szCs w:val="21"/>
                    </w:rPr>
                  </w:pPr>
                  <w:r>
                    <w:rPr>
                      <w:rFonts w:hint="eastAsia"/>
                      <w:bCs/>
                      <w:sz w:val="21"/>
                      <w:szCs w:val="21"/>
                      <w:lang w:val="en-US" w:eastAsia="zh-CN"/>
                    </w:rPr>
                    <w:t>*</w:t>
                  </w:r>
                </w:p>
              </w:tc>
              <w:tc>
                <w:tcPr>
                  <w:tcW w:w="729" w:type="dxa"/>
                  <w:tcBorders>
                    <w:tl2br w:val="nil"/>
                    <w:tr2bl w:val="nil"/>
                  </w:tcBorders>
                  <w:vAlign w:val="center"/>
                </w:tcPr>
                <w:p w14:paraId="21CF76CB">
                  <w:pPr>
                    <w:adjustRightInd w:val="0"/>
                    <w:jc w:val="center"/>
                    <w:rPr>
                      <w:spacing w:val="6"/>
                      <w:szCs w:val="21"/>
                    </w:rPr>
                  </w:pPr>
                  <w:r>
                    <w:rPr>
                      <w:rFonts w:hint="eastAsia"/>
                      <w:bCs/>
                      <w:sz w:val="21"/>
                      <w:szCs w:val="21"/>
                      <w:lang w:val="en-US" w:eastAsia="zh-CN"/>
                    </w:rPr>
                    <w:t>*</w:t>
                  </w:r>
                </w:p>
              </w:tc>
              <w:tc>
                <w:tcPr>
                  <w:tcW w:w="1023" w:type="dxa"/>
                  <w:tcBorders>
                    <w:tl2br w:val="nil"/>
                    <w:tr2bl w:val="nil"/>
                  </w:tcBorders>
                  <w:shd w:val="clear" w:color="auto" w:fill="auto"/>
                  <w:vAlign w:val="center"/>
                </w:tcPr>
                <w:p w14:paraId="04CE811D">
                  <w:pPr>
                    <w:widowControl/>
                    <w:jc w:val="center"/>
                    <w:textAlignment w:val="center"/>
                    <w:rPr>
                      <w:spacing w:val="6"/>
                      <w:szCs w:val="21"/>
                    </w:rPr>
                  </w:pPr>
                  <w:r>
                    <w:rPr>
                      <w:rFonts w:hint="eastAsia"/>
                      <w:bCs/>
                      <w:sz w:val="21"/>
                      <w:szCs w:val="21"/>
                      <w:lang w:val="en-US" w:eastAsia="zh-CN"/>
                    </w:rPr>
                    <w:t>*</w:t>
                  </w:r>
                </w:p>
              </w:tc>
              <w:tc>
                <w:tcPr>
                  <w:tcW w:w="924" w:type="dxa"/>
                  <w:tcBorders>
                    <w:tl2br w:val="nil"/>
                    <w:tr2bl w:val="nil"/>
                  </w:tcBorders>
                  <w:shd w:val="clear" w:color="auto" w:fill="auto"/>
                  <w:vAlign w:val="center"/>
                </w:tcPr>
                <w:p w14:paraId="6E1369D5">
                  <w:pPr>
                    <w:widowControl/>
                    <w:jc w:val="center"/>
                    <w:textAlignment w:val="center"/>
                    <w:rPr>
                      <w:spacing w:val="6"/>
                      <w:szCs w:val="21"/>
                    </w:rPr>
                  </w:pPr>
                  <w:r>
                    <w:rPr>
                      <w:rFonts w:hint="eastAsia"/>
                      <w:bCs/>
                      <w:sz w:val="21"/>
                      <w:szCs w:val="21"/>
                      <w:lang w:val="en-US" w:eastAsia="zh-CN"/>
                    </w:rPr>
                    <w:t>*</w:t>
                  </w:r>
                </w:p>
              </w:tc>
              <w:tc>
                <w:tcPr>
                  <w:tcW w:w="689" w:type="dxa"/>
                  <w:tcBorders>
                    <w:tl2br w:val="nil"/>
                    <w:tr2bl w:val="nil"/>
                  </w:tcBorders>
                  <w:shd w:val="clear" w:color="auto" w:fill="auto"/>
                  <w:vAlign w:val="center"/>
                </w:tcPr>
                <w:p w14:paraId="45D32776">
                  <w:pPr>
                    <w:widowControl/>
                    <w:jc w:val="center"/>
                    <w:textAlignment w:val="center"/>
                    <w:rPr>
                      <w:spacing w:val="6"/>
                      <w:szCs w:val="21"/>
                    </w:rPr>
                  </w:pPr>
                  <w:r>
                    <w:rPr>
                      <w:rFonts w:hint="eastAsia"/>
                      <w:bCs/>
                      <w:sz w:val="21"/>
                      <w:szCs w:val="21"/>
                      <w:lang w:val="en-US" w:eastAsia="zh-CN"/>
                    </w:rPr>
                    <w:t>*</w:t>
                  </w:r>
                </w:p>
              </w:tc>
            </w:tr>
            <w:tr w14:paraId="7AD6C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vAlign w:val="center"/>
                </w:tcPr>
                <w:p w14:paraId="21CB34D4">
                  <w:pPr>
                    <w:adjustRightInd w:val="0"/>
                    <w:jc w:val="center"/>
                    <w:rPr>
                      <w:spacing w:val="6"/>
                      <w:szCs w:val="21"/>
                    </w:rPr>
                  </w:pPr>
                  <w:r>
                    <w:rPr>
                      <w:spacing w:val="6"/>
                      <w:szCs w:val="21"/>
                    </w:rPr>
                    <w:t>D2</w:t>
                  </w:r>
                </w:p>
              </w:tc>
              <w:tc>
                <w:tcPr>
                  <w:tcW w:w="727" w:type="dxa"/>
                  <w:tcBorders>
                    <w:tl2br w:val="nil"/>
                    <w:tr2bl w:val="nil"/>
                  </w:tcBorders>
                  <w:vAlign w:val="center"/>
                </w:tcPr>
                <w:p w14:paraId="6F65CFAA">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2FDCA877">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3F37B2E0">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56D60674">
                  <w:pPr>
                    <w:widowControl/>
                    <w:jc w:val="center"/>
                    <w:textAlignment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6BC26A21">
                  <w:pPr>
                    <w:adjustRightInd w:val="0"/>
                    <w:jc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1C6E5399">
                  <w:pPr>
                    <w:adjustRightInd w:val="0"/>
                    <w:jc w:val="center"/>
                    <w:rPr>
                      <w:spacing w:val="6"/>
                      <w:szCs w:val="21"/>
                    </w:rPr>
                  </w:pPr>
                  <w:r>
                    <w:rPr>
                      <w:rFonts w:hint="eastAsia"/>
                      <w:bCs/>
                      <w:sz w:val="21"/>
                      <w:szCs w:val="21"/>
                      <w:lang w:val="en-US" w:eastAsia="zh-CN"/>
                    </w:rPr>
                    <w:t>*</w:t>
                  </w:r>
                </w:p>
              </w:tc>
              <w:tc>
                <w:tcPr>
                  <w:tcW w:w="726" w:type="dxa"/>
                  <w:tcBorders>
                    <w:tl2br w:val="nil"/>
                    <w:tr2bl w:val="nil"/>
                  </w:tcBorders>
                  <w:vAlign w:val="center"/>
                </w:tcPr>
                <w:p w14:paraId="4F89E5BB">
                  <w:pPr>
                    <w:adjustRightInd w:val="0"/>
                    <w:jc w:val="center"/>
                    <w:rPr>
                      <w:spacing w:val="6"/>
                      <w:szCs w:val="21"/>
                    </w:rPr>
                  </w:pPr>
                  <w:r>
                    <w:rPr>
                      <w:rFonts w:hint="eastAsia"/>
                      <w:bCs/>
                      <w:sz w:val="21"/>
                      <w:szCs w:val="21"/>
                      <w:lang w:val="en-US" w:eastAsia="zh-CN"/>
                    </w:rPr>
                    <w:t>*</w:t>
                  </w:r>
                </w:p>
              </w:tc>
              <w:tc>
                <w:tcPr>
                  <w:tcW w:w="729" w:type="dxa"/>
                  <w:tcBorders>
                    <w:tl2br w:val="nil"/>
                    <w:tr2bl w:val="nil"/>
                  </w:tcBorders>
                  <w:vAlign w:val="center"/>
                </w:tcPr>
                <w:p w14:paraId="783F05E8">
                  <w:pPr>
                    <w:adjustRightInd w:val="0"/>
                    <w:jc w:val="center"/>
                    <w:rPr>
                      <w:spacing w:val="6"/>
                      <w:szCs w:val="21"/>
                    </w:rPr>
                  </w:pPr>
                  <w:r>
                    <w:rPr>
                      <w:rFonts w:hint="eastAsia"/>
                      <w:bCs/>
                      <w:sz w:val="21"/>
                      <w:szCs w:val="21"/>
                      <w:lang w:val="en-US" w:eastAsia="zh-CN"/>
                    </w:rPr>
                    <w:t>*</w:t>
                  </w:r>
                </w:p>
              </w:tc>
              <w:tc>
                <w:tcPr>
                  <w:tcW w:w="1023" w:type="dxa"/>
                  <w:tcBorders>
                    <w:tl2br w:val="nil"/>
                    <w:tr2bl w:val="nil"/>
                  </w:tcBorders>
                  <w:shd w:val="clear" w:color="auto" w:fill="auto"/>
                  <w:vAlign w:val="center"/>
                </w:tcPr>
                <w:p w14:paraId="07DD9055">
                  <w:pPr>
                    <w:widowControl/>
                    <w:jc w:val="center"/>
                    <w:textAlignment w:val="center"/>
                    <w:rPr>
                      <w:spacing w:val="6"/>
                      <w:szCs w:val="21"/>
                    </w:rPr>
                  </w:pPr>
                  <w:r>
                    <w:rPr>
                      <w:rFonts w:hint="eastAsia"/>
                      <w:bCs/>
                      <w:sz w:val="21"/>
                      <w:szCs w:val="21"/>
                      <w:lang w:val="en-US" w:eastAsia="zh-CN"/>
                    </w:rPr>
                    <w:t>*</w:t>
                  </w:r>
                </w:p>
              </w:tc>
              <w:tc>
                <w:tcPr>
                  <w:tcW w:w="924" w:type="dxa"/>
                  <w:tcBorders>
                    <w:tl2br w:val="nil"/>
                    <w:tr2bl w:val="nil"/>
                  </w:tcBorders>
                  <w:shd w:val="clear" w:color="auto" w:fill="auto"/>
                  <w:vAlign w:val="center"/>
                </w:tcPr>
                <w:p w14:paraId="11A66AB1">
                  <w:pPr>
                    <w:widowControl/>
                    <w:jc w:val="center"/>
                    <w:textAlignment w:val="center"/>
                    <w:rPr>
                      <w:spacing w:val="6"/>
                      <w:szCs w:val="21"/>
                    </w:rPr>
                  </w:pPr>
                  <w:r>
                    <w:rPr>
                      <w:rFonts w:hint="eastAsia"/>
                      <w:bCs/>
                      <w:sz w:val="21"/>
                      <w:szCs w:val="21"/>
                      <w:lang w:val="en-US" w:eastAsia="zh-CN"/>
                    </w:rPr>
                    <w:t>*</w:t>
                  </w:r>
                </w:p>
              </w:tc>
              <w:tc>
                <w:tcPr>
                  <w:tcW w:w="689" w:type="dxa"/>
                  <w:tcBorders>
                    <w:tl2br w:val="nil"/>
                    <w:tr2bl w:val="nil"/>
                  </w:tcBorders>
                  <w:shd w:val="clear" w:color="auto" w:fill="auto"/>
                  <w:vAlign w:val="center"/>
                </w:tcPr>
                <w:p w14:paraId="308865AF">
                  <w:pPr>
                    <w:widowControl/>
                    <w:jc w:val="center"/>
                    <w:textAlignment w:val="center"/>
                    <w:rPr>
                      <w:spacing w:val="6"/>
                      <w:szCs w:val="21"/>
                    </w:rPr>
                  </w:pPr>
                  <w:r>
                    <w:rPr>
                      <w:rFonts w:hint="eastAsia"/>
                      <w:bCs/>
                      <w:sz w:val="21"/>
                      <w:szCs w:val="21"/>
                      <w:lang w:val="en-US" w:eastAsia="zh-CN"/>
                    </w:rPr>
                    <w:t>*</w:t>
                  </w:r>
                </w:p>
              </w:tc>
            </w:tr>
            <w:tr w14:paraId="2FCFD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vAlign w:val="center"/>
                </w:tcPr>
                <w:p w14:paraId="3A92EC44">
                  <w:pPr>
                    <w:adjustRightInd w:val="0"/>
                    <w:jc w:val="center"/>
                    <w:rPr>
                      <w:spacing w:val="6"/>
                      <w:szCs w:val="21"/>
                    </w:rPr>
                  </w:pPr>
                  <w:r>
                    <w:rPr>
                      <w:spacing w:val="6"/>
                      <w:szCs w:val="21"/>
                    </w:rPr>
                    <w:t>D3</w:t>
                  </w:r>
                </w:p>
              </w:tc>
              <w:tc>
                <w:tcPr>
                  <w:tcW w:w="727" w:type="dxa"/>
                  <w:tcBorders>
                    <w:tl2br w:val="nil"/>
                    <w:tr2bl w:val="nil"/>
                  </w:tcBorders>
                  <w:vAlign w:val="center"/>
                </w:tcPr>
                <w:p w14:paraId="647D17BB">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2E044F14">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765A8C8D">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0ACEF8B5">
                  <w:pPr>
                    <w:widowControl/>
                    <w:jc w:val="center"/>
                    <w:textAlignment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4127F86B">
                  <w:pPr>
                    <w:adjustRightInd w:val="0"/>
                    <w:jc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3571F158">
                  <w:pPr>
                    <w:adjustRightInd w:val="0"/>
                    <w:jc w:val="center"/>
                    <w:rPr>
                      <w:spacing w:val="6"/>
                      <w:szCs w:val="21"/>
                    </w:rPr>
                  </w:pPr>
                  <w:r>
                    <w:rPr>
                      <w:rFonts w:hint="eastAsia"/>
                      <w:bCs/>
                      <w:sz w:val="21"/>
                      <w:szCs w:val="21"/>
                      <w:lang w:val="en-US" w:eastAsia="zh-CN"/>
                    </w:rPr>
                    <w:t>*</w:t>
                  </w:r>
                </w:p>
              </w:tc>
              <w:tc>
                <w:tcPr>
                  <w:tcW w:w="726" w:type="dxa"/>
                  <w:tcBorders>
                    <w:tl2br w:val="nil"/>
                    <w:tr2bl w:val="nil"/>
                  </w:tcBorders>
                  <w:vAlign w:val="center"/>
                </w:tcPr>
                <w:p w14:paraId="6F4499F4">
                  <w:pPr>
                    <w:adjustRightInd w:val="0"/>
                    <w:jc w:val="center"/>
                    <w:rPr>
                      <w:spacing w:val="6"/>
                      <w:szCs w:val="21"/>
                    </w:rPr>
                  </w:pPr>
                  <w:r>
                    <w:rPr>
                      <w:rFonts w:hint="eastAsia"/>
                      <w:bCs/>
                      <w:sz w:val="21"/>
                      <w:szCs w:val="21"/>
                      <w:lang w:val="en-US" w:eastAsia="zh-CN"/>
                    </w:rPr>
                    <w:t>*</w:t>
                  </w:r>
                </w:p>
              </w:tc>
              <w:tc>
                <w:tcPr>
                  <w:tcW w:w="729" w:type="dxa"/>
                  <w:tcBorders>
                    <w:tl2br w:val="nil"/>
                    <w:tr2bl w:val="nil"/>
                  </w:tcBorders>
                  <w:vAlign w:val="center"/>
                </w:tcPr>
                <w:p w14:paraId="35D30F71">
                  <w:pPr>
                    <w:adjustRightInd w:val="0"/>
                    <w:jc w:val="center"/>
                    <w:rPr>
                      <w:spacing w:val="6"/>
                      <w:szCs w:val="21"/>
                    </w:rPr>
                  </w:pPr>
                  <w:r>
                    <w:rPr>
                      <w:rFonts w:hint="eastAsia"/>
                      <w:bCs/>
                      <w:sz w:val="21"/>
                      <w:szCs w:val="21"/>
                      <w:lang w:val="en-US" w:eastAsia="zh-CN"/>
                    </w:rPr>
                    <w:t>*</w:t>
                  </w:r>
                </w:p>
              </w:tc>
              <w:tc>
                <w:tcPr>
                  <w:tcW w:w="1023" w:type="dxa"/>
                  <w:tcBorders>
                    <w:tl2br w:val="nil"/>
                    <w:tr2bl w:val="nil"/>
                  </w:tcBorders>
                  <w:shd w:val="clear" w:color="auto" w:fill="auto"/>
                  <w:vAlign w:val="center"/>
                </w:tcPr>
                <w:p w14:paraId="7CCCA25E">
                  <w:pPr>
                    <w:widowControl/>
                    <w:jc w:val="center"/>
                    <w:textAlignment w:val="center"/>
                    <w:rPr>
                      <w:spacing w:val="6"/>
                      <w:szCs w:val="21"/>
                    </w:rPr>
                  </w:pPr>
                  <w:r>
                    <w:rPr>
                      <w:rFonts w:hint="eastAsia"/>
                      <w:bCs/>
                      <w:sz w:val="21"/>
                      <w:szCs w:val="21"/>
                      <w:lang w:val="en-US" w:eastAsia="zh-CN"/>
                    </w:rPr>
                    <w:t>*</w:t>
                  </w:r>
                </w:p>
              </w:tc>
              <w:tc>
                <w:tcPr>
                  <w:tcW w:w="924" w:type="dxa"/>
                  <w:tcBorders>
                    <w:tl2br w:val="nil"/>
                    <w:tr2bl w:val="nil"/>
                  </w:tcBorders>
                  <w:shd w:val="clear" w:color="auto" w:fill="auto"/>
                  <w:vAlign w:val="center"/>
                </w:tcPr>
                <w:p w14:paraId="373F997C">
                  <w:pPr>
                    <w:widowControl/>
                    <w:jc w:val="center"/>
                    <w:textAlignment w:val="center"/>
                    <w:rPr>
                      <w:spacing w:val="6"/>
                      <w:szCs w:val="21"/>
                    </w:rPr>
                  </w:pPr>
                  <w:r>
                    <w:rPr>
                      <w:rFonts w:hint="eastAsia"/>
                      <w:bCs/>
                      <w:sz w:val="21"/>
                      <w:szCs w:val="21"/>
                      <w:lang w:val="en-US" w:eastAsia="zh-CN"/>
                    </w:rPr>
                    <w:t>*</w:t>
                  </w:r>
                </w:p>
              </w:tc>
              <w:tc>
                <w:tcPr>
                  <w:tcW w:w="689" w:type="dxa"/>
                  <w:tcBorders>
                    <w:tl2br w:val="nil"/>
                    <w:tr2bl w:val="nil"/>
                  </w:tcBorders>
                  <w:shd w:val="clear" w:color="auto" w:fill="auto"/>
                  <w:vAlign w:val="center"/>
                </w:tcPr>
                <w:p w14:paraId="7260C551">
                  <w:pPr>
                    <w:widowControl/>
                    <w:jc w:val="center"/>
                    <w:textAlignment w:val="center"/>
                    <w:rPr>
                      <w:spacing w:val="6"/>
                      <w:szCs w:val="21"/>
                    </w:rPr>
                  </w:pPr>
                  <w:r>
                    <w:rPr>
                      <w:rFonts w:hint="eastAsia"/>
                      <w:bCs/>
                      <w:sz w:val="21"/>
                      <w:szCs w:val="21"/>
                      <w:lang w:val="en-US" w:eastAsia="zh-CN"/>
                    </w:rPr>
                    <w:t>*</w:t>
                  </w:r>
                </w:p>
              </w:tc>
            </w:tr>
            <w:tr w14:paraId="14B8D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vAlign w:val="center"/>
                </w:tcPr>
                <w:p w14:paraId="23780E29">
                  <w:pPr>
                    <w:adjustRightInd w:val="0"/>
                    <w:jc w:val="center"/>
                    <w:rPr>
                      <w:spacing w:val="6"/>
                      <w:szCs w:val="21"/>
                    </w:rPr>
                  </w:pPr>
                  <w:r>
                    <w:rPr>
                      <w:spacing w:val="6"/>
                      <w:szCs w:val="21"/>
                    </w:rPr>
                    <w:t>D4</w:t>
                  </w:r>
                </w:p>
              </w:tc>
              <w:tc>
                <w:tcPr>
                  <w:tcW w:w="727" w:type="dxa"/>
                  <w:tcBorders>
                    <w:tl2br w:val="nil"/>
                    <w:tr2bl w:val="nil"/>
                  </w:tcBorders>
                  <w:vAlign w:val="center"/>
                </w:tcPr>
                <w:p w14:paraId="2F1A5074">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1F8D4CBB">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0AC56C91">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52E2A6DB">
                  <w:pPr>
                    <w:widowControl/>
                    <w:jc w:val="center"/>
                    <w:textAlignment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5C27F187">
                  <w:pPr>
                    <w:adjustRightInd w:val="0"/>
                    <w:jc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0369BD4F">
                  <w:pPr>
                    <w:adjustRightInd w:val="0"/>
                    <w:jc w:val="center"/>
                    <w:rPr>
                      <w:spacing w:val="6"/>
                      <w:szCs w:val="21"/>
                    </w:rPr>
                  </w:pPr>
                  <w:r>
                    <w:rPr>
                      <w:rFonts w:hint="eastAsia"/>
                      <w:bCs/>
                      <w:sz w:val="21"/>
                      <w:szCs w:val="21"/>
                      <w:lang w:val="en-US" w:eastAsia="zh-CN"/>
                    </w:rPr>
                    <w:t>*</w:t>
                  </w:r>
                </w:p>
              </w:tc>
              <w:tc>
                <w:tcPr>
                  <w:tcW w:w="726" w:type="dxa"/>
                  <w:tcBorders>
                    <w:tl2br w:val="nil"/>
                    <w:tr2bl w:val="nil"/>
                  </w:tcBorders>
                  <w:vAlign w:val="center"/>
                </w:tcPr>
                <w:p w14:paraId="0A903D72">
                  <w:pPr>
                    <w:adjustRightInd w:val="0"/>
                    <w:jc w:val="center"/>
                    <w:rPr>
                      <w:spacing w:val="6"/>
                      <w:szCs w:val="21"/>
                    </w:rPr>
                  </w:pPr>
                  <w:r>
                    <w:rPr>
                      <w:rFonts w:hint="eastAsia"/>
                      <w:bCs/>
                      <w:sz w:val="21"/>
                      <w:szCs w:val="21"/>
                      <w:lang w:val="en-US" w:eastAsia="zh-CN"/>
                    </w:rPr>
                    <w:t>*</w:t>
                  </w:r>
                </w:p>
              </w:tc>
              <w:tc>
                <w:tcPr>
                  <w:tcW w:w="729" w:type="dxa"/>
                  <w:tcBorders>
                    <w:tl2br w:val="nil"/>
                    <w:tr2bl w:val="nil"/>
                  </w:tcBorders>
                  <w:vAlign w:val="center"/>
                </w:tcPr>
                <w:p w14:paraId="5A91E54D">
                  <w:pPr>
                    <w:adjustRightInd w:val="0"/>
                    <w:jc w:val="center"/>
                    <w:rPr>
                      <w:spacing w:val="6"/>
                      <w:szCs w:val="21"/>
                    </w:rPr>
                  </w:pPr>
                  <w:r>
                    <w:rPr>
                      <w:rFonts w:hint="eastAsia"/>
                      <w:bCs/>
                      <w:sz w:val="21"/>
                      <w:szCs w:val="21"/>
                      <w:lang w:val="en-US" w:eastAsia="zh-CN"/>
                    </w:rPr>
                    <w:t>*</w:t>
                  </w:r>
                </w:p>
              </w:tc>
              <w:tc>
                <w:tcPr>
                  <w:tcW w:w="1023" w:type="dxa"/>
                  <w:tcBorders>
                    <w:tl2br w:val="nil"/>
                    <w:tr2bl w:val="nil"/>
                  </w:tcBorders>
                  <w:shd w:val="clear" w:color="auto" w:fill="auto"/>
                  <w:vAlign w:val="center"/>
                </w:tcPr>
                <w:p w14:paraId="60F9D1ED">
                  <w:pPr>
                    <w:widowControl/>
                    <w:jc w:val="center"/>
                    <w:textAlignment w:val="center"/>
                    <w:rPr>
                      <w:spacing w:val="6"/>
                      <w:szCs w:val="21"/>
                    </w:rPr>
                  </w:pPr>
                  <w:r>
                    <w:rPr>
                      <w:rFonts w:hint="eastAsia"/>
                      <w:bCs/>
                      <w:sz w:val="21"/>
                      <w:szCs w:val="21"/>
                      <w:lang w:val="en-US" w:eastAsia="zh-CN"/>
                    </w:rPr>
                    <w:t>*</w:t>
                  </w:r>
                </w:p>
              </w:tc>
              <w:tc>
                <w:tcPr>
                  <w:tcW w:w="924" w:type="dxa"/>
                  <w:tcBorders>
                    <w:tl2br w:val="nil"/>
                    <w:tr2bl w:val="nil"/>
                  </w:tcBorders>
                  <w:shd w:val="clear" w:color="auto" w:fill="auto"/>
                  <w:vAlign w:val="center"/>
                </w:tcPr>
                <w:p w14:paraId="034C58AF">
                  <w:pPr>
                    <w:widowControl/>
                    <w:jc w:val="center"/>
                    <w:textAlignment w:val="center"/>
                    <w:rPr>
                      <w:spacing w:val="6"/>
                      <w:szCs w:val="21"/>
                    </w:rPr>
                  </w:pPr>
                  <w:r>
                    <w:rPr>
                      <w:rFonts w:hint="eastAsia"/>
                      <w:bCs/>
                      <w:sz w:val="21"/>
                      <w:szCs w:val="21"/>
                      <w:lang w:val="en-US" w:eastAsia="zh-CN"/>
                    </w:rPr>
                    <w:t>*</w:t>
                  </w:r>
                </w:p>
              </w:tc>
              <w:tc>
                <w:tcPr>
                  <w:tcW w:w="689" w:type="dxa"/>
                  <w:tcBorders>
                    <w:tl2br w:val="nil"/>
                    <w:tr2bl w:val="nil"/>
                  </w:tcBorders>
                  <w:shd w:val="clear" w:color="auto" w:fill="auto"/>
                  <w:vAlign w:val="center"/>
                </w:tcPr>
                <w:p w14:paraId="63373869">
                  <w:pPr>
                    <w:widowControl/>
                    <w:jc w:val="center"/>
                    <w:textAlignment w:val="center"/>
                    <w:rPr>
                      <w:spacing w:val="6"/>
                      <w:szCs w:val="21"/>
                    </w:rPr>
                  </w:pPr>
                  <w:r>
                    <w:rPr>
                      <w:rFonts w:hint="eastAsia"/>
                      <w:bCs/>
                      <w:sz w:val="21"/>
                      <w:szCs w:val="21"/>
                      <w:lang w:val="en-US" w:eastAsia="zh-CN"/>
                    </w:rPr>
                    <w:t>*</w:t>
                  </w:r>
                </w:p>
              </w:tc>
            </w:tr>
            <w:tr w14:paraId="2A125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4" w:type="dxa"/>
                  <w:tcBorders>
                    <w:tl2br w:val="nil"/>
                    <w:tr2bl w:val="nil"/>
                  </w:tcBorders>
                  <w:vAlign w:val="center"/>
                </w:tcPr>
                <w:p w14:paraId="40E74F42">
                  <w:pPr>
                    <w:adjustRightInd w:val="0"/>
                    <w:jc w:val="center"/>
                    <w:rPr>
                      <w:spacing w:val="6"/>
                      <w:szCs w:val="21"/>
                    </w:rPr>
                  </w:pPr>
                  <w:r>
                    <w:rPr>
                      <w:spacing w:val="6"/>
                      <w:szCs w:val="21"/>
                    </w:rPr>
                    <w:t>D5</w:t>
                  </w:r>
                </w:p>
              </w:tc>
              <w:tc>
                <w:tcPr>
                  <w:tcW w:w="727" w:type="dxa"/>
                  <w:tcBorders>
                    <w:tl2br w:val="nil"/>
                    <w:tr2bl w:val="nil"/>
                  </w:tcBorders>
                  <w:vAlign w:val="center"/>
                </w:tcPr>
                <w:p w14:paraId="7EC02FD8">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2DF86CCD">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2E72CDB7">
                  <w:pPr>
                    <w:widowControl/>
                    <w:jc w:val="center"/>
                    <w:textAlignment w:val="center"/>
                    <w:rPr>
                      <w:spacing w:val="6"/>
                      <w:szCs w:val="21"/>
                    </w:rPr>
                  </w:pPr>
                  <w:r>
                    <w:rPr>
                      <w:rFonts w:hint="eastAsia"/>
                      <w:bCs/>
                      <w:sz w:val="21"/>
                      <w:szCs w:val="21"/>
                      <w:lang w:val="en-US" w:eastAsia="zh-CN"/>
                    </w:rPr>
                    <w:t>*</w:t>
                  </w:r>
                </w:p>
              </w:tc>
              <w:tc>
                <w:tcPr>
                  <w:tcW w:w="727" w:type="dxa"/>
                  <w:tcBorders>
                    <w:tl2br w:val="nil"/>
                    <w:tr2bl w:val="nil"/>
                  </w:tcBorders>
                  <w:vAlign w:val="center"/>
                </w:tcPr>
                <w:p w14:paraId="054AA5C6">
                  <w:pPr>
                    <w:widowControl/>
                    <w:jc w:val="center"/>
                    <w:textAlignment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1BC64A90">
                  <w:pPr>
                    <w:adjustRightInd w:val="0"/>
                    <w:jc w:val="center"/>
                    <w:rPr>
                      <w:spacing w:val="6"/>
                      <w:szCs w:val="21"/>
                    </w:rPr>
                  </w:pPr>
                  <w:r>
                    <w:rPr>
                      <w:rFonts w:hint="eastAsia"/>
                      <w:bCs/>
                      <w:sz w:val="21"/>
                      <w:szCs w:val="21"/>
                      <w:lang w:val="en-US" w:eastAsia="zh-CN"/>
                    </w:rPr>
                    <w:t>*</w:t>
                  </w:r>
                </w:p>
              </w:tc>
              <w:tc>
                <w:tcPr>
                  <w:tcW w:w="726" w:type="dxa"/>
                  <w:tcBorders>
                    <w:tl2br w:val="nil"/>
                    <w:tr2bl w:val="nil"/>
                  </w:tcBorders>
                  <w:shd w:val="clear" w:color="auto" w:fill="auto"/>
                  <w:vAlign w:val="center"/>
                </w:tcPr>
                <w:p w14:paraId="2127418B">
                  <w:pPr>
                    <w:adjustRightInd w:val="0"/>
                    <w:jc w:val="center"/>
                    <w:rPr>
                      <w:spacing w:val="6"/>
                      <w:szCs w:val="21"/>
                    </w:rPr>
                  </w:pPr>
                  <w:r>
                    <w:rPr>
                      <w:rFonts w:hint="eastAsia"/>
                      <w:bCs/>
                      <w:sz w:val="21"/>
                      <w:szCs w:val="21"/>
                      <w:lang w:val="en-US" w:eastAsia="zh-CN"/>
                    </w:rPr>
                    <w:t>*</w:t>
                  </w:r>
                </w:p>
              </w:tc>
              <w:tc>
                <w:tcPr>
                  <w:tcW w:w="726" w:type="dxa"/>
                  <w:tcBorders>
                    <w:tl2br w:val="nil"/>
                    <w:tr2bl w:val="nil"/>
                  </w:tcBorders>
                  <w:vAlign w:val="center"/>
                </w:tcPr>
                <w:p w14:paraId="7A0A330E">
                  <w:pPr>
                    <w:adjustRightInd w:val="0"/>
                    <w:jc w:val="center"/>
                    <w:rPr>
                      <w:spacing w:val="6"/>
                      <w:szCs w:val="21"/>
                    </w:rPr>
                  </w:pPr>
                  <w:r>
                    <w:rPr>
                      <w:rFonts w:hint="eastAsia"/>
                      <w:bCs/>
                      <w:sz w:val="21"/>
                      <w:szCs w:val="21"/>
                      <w:lang w:val="en-US" w:eastAsia="zh-CN"/>
                    </w:rPr>
                    <w:t>*</w:t>
                  </w:r>
                </w:p>
              </w:tc>
              <w:tc>
                <w:tcPr>
                  <w:tcW w:w="729" w:type="dxa"/>
                  <w:tcBorders>
                    <w:tl2br w:val="nil"/>
                    <w:tr2bl w:val="nil"/>
                  </w:tcBorders>
                  <w:vAlign w:val="center"/>
                </w:tcPr>
                <w:p w14:paraId="74559DD0">
                  <w:pPr>
                    <w:adjustRightInd w:val="0"/>
                    <w:jc w:val="center"/>
                    <w:rPr>
                      <w:spacing w:val="6"/>
                      <w:szCs w:val="21"/>
                    </w:rPr>
                  </w:pPr>
                  <w:r>
                    <w:rPr>
                      <w:rFonts w:hint="eastAsia"/>
                      <w:bCs/>
                      <w:sz w:val="21"/>
                      <w:szCs w:val="21"/>
                      <w:lang w:val="en-US" w:eastAsia="zh-CN"/>
                    </w:rPr>
                    <w:t>*</w:t>
                  </w:r>
                </w:p>
              </w:tc>
              <w:tc>
                <w:tcPr>
                  <w:tcW w:w="1023" w:type="dxa"/>
                  <w:tcBorders>
                    <w:tl2br w:val="nil"/>
                    <w:tr2bl w:val="nil"/>
                  </w:tcBorders>
                  <w:shd w:val="clear" w:color="auto" w:fill="auto"/>
                  <w:vAlign w:val="center"/>
                </w:tcPr>
                <w:p w14:paraId="381FF2F4">
                  <w:pPr>
                    <w:widowControl/>
                    <w:jc w:val="center"/>
                    <w:textAlignment w:val="center"/>
                    <w:rPr>
                      <w:spacing w:val="6"/>
                      <w:szCs w:val="21"/>
                    </w:rPr>
                  </w:pPr>
                  <w:r>
                    <w:rPr>
                      <w:rFonts w:hint="eastAsia"/>
                      <w:bCs/>
                      <w:sz w:val="21"/>
                      <w:szCs w:val="21"/>
                      <w:lang w:val="en-US" w:eastAsia="zh-CN"/>
                    </w:rPr>
                    <w:t>*</w:t>
                  </w:r>
                </w:p>
              </w:tc>
              <w:tc>
                <w:tcPr>
                  <w:tcW w:w="924" w:type="dxa"/>
                  <w:tcBorders>
                    <w:tl2br w:val="nil"/>
                    <w:tr2bl w:val="nil"/>
                  </w:tcBorders>
                  <w:shd w:val="clear" w:color="auto" w:fill="auto"/>
                  <w:vAlign w:val="center"/>
                </w:tcPr>
                <w:p w14:paraId="4487482D">
                  <w:pPr>
                    <w:widowControl/>
                    <w:jc w:val="center"/>
                    <w:textAlignment w:val="center"/>
                    <w:rPr>
                      <w:spacing w:val="6"/>
                      <w:szCs w:val="21"/>
                    </w:rPr>
                  </w:pPr>
                  <w:r>
                    <w:rPr>
                      <w:rFonts w:hint="eastAsia"/>
                      <w:bCs/>
                      <w:sz w:val="21"/>
                      <w:szCs w:val="21"/>
                      <w:lang w:val="en-US" w:eastAsia="zh-CN"/>
                    </w:rPr>
                    <w:t>*</w:t>
                  </w:r>
                </w:p>
              </w:tc>
              <w:tc>
                <w:tcPr>
                  <w:tcW w:w="689" w:type="dxa"/>
                  <w:tcBorders>
                    <w:tl2br w:val="nil"/>
                    <w:tr2bl w:val="nil"/>
                  </w:tcBorders>
                  <w:shd w:val="clear" w:color="auto" w:fill="auto"/>
                  <w:vAlign w:val="center"/>
                </w:tcPr>
                <w:p w14:paraId="61B588CB">
                  <w:pPr>
                    <w:widowControl/>
                    <w:jc w:val="center"/>
                    <w:textAlignment w:val="center"/>
                    <w:rPr>
                      <w:spacing w:val="6"/>
                      <w:szCs w:val="21"/>
                    </w:rPr>
                  </w:pPr>
                  <w:r>
                    <w:rPr>
                      <w:rFonts w:hint="eastAsia"/>
                      <w:bCs/>
                      <w:sz w:val="21"/>
                      <w:szCs w:val="21"/>
                      <w:lang w:val="en-US" w:eastAsia="zh-CN"/>
                    </w:rPr>
                    <w:t>*</w:t>
                  </w:r>
                </w:p>
              </w:tc>
            </w:tr>
          </w:tbl>
          <w:p w14:paraId="368E2267">
            <w:pPr>
              <w:pStyle w:val="333"/>
              <w:numPr>
                <w:ilvl w:val="0"/>
                <w:numId w:val="8"/>
              </w:numPr>
              <w:adjustRightInd w:val="0"/>
              <w:snapToGrid w:val="0"/>
              <w:spacing w:line="360" w:lineRule="auto"/>
              <w:ind w:left="0" w:firstLine="0" w:firstLineChars="0"/>
              <w:jc w:val="center"/>
              <w:rPr>
                <w:b/>
                <w:bCs/>
                <w:kern w:val="0"/>
                <w:sz w:val="24"/>
              </w:rPr>
            </w:pPr>
            <w:bookmarkStart w:id="23" w:name="_Ref456008627"/>
            <w:r>
              <w:rPr>
                <w:b/>
                <w:bCs/>
                <w:kern w:val="0"/>
                <w:sz w:val="24"/>
              </w:rPr>
              <w:t>表2-9 地下水化学离子</w:t>
            </w:r>
            <w:bookmarkStart w:id="24" w:name="OLE_LINK13"/>
            <w:bookmarkStart w:id="25" w:name="OLE_LINK12"/>
            <w:r>
              <w:rPr>
                <w:b/>
                <w:bCs/>
                <w:kern w:val="0"/>
                <w:sz w:val="24"/>
              </w:rPr>
              <w:t>毫克当量百分比计算</w:t>
            </w:r>
            <w:bookmarkEnd w:id="24"/>
            <w:bookmarkEnd w:id="25"/>
            <w:r>
              <w:rPr>
                <w:b/>
                <w:bCs/>
                <w:kern w:val="0"/>
                <w:sz w:val="24"/>
              </w:rPr>
              <w:t>表</w:t>
            </w:r>
          </w:p>
          <w:tbl>
            <w:tblPr>
              <w:tblStyle w:val="44"/>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7"/>
              <w:gridCol w:w="877"/>
              <w:gridCol w:w="759"/>
              <w:gridCol w:w="704"/>
              <w:gridCol w:w="988"/>
              <w:gridCol w:w="954"/>
              <w:gridCol w:w="991"/>
              <w:gridCol w:w="1085"/>
              <w:gridCol w:w="989"/>
            </w:tblGrid>
            <w:tr w14:paraId="3D0DC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vAlign w:val="center"/>
                </w:tcPr>
                <w:p w14:paraId="443BA5A4">
                  <w:pPr>
                    <w:adjustRightInd w:val="0"/>
                    <w:jc w:val="center"/>
                    <w:rPr>
                      <w:spacing w:val="6"/>
                      <w:szCs w:val="21"/>
                    </w:rPr>
                  </w:pPr>
                  <w:r>
                    <w:rPr>
                      <w:spacing w:val="6"/>
                      <w:szCs w:val="21"/>
                    </w:rPr>
                    <w:t>监测点位</w:t>
                  </w:r>
                </w:p>
              </w:tc>
              <w:tc>
                <w:tcPr>
                  <w:tcW w:w="962" w:type="dxa"/>
                  <w:tcBorders>
                    <w:tl2br w:val="nil"/>
                    <w:tr2bl w:val="nil"/>
                  </w:tcBorders>
                  <w:tcMar>
                    <w:top w:w="15" w:type="dxa"/>
                    <w:left w:w="15" w:type="dxa"/>
                    <w:bottom w:w="0" w:type="dxa"/>
                    <w:right w:w="15" w:type="dxa"/>
                  </w:tcMar>
                  <w:vAlign w:val="center"/>
                </w:tcPr>
                <w:p w14:paraId="3F4E4CBC">
                  <w:pPr>
                    <w:adjustRightInd w:val="0"/>
                    <w:jc w:val="center"/>
                    <w:rPr>
                      <w:spacing w:val="6"/>
                      <w:szCs w:val="21"/>
                    </w:rPr>
                  </w:pPr>
                  <w:r>
                    <w:rPr>
                      <w:spacing w:val="6"/>
                      <w:szCs w:val="21"/>
                    </w:rPr>
                    <w:t>K</w:t>
                  </w:r>
                  <w:r>
                    <w:rPr>
                      <w:spacing w:val="6"/>
                      <w:szCs w:val="21"/>
                      <w:vertAlign w:val="superscript"/>
                    </w:rPr>
                    <w:t>+</w:t>
                  </w:r>
                </w:p>
              </w:tc>
              <w:tc>
                <w:tcPr>
                  <w:tcW w:w="832" w:type="dxa"/>
                  <w:tcBorders>
                    <w:tl2br w:val="nil"/>
                    <w:tr2bl w:val="nil"/>
                  </w:tcBorders>
                  <w:tcMar>
                    <w:top w:w="15" w:type="dxa"/>
                    <w:left w:w="15" w:type="dxa"/>
                    <w:bottom w:w="0" w:type="dxa"/>
                    <w:right w:w="15" w:type="dxa"/>
                  </w:tcMar>
                  <w:vAlign w:val="center"/>
                </w:tcPr>
                <w:p w14:paraId="39E29F11">
                  <w:pPr>
                    <w:adjustRightInd w:val="0"/>
                    <w:jc w:val="center"/>
                    <w:rPr>
                      <w:spacing w:val="6"/>
                      <w:szCs w:val="21"/>
                    </w:rPr>
                  </w:pPr>
                  <w:r>
                    <w:rPr>
                      <w:spacing w:val="6"/>
                      <w:szCs w:val="21"/>
                    </w:rPr>
                    <w:t>Na</w:t>
                  </w:r>
                  <w:r>
                    <w:rPr>
                      <w:spacing w:val="6"/>
                      <w:szCs w:val="21"/>
                      <w:vertAlign w:val="superscript"/>
                    </w:rPr>
                    <w:t>+</w:t>
                  </w:r>
                </w:p>
              </w:tc>
              <w:tc>
                <w:tcPr>
                  <w:tcW w:w="772" w:type="dxa"/>
                  <w:tcBorders>
                    <w:tl2br w:val="nil"/>
                    <w:tr2bl w:val="nil"/>
                  </w:tcBorders>
                  <w:tcMar>
                    <w:top w:w="15" w:type="dxa"/>
                    <w:left w:w="15" w:type="dxa"/>
                    <w:bottom w:w="0" w:type="dxa"/>
                    <w:right w:w="15" w:type="dxa"/>
                  </w:tcMar>
                  <w:vAlign w:val="center"/>
                </w:tcPr>
                <w:p w14:paraId="45FD0FB0">
                  <w:pPr>
                    <w:adjustRightInd w:val="0"/>
                    <w:jc w:val="center"/>
                    <w:rPr>
                      <w:spacing w:val="6"/>
                      <w:szCs w:val="21"/>
                    </w:rPr>
                  </w:pPr>
                  <w:r>
                    <w:rPr>
                      <w:spacing w:val="6"/>
                      <w:szCs w:val="21"/>
                    </w:rPr>
                    <w:t>Ca</w:t>
                  </w:r>
                  <w:r>
                    <w:rPr>
                      <w:spacing w:val="6"/>
                      <w:szCs w:val="21"/>
                      <w:vertAlign w:val="superscript"/>
                    </w:rPr>
                    <w:t>2+</w:t>
                  </w:r>
                </w:p>
              </w:tc>
              <w:tc>
                <w:tcPr>
                  <w:tcW w:w="1085" w:type="dxa"/>
                  <w:tcBorders>
                    <w:tl2br w:val="nil"/>
                    <w:tr2bl w:val="nil"/>
                  </w:tcBorders>
                  <w:tcMar>
                    <w:top w:w="15" w:type="dxa"/>
                    <w:left w:w="15" w:type="dxa"/>
                    <w:bottom w:w="0" w:type="dxa"/>
                    <w:right w:w="15" w:type="dxa"/>
                  </w:tcMar>
                  <w:vAlign w:val="center"/>
                </w:tcPr>
                <w:p w14:paraId="184FBBD7">
                  <w:pPr>
                    <w:adjustRightInd w:val="0"/>
                    <w:jc w:val="center"/>
                    <w:rPr>
                      <w:spacing w:val="6"/>
                      <w:szCs w:val="21"/>
                    </w:rPr>
                  </w:pPr>
                  <w:r>
                    <w:rPr>
                      <w:spacing w:val="6"/>
                      <w:szCs w:val="21"/>
                    </w:rPr>
                    <w:t>Mg</w:t>
                  </w:r>
                  <w:r>
                    <w:rPr>
                      <w:spacing w:val="6"/>
                      <w:szCs w:val="21"/>
                      <w:vertAlign w:val="superscript"/>
                    </w:rPr>
                    <w:t>2+</w:t>
                  </w:r>
                </w:p>
              </w:tc>
              <w:tc>
                <w:tcPr>
                  <w:tcW w:w="1047" w:type="dxa"/>
                  <w:tcBorders>
                    <w:tl2br w:val="nil"/>
                    <w:tr2bl w:val="nil"/>
                  </w:tcBorders>
                  <w:tcMar>
                    <w:top w:w="15" w:type="dxa"/>
                    <w:left w:w="15" w:type="dxa"/>
                    <w:bottom w:w="0" w:type="dxa"/>
                    <w:right w:w="15" w:type="dxa"/>
                  </w:tcMar>
                  <w:vAlign w:val="center"/>
                </w:tcPr>
                <w:p w14:paraId="45E5E5F8">
                  <w:pPr>
                    <w:adjustRightInd w:val="0"/>
                    <w:jc w:val="center"/>
                    <w:rPr>
                      <w:spacing w:val="6"/>
                      <w:szCs w:val="21"/>
                    </w:rPr>
                  </w:pPr>
                  <w:r>
                    <w:rPr>
                      <w:spacing w:val="6"/>
                      <w:szCs w:val="21"/>
                    </w:rPr>
                    <w:t>CO</w:t>
                  </w:r>
                  <w:r>
                    <w:rPr>
                      <w:spacing w:val="6"/>
                      <w:szCs w:val="21"/>
                      <w:vertAlign w:val="subscript"/>
                    </w:rPr>
                    <w:t>3</w:t>
                  </w:r>
                  <w:r>
                    <w:rPr>
                      <w:spacing w:val="6"/>
                      <w:szCs w:val="21"/>
                      <w:vertAlign w:val="superscript"/>
                    </w:rPr>
                    <w:t>2-</w:t>
                  </w:r>
                </w:p>
              </w:tc>
              <w:tc>
                <w:tcPr>
                  <w:tcW w:w="1088" w:type="dxa"/>
                  <w:tcBorders>
                    <w:tl2br w:val="nil"/>
                    <w:tr2bl w:val="nil"/>
                  </w:tcBorders>
                  <w:tcMar>
                    <w:top w:w="15" w:type="dxa"/>
                    <w:left w:w="15" w:type="dxa"/>
                    <w:bottom w:w="0" w:type="dxa"/>
                    <w:right w:w="15" w:type="dxa"/>
                  </w:tcMar>
                  <w:vAlign w:val="center"/>
                </w:tcPr>
                <w:p w14:paraId="1FB44425">
                  <w:pPr>
                    <w:adjustRightInd w:val="0"/>
                    <w:jc w:val="center"/>
                    <w:rPr>
                      <w:spacing w:val="6"/>
                      <w:szCs w:val="21"/>
                    </w:rPr>
                  </w:pPr>
                  <w:r>
                    <w:rPr>
                      <w:spacing w:val="6"/>
                      <w:szCs w:val="21"/>
                    </w:rPr>
                    <w:t>HCO</w:t>
                  </w:r>
                  <w:r>
                    <w:rPr>
                      <w:spacing w:val="6"/>
                      <w:szCs w:val="21"/>
                      <w:vertAlign w:val="subscript"/>
                    </w:rPr>
                    <w:t>3</w:t>
                  </w:r>
                  <w:r>
                    <w:rPr>
                      <w:spacing w:val="6"/>
                      <w:szCs w:val="21"/>
                    </w:rPr>
                    <w:t>-</w:t>
                  </w:r>
                </w:p>
              </w:tc>
              <w:tc>
                <w:tcPr>
                  <w:tcW w:w="1192" w:type="dxa"/>
                  <w:tcBorders>
                    <w:tl2br w:val="nil"/>
                    <w:tr2bl w:val="nil"/>
                  </w:tcBorders>
                  <w:tcMar>
                    <w:top w:w="15" w:type="dxa"/>
                    <w:left w:w="15" w:type="dxa"/>
                    <w:bottom w:w="0" w:type="dxa"/>
                    <w:right w:w="15" w:type="dxa"/>
                  </w:tcMar>
                  <w:vAlign w:val="center"/>
                </w:tcPr>
                <w:p w14:paraId="61A70C3E">
                  <w:pPr>
                    <w:adjustRightInd w:val="0"/>
                    <w:jc w:val="center"/>
                    <w:rPr>
                      <w:spacing w:val="6"/>
                      <w:szCs w:val="21"/>
                    </w:rPr>
                  </w:pPr>
                  <w:r>
                    <w:rPr>
                      <w:spacing w:val="6"/>
                      <w:szCs w:val="21"/>
                    </w:rPr>
                    <w:t>Cl</w:t>
                  </w:r>
                  <w:r>
                    <w:rPr>
                      <w:spacing w:val="6"/>
                      <w:szCs w:val="21"/>
                      <w:vertAlign w:val="superscript"/>
                    </w:rPr>
                    <w:t>-</w:t>
                  </w:r>
                </w:p>
              </w:tc>
              <w:tc>
                <w:tcPr>
                  <w:tcW w:w="1086" w:type="dxa"/>
                  <w:tcBorders>
                    <w:tl2br w:val="nil"/>
                    <w:tr2bl w:val="nil"/>
                  </w:tcBorders>
                  <w:tcMar>
                    <w:top w:w="15" w:type="dxa"/>
                    <w:left w:w="15" w:type="dxa"/>
                    <w:bottom w:w="0" w:type="dxa"/>
                    <w:right w:w="15" w:type="dxa"/>
                  </w:tcMar>
                  <w:vAlign w:val="center"/>
                </w:tcPr>
                <w:p w14:paraId="608D8754">
                  <w:pPr>
                    <w:adjustRightInd w:val="0"/>
                    <w:jc w:val="center"/>
                    <w:rPr>
                      <w:spacing w:val="6"/>
                      <w:szCs w:val="21"/>
                    </w:rPr>
                  </w:pPr>
                  <w:r>
                    <w:rPr>
                      <w:spacing w:val="6"/>
                      <w:szCs w:val="21"/>
                    </w:rPr>
                    <w:t>SO</w:t>
                  </w:r>
                  <w:r>
                    <w:rPr>
                      <w:spacing w:val="6"/>
                      <w:szCs w:val="21"/>
                      <w:vertAlign w:val="subscript"/>
                    </w:rPr>
                    <w:t>4</w:t>
                  </w:r>
                  <w:r>
                    <w:rPr>
                      <w:spacing w:val="6"/>
                      <w:szCs w:val="21"/>
                      <w:vertAlign w:val="superscript"/>
                    </w:rPr>
                    <w:t>2-</w:t>
                  </w:r>
                </w:p>
              </w:tc>
            </w:tr>
            <w:tr w14:paraId="0CE70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tcMar>
                    <w:top w:w="15" w:type="dxa"/>
                    <w:left w:w="15" w:type="dxa"/>
                    <w:bottom w:w="0" w:type="dxa"/>
                    <w:right w:w="15" w:type="dxa"/>
                  </w:tcMar>
                  <w:vAlign w:val="center"/>
                </w:tcPr>
                <w:p w14:paraId="53FC6566">
                  <w:pPr>
                    <w:adjustRightInd w:val="0"/>
                    <w:jc w:val="center"/>
                    <w:rPr>
                      <w:spacing w:val="6"/>
                      <w:szCs w:val="21"/>
                    </w:rPr>
                  </w:pPr>
                  <w:r>
                    <w:rPr>
                      <w:spacing w:val="6"/>
                      <w:szCs w:val="21"/>
                    </w:rPr>
                    <w:t>D1</w:t>
                  </w:r>
                </w:p>
              </w:tc>
              <w:tc>
                <w:tcPr>
                  <w:tcW w:w="962" w:type="dxa"/>
                  <w:tcBorders>
                    <w:tl2br w:val="nil"/>
                    <w:tr2bl w:val="nil"/>
                  </w:tcBorders>
                  <w:tcMar>
                    <w:top w:w="15" w:type="dxa"/>
                    <w:left w:w="15" w:type="dxa"/>
                    <w:bottom w:w="0" w:type="dxa"/>
                    <w:right w:w="15" w:type="dxa"/>
                  </w:tcMar>
                  <w:vAlign w:val="center"/>
                </w:tcPr>
                <w:p w14:paraId="14CAEFB2">
                  <w:pPr>
                    <w:widowControl/>
                    <w:jc w:val="center"/>
                    <w:textAlignment w:val="center"/>
                    <w:rPr>
                      <w:spacing w:val="6"/>
                      <w:szCs w:val="21"/>
                    </w:rPr>
                  </w:pPr>
                  <w:r>
                    <w:rPr>
                      <w:rFonts w:hint="eastAsia"/>
                      <w:bCs/>
                      <w:sz w:val="21"/>
                      <w:szCs w:val="21"/>
                      <w:lang w:val="en-US" w:eastAsia="zh-CN"/>
                    </w:rPr>
                    <w:t>*</w:t>
                  </w:r>
                </w:p>
              </w:tc>
              <w:tc>
                <w:tcPr>
                  <w:tcW w:w="832" w:type="dxa"/>
                  <w:tcBorders>
                    <w:tl2br w:val="nil"/>
                    <w:tr2bl w:val="nil"/>
                  </w:tcBorders>
                  <w:tcMar>
                    <w:top w:w="15" w:type="dxa"/>
                    <w:left w:w="15" w:type="dxa"/>
                    <w:bottom w:w="0" w:type="dxa"/>
                    <w:right w:w="15" w:type="dxa"/>
                  </w:tcMar>
                  <w:vAlign w:val="center"/>
                </w:tcPr>
                <w:p w14:paraId="485A39E2">
                  <w:pPr>
                    <w:widowControl/>
                    <w:jc w:val="center"/>
                    <w:textAlignment w:val="center"/>
                    <w:rPr>
                      <w:spacing w:val="6"/>
                      <w:szCs w:val="21"/>
                    </w:rPr>
                  </w:pPr>
                  <w:r>
                    <w:rPr>
                      <w:rFonts w:hint="eastAsia"/>
                      <w:bCs/>
                      <w:sz w:val="21"/>
                      <w:szCs w:val="21"/>
                      <w:lang w:val="en-US" w:eastAsia="zh-CN"/>
                    </w:rPr>
                    <w:t>*</w:t>
                  </w:r>
                </w:p>
              </w:tc>
              <w:tc>
                <w:tcPr>
                  <w:tcW w:w="772" w:type="dxa"/>
                  <w:tcBorders>
                    <w:tl2br w:val="nil"/>
                    <w:tr2bl w:val="nil"/>
                  </w:tcBorders>
                  <w:tcMar>
                    <w:top w:w="15" w:type="dxa"/>
                    <w:left w:w="15" w:type="dxa"/>
                    <w:bottom w:w="0" w:type="dxa"/>
                    <w:right w:w="15" w:type="dxa"/>
                  </w:tcMar>
                  <w:vAlign w:val="center"/>
                </w:tcPr>
                <w:p w14:paraId="486B721C">
                  <w:pPr>
                    <w:widowControl/>
                    <w:jc w:val="center"/>
                    <w:textAlignment w:val="center"/>
                    <w:rPr>
                      <w:spacing w:val="6"/>
                      <w:szCs w:val="21"/>
                    </w:rPr>
                  </w:pPr>
                  <w:r>
                    <w:rPr>
                      <w:rFonts w:hint="eastAsia"/>
                      <w:bCs/>
                      <w:sz w:val="21"/>
                      <w:szCs w:val="21"/>
                      <w:lang w:val="en-US" w:eastAsia="zh-CN"/>
                    </w:rPr>
                    <w:t>*</w:t>
                  </w:r>
                </w:p>
              </w:tc>
              <w:tc>
                <w:tcPr>
                  <w:tcW w:w="1085" w:type="dxa"/>
                  <w:tcBorders>
                    <w:tl2br w:val="nil"/>
                    <w:tr2bl w:val="nil"/>
                  </w:tcBorders>
                  <w:tcMar>
                    <w:top w:w="15" w:type="dxa"/>
                    <w:left w:w="15" w:type="dxa"/>
                    <w:bottom w:w="0" w:type="dxa"/>
                    <w:right w:w="15" w:type="dxa"/>
                  </w:tcMar>
                  <w:vAlign w:val="center"/>
                </w:tcPr>
                <w:p w14:paraId="5D05824C">
                  <w:pPr>
                    <w:widowControl/>
                    <w:jc w:val="center"/>
                    <w:textAlignment w:val="center"/>
                    <w:rPr>
                      <w:spacing w:val="6"/>
                      <w:szCs w:val="21"/>
                    </w:rPr>
                  </w:pPr>
                  <w:r>
                    <w:rPr>
                      <w:rFonts w:hint="eastAsia"/>
                      <w:bCs/>
                      <w:sz w:val="21"/>
                      <w:szCs w:val="21"/>
                      <w:lang w:val="en-US" w:eastAsia="zh-CN"/>
                    </w:rPr>
                    <w:t>*</w:t>
                  </w:r>
                </w:p>
              </w:tc>
              <w:tc>
                <w:tcPr>
                  <w:tcW w:w="1047" w:type="dxa"/>
                  <w:tcBorders>
                    <w:tl2br w:val="nil"/>
                    <w:tr2bl w:val="nil"/>
                  </w:tcBorders>
                  <w:shd w:val="clear" w:color="auto" w:fill="auto"/>
                  <w:tcMar>
                    <w:top w:w="15" w:type="dxa"/>
                    <w:left w:w="15" w:type="dxa"/>
                    <w:bottom w:w="0" w:type="dxa"/>
                    <w:right w:w="15" w:type="dxa"/>
                  </w:tcMar>
                  <w:vAlign w:val="center"/>
                </w:tcPr>
                <w:p w14:paraId="37648D8E">
                  <w:pPr>
                    <w:adjustRightInd w:val="0"/>
                    <w:jc w:val="center"/>
                    <w:rPr>
                      <w:spacing w:val="6"/>
                      <w:szCs w:val="21"/>
                    </w:rPr>
                  </w:pPr>
                  <w:r>
                    <w:rPr>
                      <w:rFonts w:hint="eastAsia"/>
                      <w:bCs/>
                      <w:sz w:val="21"/>
                      <w:szCs w:val="21"/>
                      <w:lang w:val="en-US" w:eastAsia="zh-CN"/>
                    </w:rPr>
                    <w:t>*</w:t>
                  </w:r>
                </w:p>
              </w:tc>
              <w:tc>
                <w:tcPr>
                  <w:tcW w:w="1088" w:type="dxa"/>
                  <w:tcBorders>
                    <w:tl2br w:val="nil"/>
                    <w:tr2bl w:val="nil"/>
                  </w:tcBorders>
                  <w:shd w:val="clear" w:color="auto" w:fill="auto"/>
                  <w:tcMar>
                    <w:top w:w="15" w:type="dxa"/>
                    <w:left w:w="15" w:type="dxa"/>
                    <w:bottom w:w="0" w:type="dxa"/>
                    <w:right w:w="15" w:type="dxa"/>
                  </w:tcMar>
                  <w:vAlign w:val="center"/>
                </w:tcPr>
                <w:p w14:paraId="2797424D">
                  <w:pPr>
                    <w:adjustRightInd w:val="0"/>
                    <w:jc w:val="center"/>
                    <w:rPr>
                      <w:spacing w:val="6"/>
                      <w:szCs w:val="21"/>
                    </w:rPr>
                  </w:pPr>
                  <w:r>
                    <w:rPr>
                      <w:rFonts w:hint="eastAsia"/>
                      <w:bCs/>
                      <w:sz w:val="21"/>
                      <w:szCs w:val="21"/>
                      <w:lang w:val="en-US" w:eastAsia="zh-CN"/>
                    </w:rPr>
                    <w:t>*</w:t>
                  </w:r>
                </w:p>
              </w:tc>
              <w:tc>
                <w:tcPr>
                  <w:tcW w:w="1192" w:type="dxa"/>
                  <w:tcBorders>
                    <w:tl2br w:val="nil"/>
                    <w:tr2bl w:val="nil"/>
                  </w:tcBorders>
                  <w:tcMar>
                    <w:top w:w="15" w:type="dxa"/>
                    <w:left w:w="15" w:type="dxa"/>
                    <w:bottom w:w="0" w:type="dxa"/>
                    <w:right w:w="15" w:type="dxa"/>
                  </w:tcMar>
                  <w:vAlign w:val="center"/>
                </w:tcPr>
                <w:p w14:paraId="70D742E9">
                  <w:pPr>
                    <w:adjustRightInd w:val="0"/>
                    <w:jc w:val="center"/>
                    <w:rPr>
                      <w:spacing w:val="6"/>
                      <w:szCs w:val="21"/>
                    </w:rPr>
                  </w:pPr>
                  <w:r>
                    <w:rPr>
                      <w:rFonts w:hint="eastAsia"/>
                      <w:bCs/>
                      <w:sz w:val="21"/>
                      <w:szCs w:val="21"/>
                      <w:lang w:val="en-US" w:eastAsia="zh-CN"/>
                    </w:rPr>
                    <w:t>*</w:t>
                  </w:r>
                </w:p>
              </w:tc>
              <w:tc>
                <w:tcPr>
                  <w:tcW w:w="1086" w:type="dxa"/>
                  <w:tcBorders>
                    <w:tl2br w:val="nil"/>
                    <w:tr2bl w:val="nil"/>
                  </w:tcBorders>
                  <w:tcMar>
                    <w:top w:w="15" w:type="dxa"/>
                    <w:left w:w="15" w:type="dxa"/>
                    <w:bottom w:w="0" w:type="dxa"/>
                    <w:right w:w="15" w:type="dxa"/>
                  </w:tcMar>
                  <w:vAlign w:val="center"/>
                </w:tcPr>
                <w:p w14:paraId="0D2ED4AA">
                  <w:pPr>
                    <w:adjustRightInd w:val="0"/>
                    <w:jc w:val="center"/>
                    <w:rPr>
                      <w:spacing w:val="6"/>
                      <w:szCs w:val="21"/>
                    </w:rPr>
                  </w:pPr>
                  <w:r>
                    <w:rPr>
                      <w:rFonts w:hint="eastAsia"/>
                      <w:bCs/>
                      <w:sz w:val="21"/>
                      <w:szCs w:val="21"/>
                      <w:lang w:val="en-US" w:eastAsia="zh-CN"/>
                    </w:rPr>
                    <w:t>*</w:t>
                  </w:r>
                </w:p>
              </w:tc>
            </w:tr>
            <w:tr w14:paraId="34843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tcMar>
                    <w:top w:w="15" w:type="dxa"/>
                    <w:left w:w="15" w:type="dxa"/>
                    <w:bottom w:w="0" w:type="dxa"/>
                    <w:right w:w="15" w:type="dxa"/>
                  </w:tcMar>
                  <w:vAlign w:val="center"/>
                </w:tcPr>
                <w:p w14:paraId="16AB917B">
                  <w:pPr>
                    <w:adjustRightInd w:val="0"/>
                    <w:jc w:val="center"/>
                    <w:rPr>
                      <w:spacing w:val="6"/>
                      <w:szCs w:val="21"/>
                    </w:rPr>
                  </w:pPr>
                  <w:r>
                    <w:rPr>
                      <w:spacing w:val="6"/>
                      <w:szCs w:val="21"/>
                    </w:rPr>
                    <w:t>D2</w:t>
                  </w:r>
                </w:p>
              </w:tc>
              <w:tc>
                <w:tcPr>
                  <w:tcW w:w="962" w:type="dxa"/>
                  <w:tcBorders>
                    <w:tl2br w:val="nil"/>
                    <w:tr2bl w:val="nil"/>
                  </w:tcBorders>
                  <w:tcMar>
                    <w:top w:w="15" w:type="dxa"/>
                    <w:left w:w="15" w:type="dxa"/>
                    <w:bottom w:w="0" w:type="dxa"/>
                    <w:right w:w="15" w:type="dxa"/>
                  </w:tcMar>
                  <w:vAlign w:val="center"/>
                </w:tcPr>
                <w:p w14:paraId="4EF8D2FB">
                  <w:pPr>
                    <w:widowControl/>
                    <w:jc w:val="center"/>
                    <w:textAlignment w:val="center"/>
                    <w:rPr>
                      <w:spacing w:val="6"/>
                      <w:szCs w:val="21"/>
                    </w:rPr>
                  </w:pPr>
                  <w:r>
                    <w:rPr>
                      <w:rFonts w:hint="eastAsia"/>
                      <w:bCs/>
                      <w:sz w:val="21"/>
                      <w:szCs w:val="21"/>
                      <w:lang w:val="en-US" w:eastAsia="zh-CN"/>
                    </w:rPr>
                    <w:t>*</w:t>
                  </w:r>
                </w:p>
              </w:tc>
              <w:tc>
                <w:tcPr>
                  <w:tcW w:w="832" w:type="dxa"/>
                  <w:tcBorders>
                    <w:tl2br w:val="nil"/>
                    <w:tr2bl w:val="nil"/>
                  </w:tcBorders>
                  <w:tcMar>
                    <w:top w:w="15" w:type="dxa"/>
                    <w:left w:w="15" w:type="dxa"/>
                    <w:bottom w:w="0" w:type="dxa"/>
                    <w:right w:w="15" w:type="dxa"/>
                  </w:tcMar>
                  <w:vAlign w:val="center"/>
                </w:tcPr>
                <w:p w14:paraId="3AC2C2F9">
                  <w:pPr>
                    <w:widowControl/>
                    <w:jc w:val="center"/>
                    <w:textAlignment w:val="center"/>
                    <w:rPr>
                      <w:spacing w:val="6"/>
                      <w:szCs w:val="21"/>
                    </w:rPr>
                  </w:pPr>
                  <w:r>
                    <w:rPr>
                      <w:rFonts w:hint="eastAsia"/>
                      <w:bCs/>
                      <w:sz w:val="21"/>
                      <w:szCs w:val="21"/>
                      <w:lang w:val="en-US" w:eastAsia="zh-CN"/>
                    </w:rPr>
                    <w:t>*</w:t>
                  </w:r>
                </w:p>
              </w:tc>
              <w:tc>
                <w:tcPr>
                  <w:tcW w:w="772" w:type="dxa"/>
                  <w:tcBorders>
                    <w:tl2br w:val="nil"/>
                    <w:tr2bl w:val="nil"/>
                  </w:tcBorders>
                  <w:tcMar>
                    <w:top w:w="15" w:type="dxa"/>
                    <w:left w:w="15" w:type="dxa"/>
                    <w:bottom w:w="0" w:type="dxa"/>
                    <w:right w:w="15" w:type="dxa"/>
                  </w:tcMar>
                  <w:vAlign w:val="center"/>
                </w:tcPr>
                <w:p w14:paraId="5CBE917D">
                  <w:pPr>
                    <w:widowControl/>
                    <w:jc w:val="center"/>
                    <w:textAlignment w:val="center"/>
                    <w:rPr>
                      <w:spacing w:val="6"/>
                      <w:szCs w:val="21"/>
                    </w:rPr>
                  </w:pPr>
                  <w:r>
                    <w:rPr>
                      <w:rFonts w:hint="eastAsia"/>
                      <w:bCs/>
                      <w:sz w:val="21"/>
                      <w:szCs w:val="21"/>
                      <w:lang w:val="en-US" w:eastAsia="zh-CN"/>
                    </w:rPr>
                    <w:t>*</w:t>
                  </w:r>
                </w:p>
              </w:tc>
              <w:tc>
                <w:tcPr>
                  <w:tcW w:w="1085" w:type="dxa"/>
                  <w:tcBorders>
                    <w:tl2br w:val="nil"/>
                    <w:tr2bl w:val="nil"/>
                  </w:tcBorders>
                  <w:tcMar>
                    <w:top w:w="15" w:type="dxa"/>
                    <w:left w:w="15" w:type="dxa"/>
                    <w:bottom w:w="0" w:type="dxa"/>
                    <w:right w:w="15" w:type="dxa"/>
                  </w:tcMar>
                  <w:vAlign w:val="center"/>
                </w:tcPr>
                <w:p w14:paraId="15E049BF">
                  <w:pPr>
                    <w:widowControl/>
                    <w:jc w:val="center"/>
                    <w:textAlignment w:val="center"/>
                    <w:rPr>
                      <w:spacing w:val="6"/>
                      <w:szCs w:val="21"/>
                    </w:rPr>
                  </w:pPr>
                  <w:r>
                    <w:rPr>
                      <w:rFonts w:hint="eastAsia"/>
                      <w:bCs/>
                      <w:sz w:val="21"/>
                      <w:szCs w:val="21"/>
                      <w:lang w:val="en-US" w:eastAsia="zh-CN"/>
                    </w:rPr>
                    <w:t>*</w:t>
                  </w:r>
                </w:p>
              </w:tc>
              <w:tc>
                <w:tcPr>
                  <w:tcW w:w="1047" w:type="dxa"/>
                  <w:tcBorders>
                    <w:tl2br w:val="nil"/>
                    <w:tr2bl w:val="nil"/>
                  </w:tcBorders>
                  <w:shd w:val="clear" w:color="auto" w:fill="auto"/>
                  <w:tcMar>
                    <w:top w:w="15" w:type="dxa"/>
                    <w:left w:w="15" w:type="dxa"/>
                    <w:bottom w:w="0" w:type="dxa"/>
                    <w:right w:w="15" w:type="dxa"/>
                  </w:tcMar>
                  <w:vAlign w:val="center"/>
                </w:tcPr>
                <w:p w14:paraId="5879D5FD">
                  <w:pPr>
                    <w:adjustRightInd w:val="0"/>
                    <w:jc w:val="center"/>
                    <w:rPr>
                      <w:spacing w:val="6"/>
                      <w:szCs w:val="21"/>
                    </w:rPr>
                  </w:pPr>
                  <w:r>
                    <w:rPr>
                      <w:rFonts w:hint="eastAsia"/>
                      <w:bCs/>
                      <w:sz w:val="21"/>
                      <w:szCs w:val="21"/>
                      <w:lang w:val="en-US" w:eastAsia="zh-CN"/>
                    </w:rPr>
                    <w:t>*</w:t>
                  </w:r>
                </w:p>
              </w:tc>
              <w:tc>
                <w:tcPr>
                  <w:tcW w:w="1088" w:type="dxa"/>
                  <w:tcBorders>
                    <w:tl2br w:val="nil"/>
                    <w:tr2bl w:val="nil"/>
                  </w:tcBorders>
                  <w:shd w:val="clear" w:color="auto" w:fill="auto"/>
                  <w:tcMar>
                    <w:top w:w="15" w:type="dxa"/>
                    <w:left w:w="15" w:type="dxa"/>
                    <w:bottom w:w="0" w:type="dxa"/>
                    <w:right w:w="15" w:type="dxa"/>
                  </w:tcMar>
                  <w:vAlign w:val="center"/>
                </w:tcPr>
                <w:p w14:paraId="55132E30">
                  <w:pPr>
                    <w:adjustRightInd w:val="0"/>
                    <w:jc w:val="center"/>
                    <w:rPr>
                      <w:spacing w:val="6"/>
                      <w:szCs w:val="21"/>
                    </w:rPr>
                  </w:pPr>
                  <w:r>
                    <w:rPr>
                      <w:rFonts w:hint="eastAsia"/>
                      <w:bCs/>
                      <w:sz w:val="21"/>
                      <w:szCs w:val="21"/>
                      <w:lang w:val="en-US" w:eastAsia="zh-CN"/>
                    </w:rPr>
                    <w:t>*</w:t>
                  </w:r>
                </w:p>
              </w:tc>
              <w:tc>
                <w:tcPr>
                  <w:tcW w:w="1192" w:type="dxa"/>
                  <w:tcBorders>
                    <w:tl2br w:val="nil"/>
                    <w:tr2bl w:val="nil"/>
                  </w:tcBorders>
                  <w:tcMar>
                    <w:top w:w="15" w:type="dxa"/>
                    <w:left w:w="15" w:type="dxa"/>
                    <w:bottom w:w="0" w:type="dxa"/>
                    <w:right w:w="15" w:type="dxa"/>
                  </w:tcMar>
                  <w:vAlign w:val="center"/>
                </w:tcPr>
                <w:p w14:paraId="5BDFDB20">
                  <w:pPr>
                    <w:adjustRightInd w:val="0"/>
                    <w:jc w:val="center"/>
                    <w:rPr>
                      <w:spacing w:val="6"/>
                      <w:szCs w:val="21"/>
                    </w:rPr>
                  </w:pPr>
                  <w:r>
                    <w:rPr>
                      <w:rFonts w:hint="eastAsia"/>
                      <w:bCs/>
                      <w:sz w:val="21"/>
                      <w:szCs w:val="21"/>
                      <w:lang w:val="en-US" w:eastAsia="zh-CN"/>
                    </w:rPr>
                    <w:t>*</w:t>
                  </w:r>
                </w:p>
              </w:tc>
              <w:tc>
                <w:tcPr>
                  <w:tcW w:w="1086" w:type="dxa"/>
                  <w:tcBorders>
                    <w:tl2br w:val="nil"/>
                    <w:tr2bl w:val="nil"/>
                  </w:tcBorders>
                  <w:tcMar>
                    <w:top w:w="15" w:type="dxa"/>
                    <w:left w:w="15" w:type="dxa"/>
                    <w:bottom w:w="0" w:type="dxa"/>
                    <w:right w:w="15" w:type="dxa"/>
                  </w:tcMar>
                  <w:vAlign w:val="center"/>
                </w:tcPr>
                <w:p w14:paraId="35E645D9">
                  <w:pPr>
                    <w:adjustRightInd w:val="0"/>
                    <w:jc w:val="center"/>
                    <w:rPr>
                      <w:spacing w:val="6"/>
                      <w:szCs w:val="21"/>
                    </w:rPr>
                  </w:pPr>
                  <w:r>
                    <w:rPr>
                      <w:rFonts w:hint="eastAsia"/>
                      <w:bCs/>
                      <w:sz w:val="21"/>
                      <w:szCs w:val="21"/>
                      <w:lang w:val="en-US" w:eastAsia="zh-CN"/>
                    </w:rPr>
                    <w:t>*</w:t>
                  </w:r>
                </w:p>
              </w:tc>
            </w:tr>
            <w:tr w14:paraId="19464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tcMar>
                    <w:top w:w="15" w:type="dxa"/>
                    <w:left w:w="15" w:type="dxa"/>
                    <w:bottom w:w="0" w:type="dxa"/>
                    <w:right w:w="15" w:type="dxa"/>
                  </w:tcMar>
                  <w:vAlign w:val="center"/>
                </w:tcPr>
                <w:p w14:paraId="4E908D77">
                  <w:pPr>
                    <w:adjustRightInd w:val="0"/>
                    <w:jc w:val="center"/>
                    <w:rPr>
                      <w:spacing w:val="6"/>
                      <w:szCs w:val="21"/>
                    </w:rPr>
                  </w:pPr>
                  <w:r>
                    <w:rPr>
                      <w:spacing w:val="6"/>
                      <w:szCs w:val="21"/>
                    </w:rPr>
                    <w:t>D3</w:t>
                  </w:r>
                </w:p>
              </w:tc>
              <w:tc>
                <w:tcPr>
                  <w:tcW w:w="962" w:type="dxa"/>
                  <w:tcBorders>
                    <w:tl2br w:val="nil"/>
                    <w:tr2bl w:val="nil"/>
                  </w:tcBorders>
                  <w:tcMar>
                    <w:top w:w="15" w:type="dxa"/>
                    <w:left w:w="15" w:type="dxa"/>
                    <w:bottom w:w="0" w:type="dxa"/>
                    <w:right w:w="15" w:type="dxa"/>
                  </w:tcMar>
                  <w:vAlign w:val="center"/>
                </w:tcPr>
                <w:p w14:paraId="1A8FFBB4">
                  <w:pPr>
                    <w:widowControl/>
                    <w:jc w:val="center"/>
                    <w:textAlignment w:val="center"/>
                    <w:rPr>
                      <w:spacing w:val="6"/>
                      <w:szCs w:val="21"/>
                    </w:rPr>
                  </w:pPr>
                  <w:r>
                    <w:rPr>
                      <w:rFonts w:hint="eastAsia"/>
                      <w:bCs/>
                      <w:sz w:val="21"/>
                      <w:szCs w:val="21"/>
                      <w:lang w:val="en-US" w:eastAsia="zh-CN"/>
                    </w:rPr>
                    <w:t>*</w:t>
                  </w:r>
                </w:p>
              </w:tc>
              <w:tc>
                <w:tcPr>
                  <w:tcW w:w="832" w:type="dxa"/>
                  <w:tcBorders>
                    <w:tl2br w:val="nil"/>
                    <w:tr2bl w:val="nil"/>
                  </w:tcBorders>
                  <w:tcMar>
                    <w:top w:w="15" w:type="dxa"/>
                    <w:left w:w="15" w:type="dxa"/>
                    <w:bottom w:w="0" w:type="dxa"/>
                    <w:right w:w="15" w:type="dxa"/>
                  </w:tcMar>
                  <w:vAlign w:val="center"/>
                </w:tcPr>
                <w:p w14:paraId="20B7EA54">
                  <w:pPr>
                    <w:widowControl/>
                    <w:jc w:val="center"/>
                    <w:textAlignment w:val="center"/>
                    <w:rPr>
                      <w:spacing w:val="6"/>
                      <w:szCs w:val="21"/>
                    </w:rPr>
                  </w:pPr>
                  <w:r>
                    <w:rPr>
                      <w:rFonts w:hint="eastAsia"/>
                      <w:bCs/>
                      <w:sz w:val="21"/>
                      <w:szCs w:val="21"/>
                      <w:lang w:val="en-US" w:eastAsia="zh-CN"/>
                    </w:rPr>
                    <w:t>*</w:t>
                  </w:r>
                </w:p>
              </w:tc>
              <w:tc>
                <w:tcPr>
                  <w:tcW w:w="772" w:type="dxa"/>
                  <w:tcBorders>
                    <w:tl2br w:val="nil"/>
                    <w:tr2bl w:val="nil"/>
                  </w:tcBorders>
                  <w:tcMar>
                    <w:top w:w="15" w:type="dxa"/>
                    <w:left w:w="15" w:type="dxa"/>
                    <w:bottom w:w="0" w:type="dxa"/>
                    <w:right w:w="15" w:type="dxa"/>
                  </w:tcMar>
                  <w:vAlign w:val="center"/>
                </w:tcPr>
                <w:p w14:paraId="4AA56C5C">
                  <w:pPr>
                    <w:widowControl/>
                    <w:jc w:val="center"/>
                    <w:textAlignment w:val="center"/>
                    <w:rPr>
                      <w:spacing w:val="6"/>
                      <w:szCs w:val="21"/>
                    </w:rPr>
                  </w:pPr>
                  <w:r>
                    <w:rPr>
                      <w:rFonts w:hint="eastAsia"/>
                      <w:bCs/>
                      <w:sz w:val="21"/>
                      <w:szCs w:val="21"/>
                      <w:lang w:val="en-US" w:eastAsia="zh-CN"/>
                    </w:rPr>
                    <w:t>*</w:t>
                  </w:r>
                </w:p>
              </w:tc>
              <w:tc>
                <w:tcPr>
                  <w:tcW w:w="1085" w:type="dxa"/>
                  <w:tcBorders>
                    <w:tl2br w:val="nil"/>
                    <w:tr2bl w:val="nil"/>
                  </w:tcBorders>
                  <w:tcMar>
                    <w:top w:w="15" w:type="dxa"/>
                    <w:left w:w="15" w:type="dxa"/>
                    <w:bottom w:w="0" w:type="dxa"/>
                    <w:right w:w="15" w:type="dxa"/>
                  </w:tcMar>
                  <w:vAlign w:val="center"/>
                </w:tcPr>
                <w:p w14:paraId="473AE914">
                  <w:pPr>
                    <w:widowControl/>
                    <w:jc w:val="center"/>
                    <w:textAlignment w:val="center"/>
                    <w:rPr>
                      <w:spacing w:val="6"/>
                      <w:szCs w:val="21"/>
                    </w:rPr>
                  </w:pPr>
                  <w:r>
                    <w:rPr>
                      <w:rFonts w:hint="eastAsia"/>
                      <w:bCs/>
                      <w:sz w:val="21"/>
                      <w:szCs w:val="21"/>
                      <w:lang w:val="en-US" w:eastAsia="zh-CN"/>
                    </w:rPr>
                    <w:t>*</w:t>
                  </w:r>
                </w:p>
              </w:tc>
              <w:tc>
                <w:tcPr>
                  <w:tcW w:w="1047" w:type="dxa"/>
                  <w:tcBorders>
                    <w:tl2br w:val="nil"/>
                    <w:tr2bl w:val="nil"/>
                  </w:tcBorders>
                  <w:shd w:val="clear" w:color="auto" w:fill="auto"/>
                  <w:tcMar>
                    <w:top w:w="15" w:type="dxa"/>
                    <w:left w:w="15" w:type="dxa"/>
                    <w:bottom w:w="0" w:type="dxa"/>
                    <w:right w:w="15" w:type="dxa"/>
                  </w:tcMar>
                  <w:vAlign w:val="center"/>
                </w:tcPr>
                <w:p w14:paraId="3A0C6E12">
                  <w:pPr>
                    <w:adjustRightInd w:val="0"/>
                    <w:jc w:val="center"/>
                    <w:rPr>
                      <w:spacing w:val="6"/>
                      <w:szCs w:val="21"/>
                    </w:rPr>
                  </w:pPr>
                  <w:r>
                    <w:rPr>
                      <w:rFonts w:hint="eastAsia"/>
                      <w:bCs/>
                      <w:sz w:val="21"/>
                      <w:szCs w:val="21"/>
                      <w:lang w:val="en-US" w:eastAsia="zh-CN"/>
                    </w:rPr>
                    <w:t>*</w:t>
                  </w:r>
                </w:p>
              </w:tc>
              <w:tc>
                <w:tcPr>
                  <w:tcW w:w="1088" w:type="dxa"/>
                  <w:tcBorders>
                    <w:tl2br w:val="nil"/>
                    <w:tr2bl w:val="nil"/>
                  </w:tcBorders>
                  <w:shd w:val="clear" w:color="auto" w:fill="auto"/>
                  <w:tcMar>
                    <w:top w:w="15" w:type="dxa"/>
                    <w:left w:w="15" w:type="dxa"/>
                    <w:bottom w:w="0" w:type="dxa"/>
                    <w:right w:w="15" w:type="dxa"/>
                  </w:tcMar>
                  <w:vAlign w:val="center"/>
                </w:tcPr>
                <w:p w14:paraId="09E77F29">
                  <w:pPr>
                    <w:adjustRightInd w:val="0"/>
                    <w:jc w:val="center"/>
                    <w:rPr>
                      <w:spacing w:val="6"/>
                      <w:szCs w:val="21"/>
                    </w:rPr>
                  </w:pPr>
                  <w:r>
                    <w:rPr>
                      <w:rFonts w:hint="eastAsia"/>
                      <w:bCs/>
                      <w:sz w:val="21"/>
                      <w:szCs w:val="21"/>
                      <w:lang w:val="en-US" w:eastAsia="zh-CN"/>
                    </w:rPr>
                    <w:t>*</w:t>
                  </w:r>
                </w:p>
              </w:tc>
              <w:tc>
                <w:tcPr>
                  <w:tcW w:w="1192" w:type="dxa"/>
                  <w:tcBorders>
                    <w:tl2br w:val="nil"/>
                    <w:tr2bl w:val="nil"/>
                  </w:tcBorders>
                  <w:tcMar>
                    <w:top w:w="15" w:type="dxa"/>
                    <w:left w:w="15" w:type="dxa"/>
                    <w:bottom w:w="0" w:type="dxa"/>
                    <w:right w:w="15" w:type="dxa"/>
                  </w:tcMar>
                  <w:vAlign w:val="center"/>
                </w:tcPr>
                <w:p w14:paraId="1105FA79">
                  <w:pPr>
                    <w:adjustRightInd w:val="0"/>
                    <w:jc w:val="center"/>
                    <w:rPr>
                      <w:spacing w:val="6"/>
                      <w:szCs w:val="21"/>
                    </w:rPr>
                  </w:pPr>
                  <w:r>
                    <w:rPr>
                      <w:rFonts w:hint="eastAsia"/>
                      <w:bCs/>
                      <w:sz w:val="21"/>
                      <w:szCs w:val="21"/>
                      <w:lang w:val="en-US" w:eastAsia="zh-CN"/>
                    </w:rPr>
                    <w:t>*</w:t>
                  </w:r>
                </w:p>
              </w:tc>
              <w:tc>
                <w:tcPr>
                  <w:tcW w:w="1086" w:type="dxa"/>
                  <w:tcBorders>
                    <w:tl2br w:val="nil"/>
                    <w:tr2bl w:val="nil"/>
                  </w:tcBorders>
                  <w:tcMar>
                    <w:top w:w="15" w:type="dxa"/>
                    <w:left w:w="15" w:type="dxa"/>
                    <w:bottom w:w="0" w:type="dxa"/>
                    <w:right w:w="15" w:type="dxa"/>
                  </w:tcMar>
                  <w:vAlign w:val="center"/>
                </w:tcPr>
                <w:p w14:paraId="2D66BEBD">
                  <w:pPr>
                    <w:adjustRightInd w:val="0"/>
                    <w:jc w:val="center"/>
                    <w:rPr>
                      <w:spacing w:val="6"/>
                      <w:szCs w:val="21"/>
                    </w:rPr>
                  </w:pPr>
                  <w:r>
                    <w:rPr>
                      <w:rFonts w:hint="eastAsia"/>
                      <w:bCs/>
                      <w:sz w:val="21"/>
                      <w:szCs w:val="21"/>
                      <w:lang w:val="en-US" w:eastAsia="zh-CN"/>
                    </w:rPr>
                    <w:t>*</w:t>
                  </w:r>
                </w:p>
              </w:tc>
            </w:tr>
            <w:tr w14:paraId="58CE4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tcMar>
                    <w:top w:w="15" w:type="dxa"/>
                    <w:left w:w="15" w:type="dxa"/>
                    <w:bottom w:w="0" w:type="dxa"/>
                    <w:right w:w="15" w:type="dxa"/>
                  </w:tcMar>
                  <w:vAlign w:val="center"/>
                </w:tcPr>
                <w:p w14:paraId="3907C2AC">
                  <w:pPr>
                    <w:adjustRightInd w:val="0"/>
                    <w:jc w:val="center"/>
                    <w:rPr>
                      <w:spacing w:val="6"/>
                      <w:szCs w:val="21"/>
                    </w:rPr>
                  </w:pPr>
                  <w:r>
                    <w:rPr>
                      <w:spacing w:val="6"/>
                      <w:szCs w:val="21"/>
                    </w:rPr>
                    <w:t>D4</w:t>
                  </w:r>
                </w:p>
              </w:tc>
              <w:tc>
                <w:tcPr>
                  <w:tcW w:w="962" w:type="dxa"/>
                  <w:tcBorders>
                    <w:tl2br w:val="nil"/>
                    <w:tr2bl w:val="nil"/>
                  </w:tcBorders>
                  <w:tcMar>
                    <w:top w:w="15" w:type="dxa"/>
                    <w:left w:w="15" w:type="dxa"/>
                    <w:bottom w:w="0" w:type="dxa"/>
                    <w:right w:w="15" w:type="dxa"/>
                  </w:tcMar>
                  <w:vAlign w:val="center"/>
                </w:tcPr>
                <w:p w14:paraId="79C4021E">
                  <w:pPr>
                    <w:widowControl/>
                    <w:jc w:val="center"/>
                    <w:textAlignment w:val="center"/>
                    <w:rPr>
                      <w:spacing w:val="6"/>
                      <w:szCs w:val="21"/>
                    </w:rPr>
                  </w:pPr>
                  <w:r>
                    <w:rPr>
                      <w:rFonts w:hint="eastAsia"/>
                      <w:bCs/>
                      <w:sz w:val="21"/>
                      <w:szCs w:val="21"/>
                      <w:lang w:val="en-US" w:eastAsia="zh-CN"/>
                    </w:rPr>
                    <w:t>*</w:t>
                  </w:r>
                </w:p>
              </w:tc>
              <w:tc>
                <w:tcPr>
                  <w:tcW w:w="832" w:type="dxa"/>
                  <w:tcBorders>
                    <w:tl2br w:val="nil"/>
                    <w:tr2bl w:val="nil"/>
                  </w:tcBorders>
                  <w:tcMar>
                    <w:top w:w="15" w:type="dxa"/>
                    <w:left w:w="15" w:type="dxa"/>
                    <w:bottom w:w="0" w:type="dxa"/>
                    <w:right w:w="15" w:type="dxa"/>
                  </w:tcMar>
                  <w:vAlign w:val="center"/>
                </w:tcPr>
                <w:p w14:paraId="6F923D98">
                  <w:pPr>
                    <w:widowControl/>
                    <w:jc w:val="center"/>
                    <w:textAlignment w:val="center"/>
                    <w:rPr>
                      <w:spacing w:val="6"/>
                      <w:szCs w:val="21"/>
                    </w:rPr>
                  </w:pPr>
                  <w:r>
                    <w:rPr>
                      <w:rFonts w:hint="eastAsia"/>
                      <w:bCs/>
                      <w:sz w:val="21"/>
                      <w:szCs w:val="21"/>
                      <w:lang w:val="en-US" w:eastAsia="zh-CN"/>
                    </w:rPr>
                    <w:t>*</w:t>
                  </w:r>
                </w:p>
              </w:tc>
              <w:tc>
                <w:tcPr>
                  <w:tcW w:w="772" w:type="dxa"/>
                  <w:tcBorders>
                    <w:tl2br w:val="nil"/>
                    <w:tr2bl w:val="nil"/>
                  </w:tcBorders>
                  <w:tcMar>
                    <w:top w:w="15" w:type="dxa"/>
                    <w:left w:w="15" w:type="dxa"/>
                    <w:bottom w:w="0" w:type="dxa"/>
                    <w:right w:w="15" w:type="dxa"/>
                  </w:tcMar>
                  <w:vAlign w:val="center"/>
                </w:tcPr>
                <w:p w14:paraId="5851E46E">
                  <w:pPr>
                    <w:widowControl/>
                    <w:jc w:val="center"/>
                    <w:textAlignment w:val="center"/>
                    <w:rPr>
                      <w:spacing w:val="6"/>
                      <w:szCs w:val="21"/>
                    </w:rPr>
                  </w:pPr>
                  <w:r>
                    <w:rPr>
                      <w:rFonts w:hint="eastAsia"/>
                      <w:bCs/>
                      <w:sz w:val="21"/>
                      <w:szCs w:val="21"/>
                      <w:lang w:val="en-US" w:eastAsia="zh-CN"/>
                    </w:rPr>
                    <w:t>*</w:t>
                  </w:r>
                </w:p>
              </w:tc>
              <w:tc>
                <w:tcPr>
                  <w:tcW w:w="1085" w:type="dxa"/>
                  <w:tcBorders>
                    <w:tl2br w:val="nil"/>
                    <w:tr2bl w:val="nil"/>
                  </w:tcBorders>
                  <w:tcMar>
                    <w:top w:w="15" w:type="dxa"/>
                    <w:left w:w="15" w:type="dxa"/>
                    <w:bottom w:w="0" w:type="dxa"/>
                    <w:right w:w="15" w:type="dxa"/>
                  </w:tcMar>
                  <w:vAlign w:val="center"/>
                </w:tcPr>
                <w:p w14:paraId="58B545AC">
                  <w:pPr>
                    <w:widowControl/>
                    <w:jc w:val="center"/>
                    <w:textAlignment w:val="center"/>
                    <w:rPr>
                      <w:spacing w:val="6"/>
                      <w:szCs w:val="21"/>
                    </w:rPr>
                  </w:pPr>
                  <w:r>
                    <w:rPr>
                      <w:rFonts w:hint="eastAsia"/>
                      <w:bCs/>
                      <w:sz w:val="21"/>
                      <w:szCs w:val="21"/>
                      <w:lang w:val="en-US" w:eastAsia="zh-CN"/>
                    </w:rPr>
                    <w:t>*</w:t>
                  </w:r>
                </w:p>
              </w:tc>
              <w:tc>
                <w:tcPr>
                  <w:tcW w:w="1047" w:type="dxa"/>
                  <w:tcBorders>
                    <w:tl2br w:val="nil"/>
                    <w:tr2bl w:val="nil"/>
                  </w:tcBorders>
                  <w:shd w:val="clear" w:color="auto" w:fill="auto"/>
                  <w:tcMar>
                    <w:top w:w="15" w:type="dxa"/>
                    <w:left w:w="15" w:type="dxa"/>
                    <w:bottom w:w="0" w:type="dxa"/>
                    <w:right w:w="15" w:type="dxa"/>
                  </w:tcMar>
                  <w:vAlign w:val="center"/>
                </w:tcPr>
                <w:p w14:paraId="3D3EBF09">
                  <w:pPr>
                    <w:adjustRightInd w:val="0"/>
                    <w:jc w:val="center"/>
                    <w:rPr>
                      <w:spacing w:val="6"/>
                      <w:szCs w:val="21"/>
                    </w:rPr>
                  </w:pPr>
                  <w:r>
                    <w:rPr>
                      <w:rFonts w:hint="eastAsia"/>
                      <w:bCs/>
                      <w:sz w:val="21"/>
                      <w:szCs w:val="21"/>
                      <w:lang w:val="en-US" w:eastAsia="zh-CN"/>
                    </w:rPr>
                    <w:t>*</w:t>
                  </w:r>
                </w:p>
              </w:tc>
              <w:tc>
                <w:tcPr>
                  <w:tcW w:w="1088" w:type="dxa"/>
                  <w:tcBorders>
                    <w:tl2br w:val="nil"/>
                    <w:tr2bl w:val="nil"/>
                  </w:tcBorders>
                  <w:shd w:val="clear" w:color="auto" w:fill="auto"/>
                  <w:tcMar>
                    <w:top w:w="15" w:type="dxa"/>
                    <w:left w:w="15" w:type="dxa"/>
                    <w:bottom w:w="0" w:type="dxa"/>
                    <w:right w:w="15" w:type="dxa"/>
                  </w:tcMar>
                  <w:vAlign w:val="center"/>
                </w:tcPr>
                <w:p w14:paraId="2B339729">
                  <w:pPr>
                    <w:adjustRightInd w:val="0"/>
                    <w:jc w:val="center"/>
                    <w:rPr>
                      <w:spacing w:val="6"/>
                      <w:szCs w:val="21"/>
                    </w:rPr>
                  </w:pPr>
                  <w:r>
                    <w:rPr>
                      <w:rFonts w:hint="eastAsia"/>
                      <w:bCs/>
                      <w:sz w:val="21"/>
                      <w:szCs w:val="21"/>
                      <w:lang w:val="en-US" w:eastAsia="zh-CN"/>
                    </w:rPr>
                    <w:t>*</w:t>
                  </w:r>
                </w:p>
              </w:tc>
              <w:tc>
                <w:tcPr>
                  <w:tcW w:w="1192" w:type="dxa"/>
                  <w:tcBorders>
                    <w:tl2br w:val="nil"/>
                    <w:tr2bl w:val="nil"/>
                  </w:tcBorders>
                  <w:tcMar>
                    <w:top w:w="15" w:type="dxa"/>
                    <w:left w:w="15" w:type="dxa"/>
                    <w:bottom w:w="0" w:type="dxa"/>
                    <w:right w:w="15" w:type="dxa"/>
                  </w:tcMar>
                  <w:vAlign w:val="center"/>
                </w:tcPr>
                <w:p w14:paraId="753AC008">
                  <w:pPr>
                    <w:adjustRightInd w:val="0"/>
                    <w:jc w:val="center"/>
                    <w:rPr>
                      <w:spacing w:val="6"/>
                      <w:szCs w:val="21"/>
                    </w:rPr>
                  </w:pPr>
                  <w:r>
                    <w:rPr>
                      <w:rFonts w:hint="eastAsia"/>
                      <w:bCs/>
                      <w:sz w:val="21"/>
                      <w:szCs w:val="21"/>
                      <w:lang w:val="en-US" w:eastAsia="zh-CN"/>
                    </w:rPr>
                    <w:t>*</w:t>
                  </w:r>
                </w:p>
              </w:tc>
              <w:tc>
                <w:tcPr>
                  <w:tcW w:w="1086" w:type="dxa"/>
                  <w:tcBorders>
                    <w:tl2br w:val="nil"/>
                    <w:tr2bl w:val="nil"/>
                  </w:tcBorders>
                  <w:tcMar>
                    <w:top w:w="15" w:type="dxa"/>
                    <w:left w:w="15" w:type="dxa"/>
                    <w:bottom w:w="0" w:type="dxa"/>
                    <w:right w:w="15" w:type="dxa"/>
                  </w:tcMar>
                  <w:vAlign w:val="center"/>
                </w:tcPr>
                <w:p w14:paraId="69E5DF53">
                  <w:pPr>
                    <w:adjustRightInd w:val="0"/>
                    <w:jc w:val="center"/>
                    <w:rPr>
                      <w:spacing w:val="6"/>
                      <w:szCs w:val="21"/>
                    </w:rPr>
                  </w:pPr>
                  <w:r>
                    <w:rPr>
                      <w:rFonts w:hint="eastAsia"/>
                      <w:bCs/>
                      <w:sz w:val="21"/>
                      <w:szCs w:val="21"/>
                      <w:lang w:val="en-US" w:eastAsia="zh-CN"/>
                    </w:rPr>
                    <w:t>*</w:t>
                  </w:r>
                </w:p>
              </w:tc>
            </w:tr>
            <w:tr w14:paraId="135CD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754" w:type="dxa"/>
                  <w:tcBorders>
                    <w:tl2br w:val="nil"/>
                    <w:tr2bl w:val="nil"/>
                  </w:tcBorders>
                  <w:tcMar>
                    <w:top w:w="15" w:type="dxa"/>
                    <w:left w:w="15" w:type="dxa"/>
                    <w:bottom w:w="0" w:type="dxa"/>
                    <w:right w:w="15" w:type="dxa"/>
                  </w:tcMar>
                  <w:vAlign w:val="center"/>
                </w:tcPr>
                <w:p w14:paraId="7BFD4DDD">
                  <w:pPr>
                    <w:adjustRightInd w:val="0"/>
                    <w:jc w:val="center"/>
                    <w:rPr>
                      <w:spacing w:val="6"/>
                      <w:szCs w:val="21"/>
                    </w:rPr>
                  </w:pPr>
                  <w:r>
                    <w:rPr>
                      <w:spacing w:val="6"/>
                      <w:szCs w:val="21"/>
                    </w:rPr>
                    <w:t>D5</w:t>
                  </w:r>
                </w:p>
              </w:tc>
              <w:tc>
                <w:tcPr>
                  <w:tcW w:w="962" w:type="dxa"/>
                  <w:tcBorders>
                    <w:tl2br w:val="nil"/>
                    <w:tr2bl w:val="nil"/>
                  </w:tcBorders>
                  <w:tcMar>
                    <w:top w:w="15" w:type="dxa"/>
                    <w:left w:w="15" w:type="dxa"/>
                    <w:bottom w:w="0" w:type="dxa"/>
                    <w:right w:w="15" w:type="dxa"/>
                  </w:tcMar>
                  <w:vAlign w:val="center"/>
                </w:tcPr>
                <w:p w14:paraId="3FA10A00">
                  <w:pPr>
                    <w:widowControl/>
                    <w:jc w:val="center"/>
                    <w:textAlignment w:val="center"/>
                    <w:rPr>
                      <w:spacing w:val="6"/>
                      <w:szCs w:val="21"/>
                    </w:rPr>
                  </w:pPr>
                  <w:r>
                    <w:rPr>
                      <w:rFonts w:hint="eastAsia"/>
                      <w:bCs/>
                      <w:sz w:val="21"/>
                      <w:szCs w:val="21"/>
                      <w:lang w:val="en-US" w:eastAsia="zh-CN"/>
                    </w:rPr>
                    <w:t>*</w:t>
                  </w:r>
                </w:p>
              </w:tc>
              <w:tc>
                <w:tcPr>
                  <w:tcW w:w="832" w:type="dxa"/>
                  <w:tcBorders>
                    <w:tl2br w:val="nil"/>
                    <w:tr2bl w:val="nil"/>
                  </w:tcBorders>
                  <w:tcMar>
                    <w:top w:w="15" w:type="dxa"/>
                    <w:left w:w="15" w:type="dxa"/>
                    <w:bottom w:w="0" w:type="dxa"/>
                    <w:right w:w="15" w:type="dxa"/>
                  </w:tcMar>
                  <w:vAlign w:val="center"/>
                </w:tcPr>
                <w:p w14:paraId="20097F70">
                  <w:pPr>
                    <w:widowControl/>
                    <w:jc w:val="center"/>
                    <w:textAlignment w:val="center"/>
                    <w:rPr>
                      <w:spacing w:val="6"/>
                      <w:szCs w:val="21"/>
                    </w:rPr>
                  </w:pPr>
                  <w:r>
                    <w:rPr>
                      <w:rFonts w:hint="eastAsia"/>
                      <w:bCs/>
                      <w:sz w:val="21"/>
                      <w:szCs w:val="21"/>
                      <w:lang w:val="en-US" w:eastAsia="zh-CN"/>
                    </w:rPr>
                    <w:t>*</w:t>
                  </w:r>
                </w:p>
              </w:tc>
              <w:tc>
                <w:tcPr>
                  <w:tcW w:w="772" w:type="dxa"/>
                  <w:tcBorders>
                    <w:tl2br w:val="nil"/>
                    <w:tr2bl w:val="nil"/>
                  </w:tcBorders>
                  <w:tcMar>
                    <w:top w:w="15" w:type="dxa"/>
                    <w:left w:w="15" w:type="dxa"/>
                    <w:bottom w:w="0" w:type="dxa"/>
                    <w:right w:w="15" w:type="dxa"/>
                  </w:tcMar>
                  <w:vAlign w:val="center"/>
                </w:tcPr>
                <w:p w14:paraId="276AB292">
                  <w:pPr>
                    <w:widowControl/>
                    <w:jc w:val="center"/>
                    <w:textAlignment w:val="center"/>
                    <w:rPr>
                      <w:spacing w:val="6"/>
                      <w:szCs w:val="21"/>
                    </w:rPr>
                  </w:pPr>
                  <w:r>
                    <w:rPr>
                      <w:rFonts w:hint="eastAsia"/>
                      <w:bCs/>
                      <w:sz w:val="21"/>
                      <w:szCs w:val="21"/>
                      <w:lang w:val="en-US" w:eastAsia="zh-CN"/>
                    </w:rPr>
                    <w:t>*</w:t>
                  </w:r>
                </w:p>
              </w:tc>
              <w:tc>
                <w:tcPr>
                  <w:tcW w:w="1085" w:type="dxa"/>
                  <w:tcBorders>
                    <w:tl2br w:val="nil"/>
                    <w:tr2bl w:val="nil"/>
                  </w:tcBorders>
                  <w:tcMar>
                    <w:top w:w="15" w:type="dxa"/>
                    <w:left w:w="15" w:type="dxa"/>
                    <w:bottom w:w="0" w:type="dxa"/>
                    <w:right w:w="15" w:type="dxa"/>
                  </w:tcMar>
                  <w:vAlign w:val="center"/>
                </w:tcPr>
                <w:p w14:paraId="43515E6F">
                  <w:pPr>
                    <w:widowControl/>
                    <w:jc w:val="center"/>
                    <w:textAlignment w:val="center"/>
                    <w:rPr>
                      <w:spacing w:val="6"/>
                      <w:szCs w:val="21"/>
                    </w:rPr>
                  </w:pPr>
                  <w:r>
                    <w:rPr>
                      <w:rFonts w:hint="eastAsia"/>
                      <w:bCs/>
                      <w:sz w:val="21"/>
                      <w:szCs w:val="21"/>
                      <w:lang w:val="en-US" w:eastAsia="zh-CN"/>
                    </w:rPr>
                    <w:t>*</w:t>
                  </w:r>
                </w:p>
              </w:tc>
              <w:tc>
                <w:tcPr>
                  <w:tcW w:w="1047" w:type="dxa"/>
                  <w:tcBorders>
                    <w:tl2br w:val="nil"/>
                    <w:tr2bl w:val="nil"/>
                  </w:tcBorders>
                  <w:shd w:val="clear" w:color="auto" w:fill="auto"/>
                  <w:tcMar>
                    <w:top w:w="15" w:type="dxa"/>
                    <w:left w:w="15" w:type="dxa"/>
                    <w:bottom w:w="0" w:type="dxa"/>
                    <w:right w:w="15" w:type="dxa"/>
                  </w:tcMar>
                  <w:vAlign w:val="center"/>
                </w:tcPr>
                <w:p w14:paraId="23A0A889">
                  <w:pPr>
                    <w:adjustRightInd w:val="0"/>
                    <w:jc w:val="center"/>
                    <w:rPr>
                      <w:spacing w:val="6"/>
                      <w:szCs w:val="21"/>
                    </w:rPr>
                  </w:pPr>
                  <w:r>
                    <w:rPr>
                      <w:rFonts w:hint="eastAsia"/>
                      <w:bCs/>
                      <w:sz w:val="21"/>
                      <w:szCs w:val="21"/>
                      <w:lang w:val="en-US" w:eastAsia="zh-CN"/>
                    </w:rPr>
                    <w:t>*</w:t>
                  </w:r>
                </w:p>
              </w:tc>
              <w:tc>
                <w:tcPr>
                  <w:tcW w:w="1088" w:type="dxa"/>
                  <w:tcBorders>
                    <w:tl2br w:val="nil"/>
                    <w:tr2bl w:val="nil"/>
                  </w:tcBorders>
                  <w:shd w:val="clear" w:color="auto" w:fill="auto"/>
                  <w:tcMar>
                    <w:top w:w="15" w:type="dxa"/>
                    <w:left w:w="15" w:type="dxa"/>
                    <w:bottom w:w="0" w:type="dxa"/>
                    <w:right w:w="15" w:type="dxa"/>
                  </w:tcMar>
                  <w:vAlign w:val="center"/>
                </w:tcPr>
                <w:p w14:paraId="656E4BEF">
                  <w:pPr>
                    <w:adjustRightInd w:val="0"/>
                    <w:jc w:val="center"/>
                    <w:rPr>
                      <w:spacing w:val="6"/>
                      <w:szCs w:val="21"/>
                    </w:rPr>
                  </w:pPr>
                  <w:r>
                    <w:rPr>
                      <w:rFonts w:hint="eastAsia"/>
                      <w:bCs/>
                      <w:sz w:val="21"/>
                      <w:szCs w:val="21"/>
                      <w:lang w:val="en-US" w:eastAsia="zh-CN"/>
                    </w:rPr>
                    <w:t>*</w:t>
                  </w:r>
                </w:p>
              </w:tc>
              <w:tc>
                <w:tcPr>
                  <w:tcW w:w="1192" w:type="dxa"/>
                  <w:tcBorders>
                    <w:tl2br w:val="nil"/>
                    <w:tr2bl w:val="nil"/>
                  </w:tcBorders>
                  <w:tcMar>
                    <w:top w:w="15" w:type="dxa"/>
                    <w:left w:w="15" w:type="dxa"/>
                    <w:bottom w:w="0" w:type="dxa"/>
                    <w:right w:w="15" w:type="dxa"/>
                  </w:tcMar>
                  <w:vAlign w:val="center"/>
                </w:tcPr>
                <w:p w14:paraId="53640A8E">
                  <w:pPr>
                    <w:adjustRightInd w:val="0"/>
                    <w:jc w:val="center"/>
                    <w:rPr>
                      <w:spacing w:val="6"/>
                      <w:szCs w:val="21"/>
                    </w:rPr>
                  </w:pPr>
                  <w:r>
                    <w:rPr>
                      <w:rFonts w:hint="eastAsia"/>
                      <w:bCs/>
                      <w:sz w:val="21"/>
                      <w:szCs w:val="21"/>
                      <w:lang w:val="en-US" w:eastAsia="zh-CN"/>
                    </w:rPr>
                    <w:t>*</w:t>
                  </w:r>
                </w:p>
              </w:tc>
              <w:tc>
                <w:tcPr>
                  <w:tcW w:w="1086" w:type="dxa"/>
                  <w:tcBorders>
                    <w:tl2br w:val="nil"/>
                    <w:tr2bl w:val="nil"/>
                  </w:tcBorders>
                  <w:tcMar>
                    <w:top w:w="15" w:type="dxa"/>
                    <w:left w:w="15" w:type="dxa"/>
                    <w:bottom w:w="0" w:type="dxa"/>
                    <w:right w:w="15" w:type="dxa"/>
                  </w:tcMar>
                  <w:vAlign w:val="center"/>
                </w:tcPr>
                <w:p w14:paraId="3FF5D7A8">
                  <w:pPr>
                    <w:adjustRightInd w:val="0"/>
                    <w:jc w:val="center"/>
                    <w:rPr>
                      <w:spacing w:val="6"/>
                      <w:szCs w:val="21"/>
                    </w:rPr>
                  </w:pPr>
                  <w:r>
                    <w:rPr>
                      <w:rFonts w:hint="eastAsia"/>
                      <w:bCs/>
                      <w:sz w:val="21"/>
                      <w:szCs w:val="21"/>
                      <w:lang w:val="en-US" w:eastAsia="zh-CN"/>
                    </w:rPr>
                    <w:t>*</w:t>
                  </w:r>
                </w:p>
              </w:tc>
            </w:tr>
            <w:bookmarkEnd w:id="23"/>
          </w:tbl>
          <w:p w14:paraId="12AC2489">
            <w:pPr>
              <w:spacing w:line="360" w:lineRule="auto"/>
              <w:ind w:firstLine="480" w:firstLineChars="200"/>
              <w:rPr>
                <w:rFonts w:eastAsia="附件"/>
                <w:kern w:val="0"/>
                <w:sz w:val="24"/>
              </w:rPr>
            </w:pPr>
            <w:r>
              <w:rPr>
                <w:bCs/>
                <w:sz w:val="24"/>
              </w:rPr>
              <w:t>由上表统计分析可知，各监测点水质良好，各项监测指标均可达到</w:t>
            </w:r>
            <w:r>
              <w:rPr>
                <w:bCs/>
                <w:sz w:val="24"/>
              </w:rPr>
              <w:fldChar w:fldCharType="begin"/>
            </w:r>
            <w:r>
              <w:rPr>
                <w:bCs/>
                <w:sz w:val="24"/>
              </w:rPr>
              <w:instrText xml:space="preserve"> = 3 \* ROMAN </w:instrText>
            </w:r>
            <w:r>
              <w:rPr>
                <w:bCs/>
                <w:sz w:val="24"/>
              </w:rPr>
              <w:fldChar w:fldCharType="separate"/>
            </w:r>
            <w:r>
              <w:rPr>
                <w:bCs/>
                <w:sz w:val="24"/>
              </w:rPr>
              <w:t>《地下水质量标准》（GB/T14848—2017）</w:t>
            </w:r>
            <w:r>
              <w:rPr>
                <w:bCs/>
                <w:sz w:val="24"/>
              </w:rPr>
              <w:fldChar w:fldCharType="begin"/>
            </w:r>
            <w:r>
              <w:rPr>
                <w:bCs/>
                <w:sz w:val="24"/>
              </w:rPr>
              <w:instrText xml:space="preserve"> = 3 \* ROMAN </w:instrText>
            </w:r>
            <w:r>
              <w:rPr>
                <w:bCs/>
                <w:sz w:val="24"/>
              </w:rPr>
              <w:fldChar w:fldCharType="separate"/>
            </w:r>
            <w:r>
              <w:rPr>
                <w:bCs/>
                <w:sz w:val="24"/>
              </w:rPr>
              <w:t>III</w:t>
            </w:r>
            <w:r>
              <w:rPr>
                <w:bCs/>
                <w:sz w:val="24"/>
              </w:rPr>
              <w:fldChar w:fldCharType="end"/>
            </w:r>
            <w:r>
              <w:rPr>
                <w:bCs/>
                <w:sz w:val="24"/>
              </w:rPr>
              <w:fldChar w:fldCharType="end"/>
            </w:r>
            <w:r>
              <w:rPr>
                <w:bCs/>
                <w:sz w:val="24"/>
              </w:rPr>
              <w:t>类水质标准。根据监测结果</w:t>
            </w:r>
            <w:r>
              <w:rPr>
                <w:rFonts w:eastAsia="附件"/>
                <w:bCs/>
                <w:sz w:val="24"/>
              </w:rPr>
              <w:t>，阳离子以钙离子为主，阴离子以碳酸氢根离子为主，因此，项目区地下水化学类型为</w:t>
            </w:r>
            <w:r>
              <w:rPr>
                <w:rFonts w:eastAsia="附件"/>
                <w:kern w:val="0"/>
                <w:sz w:val="24"/>
              </w:rPr>
              <w:t>HCO</w:t>
            </w:r>
            <w:r>
              <w:rPr>
                <w:rFonts w:eastAsia="附件"/>
                <w:bCs/>
                <w:kern w:val="0"/>
                <w:sz w:val="24"/>
                <w:vertAlign w:val="subscript"/>
              </w:rPr>
              <w:t>3</w:t>
            </w:r>
            <w:r>
              <w:rPr>
                <w:rFonts w:eastAsia="附件"/>
                <w:bCs/>
                <w:sz w:val="24"/>
              </w:rPr>
              <w:t>-</w:t>
            </w:r>
            <w:r>
              <w:rPr>
                <w:rFonts w:eastAsia="附件"/>
                <w:b/>
                <w:kern w:val="0"/>
                <w:sz w:val="24"/>
              </w:rPr>
              <w:t>Ca</w:t>
            </w:r>
            <w:r>
              <w:rPr>
                <w:rFonts w:eastAsia="附件"/>
                <w:b/>
                <w:kern w:val="0"/>
                <w:sz w:val="24"/>
                <w:vertAlign w:val="superscript"/>
              </w:rPr>
              <w:t>2+</w:t>
            </w:r>
            <w:r>
              <w:rPr>
                <w:rFonts w:eastAsia="附件"/>
                <w:b/>
                <w:kern w:val="0"/>
                <w:sz w:val="24"/>
              </w:rPr>
              <w:t>、</w:t>
            </w:r>
            <w:r>
              <w:rPr>
                <w:sz w:val="24"/>
              </w:rPr>
              <w:t>Mg</w:t>
            </w:r>
            <w:r>
              <w:rPr>
                <w:sz w:val="24"/>
                <w:vertAlign w:val="superscript"/>
              </w:rPr>
              <w:t>2+</w:t>
            </w:r>
            <w:r>
              <w:rPr>
                <w:rFonts w:eastAsia="附件"/>
                <w:kern w:val="0"/>
                <w:sz w:val="24"/>
              </w:rPr>
              <w:t>型水。</w:t>
            </w:r>
          </w:p>
          <w:p w14:paraId="44E1F3AE">
            <w:pPr>
              <w:spacing w:line="360" w:lineRule="auto"/>
              <w:ind w:firstLine="482" w:firstLineChars="200"/>
              <w:rPr>
                <w:b/>
                <w:bCs/>
                <w:sz w:val="24"/>
              </w:rPr>
            </w:pPr>
            <w:r>
              <w:rPr>
                <w:b/>
                <w:bCs/>
                <w:sz w:val="24"/>
              </w:rPr>
              <w:t>5、土壤环境</w:t>
            </w:r>
          </w:p>
          <w:p w14:paraId="641A37FA">
            <w:pPr>
              <w:spacing w:line="360" w:lineRule="auto"/>
              <w:ind w:firstLine="480" w:firstLineChars="200"/>
              <w:rPr>
                <w:rFonts w:eastAsia="附件"/>
                <w:sz w:val="24"/>
              </w:rPr>
            </w:pPr>
            <w:r>
              <w:rPr>
                <w:rFonts w:eastAsia="附件"/>
                <w:sz w:val="24"/>
              </w:rPr>
              <w:t>为了解项目所在地土壤环境现状，202</w:t>
            </w:r>
            <w:r>
              <w:rPr>
                <w:rFonts w:hint="eastAsia" w:eastAsia="附件"/>
                <w:sz w:val="24"/>
              </w:rPr>
              <w:t>5</w:t>
            </w:r>
            <w:r>
              <w:rPr>
                <w:rFonts w:eastAsia="附件"/>
                <w:sz w:val="24"/>
              </w:rPr>
              <w:t>年</w:t>
            </w:r>
            <w:r>
              <w:rPr>
                <w:rFonts w:hint="eastAsia" w:eastAsia="附件"/>
                <w:sz w:val="24"/>
              </w:rPr>
              <w:t>2</w:t>
            </w:r>
            <w:r>
              <w:rPr>
                <w:rFonts w:eastAsia="附件"/>
                <w:sz w:val="24"/>
              </w:rPr>
              <w:t>月</w:t>
            </w:r>
            <w:r>
              <w:rPr>
                <w:rFonts w:hint="eastAsia" w:eastAsia="附件"/>
                <w:sz w:val="24"/>
              </w:rPr>
              <w:t>27</w:t>
            </w:r>
            <w:r>
              <w:rPr>
                <w:rFonts w:eastAsia="附件"/>
                <w:sz w:val="24"/>
              </w:rPr>
              <w:t>日四川华皓检测技术有限公司对</w:t>
            </w:r>
            <w:r>
              <w:rPr>
                <w:rFonts w:hint="eastAsia" w:eastAsia="附件"/>
                <w:sz w:val="24"/>
              </w:rPr>
              <w:t>双庙页1HF井</w:t>
            </w:r>
            <w:r>
              <w:rPr>
                <w:rFonts w:eastAsia="附件"/>
                <w:sz w:val="24"/>
              </w:rPr>
              <w:t>所在地土壤质量现状进行采样监测。</w:t>
            </w:r>
          </w:p>
          <w:p w14:paraId="70A620C0">
            <w:pPr>
              <w:tabs>
                <w:tab w:val="left" w:pos="10395"/>
              </w:tabs>
              <w:spacing w:line="360" w:lineRule="auto"/>
              <w:ind w:firstLine="480" w:firstLineChars="200"/>
              <w:rPr>
                <w:rFonts w:eastAsia="附件"/>
                <w:bCs/>
                <w:sz w:val="24"/>
              </w:rPr>
            </w:pPr>
            <w:r>
              <w:rPr>
                <w:rFonts w:eastAsia="附件"/>
                <w:bCs/>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14:paraId="50923BAE">
            <w:pPr>
              <w:tabs>
                <w:tab w:val="left" w:pos="10395"/>
              </w:tabs>
              <w:spacing w:line="360" w:lineRule="auto"/>
              <w:ind w:firstLine="480" w:firstLineChars="200"/>
              <w:rPr>
                <w:rFonts w:eastAsia="附件"/>
                <w:bCs/>
                <w:sz w:val="24"/>
              </w:rPr>
            </w:pPr>
            <w:r>
              <w:rPr>
                <w:rFonts w:eastAsia="附件"/>
                <w:bCs/>
                <w:sz w:val="24"/>
              </w:rPr>
              <w:t>农用地土壤8项基本因子：镉、汞、砷、铅、铬、铜、镍、锌。</w:t>
            </w:r>
          </w:p>
          <w:p w14:paraId="62EC402D">
            <w:pPr>
              <w:tabs>
                <w:tab w:val="left" w:pos="10395"/>
              </w:tabs>
              <w:spacing w:line="360" w:lineRule="auto"/>
              <w:ind w:firstLine="480" w:firstLineChars="200"/>
              <w:rPr>
                <w:rFonts w:eastAsia="附件"/>
                <w:bCs/>
                <w:sz w:val="24"/>
              </w:rPr>
            </w:pPr>
            <w:r>
              <w:rPr>
                <w:rFonts w:eastAsia="附件"/>
                <w:bCs/>
                <w:sz w:val="24"/>
              </w:rPr>
              <w:t>特征因子：pH、石油烃、硫化物、钡</w:t>
            </w:r>
            <w:r>
              <w:rPr>
                <w:rFonts w:hint="eastAsia" w:eastAsia="附件"/>
                <w:bCs/>
                <w:sz w:val="24"/>
              </w:rPr>
              <w:t>、汞、砷、水溶性盐总量</w:t>
            </w:r>
            <w:r>
              <w:rPr>
                <w:rFonts w:eastAsia="附件"/>
                <w:bCs/>
                <w:sz w:val="24"/>
              </w:rPr>
              <w:t>。</w:t>
            </w:r>
          </w:p>
          <w:p w14:paraId="677A1CB7">
            <w:pPr>
              <w:tabs>
                <w:tab w:val="left" w:pos="2730"/>
              </w:tabs>
              <w:spacing w:line="360" w:lineRule="auto"/>
              <w:ind w:firstLine="480" w:firstLineChars="200"/>
              <w:rPr>
                <w:bCs/>
                <w:sz w:val="24"/>
              </w:rPr>
            </w:pPr>
            <w:r>
              <w:rPr>
                <w:rFonts w:eastAsia="附件"/>
                <w:bCs/>
                <w:sz w:val="24"/>
              </w:rPr>
              <w:t>（2）监测布点：设6个监测点，其中</w:t>
            </w:r>
            <w:r>
              <w:rPr>
                <w:bCs/>
                <w:sz w:val="24"/>
              </w:rPr>
              <w:t>设3个柱状样，S1、S2、S3，取样深度分别为0-0.5m、0.5-1.5m、1.5-3m，测建设项目用地特征因子；设1个表层样S4，测建设项目用地土壤45项因子；2个表层样S5、S6仅测农用地基本因子及特征因子；各监测点布设符合《环境影响评价技术导则 土壤环境》中布点原则及布点数量。</w:t>
            </w:r>
          </w:p>
          <w:p w14:paraId="1B95EAB4">
            <w:pPr>
              <w:autoSpaceDE w:val="0"/>
              <w:autoSpaceDN w:val="0"/>
              <w:spacing w:line="360" w:lineRule="auto"/>
              <w:ind w:firstLine="480" w:firstLineChars="200"/>
              <w:rPr>
                <w:rFonts w:eastAsia="附件"/>
                <w:sz w:val="24"/>
              </w:rPr>
            </w:pPr>
            <w:r>
              <w:rPr>
                <w:rFonts w:eastAsia="附件"/>
                <w:sz w:val="24"/>
              </w:rPr>
              <w:t>（3）监测频次：取1次样。</w:t>
            </w:r>
          </w:p>
          <w:p w14:paraId="0F4C96CE">
            <w:pPr>
              <w:autoSpaceDE w:val="0"/>
              <w:autoSpaceDN w:val="0"/>
              <w:spacing w:line="360" w:lineRule="auto"/>
              <w:ind w:firstLine="480" w:firstLineChars="200"/>
              <w:rPr>
                <w:rFonts w:eastAsia="附件"/>
                <w:kern w:val="0"/>
                <w:sz w:val="24"/>
              </w:rPr>
            </w:pPr>
            <w:r>
              <w:rPr>
                <w:rFonts w:eastAsia="附件"/>
                <w:sz w:val="24"/>
              </w:rPr>
              <w:t>（4）评价标准：S1、S2、S3、S4执行《土壤环境质量 建设用地土壤污染风险管控标准（试行）》（GB36600-2018）；S5、S6执行《土壤环境质量 农用地土壤污染风险管控标准（试行）》（GB15618-2018）。特征因子石油烃参照执行《土壤环境质量建设用地土壤污染风险管控标准（试行）》（GB36600-2018）第二类用地筛选值。硫化物列出监测值。</w:t>
            </w:r>
          </w:p>
          <w:p w14:paraId="1F6A2495">
            <w:pPr>
              <w:autoSpaceDE w:val="0"/>
              <w:autoSpaceDN w:val="0"/>
              <w:spacing w:line="360" w:lineRule="auto"/>
              <w:ind w:firstLine="480" w:firstLineChars="200"/>
              <w:rPr>
                <w:rFonts w:eastAsia="附件"/>
                <w:kern w:val="0"/>
                <w:sz w:val="24"/>
              </w:rPr>
            </w:pPr>
            <w:r>
              <w:rPr>
                <w:rFonts w:eastAsia="附件"/>
                <w:kern w:val="0"/>
                <w:sz w:val="24"/>
              </w:rPr>
              <w:t>（5）评价方法：土壤环境质量现状评价应采用标准指数法，并进行统计分析，给出样本数量、最大值、最小值、均值等。</w:t>
            </w:r>
          </w:p>
          <w:p w14:paraId="7104DC5E">
            <w:pPr>
              <w:autoSpaceDE w:val="0"/>
              <w:autoSpaceDN w:val="0"/>
              <w:spacing w:line="360" w:lineRule="auto"/>
              <w:ind w:firstLine="480" w:firstLineChars="200"/>
              <w:rPr>
                <w:rFonts w:eastAsia="附件"/>
                <w:kern w:val="0"/>
                <w:sz w:val="24"/>
              </w:rPr>
            </w:pPr>
            <w:r>
              <w:rPr>
                <w:rFonts w:eastAsia="附件"/>
                <w:kern w:val="0"/>
                <w:sz w:val="24"/>
              </w:rPr>
              <w:t>（6）土壤环境质量监测结果及评价结果</w:t>
            </w:r>
          </w:p>
          <w:p w14:paraId="7CE3A1B2">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S1~S3土壤环境现状监测及评价结果（单位：mg/kg，pH无量纲）</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14:paraId="67061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14:paraId="76CE6D49">
                  <w:pPr>
                    <w:widowControl/>
                    <w:adjustRightInd w:val="0"/>
                    <w:snapToGrid w:val="0"/>
                    <w:jc w:val="center"/>
                    <w:textAlignment w:val="center"/>
                    <w:rPr>
                      <w:rFonts w:eastAsia="附件"/>
                      <w:kern w:val="0"/>
                      <w:szCs w:val="21"/>
                    </w:rPr>
                  </w:pPr>
                  <w:r>
                    <w:rPr>
                      <w:rFonts w:eastAsia="附件"/>
                      <w:kern w:val="0"/>
                      <w:szCs w:val="21"/>
                    </w:rPr>
                    <w:t>S1</w:t>
                  </w:r>
                </w:p>
              </w:tc>
            </w:tr>
            <w:tr w14:paraId="27881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14:paraId="6FC1E44D">
                  <w:pPr>
                    <w:autoSpaceDE w:val="0"/>
                    <w:autoSpaceDN w:val="0"/>
                    <w:adjustRightInd w:val="0"/>
                    <w:snapToGrid w:val="0"/>
                    <w:jc w:val="center"/>
                    <w:rPr>
                      <w:rFonts w:eastAsia="附件"/>
                      <w:kern w:val="0"/>
                      <w:szCs w:val="21"/>
                    </w:rPr>
                  </w:pPr>
                  <w:r>
                    <w:rPr>
                      <w:rFonts w:eastAsia="附件"/>
                      <w:kern w:val="0"/>
                      <w:szCs w:val="21"/>
                    </w:rPr>
                    <w:t>编号</w:t>
                  </w:r>
                </w:p>
              </w:tc>
              <w:tc>
                <w:tcPr>
                  <w:tcW w:w="1000" w:type="dxa"/>
                  <w:vMerge w:val="restart"/>
                  <w:tcBorders>
                    <w:tl2br w:val="nil"/>
                    <w:tr2bl w:val="nil"/>
                  </w:tcBorders>
                  <w:vAlign w:val="center"/>
                </w:tcPr>
                <w:p w14:paraId="291D94CE">
                  <w:pPr>
                    <w:widowControl/>
                    <w:adjustRightInd w:val="0"/>
                    <w:snapToGrid w:val="0"/>
                    <w:jc w:val="center"/>
                    <w:textAlignment w:val="center"/>
                    <w:rPr>
                      <w:rFonts w:eastAsia="附件"/>
                      <w:kern w:val="0"/>
                      <w:szCs w:val="21"/>
                    </w:rPr>
                  </w:pPr>
                  <w:r>
                    <w:rPr>
                      <w:rFonts w:eastAsia="附件"/>
                      <w:kern w:val="0"/>
                      <w:szCs w:val="21"/>
                    </w:rPr>
                    <w:t>因子</w:t>
                  </w:r>
                </w:p>
              </w:tc>
              <w:tc>
                <w:tcPr>
                  <w:tcW w:w="850" w:type="dxa"/>
                  <w:vMerge w:val="restart"/>
                  <w:tcBorders>
                    <w:tl2br w:val="nil"/>
                    <w:tr2bl w:val="nil"/>
                  </w:tcBorders>
                  <w:vAlign w:val="center"/>
                </w:tcPr>
                <w:p w14:paraId="36C64669">
                  <w:pPr>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0~0.5</w:t>
                  </w:r>
                  <w:r>
                    <w:rPr>
                      <w:rFonts w:hint="eastAsia" w:eastAsia="附件"/>
                      <w:kern w:val="0"/>
                      <w:szCs w:val="21"/>
                    </w:rPr>
                    <w:t>)</w:t>
                  </w:r>
                </w:p>
              </w:tc>
              <w:tc>
                <w:tcPr>
                  <w:tcW w:w="850" w:type="dxa"/>
                  <w:vMerge w:val="restart"/>
                  <w:tcBorders>
                    <w:tl2br w:val="nil"/>
                    <w:tr2bl w:val="nil"/>
                  </w:tcBorders>
                  <w:vAlign w:val="center"/>
                </w:tcPr>
                <w:p w14:paraId="11209210">
                  <w:pPr>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0.5~1.5</w:t>
                  </w:r>
                  <w:r>
                    <w:rPr>
                      <w:rFonts w:hint="eastAsia" w:eastAsia="附件"/>
                      <w:kern w:val="0"/>
                      <w:szCs w:val="21"/>
                    </w:rPr>
                    <w:t>)</w:t>
                  </w:r>
                </w:p>
              </w:tc>
              <w:tc>
                <w:tcPr>
                  <w:tcW w:w="850" w:type="dxa"/>
                  <w:vMerge w:val="restart"/>
                  <w:tcBorders>
                    <w:tl2br w:val="nil"/>
                    <w:tr2bl w:val="nil"/>
                  </w:tcBorders>
                  <w:vAlign w:val="center"/>
                </w:tcPr>
                <w:p w14:paraId="2522E01A">
                  <w:pPr>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1.5~3.0</w:t>
                  </w:r>
                  <w:r>
                    <w:rPr>
                      <w:rFonts w:hint="eastAsia" w:eastAsia="附件"/>
                      <w:kern w:val="0"/>
                      <w:szCs w:val="21"/>
                    </w:rPr>
                    <w:t>)</w:t>
                  </w:r>
                </w:p>
              </w:tc>
              <w:tc>
                <w:tcPr>
                  <w:tcW w:w="993" w:type="dxa"/>
                  <w:vMerge w:val="restart"/>
                  <w:tcBorders>
                    <w:tl2br w:val="nil"/>
                    <w:tr2bl w:val="nil"/>
                  </w:tcBorders>
                  <w:vAlign w:val="center"/>
                </w:tcPr>
                <w:p w14:paraId="367A19FA">
                  <w:pPr>
                    <w:widowControl/>
                    <w:adjustRightInd w:val="0"/>
                    <w:snapToGrid w:val="0"/>
                    <w:jc w:val="center"/>
                    <w:textAlignment w:val="center"/>
                    <w:rPr>
                      <w:rFonts w:eastAsia="附件"/>
                      <w:kern w:val="0"/>
                      <w:szCs w:val="21"/>
                    </w:rPr>
                  </w:pPr>
                  <w:r>
                    <w:rPr>
                      <w:kern w:val="0"/>
                      <w:szCs w:val="21"/>
                    </w:rPr>
                    <w:t>标准限值</w:t>
                  </w:r>
                </w:p>
              </w:tc>
              <w:tc>
                <w:tcPr>
                  <w:tcW w:w="2410" w:type="dxa"/>
                  <w:gridSpan w:val="3"/>
                  <w:tcBorders>
                    <w:tl2br w:val="nil"/>
                    <w:tr2bl w:val="nil"/>
                  </w:tcBorders>
                  <w:vAlign w:val="center"/>
                </w:tcPr>
                <w:p w14:paraId="56AAB4D8">
                  <w:pPr>
                    <w:widowControl/>
                    <w:adjustRightInd w:val="0"/>
                    <w:snapToGrid w:val="0"/>
                    <w:jc w:val="center"/>
                    <w:textAlignment w:val="center"/>
                    <w:rPr>
                      <w:rFonts w:eastAsia="附件"/>
                      <w:kern w:val="0"/>
                      <w:szCs w:val="21"/>
                    </w:rPr>
                  </w:pPr>
                  <w:r>
                    <w:rPr>
                      <w:rFonts w:eastAsia="附件"/>
                      <w:kern w:val="0"/>
                      <w:szCs w:val="21"/>
                    </w:rPr>
                    <w:t>最大标准指数值</w:t>
                  </w:r>
                </w:p>
              </w:tc>
              <w:tc>
                <w:tcPr>
                  <w:tcW w:w="520" w:type="dxa"/>
                  <w:vMerge w:val="restart"/>
                  <w:tcBorders>
                    <w:tl2br w:val="nil"/>
                    <w:tr2bl w:val="nil"/>
                  </w:tcBorders>
                  <w:vAlign w:val="center"/>
                </w:tcPr>
                <w:p w14:paraId="01A81627">
                  <w:pPr>
                    <w:widowControl/>
                    <w:adjustRightInd w:val="0"/>
                    <w:snapToGrid w:val="0"/>
                    <w:jc w:val="center"/>
                    <w:textAlignment w:val="center"/>
                    <w:rPr>
                      <w:rFonts w:eastAsia="附件"/>
                      <w:kern w:val="0"/>
                      <w:szCs w:val="21"/>
                    </w:rPr>
                  </w:pPr>
                  <w:r>
                    <w:rPr>
                      <w:rFonts w:eastAsia="附件"/>
                      <w:kern w:val="0"/>
                      <w:szCs w:val="21"/>
                    </w:rPr>
                    <w:t>超标率</w:t>
                  </w:r>
                </w:p>
              </w:tc>
            </w:tr>
            <w:tr w14:paraId="4AE2A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14:paraId="255DC3DA">
                  <w:pPr>
                    <w:autoSpaceDE w:val="0"/>
                    <w:autoSpaceDN w:val="0"/>
                    <w:adjustRightInd w:val="0"/>
                    <w:snapToGrid w:val="0"/>
                    <w:jc w:val="center"/>
                    <w:rPr>
                      <w:rFonts w:eastAsia="附件"/>
                      <w:kern w:val="0"/>
                      <w:szCs w:val="21"/>
                    </w:rPr>
                  </w:pPr>
                </w:p>
              </w:tc>
              <w:tc>
                <w:tcPr>
                  <w:tcW w:w="1000" w:type="dxa"/>
                  <w:vMerge w:val="continue"/>
                  <w:tcBorders>
                    <w:tl2br w:val="nil"/>
                    <w:tr2bl w:val="nil"/>
                  </w:tcBorders>
                  <w:vAlign w:val="center"/>
                </w:tcPr>
                <w:p w14:paraId="5505A7EB">
                  <w:pPr>
                    <w:widowControl/>
                    <w:adjustRightInd w:val="0"/>
                    <w:snapToGrid w:val="0"/>
                    <w:jc w:val="center"/>
                    <w:textAlignment w:val="center"/>
                    <w:rPr>
                      <w:rFonts w:eastAsia="附件"/>
                      <w:kern w:val="0"/>
                      <w:szCs w:val="21"/>
                    </w:rPr>
                  </w:pPr>
                </w:p>
              </w:tc>
              <w:tc>
                <w:tcPr>
                  <w:tcW w:w="850" w:type="dxa"/>
                  <w:vMerge w:val="continue"/>
                  <w:tcBorders>
                    <w:tl2br w:val="nil"/>
                    <w:tr2bl w:val="nil"/>
                  </w:tcBorders>
                  <w:vAlign w:val="center"/>
                </w:tcPr>
                <w:p w14:paraId="147B8E71">
                  <w:pPr>
                    <w:widowControl/>
                    <w:adjustRightInd w:val="0"/>
                    <w:snapToGrid w:val="0"/>
                    <w:jc w:val="center"/>
                    <w:textAlignment w:val="center"/>
                    <w:rPr>
                      <w:rFonts w:eastAsia="附件"/>
                      <w:kern w:val="0"/>
                      <w:szCs w:val="21"/>
                    </w:rPr>
                  </w:pPr>
                </w:p>
              </w:tc>
              <w:tc>
                <w:tcPr>
                  <w:tcW w:w="850" w:type="dxa"/>
                  <w:vMerge w:val="continue"/>
                  <w:tcBorders>
                    <w:tl2br w:val="nil"/>
                    <w:tr2bl w:val="nil"/>
                  </w:tcBorders>
                  <w:vAlign w:val="center"/>
                </w:tcPr>
                <w:p w14:paraId="10815099">
                  <w:pPr>
                    <w:widowControl/>
                    <w:adjustRightInd w:val="0"/>
                    <w:snapToGrid w:val="0"/>
                    <w:jc w:val="center"/>
                    <w:textAlignment w:val="center"/>
                    <w:rPr>
                      <w:rFonts w:eastAsia="附件"/>
                      <w:kern w:val="0"/>
                      <w:szCs w:val="21"/>
                    </w:rPr>
                  </w:pPr>
                </w:p>
              </w:tc>
              <w:tc>
                <w:tcPr>
                  <w:tcW w:w="850" w:type="dxa"/>
                  <w:vMerge w:val="continue"/>
                  <w:tcBorders>
                    <w:tl2br w:val="nil"/>
                    <w:tr2bl w:val="nil"/>
                  </w:tcBorders>
                  <w:vAlign w:val="center"/>
                </w:tcPr>
                <w:p w14:paraId="7D7C1A54">
                  <w:pPr>
                    <w:widowControl/>
                    <w:adjustRightInd w:val="0"/>
                    <w:snapToGrid w:val="0"/>
                    <w:jc w:val="center"/>
                    <w:textAlignment w:val="center"/>
                    <w:rPr>
                      <w:rFonts w:eastAsia="附件"/>
                      <w:kern w:val="0"/>
                      <w:szCs w:val="21"/>
                    </w:rPr>
                  </w:pPr>
                </w:p>
              </w:tc>
              <w:tc>
                <w:tcPr>
                  <w:tcW w:w="993" w:type="dxa"/>
                  <w:vMerge w:val="continue"/>
                  <w:tcBorders>
                    <w:tl2br w:val="nil"/>
                    <w:tr2bl w:val="nil"/>
                  </w:tcBorders>
                  <w:vAlign w:val="center"/>
                </w:tcPr>
                <w:p w14:paraId="1B170356">
                  <w:pPr>
                    <w:widowControl/>
                    <w:adjustRightInd w:val="0"/>
                    <w:snapToGrid w:val="0"/>
                    <w:jc w:val="center"/>
                    <w:textAlignment w:val="center"/>
                    <w:rPr>
                      <w:rFonts w:eastAsia="附件"/>
                      <w:kern w:val="0"/>
                      <w:szCs w:val="21"/>
                    </w:rPr>
                  </w:pPr>
                </w:p>
              </w:tc>
              <w:tc>
                <w:tcPr>
                  <w:tcW w:w="851" w:type="dxa"/>
                  <w:tcBorders>
                    <w:tl2br w:val="nil"/>
                    <w:tr2bl w:val="nil"/>
                  </w:tcBorders>
                  <w:vAlign w:val="center"/>
                </w:tcPr>
                <w:p w14:paraId="38264415">
                  <w:pPr>
                    <w:widowControl/>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0~0.5</w:t>
                  </w:r>
                  <w:r>
                    <w:rPr>
                      <w:rFonts w:hint="eastAsia" w:eastAsia="附件"/>
                      <w:kern w:val="0"/>
                      <w:szCs w:val="21"/>
                    </w:rPr>
                    <w:t>)</w:t>
                  </w:r>
                </w:p>
              </w:tc>
              <w:tc>
                <w:tcPr>
                  <w:tcW w:w="850" w:type="dxa"/>
                  <w:tcBorders>
                    <w:tl2br w:val="nil"/>
                    <w:tr2bl w:val="nil"/>
                  </w:tcBorders>
                  <w:vAlign w:val="center"/>
                </w:tcPr>
                <w:p w14:paraId="78478006">
                  <w:pPr>
                    <w:widowControl/>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0.5~1.5</w:t>
                  </w:r>
                  <w:r>
                    <w:rPr>
                      <w:rFonts w:hint="eastAsia" w:eastAsia="附件"/>
                      <w:kern w:val="0"/>
                      <w:szCs w:val="21"/>
                    </w:rPr>
                    <w:t>)</w:t>
                  </w:r>
                </w:p>
              </w:tc>
              <w:tc>
                <w:tcPr>
                  <w:tcW w:w="709" w:type="dxa"/>
                  <w:tcBorders>
                    <w:tl2br w:val="nil"/>
                    <w:tr2bl w:val="nil"/>
                  </w:tcBorders>
                  <w:vAlign w:val="center"/>
                </w:tcPr>
                <w:p w14:paraId="5D5A3A44">
                  <w:pPr>
                    <w:widowControl/>
                    <w:adjustRightInd w:val="0"/>
                    <w:snapToGrid w:val="0"/>
                    <w:jc w:val="center"/>
                    <w:textAlignment w:val="center"/>
                    <w:rPr>
                      <w:rFonts w:eastAsia="附件"/>
                      <w:kern w:val="0"/>
                      <w:szCs w:val="21"/>
                    </w:rPr>
                  </w:pPr>
                  <w:r>
                    <w:rPr>
                      <w:rFonts w:hint="eastAsia" w:eastAsia="附件"/>
                      <w:kern w:val="0"/>
                      <w:szCs w:val="21"/>
                    </w:rPr>
                    <w:t>(</w:t>
                  </w:r>
                  <w:r>
                    <w:rPr>
                      <w:rFonts w:eastAsia="附件"/>
                      <w:kern w:val="0"/>
                      <w:szCs w:val="21"/>
                    </w:rPr>
                    <w:t>1.5~3.0</w:t>
                  </w:r>
                  <w:r>
                    <w:rPr>
                      <w:rFonts w:hint="eastAsia" w:eastAsia="附件"/>
                      <w:kern w:val="0"/>
                      <w:szCs w:val="21"/>
                    </w:rPr>
                    <w:t>)</w:t>
                  </w:r>
                </w:p>
              </w:tc>
              <w:tc>
                <w:tcPr>
                  <w:tcW w:w="520" w:type="dxa"/>
                  <w:vMerge w:val="continue"/>
                  <w:tcBorders>
                    <w:tl2br w:val="nil"/>
                    <w:tr2bl w:val="nil"/>
                  </w:tcBorders>
                  <w:vAlign w:val="center"/>
                </w:tcPr>
                <w:p w14:paraId="17B09A90">
                  <w:pPr>
                    <w:widowControl/>
                    <w:adjustRightInd w:val="0"/>
                    <w:snapToGrid w:val="0"/>
                    <w:jc w:val="center"/>
                    <w:textAlignment w:val="center"/>
                    <w:rPr>
                      <w:rFonts w:eastAsia="附件"/>
                      <w:kern w:val="0"/>
                      <w:szCs w:val="21"/>
                    </w:rPr>
                  </w:pPr>
                </w:p>
              </w:tc>
            </w:tr>
            <w:tr w14:paraId="02981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3910242B">
                  <w:pPr>
                    <w:adjustRightInd w:val="0"/>
                    <w:snapToGrid w:val="0"/>
                    <w:jc w:val="center"/>
                    <w:rPr>
                      <w:rFonts w:eastAsia="附件"/>
                      <w:kern w:val="0"/>
                      <w:szCs w:val="21"/>
                    </w:rPr>
                  </w:pPr>
                  <w:r>
                    <w:rPr>
                      <w:rFonts w:eastAsia="附件"/>
                      <w:kern w:val="0"/>
                      <w:szCs w:val="21"/>
                    </w:rPr>
                    <w:t>1</w:t>
                  </w:r>
                </w:p>
              </w:tc>
              <w:tc>
                <w:tcPr>
                  <w:tcW w:w="1000" w:type="dxa"/>
                  <w:tcBorders>
                    <w:tl2br w:val="nil"/>
                    <w:tr2bl w:val="nil"/>
                  </w:tcBorders>
                  <w:vAlign w:val="center"/>
                </w:tcPr>
                <w:p w14:paraId="044E2E04">
                  <w:pPr>
                    <w:widowControl/>
                    <w:jc w:val="center"/>
                    <w:rPr>
                      <w:rFonts w:eastAsia="附件"/>
                      <w:szCs w:val="21"/>
                    </w:rPr>
                  </w:pPr>
                  <w:r>
                    <w:rPr>
                      <w:rFonts w:eastAsia="附件"/>
                      <w:szCs w:val="21"/>
                    </w:rPr>
                    <w:t>pH</w:t>
                  </w:r>
                </w:p>
              </w:tc>
              <w:tc>
                <w:tcPr>
                  <w:tcW w:w="850" w:type="dxa"/>
                  <w:tcBorders>
                    <w:tl2br w:val="nil"/>
                    <w:tr2bl w:val="nil"/>
                  </w:tcBorders>
                  <w:vAlign w:val="center"/>
                </w:tcPr>
                <w:p w14:paraId="3BB5F7FB">
                  <w:pPr>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33C5B9D8">
                  <w:pPr>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16EB342F">
                  <w:pPr>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24AA9DD2">
                  <w:pPr>
                    <w:widowControl/>
                    <w:adjustRightInd w:val="0"/>
                    <w:snapToGrid w:val="0"/>
                    <w:jc w:val="center"/>
                    <w:textAlignment w:val="center"/>
                    <w:rPr>
                      <w:rFonts w:eastAsia="附件"/>
                      <w:kern w:val="0"/>
                      <w:szCs w:val="21"/>
                    </w:rPr>
                  </w:pPr>
                  <w:r>
                    <w:rPr>
                      <w:rFonts w:eastAsia="附件"/>
                      <w:kern w:val="0"/>
                      <w:szCs w:val="21"/>
                    </w:rPr>
                    <w:t>6.5~8.5</w:t>
                  </w:r>
                </w:p>
              </w:tc>
              <w:tc>
                <w:tcPr>
                  <w:tcW w:w="851" w:type="dxa"/>
                  <w:tcBorders>
                    <w:tl2br w:val="nil"/>
                    <w:tr2bl w:val="nil"/>
                  </w:tcBorders>
                  <w:vAlign w:val="center"/>
                </w:tcPr>
                <w:p w14:paraId="025AE5A3">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041EAA51">
                  <w:pPr>
                    <w:jc w:val="center"/>
                    <w:rPr>
                      <w:rFonts w:eastAsia="附件"/>
                      <w:kern w:val="0"/>
                      <w:szCs w:val="21"/>
                    </w:rPr>
                  </w:pPr>
                  <w:r>
                    <w:rPr>
                      <w:rFonts w:eastAsia="附件"/>
                      <w:kern w:val="0"/>
                      <w:szCs w:val="21"/>
                    </w:rPr>
                    <w:t>/</w:t>
                  </w:r>
                </w:p>
              </w:tc>
              <w:tc>
                <w:tcPr>
                  <w:tcW w:w="709" w:type="dxa"/>
                  <w:tcBorders>
                    <w:tl2br w:val="nil"/>
                    <w:tr2bl w:val="nil"/>
                  </w:tcBorders>
                  <w:vAlign w:val="center"/>
                </w:tcPr>
                <w:p w14:paraId="03D7693D">
                  <w:pPr>
                    <w:jc w:val="center"/>
                    <w:rPr>
                      <w:rFonts w:eastAsia="附件"/>
                      <w:kern w:val="0"/>
                      <w:szCs w:val="21"/>
                    </w:rPr>
                  </w:pPr>
                  <w:r>
                    <w:rPr>
                      <w:rFonts w:eastAsia="附件"/>
                      <w:kern w:val="0"/>
                      <w:szCs w:val="21"/>
                    </w:rPr>
                    <w:t>/</w:t>
                  </w:r>
                </w:p>
              </w:tc>
              <w:tc>
                <w:tcPr>
                  <w:tcW w:w="520" w:type="dxa"/>
                  <w:tcBorders>
                    <w:tl2br w:val="nil"/>
                    <w:tr2bl w:val="nil"/>
                  </w:tcBorders>
                  <w:vAlign w:val="center"/>
                </w:tcPr>
                <w:p w14:paraId="5E5E142E">
                  <w:pPr>
                    <w:widowControl/>
                    <w:adjustRightInd w:val="0"/>
                    <w:snapToGrid w:val="0"/>
                    <w:jc w:val="center"/>
                    <w:textAlignment w:val="center"/>
                    <w:rPr>
                      <w:rFonts w:eastAsia="附件"/>
                      <w:kern w:val="0"/>
                      <w:szCs w:val="21"/>
                    </w:rPr>
                  </w:pPr>
                  <w:r>
                    <w:rPr>
                      <w:rFonts w:eastAsia="附件"/>
                      <w:kern w:val="0"/>
                      <w:szCs w:val="21"/>
                    </w:rPr>
                    <w:t>/</w:t>
                  </w:r>
                </w:p>
              </w:tc>
            </w:tr>
            <w:tr w14:paraId="15808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1856A34E">
                  <w:pPr>
                    <w:adjustRightInd w:val="0"/>
                    <w:snapToGrid w:val="0"/>
                    <w:jc w:val="center"/>
                    <w:rPr>
                      <w:rFonts w:eastAsia="附件"/>
                      <w:kern w:val="0"/>
                      <w:szCs w:val="21"/>
                    </w:rPr>
                  </w:pPr>
                  <w:r>
                    <w:rPr>
                      <w:rFonts w:eastAsia="附件"/>
                      <w:kern w:val="0"/>
                      <w:szCs w:val="21"/>
                    </w:rPr>
                    <w:t>2</w:t>
                  </w:r>
                </w:p>
              </w:tc>
              <w:tc>
                <w:tcPr>
                  <w:tcW w:w="1000" w:type="dxa"/>
                  <w:tcBorders>
                    <w:tl2br w:val="nil"/>
                    <w:tr2bl w:val="nil"/>
                  </w:tcBorders>
                  <w:vAlign w:val="center"/>
                </w:tcPr>
                <w:p w14:paraId="1C07236A">
                  <w:pPr>
                    <w:widowControl/>
                    <w:jc w:val="center"/>
                    <w:rPr>
                      <w:rFonts w:eastAsia="附件"/>
                      <w:szCs w:val="21"/>
                    </w:rPr>
                  </w:pPr>
                  <w:r>
                    <w:rPr>
                      <w:rFonts w:hint="eastAsia" w:eastAsia="附件"/>
                      <w:szCs w:val="21"/>
                    </w:rPr>
                    <w:t>石油类</w:t>
                  </w:r>
                </w:p>
              </w:tc>
              <w:tc>
                <w:tcPr>
                  <w:tcW w:w="850" w:type="dxa"/>
                  <w:tcBorders>
                    <w:tl2br w:val="nil"/>
                    <w:tr2bl w:val="nil"/>
                  </w:tcBorders>
                  <w:shd w:val="clear" w:color="auto" w:fill="auto"/>
                  <w:vAlign w:val="center"/>
                </w:tcPr>
                <w:p w14:paraId="02324EBF">
                  <w:pPr>
                    <w:spacing w:line="240" w:lineRule="exact"/>
                    <w:jc w:val="center"/>
                    <w:rPr>
                      <w:szCs w:val="21"/>
                    </w:rPr>
                  </w:pPr>
                  <w:r>
                    <w:rPr>
                      <w:rFonts w:hint="eastAsia"/>
                      <w:bCs/>
                      <w:sz w:val="21"/>
                      <w:szCs w:val="21"/>
                      <w:lang w:val="en-US" w:eastAsia="zh-CN"/>
                    </w:rPr>
                    <w:t>*</w:t>
                  </w:r>
                </w:p>
              </w:tc>
              <w:tc>
                <w:tcPr>
                  <w:tcW w:w="850" w:type="dxa"/>
                  <w:tcBorders>
                    <w:tl2br w:val="nil"/>
                    <w:tr2bl w:val="nil"/>
                  </w:tcBorders>
                  <w:shd w:val="clear" w:color="auto" w:fill="auto"/>
                  <w:vAlign w:val="center"/>
                </w:tcPr>
                <w:p w14:paraId="03FA3E1A">
                  <w:pPr>
                    <w:spacing w:line="240" w:lineRule="exact"/>
                    <w:jc w:val="center"/>
                    <w:rPr>
                      <w:szCs w:val="21"/>
                    </w:rPr>
                  </w:pPr>
                  <w:r>
                    <w:rPr>
                      <w:rFonts w:hint="eastAsia"/>
                      <w:bCs/>
                      <w:sz w:val="21"/>
                      <w:szCs w:val="21"/>
                      <w:lang w:val="en-US" w:eastAsia="zh-CN"/>
                    </w:rPr>
                    <w:t>*</w:t>
                  </w:r>
                </w:p>
              </w:tc>
              <w:tc>
                <w:tcPr>
                  <w:tcW w:w="850" w:type="dxa"/>
                  <w:tcBorders>
                    <w:tl2br w:val="nil"/>
                    <w:tr2bl w:val="nil"/>
                  </w:tcBorders>
                  <w:shd w:val="clear" w:color="auto" w:fill="auto"/>
                  <w:vAlign w:val="center"/>
                </w:tcPr>
                <w:p w14:paraId="39D94396">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2E2EA65D">
                  <w:pPr>
                    <w:widowControl/>
                    <w:adjustRightInd w:val="0"/>
                    <w:snapToGrid w:val="0"/>
                    <w:jc w:val="center"/>
                    <w:textAlignment w:val="center"/>
                    <w:rPr>
                      <w:rFonts w:eastAsia="附件"/>
                      <w:kern w:val="0"/>
                      <w:szCs w:val="21"/>
                    </w:rPr>
                  </w:pPr>
                </w:p>
              </w:tc>
              <w:tc>
                <w:tcPr>
                  <w:tcW w:w="851" w:type="dxa"/>
                  <w:tcBorders>
                    <w:tl2br w:val="nil"/>
                    <w:tr2bl w:val="nil"/>
                  </w:tcBorders>
                  <w:vAlign w:val="center"/>
                </w:tcPr>
                <w:p w14:paraId="23BFC82D">
                  <w:pPr>
                    <w:jc w:val="center"/>
                    <w:rPr>
                      <w:rFonts w:eastAsia="附件"/>
                      <w:kern w:val="0"/>
                      <w:szCs w:val="21"/>
                    </w:rPr>
                  </w:pPr>
                </w:p>
              </w:tc>
              <w:tc>
                <w:tcPr>
                  <w:tcW w:w="850" w:type="dxa"/>
                  <w:tcBorders>
                    <w:tl2br w:val="nil"/>
                    <w:tr2bl w:val="nil"/>
                  </w:tcBorders>
                  <w:vAlign w:val="center"/>
                </w:tcPr>
                <w:p w14:paraId="641D89DF">
                  <w:pPr>
                    <w:jc w:val="center"/>
                    <w:rPr>
                      <w:rFonts w:eastAsia="附件"/>
                      <w:kern w:val="0"/>
                      <w:szCs w:val="21"/>
                    </w:rPr>
                  </w:pPr>
                </w:p>
              </w:tc>
              <w:tc>
                <w:tcPr>
                  <w:tcW w:w="709" w:type="dxa"/>
                  <w:tcBorders>
                    <w:tl2br w:val="nil"/>
                    <w:tr2bl w:val="nil"/>
                  </w:tcBorders>
                  <w:vAlign w:val="center"/>
                </w:tcPr>
                <w:p w14:paraId="32FEFC90">
                  <w:pPr>
                    <w:jc w:val="center"/>
                    <w:rPr>
                      <w:rFonts w:eastAsia="附件"/>
                      <w:kern w:val="0"/>
                      <w:szCs w:val="21"/>
                    </w:rPr>
                  </w:pPr>
                </w:p>
              </w:tc>
              <w:tc>
                <w:tcPr>
                  <w:tcW w:w="520" w:type="dxa"/>
                  <w:tcBorders>
                    <w:tl2br w:val="nil"/>
                    <w:tr2bl w:val="nil"/>
                  </w:tcBorders>
                  <w:vAlign w:val="center"/>
                </w:tcPr>
                <w:p w14:paraId="3F48CC92">
                  <w:pPr>
                    <w:widowControl/>
                    <w:adjustRightInd w:val="0"/>
                    <w:snapToGrid w:val="0"/>
                    <w:jc w:val="center"/>
                    <w:textAlignment w:val="center"/>
                    <w:rPr>
                      <w:rFonts w:eastAsia="附件"/>
                      <w:kern w:val="0"/>
                      <w:szCs w:val="21"/>
                    </w:rPr>
                  </w:pPr>
                </w:p>
              </w:tc>
            </w:tr>
            <w:tr w14:paraId="1A140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765C2B38">
                  <w:pPr>
                    <w:adjustRightInd w:val="0"/>
                    <w:snapToGrid w:val="0"/>
                    <w:jc w:val="center"/>
                    <w:rPr>
                      <w:rFonts w:eastAsia="附件"/>
                      <w:kern w:val="0"/>
                      <w:szCs w:val="21"/>
                    </w:rPr>
                  </w:pPr>
                  <w:r>
                    <w:rPr>
                      <w:rFonts w:eastAsia="附件"/>
                      <w:kern w:val="0"/>
                      <w:szCs w:val="21"/>
                    </w:rPr>
                    <w:t>3</w:t>
                  </w:r>
                </w:p>
              </w:tc>
              <w:tc>
                <w:tcPr>
                  <w:tcW w:w="1000" w:type="dxa"/>
                  <w:tcBorders>
                    <w:tl2br w:val="nil"/>
                    <w:tr2bl w:val="nil"/>
                  </w:tcBorders>
                  <w:vAlign w:val="center"/>
                </w:tcPr>
                <w:p w14:paraId="6C1D82E0">
                  <w:pPr>
                    <w:widowControl/>
                    <w:jc w:val="center"/>
                    <w:rPr>
                      <w:rFonts w:eastAsia="附件"/>
                      <w:szCs w:val="21"/>
                    </w:rPr>
                  </w:pPr>
                  <w:r>
                    <w:rPr>
                      <w:rFonts w:hint="eastAsia" w:eastAsia="附件"/>
                      <w:szCs w:val="21"/>
                    </w:rPr>
                    <w:t>石油烃</w:t>
                  </w:r>
                </w:p>
              </w:tc>
              <w:tc>
                <w:tcPr>
                  <w:tcW w:w="850" w:type="dxa"/>
                  <w:tcBorders>
                    <w:tl2br w:val="nil"/>
                    <w:tr2bl w:val="nil"/>
                  </w:tcBorders>
                  <w:vAlign w:val="center"/>
                </w:tcPr>
                <w:p w14:paraId="7C592BDF">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3EA46F7">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047EA19">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6AD644AB">
                  <w:pPr>
                    <w:widowControl/>
                    <w:adjustRightInd w:val="0"/>
                    <w:snapToGrid w:val="0"/>
                    <w:jc w:val="center"/>
                    <w:textAlignment w:val="center"/>
                    <w:rPr>
                      <w:rFonts w:eastAsia="附件"/>
                      <w:kern w:val="0"/>
                      <w:szCs w:val="21"/>
                    </w:rPr>
                  </w:pPr>
                  <w:r>
                    <w:rPr>
                      <w:rFonts w:hint="eastAsia" w:eastAsia="附件"/>
                      <w:kern w:val="0"/>
                      <w:szCs w:val="21"/>
                    </w:rPr>
                    <w:t>4500</w:t>
                  </w:r>
                </w:p>
              </w:tc>
              <w:tc>
                <w:tcPr>
                  <w:tcW w:w="851" w:type="dxa"/>
                  <w:tcBorders>
                    <w:tl2br w:val="nil"/>
                    <w:tr2bl w:val="nil"/>
                  </w:tcBorders>
                  <w:vAlign w:val="center"/>
                </w:tcPr>
                <w:p w14:paraId="65CAF700">
                  <w:pPr>
                    <w:jc w:val="center"/>
                    <w:rPr>
                      <w:rFonts w:eastAsia="附件"/>
                      <w:kern w:val="0"/>
                      <w:szCs w:val="21"/>
                    </w:rPr>
                  </w:pPr>
                  <w:r>
                    <w:rPr>
                      <w:rFonts w:hint="eastAsia" w:eastAsia="附件"/>
                      <w:kern w:val="0"/>
                      <w:szCs w:val="21"/>
                    </w:rPr>
                    <w:t>0.002</w:t>
                  </w:r>
                </w:p>
              </w:tc>
              <w:tc>
                <w:tcPr>
                  <w:tcW w:w="850" w:type="dxa"/>
                  <w:tcBorders>
                    <w:tl2br w:val="nil"/>
                    <w:tr2bl w:val="nil"/>
                  </w:tcBorders>
                  <w:vAlign w:val="center"/>
                </w:tcPr>
                <w:p w14:paraId="7F229AB9">
                  <w:pPr>
                    <w:jc w:val="center"/>
                    <w:rPr>
                      <w:rFonts w:eastAsia="附件"/>
                      <w:kern w:val="0"/>
                      <w:szCs w:val="21"/>
                    </w:rPr>
                  </w:pPr>
                  <w:r>
                    <w:rPr>
                      <w:rFonts w:hint="eastAsia" w:eastAsia="附件"/>
                      <w:kern w:val="0"/>
                      <w:szCs w:val="21"/>
                    </w:rPr>
                    <w:t>0.002</w:t>
                  </w:r>
                </w:p>
              </w:tc>
              <w:tc>
                <w:tcPr>
                  <w:tcW w:w="709" w:type="dxa"/>
                  <w:tcBorders>
                    <w:tl2br w:val="nil"/>
                    <w:tr2bl w:val="nil"/>
                  </w:tcBorders>
                  <w:vAlign w:val="center"/>
                </w:tcPr>
                <w:p w14:paraId="372202EB">
                  <w:pPr>
                    <w:jc w:val="center"/>
                    <w:rPr>
                      <w:rFonts w:eastAsia="附件"/>
                      <w:kern w:val="0"/>
                      <w:szCs w:val="21"/>
                    </w:rPr>
                  </w:pPr>
                  <w:r>
                    <w:rPr>
                      <w:rFonts w:hint="eastAsia" w:eastAsia="附件"/>
                      <w:kern w:val="0"/>
                      <w:szCs w:val="21"/>
                    </w:rPr>
                    <w:t>0.002</w:t>
                  </w:r>
                </w:p>
              </w:tc>
              <w:tc>
                <w:tcPr>
                  <w:tcW w:w="520" w:type="dxa"/>
                  <w:tcBorders>
                    <w:tl2br w:val="nil"/>
                    <w:tr2bl w:val="nil"/>
                  </w:tcBorders>
                  <w:vAlign w:val="center"/>
                </w:tcPr>
                <w:p w14:paraId="546D241D">
                  <w:pPr>
                    <w:widowControl/>
                    <w:adjustRightInd w:val="0"/>
                    <w:snapToGrid w:val="0"/>
                    <w:jc w:val="center"/>
                    <w:textAlignment w:val="center"/>
                    <w:rPr>
                      <w:rFonts w:eastAsia="附件"/>
                      <w:kern w:val="0"/>
                      <w:szCs w:val="21"/>
                    </w:rPr>
                  </w:pPr>
                  <w:r>
                    <w:rPr>
                      <w:rFonts w:hint="eastAsia" w:eastAsia="附件"/>
                      <w:kern w:val="0"/>
                      <w:szCs w:val="21"/>
                    </w:rPr>
                    <w:t>0</w:t>
                  </w:r>
                </w:p>
              </w:tc>
            </w:tr>
            <w:tr w14:paraId="423D9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3AC8F5F6">
                  <w:pPr>
                    <w:adjustRightInd w:val="0"/>
                    <w:snapToGrid w:val="0"/>
                    <w:jc w:val="center"/>
                    <w:rPr>
                      <w:rFonts w:eastAsia="附件"/>
                      <w:kern w:val="0"/>
                      <w:szCs w:val="21"/>
                    </w:rPr>
                  </w:pPr>
                  <w:r>
                    <w:rPr>
                      <w:rFonts w:eastAsia="附件"/>
                      <w:kern w:val="0"/>
                      <w:szCs w:val="21"/>
                    </w:rPr>
                    <w:t>4</w:t>
                  </w:r>
                </w:p>
              </w:tc>
              <w:tc>
                <w:tcPr>
                  <w:tcW w:w="1000" w:type="dxa"/>
                  <w:tcBorders>
                    <w:tl2br w:val="nil"/>
                    <w:tr2bl w:val="nil"/>
                  </w:tcBorders>
                  <w:shd w:val="clear" w:color="auto" w:fill="auto"/>
                  <w:vAlign w:val="center"/>
                </w:tcPr>
                <w:p w14:paraId="074BD88E">
                  <w:pPr>
                    <w:jc w:val="center"/>
                    <w:rPr>
                      <w:szCs w:val="21"/>
                    </w:rPr>
                  </w:pPr>
                  <w:r>
                    <w:rPr>
                      <w:rFonts w:hint="eastAsia"/>
                      <w:szCs w:val="21"/>
                    </w:rPr>
                    <w:t>硫化物</w:t>
                  </w:r>
                </w:p>
              </w:tc>
              <w:tc>
                <w:tcPr>
                  <w:tcW w:w="850" w:type="dxa"/>
                  <w:tcBorders>
                    <w:tl2br w:val="nil"/>
                    <w:tr2bl w:val="nil"/>
                  </w:tcBorders>
                  <w:vAlign w:val="center"/>
                </w:tcPr>
                <w:p w14:paraId="2BF9DBDB">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3E669438">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1AC3CFB">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19781B58">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6AEE2A89">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309FC87E">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5EADF085">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2686BCC4">
                  <w:pPr>
                    <w:widowControl/>
                    <w:adjustRightInd w:val="0"/>
                    <w:snapToGrid w:val="0"/>
                    <w:jc w:val="center"/>
                    <w:textAlignment w:val="center"/>
                    <w:rPr>
                      <w:rFonts w:eastAsia="附件"/>
                      <w:kern w:val="0"/>
                      <w:szCs w:val="21"/>
                    </w:rPr>
                  </w:pPr>
                </w:p>
              </w:tc>
            </w:tr>
            <w:tr w14:paraId="28198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76DC79F4">
                  <w:pPr>
                    <w:adjustRightInd w:val="0"/>
                    <w:snapToGrid w:val="0"/>
                    <w:jc w:val="center"/>
                    <w:rPr>
                      <w:rFonts w:eastAsia="附件"/>
                      <w:kern w:val="0"/>
                      <w:szCs w:val="21"/>
                    </w:rPr>
                  </w:pPr>
                  <w:r>
                    <w:rPr>
                      <w:rFonts w:eastAsia="附件"/>
                      <w:kern w:val="0"/>
                      <w:szCs w:val="21"/>
                    </w:rPr>
                    <w:t>5</w:t>
                  </w:r>
                </w:p>
              </w:tc>
              <w:tc>
                <w:tcPr>
                  <w:tcW w:w="1000" w:type="dxa"/>
                  <w:tcBorders>
                    <w:tl2br w:val="nil"/>
                    <w:tr2bl w:val="nil"/>
                  </w:tcBorders>
                  <w:shd w:val="clear" w:color="auto" w:fill="auto"/>
                  <w:vAlign w:val="center"/>
                </w:tcPr>
                <w:p w14:paraId="474579FF">
                  <w:pPr>
                    <w:jc w:val="center"/>
                    <w:rPr>
                      <w:szCs w:val="21"/>
                    </w:rPr>
                  </w:pPr>
                  <w:r>
                    <w:rPr>
                      <w:rFonts w:hint="eastAsia"/>
                      <w:szCs w:val="21"/>
                    </w:rPr>
                    <w:t>钡</w:t>
                  </w:r>
                </w:p>
              </w:tc>
              <w:tc>
                <w:tcPr>
                  <w:tcW w:w="850" w:type="dxa"/>
                  <w:tcBorders>
                    <w:tl2br w:val="nil"/>
                    <w:tr2bl w:val="nil"/>
                  </w:tcBorders>
                  <w:vAlign w:val="center"/>
                </w:tcPr>
                <w:p w14:paraId="3187A550">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0D737D3C">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556211C8">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2462CDF9">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429C77ED">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2C657A08">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1B3BE01D">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27C78ABF">
                  <w:pPr>
                    <w:widowControl/>
                    <w:adjustRightInd w:val="0"/>
                    <w:snapToGrid w:val="0"/>
                    <w:jc w:val="center"/>
                    <w:textAlignment w:val="center"/>
                    <w:rPr>
                      <w:rFonts w:eastAsia="附件"/>
                      <w:kern w:val="0"/>
                      <w:szCs w:val="21"/>
                    </w:rPr>
                  </w:pPr>
                </w:p>
              </w:tc>
            </w:tr>
            <w:tr w14:paraId="3AD04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62AE2788">
                  <w:pPr>
                    <w:adjustRightInd w:val="0"/>
                    <w:snapToGrid w:val="0"/>
                    <w:jc w:val="center"/>
                    <w:rPr>
                      <w:rFonts w:eastAsia="附件"/>
                      <w:kern w:val="0"/>
                      <w:szCs w:val="21"/>
                    </w:rPr>
                  </w:pPr>
                  <w:r>
                    <w:rPr>
                      <w:rFonts w:hint="eastAsia" w:eastAsia="附件"/>
                      <w:kern w:val="0"/>
                      <w:szCs w:val="21"/>
                    </w:rPr>
                    <w:t>6</w:t>
                  </w:r>
                </w:p>
              </w:tc>
              <w:tc>
                <w:tcPr>
                  <w:tcW w:w="1000" w:type="dxa"/>
                  <w:tcBorders>
                    <w:tl2br w:val="nil"/>
                    <w:tr2bl w:val="nil"/>
                  </w:tcBorders>
                  <w:shd w:val="clear" w:color="auto" w:fill="auto"/>
                  <w:vAlign w:val="center"/>
                </w:tcPr>
                <w:p w14:paraId="6977323C">
                  <w:pPr>
                    <w:jc w:val="center"/>
                    <w:rPr>
                      <w:szCs w:val="21"/>
                    </w:rPr>
                  </w:pPr>
                  <w:r>
                    <w:rPr>
                      <w:rFonts w:hint="eastAsia"/>
                      <w:color w:val="000000"/>
                      <w:szCs w:val="21"/>
                    </w:rPr>
                    <w:t>水溶性盐总量</w:t>
                  </w:r>
                </w:p>
              </w:tc>
              <w:tc>
                <w:tcPr>
                  <w:tcW w:w="850" w:type="dxa"/>
                  <w:tcBorders>
                    <w:tl2br w:val="nil"/>
                    <w:tr2bl w:val="nil"/>
                  </w:tcBorders>
                  <w:vAlign w:val="center"/>
                </w:tcPr>
                <w:p w14:paraId="7DFF5AF6">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664F12B">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993B66C">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3CC288EA">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3075CF33">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33ADCD9B">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615F4727">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708F8620">
                  <w:pPr>
                    <w:widowControl/>
                    <w:adjustRightInd w:val="0"/>
                    <w:snapToGrid w:val="0"/>
                    <w:jc w:val="center"/>
                    <w:textAlignment w:val="center"/>
                    <w:rPr>
                      <w:rFonts w:eastAsia="附件"/>
                      <w:kern w:val="0"/>
                      <w:szCs w:val="21"/>
                    </w:rPr>
                  </w:pPr>
                </w:p>
              </w:tc>
            </w:tr>
            <w:tr w14:paraId="31D49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47177AEF">
                  <w:pPr>
                    <w:adjustRightInd w:val="0"/>
                    <w:snapToGrid w:val="0"/>
                    <w:jc w:val="center"/>
                    <w:rPr>
                      <w:rFonts w:eastAsia="附件"/>
                      <w:kern w:val="0"/>
                      <w:szCs w:val="21"/>
                    </w:rPr>
                  </w:pPr>
                  <w:r>
                    <w:rPr>
                      <w:rFonts w:hint="eastAsia" w:eastAsia="附件"/>
                      <w:kern w:val="0"/>
                      <w:szCs w:val="21"/>
                    </w:rPr>
                    <w:t>7</w:t>
                  </w:r>
                </w:p>
              </w:tc>
              <w:tc>
                <w:tcPr>
                  <w:tcW w:w="1000" w:type="dxa"/>
                  <w:tcBorders>
                    <w:tl2br w:val="nil"/>
                    <w:tr2bl w:val="nil"/>
                  </w:tcBorders>
                  <w:shd w:val="clear" w:color="auto" w:fill="auto"/>
                  <w:vAlign w:val="center"/>
                </w:tcPr>
                <w:p w14:paraId="5037C80B">
                  <w:pPr>
                    <w:jc w:val="center"/>
                    <w:rPr>
                      <w:szCs w:val="21"/>
                    </w:rPr>
                  </w:pPr>
                  <w:r>
                    <w:rPr>
                      <w:rFonts w:hint="eastAsia"/>
                      <w:szCs w:val="21"/>
                    </w:rPr>
                    <w:t>汞</w:t>
                  </w:r>
                </w:p>
              </w:tc>
              <w:tc>
                <w:tcPr>
                  <w:tcW w:w="850" w:type="dxa"/>
                  <w:tcBorders>
                    <w:tl2br w:val="nil"/>
                    <w:tr2bl w:val="nil"/>
                  </w:tcBorders>
                  <w:vAlign w:val="center"/>
                </w:tcPr>
                <w:p w14:paraId="553D9D50">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73497049">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7ACC5D19">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22DB23C1">
                  <w:pPr>
                    <w:widowControl/>
                    <w:adjustRightInd w:val="0"/>
                    <w:snapToGrid w:val="0"/>
                    <w:jc w:val="center"/>
                    <w:textAlignment w:val="center"/>
                    <w:rPr>
                      <w:rFonts w:eastAsia="附件"/>
                      <w:kern w:val="0"/>
                      <w:szCs w:val="21"/>
                    </w:rPr>
                  </w:pPr>
                  <w:r>
                    <w:rPr>
                      <w:rFonts w:hint="eastAsia" w:eastAsia="附件"/>
                      <w:kern w:val="0"/>
                      <w:szCs w:val="21"/>
                    </w:rPr>
                    <w:t>8</w:t>
                  </w:r>
                </w:p>
              </w:tc>
              <w:tc>
                <w:tcPr>
                  <w:tcW w:w="851" w:type="dxa"/>
                  <w:tcBorders>
                    <w:tl2br w:val="nil"/>
                    <w:tr2bl w:val="nil"/>
                  </w:tcBorders>
                  <w:vAlign w:val="center"/>
                </w:tcPr>
                <w:p w14:paraId="430E053E">
                  <w:pPr>
                    <w:widowControl/>
                    <w:jc w:val="center"/>
                    <w:textAlignment w:val="center"/>
                    <w:rPr>
                      <w:rFonts w:eastAsia="附件"/>
                      <w:kern w:val="0"/>
                      <w:szCs w:val="21"/>
                    </w:rPr>
                  </w:pPr>
                  <w:r>
                    <w:rPr>
                      <w:color w:val="000000"/>
                      <w:kern w:val="0"/>
                      <w:sz w:val="22"/>
                      <w:szCs w:val="22"/>
                      <w:lang w:bidi="ar"/>
                    </w:rPr>
                    <w:t xml:space="preserve">0.04 </w:t>
                  </w:r>
                </w:p>
              </w:tc>
              <w:tc>
                <w:tcPr>
                  <w:tcW w:w="850" w:type="dxa"/>
                  <w:tcBorders>
                    <w:tl2br w:val="nil"/>
                    <w:tr2bl w:val="nil"/>
                  </w:tcBorders>
                  <w:vAlign w:val="center"/>
                </w:tcPr>
                <w:p w14:paraId="3EA316D0">
                  <w:pPr>
                    <w:widowControl/>
                    <w:jc w:val="center"/>
                    <w:textAlignment w:val="center"/>
                    <w:rPr>
                      <w:rFonts w:eastAsia="附件"/>
                      <w:kern w:val="0"/>
                      <w:szCs w:val="21"/>
                    </w:rPr>
                  </w:pPr>
                  <w:r>
                    <w:rPr>
                      <w:color w:val="000000"/>
                      <w:kern w:val="0"/>
                      <w:sz w:val="22"/>
                      <w:szCs w:val="22"/>
                      <w:lang w:bidi="ar"/>
                    </w:rPr>
                    <w:t xml:space="preserve">0.06 </w:t>
                  </w:r>
                </w:p>
              </w:tc>
              <w:tc>
                <w:tcPr>
                  <w:tcW w:w="709" w:type="dxa"/>
                  <w:tcBorders>
                    <w:tl2br w:val="nil"/>
                    <w:tr2bl w:val="nil"/>
                  </w:tcBorders>
                  <w:vAlign w:val="center"/>
                </w:tcPr>
                <w:p w14:paraId="0E6D4263">
                  <w:pPr>
                    <w:widowControl/>
                    <w:jc w:val="center"/>
                    <w:textAlignment w:val="center"/>
                    <w:rPr>
                      <w:rFonts w:eastAsia="附件"/>
                      <w:kern w:val="0"/>
                      <w:szCs w:val="21"/>
                    </w:rPr>
                  </w:pPr>
                  <w:r>
                    <w:rPr>
                      <w:color w:val="000000"/>
                      <w:kern w:val="0"/>
                      <w:sz w:val="22"/>
                      <w:szCs w:val="22"/>
                      <w:lang w:bidi="ar"/>
                    </w:rPr>
                    <w:t xml:space="preserve">0.10 </w:t>
                  </w:r>
                </w:p>
              </w:tc>
              <w:tc>
                <w:tcPr>
                  <w:tcW w:w="520" w:type="dxa"/>
                  <w:tcBorders>
                    <w:tl2br w:val="nil"/>
                    <w:tr2bl w:val="nil"/>
                  </w:tcBorders>
                  <w:vAlign w:val="center"/>
                </w:tcPr>
                <w:p w14:paraId="4C97B0F7">
                  <w:pPr>
                    <w:widowControl/>
                    <w:adjustRightInd w:val="0"/>
                    <w:snapToGrid w:val="0"/>
                    <w:jc w:val="center"/>
                    <w:textAlignment w:val="center"/>
                    <w:rPr>
                      <w:rFonts w:eastAsia="附件"/>
                      <w:kern w:val="0"/>
                      <w:szCs w:val="21"/>
                    </w:rPr>
                  </w:pPr>
                  <w:r>
                    <w:rPr>
                      <w:rFonts w:hint="eastAsia" w:eastAsia="附件"/>
                      <w:kern w:val="0"/>
                      <w:szCs w:val="21"/>
                    </w:rPr>
                    <w:t>0</w:t>
                  </w:r>
                </w:p>
              </w:tc>
            </w:tr>
            <w:tr w14:paraId="4DE13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48F22969">
                  <w:pPr>
                    <w:adjustRightInd w:val="0"/>
                    <w:snapToGrid w:val="0"/>
                    <w:jc w:val="center"/>
                    <w:rPr>
                      <w:rFonts w:eastAsia="附件"/>
                      <w:kern w:val="0"/>
                      <w:szCs w:val="21"/>
                    </w:rPr>
                  </w:pPr>
                  <w:r>
                    <w:rPr>
                      <w:rFonts w:hint="eastAsia" w:eastAsia="附件"/>
                      <w:kern w:val="0"/>
                      <w:szCs w:val="21"/>
                    </w:rPr>
                    <w:t>8</w:t>
                  </w:r>
                </w:p>
              </w:tc>
              <w:tc>
                <w:tcPr>
                  <w:tcW w:w="1000" w:type="dxa"/>
                  <w:tcBorders>
                    <w:tl2br w:val="nil"/>
                    <w:tr2bl w:val="nil"/>
                  </w:tcBorders>
                  <w:shd w:val="clear" w:color="auto" w:fill="auto"/>
                  <w:vAlign w:val="center"/>
                </w:tcPr>
                <w:p w14:paraId="0EC68156">
                  <w:pPr>
                    <w:jc w:val="center"/>
                    <w:rPr>
                      <w:szCs w:val="21"/>
                    </w:rPr>
                  </w:pPr>
                  <w:r>
                    <w:rPr>
                      <w:rFonts w:hint="eastAsia"/>
                      <w:szCs w:val="21"/>
                    </w:rPr>
                    <w:t>砷</w:t>
                  </w:r>
                </w:p>
              </w:tc>
              <w:tc>
                <w:tcPr>
                  <w:tcW w:w="850" w:type="dxa"/>
                  <w:tcBorders>
                    <w:tl2br w:val="nil"/>
                    <w:tr2bl w:val="nil"/>
                  </w:tcBorders>
                  <w:vAlign w:val="center"/>
                </w:tcPr>
                <w:p w14:paraId="4C600AA8">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1E4D056A">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74761CA3">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537A53D0">
                  <w:pPr>
                    <w:widowControl/>
                    <w:adjustRightInd w:val="0"/>
                    <w:snapToGrid w:val="0"/>
                    <w:jc w:val="center"/>
                    <w:textAlignment w:val="center"/>
                    <w:rPr>
                      <w:rFonts w:eastAsia="附件"/>
                      <w:kern w:val="0"/>
                      <w:szCs w:val="21"/>
                    </w:rPr>
                  </w:pPr>
                  <w:r>
                    <w:rPr>
                      <w:rFonts w:hint="eastAsia" w:eastAsia="附件"/>
                      <w:kern w:val="0"/>
                      <w:szCs w:val="21"/>
                    </w:rPr>
                    <w:t>20</w:t>
                  </w:r>
                </w:p>
              </w:tc>
              <w:tc>
                <w:tcPr>
                  <w:tcW w:w="851" w:type="dxa"/>
                  <w:tcBorders>
                    <w:tl2br w:val="nil"/>
                    <w:tr2bl w:val="nil"/>
                  </w:tcBorders>
                  <w:vAlign w:val="center"/>
                </w:tcPr>
                <w:p w14:paraId="254B2065">
                  <w:pPr>
                    <w:widowControl/>
                    <w:jc w:val="center"/>
                    <w:textAlignment w:val="center"/>
                    <w:rPr>
                      <w:rFonts w:eastAsia="附件"/>
                      <w:kern w:val="0"/>
                      <w:szCs w:val="21"/>
                    </w:rPr>
                  </w:pPr>
                  <w:r>
                    <w:rPr>
                      <w:color w:val="000000"/>
                      <w:kern w:val="0"/>
                      <w:sz w:val="22"/>
                      <w:szCs w:val="22"/>
                      <w:lang w:bidi="ar"/>
                    </w:rPr>
                    <w:t xml:space="preserve">0.26 </w:t>
                  </w:r>
                </w:p>
              </w:tc>
              <w:tc>
                <w:tcPr>
                  <w:tcW w:w="850" w:type="dxa"/>
                  <w:tcBorders>
                    <w:tl2br w:val="nil"/>
                    <w:tr2bl w:val="nil"/>
                  </w:tcBorders>
                  <w:vAlign w:val="center"/>
                </w:tcPr>
                <w:p w14:paraId="02AABCF3">
                  <w:pPr>
                    <w:widowControl/>
                    <w:jc w:val="center"/>
                    <w:textAlignment w:val="center"/>
                    <w:rPr>
                      <w:rFonts w:eastAsia="附件"/>
                      <w:kern w:val="0"/>
                      <w:szCs w:val="21"/>
                    </w:rPr>
                  </w:pPr>
                  <w:r>
                    <w:rPr>
                      <w:color w:val="000000"/>
                      <w:kern w:val="0"/>
                      <w:sz w:val="22"/>
                      <w:szCs w:val="22"/>
                      <w:lang w:bidi="ar"/>
                    </w:rPr>
                    <w:t xml:space="preserve">0.25 </w:t>
                  </w:r>
                </w:p>
              </w:tc>
              <w:tc>
                <w:tcPr>
                  <w:tcW w:w="709" w:type="dxa"/>
                  <w:tcBorders>
                    <w:tl2br w:val="nil"/>
                    <w:tr2bl w:val="nil"/>
                  </w:tcBorders>
                  <w:vAlign w:val="center"/>
                </w:tcPr>
                <w:p w14:paraId="088D8926">
                  <w:pPr>
                    <w:widowControl/>
                    <w:jc w:val="center"/>
                    <w:textAlignment w:val="center"/>
                    <w:rPr>
                      <w:rFonts w:eastAsia="附件"/>
                      <w:kern w:val="0"/>
                      <w:szCs w:val="21"/>
                    </w:rPr>
                  </w:pPr>
                  <w:r>
                    <w:rPr>
                      <w:color w:val="000000"/>
                      <w:kern w:val="0"/>
                      <w:sz w:val="22"/>
                      <w:szCs w:val="22"/>
                      <w:lang w:bidi="ar"/>
                    </w:rPr>
                    <w:t xml:space="preserve">0.24 </w:t>
                  </w:r>
                </w:p>
              </w:tc>
              <w:tc>
                <w:tcPr>
                  <w:tcW w:w="520" w:type="dxa"/>
                  <w:tcBorders>
                    <w:tl2br w:val="nil"/>
                    <w:tr2bl w:val="nil"/>
                  </w:tcBorders>
                  <w:vAlign w:val="center"/>
                </w:tcPr>
                <w:p w14:paraId="36D52C09">
                  <w:pPr>
                    <w:widowControl/>
                    <w:adjustRightInd w:val="0"/>
                    <w:snapToGrid w:val="0"/>
                    <w:jc w:val="center"/>
                    <w:textAlignment w:val="center"/>
                    <w:rPr>
                      <w:rFonts w:eastAsia="附件"/>
                      <w:kern w:val="0"/>
                      <w:szCs w:val="21"/>
                    </w:rPr>
                  </w:pPr>
                  <w:r>
                    <w:rPr>
                      <w:rFonts w:hint="eastAsia" w:eastAsia="附件"/>
                      <w:kern w:val="0"/>
                      <w:szCs w:val="21"/>
                    </w:rPr>
                    <w:t>0</w:t>
                  </w:r>
                </w:p>
              </w:tc>
            </w:tr>
            <w:tr w14:paraId="0DFE9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51918FDD">
                  <w:pPr>
                    <w:adjustRightInd w:val="0"/>
                    <w:snapToGrid w:val="0"/>
                    <w:jc w:val="center"/>
                    <w:rPr>
                      <w:rFonts w:eastAsia="附件"/>
                      <w:kern w:val="0"/>
                      <w:szCs w:val="21"/>
                    </w:rPr>
                  </w:pPr>
                  <w:r>
                    <w:rPr>
                      <w:rFonts w:hint="eastAsia" w:eastAsia="附件"/>
                      <w:kern w:val="0"/>
                      <w:szCs w:val="21"/>
                    </w:rPr>
                    <w:t>9</w:t>
                  </w:r>
                </w:p>
              </w:tc>
              <w:tc>
                <w:tcPr>
                  <w:tcW w:w="1000" w:type="dxa"/>
                  <w:tcBorders>
                    <w:tl2br w:val="nil"/>
                    <w:tr2bl w:val="nil"/>
                  </w:tcBorders>
                  <w:shd w:val="clear" w:color="auto" w:fill="auto"/>
                  <w:vAlign w:val="center"/>
                </w:tcPr>
                <w:p w14:paraId="5EFD8C6A">
                  <w:pPr>
                    <w:jc w:val="center"/>
                    <w:rPr>
                      <w:szCs w:val="21"/>
                    </w:rPr>
                  </w:pPr>
                  <w:r>
                    <w:rPr>
                      <w:rFonts w:hint="eastAsia"/>
                      <w:szCs w:val="21"/>
                    </w:rPr>
                    <w:t>六价铬</w:t>
                  </w:r>
                </w:p>
              </w:tc>
              <w:tc>
                <w:tcPr>
                  <w:tcW w:w="850" w:type="dxa"/>
                  <w:tcBorders>
                    <w:tl2br w:val="nil"/>
                    <w:tr2bl w:val="nil"/>
                  </w:tcBorders>
                  <w:vAlign w:val="center"/>
                </w:tcPr>
                <w:p w14:paraId="57E23F9D">
                  <w:pPr>
                    <w:jc w:val="center"/>
                    <w:rPr>
                      <w:szCs w:val="21"/>
                    </w:rPr>
                  </w:pPr>
                  <w:r>
                    <w:rPr>
                      <w:rFonts w:hint="eastAsia"/>
                      <w:bCs/>
                      <w:sz w:val="21"/>
                      <w:szCs w:val="21"/>
                      <w:lang w:val="en-US" w:eastAsia="zh-CN"/>
                    </w:rPr>
                    <w:t>*</w:t>
                  </w:r>
                </w:p>
              </w:tc>
              <w:tc>
                <w:tcPr>
                  <w:tcW w:w="850" w:type="dxa"/>
                  <w:tcBorders>
                    <w:tl2br w:val="nil"/>
                    <w:tr2bl w:val="nil"/>
                  </w:tcBorders>
                  <w:vAlign w:val="center"/>
                </w:tcPr>
                <w:p w14:paraId="172D4D27">
                  <w:pPr>
                    <w:jc w:val="center"/>
                    <w:rPr>
                      <w:szCs w:val="21"/>
                    </w:rPr>
                  </w:pPr>
                  <w:r>
                    <w:rPr>
                      <w:rFonts w:hint="eastAsia"/>
                      <w:bCs/>
                      <w:sz w:val="21"/>
                      <w:szCs w:val="21"/>
                      <w:lang w:val="en-US" w:eastAsia="zh-CN"/>
                    </w:rPr>
                    <w:t>*</w:t>
                  </w:r>
                </w:p>
              </w:tc>
              <w:tc>
                <w:tcPr>
                  <w:tcW w:w="850" w:type="dxa"/>
                  <w:tcBorders>
                    <w:tl2br w:val="nil"/>
                    <w:tr2bl w:val="nil"/>
                  </w:tcBorders>
                  <w:vAlign w:val="center"/>
                </w:tcPr>
                <w:p w14:paraId="3E1235D6">
                  <w:pPr>
                    <w:jc w:val="center"/>
                    <w:rPr>
                      <w:szCs w:val="21"/>
                    </w:rPr>
                  </w:pPr>
                  <w:r>
                    <w:rPr>
                      <w:rFonts w:hint="eastAsia"/>
                      <w:bCs/>
                      <w:sz w:val="21"/>
                      <w:szCs w:val="21"/>
                      <w:lang w:val="en-US" w:eastAsia="zh-CN"/>
                    </w:rPr>
                    <w:t>*</w:t>
                  </w:r>
                </w:p>
              </w:tc>
              <w:tc>
                <w:tcPr>
                  <w:tcW w:w="993" w:type="dxa"/>
                  <w:tcBorders>
                    <w:tl2br w:val="nil"/>
                    <w:tr2bl w:val="nil"/>
                  </w:tcBorders>
                  <w:vAlign w:val="center"/>
                </w:tcPr>
                <w:p w14:paraId="77F94112">
                  <w:pPr>
                    <w:widowControl/>
                    <w:adjustRightInd w:val="0"/>
                    <w:snapToGrid w:val="0"/>
                    <w:jc w:val="center"/>
                    <w:textAlignment w:val="center"/>
                    <w:rPr>
                      <w:rFonts w:eastAsia="附件"/>
                      <w:kern w:val="0"/>
                      <w:szCs w:val="21"/>
                    </w:rPr>
                  </w:pPr>
                  <w:r>
                    <w:rPr>
                      <w:rFonts w:hint="eastAsia" w:eastAsia="附件"/>
                      <w:kern w:val="0"/>
                      <w:szCs w:val="21"/>
                    </w:rPr>
                    <w:t>3.0</w:t>
                  </w:r>
                </w:p>
              </w:tc>
              <w:tc>
                <w:tcPr>
                  <w:tcW w:w="851" w:type="dxa"/>
                  <w:tcBorders>
                    <w:tl2br w:val="nil"/>
                    <w:tr2bl w:val="nil"/>
                  </w:tcBorders>
                  <w:vAlign w:val="center"/>
                </w:tcPr>
                <w:p w14:paraId="39F7C744">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7F3CB687">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39F39219">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737C4349">
                  <w:pPr>
                    <w:widowControl/>
                    <w:adjustRightInd w:val="0"/>
                    <w:snapToGrid w:val="0"/>
                    <w:jc w:val="center"/>
                    <w:textAlignment w:val="center"/>
                    <w:rPr>
                      <w:rFonts w:eastAsia="附件"/>
                      <w:kern w:val="0"/>
                      <w:szCs w:val="21"/>
                    </w:rPr>
                  </w:pPr>
                  <w:r>
                    <w:rPr>
                      <w:rFonts w:hint="eastAsia" w:eastAsia="附件"/>
                      <w:kern w:val="0"/>
                      <w:szCs w:val="21"/>
                    </w:rPr>
                    <w:t>0</w:t>
                  </w:r>
                </w:p>
              </w:tc>
            </w:tr>
            <w:tr w14:paraId="2AB12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14:paraId="7DE6B33F">
                  <w:pPr>
                    <w:widowControl/>
                    <w:adjustRightInd w:val="0"/>
                    <w:snapToGrid w:val="0"/>
                    <w:jc w:val="center"/>
                    <w:textAlignment w:val="center"/>
                    <w:rPr>
                      <w:rFonts w:eastAsia="附件"/>
                      <w:kern w:val="0"/>
                      <w:szCs w:val="21"/>
                    </w:rPr>
                  </w:pPr>
                  <w:r>
                    <w:rPr>
                      <w:rFonts w:eastAsia="附件"/>
                      <w:kern w:val="0"/>
                      <w:szCs w:val="21"/>
                    </w:rPr>
                    <w:t>S2</w:t>
                  </w:r>
                </w:p>
              </w:tc>
            </w:tr>
            <w:tr w14:paraId="720B1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1B784252">
                  <w:pPr>
                    <w:adjustRightInd w:val="0"/>
                    <w:snapToGrid w:val="0"/>
                    <w:jc w:val="center"/>
                    <w:rPr>
                      <w:rFonts w:eastAsia="附件"/>
                      <w:kern w:val="0"/>
                      <w:szCs w:val="21"/>
                    </w:rPr>
                  </w:pPr>
                  <w:r>
                    <w:rPr>
                      <w:rFonts w:eastAsia="附件"/>
                      <w:kern w:val="0"/>
                      <w:szCs w:val="21"/>
                    </w:rPr>
                    <w:t>1</w:t>
                  </w:r>
                </w:p>
              </w:tc>
              <w:tc>
                <w:tcPr>
                  <w:tcW w:w="1000" w:type="dxa"/>
                  <w:tcBorders>
                    <w:tl2br w:val="nil"/>
                    <w:tr2bl w:val="nil"/>
                  </w:tcBorders>
                  <w:vAlign w:val="center"/>
                </w:tcPr>
                <w:p w14:paraId="10560175">
                  <w:pPr>
                    <w:widowControl/>
                    <w:jc w:val="center"/>
                    <w:rPr>
                      <w:rFonts w:eastAsia="附件"/>
                      <w:szCs w:val="21"/>
                    </w:rPr>
                  </w:pPr>
                  <w:r>
                    <w:rPr>
                      <w:rFonts w:eastAsia="附件"/>
                      <w:szCs w:val="21"/>
                    </w:rPr>
                    <w:t>pH</w:t>
                  </w:r>
                </w:p>
              </w:tc>
              <w:tc>
                <w:tcPr>
                  <w:tcW w:w="850" w:type="dxa"/>
                  <w:tcBorders>
                    <w:tl2br w:val="nil"/>
                    <w:tr2bl w:val="nil"/>
                  </w:tcBorders>
                  <w:vAlign w:val="center"/>
                </w:tcPr>
                <w:p w14:paraId="7AA119C5">
                  <w:pPr>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490AE1F5">
                  <w:pPr>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7AEAA58F">
                  <w:pPr>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575CF172">
                  <w:pPr>
                    <w:widowControl/>
                    <w:adjustRightInd w:val="0"/>
                    <w:snapToGrid w:val="0"/>
                    <w:jc w:val="center"/>
                    <w:textAlignment w:val="center"/>
                    <w:rPr>
                      <w:rFonts w:eastAsia="附件"/>
                      <w:kern w:val="0"/>
                      <w:szCs w:val="21"/>
                    </w:rPr>
                  </w:pPr>
                  <w:r>
                    <w:rPr>
                      <w:rFonts w:eastAsia="附件"/>
                      <w:kern w:val="0"/>
                      <w:szCs w:val="21"/>
                    </w:rPr>
                    <w:t>6.5~8.5</w:t>
                  </w:r>
                </w:p>
              </w:tc>
              <w:tc>
                <w:tcPr>
                  <w:tcW w:w="851" w:type="dxa"/>
                  <w:tcBorders>
                    <w:tl2br w:val="nil"/>
                    <w:tr2bl w:val="nil"/>
                  </w:tcBorders>
                  <w:vAlign w:val="center"/>
                </w:tcPr>
                <w:p w14:paraId="1DE1CA28">
                  <w:pPr>
                    <w:jc w:val="center"/>
                    <w:rPr>
                      <w:szCs w:val="21"/>
                    </w:rPr>
                  </w:pPr>
                  <w:r>
                    <w:rPr>
                      <w:rFonts w:eastAsia="附件"/>
                      <w:kern w:val="0"/>
                      <w:szCs w:val="21"/>
                    </w:rPr>
                    <w:t>/</w:t>
                  </w:r>
                </w:p>
              </w:tc>
              <w:tc>
                <w:tcPr>
                  <w:tcW w:w="850" w:type="dxa"/>
                  <w:tcBorders>
                    <w:tl2br w:val="nil"/>
                    <w:tr2bl w:val="nil"/>
                  </w:tcBorders>
                  <w:vAlign w:val="center"/>
                </w:tcPr>
                <w:p w14:paraId="4DC22091">
                  <w:pPr>
                    <w:jc w:val="center"/>
                    <w:rPr>
                      <w:szCs w:val="21"/>
                    </w:rPr>
                  </w:pPr>
                  <w:r>
                    <w:rPr>
                      <w:rFonts w:eastAsia="附件"/>
                      <w:kern w:val="0"/>
                      <w:szCs w:val="21"/>
                    </w:rPr>
                    <w:t>/</w:t>
                  </w:r>
                </w:p>
              </w:tc>
              <w:tc>
                <w:tcPr>
                  <w:tcW w:w="709" w:type="dxa"/>
                  <w:tcBorders>
                    <w:tl2br w:val="nil"/>
                    <w:tr2bl w:val="nil"/>
                  </w:tcBorders>
                  <w:vAlign w:val="center"/>
                </w:tcPr>
                <w:p w14:paraId="42B57756">
                  <w:pPr>
                    <w:jc w:val="center"/>
                    <w:rPr>
                      <w:szCs w:val="21"/>
                    </w:rPr>
                  </w:pPr>
                  <w:r>
                    <w:rPr>
                      <w:rFonts w:eastAsia="附件"/>
                      <w:kern w:val="0"/>
                      <w:szCs w:val="21"/>
                    </w:rPr>
                    <w:t>/</w:t>
                  </w:r>
                </w:p>
              </w:tc>
              <w:tc>
                <w:tcPr>
                  <w:tcW w:w="520" w:type="dxa"/>
                  <w:tcBorders>
                    <w:tl2br w:val="nil"/>
                    <w:tr2bl w:val="nil"/>
                  </w:tcBorders>
                  <w:vAlign w:val="center"/>
                </w:tcPr>
                <w:p w14:paraId="7EDCF0BE">
                  <w:pPr>
                    <w:widowControl/>
                    <w:adjustRightInd w:val="0"/>
                    <w:snapToGrid w:val="0"/>
                    <w:jc w:val="center"/>
                    <w:textAlignment w:val="center"/>
                    <w:rPr>
                      <w:rFonts w:eastAsia="附件"/>
                      <w:kern w:val="0"/>
                      <w:szCs w:val="21"/>
                    </w:rPr>
                  </w:pPr>
                  <w:r>
                    <w:rPr>
                      <w:rFonts w:eastAsia="附件"/>
                      <w:kern w:val="0"/>
                      <w:szCs w:val="21"/>
                    </w:rPr>
                    <w:t>/</w:t>
                  </w:r>
                </w:p>
              </w:tc>
            </w:tr>
            <w:tr w14:paraId="41088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33903E42">
                  <w:pPr>
                    <w:adjustRightInd w:val="0"/>
                    <w:snapToGrid w:val="0"/>
                    <w:jc w:val="center"/>
                    <w:rPr>
                      <w:rFonts w:eastAsia="附件"/>
                      <w:kern w:val="0"/>
                      <w:szCs w:val="21"/>
                    </w:rPr>
                  </w:pPr>
                  <w:r>
                    <w:rPr>
                      <w:rFonts w:eastAsia="附件"/>
                      <w:kern w:val="0"/>
                      <w:szCs w:val="21"/>
                    </w:rPr>
                    <w:t>2</w:t>
                  </w:r>
                </w:p>
              </w:tc>
              <w:tc>
                <w:tcPr>
                  <w:tcW w:w="1000" w:type="dxa"/>
                  <w:tcBorders>
                    <w:tl2br w:val="nil"/>
                    <w:tr2bl w:val="nil"/>
                  </w:tcBorders>
                  <w:shd w:val="clear" w:color="auto" w:fill="auto"/>
                  <w:vAlign w:val="center"/>
                </w:tcPr>
                <w:p w14:paraId="4E437F55">
                  <w:pPr>
                    <w:jc w:val="center"/>
                    <w:rPr>
                      <w:szCs w:val="21"/>
                    </w:rPr>
                  </w:pPr>
                  <w:r>
                    <w:rPr>
                      <w:rFonts w:hint="eastAsia"/>
                      <w:szCs w:val="21"/>
                    </w:rPr>
                    <w:t>石油类</w:t>
                  </w:r>
                </w:p>
              </w:tc>
              <w:tc>
                <w:tcPr>
                  <w:tcW w:w="850" w:type="dxa"/>
                  <w:tcBorders>
                    <w:tl2br w:val="nil"/>
                    <w:tr2bl w:val="nil"/>
                  </w:tcBorders>
                  <w:shd w:val="clear" w:color="auto" w:fill="auto"/>
                  <w:vAlign w:val="center"/>
                </w:tcPr>
                <w:p w14:paraId="393A7313">
                  <w:pPr>
                    <w:spacing w:line="240" w:lineRule="exact"/>
                    <w:jc w:val="center"/>
                    <w:rPr>
                      <w:szCs w:val="21"/>
                    </w:rPr>
                  </w:pPr>
                  <w:r>
                    <w:rPr>
                      <w:rFonts w:hint="eastAsia"/>
                      <w:bCs/>
                      <w:sz w:val="21"/>
                      <w:szCs w:val="21"/>
                      <w:lang w:val="en-US" w:eastAsia="zh-CN"/>
                    </w:rPr>
                    <w:t>*</w:t>
                  </w:r>
                </w:p>
              </w:tc>
              <w:tc>
                <w:tcPr>
                  <w:tcW w:w="850" w:type="dxa"/>
                  <w:tcBorders>
                    <w:tl2br w:val="nil"/>
                    <w:tr2bl w:val="nil"/>
                  </w:tcBorders>
                  <w:shd w:val="clear" w:color="auto" w:fill="auto"/>
                  <w:vAlign w:val="center"/>
                </w:tcPr>
                <w:p w14:paraId="20D6BAEF">
                  <w:pPr>
                    <w:spacing w:line="240" w:lineRule="exact"/>
                    <w:jc w:val="center"/>
                    <w:rPr>
                      <w:spacing w:val="-11"/>
                      <w:szCs w:val="21"/>
                    </w:rPr>
                  </w:pPr>
                  <w:r>
                    <w:rPr>
                      <w:rFonts w:hint="eastAsia"/>
                      <w:bCs/>
                      <w:sz w:val="21"/>
                      <w:szCs w:val="21"/>
                      <w:lang w:val="en-US" w:eastAsia="zh-CN"/>
                    </w:rPr>
                    <w:t>*</w:t>
                  </w:r>
                </w:p>
              </w:tc>
              <w:tc>
                <w:tcPr>
                  <w:tcW w:w="850" w:type="dxa"/>
                  <w:tcBorders>
                    <w:tl2br w:val="nil"/>
                    <w:tr2bl w:val="nil"/>
                  </w:tcBorders>
                  <w:shd w:val="clear" w:color="auto" w:fill="auto"/>
                  <w:vAlign w:val="center"/>
                </w:tcPr>
                <w:p w14:paraId="489757CF">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0E85A840">
                  <w:pPr>
                    <w:widowControl/>
                    <w:adjustRightInd w:val="0"/>
                    <w:snapToGrid w:val="0"/>
                    <w:jc w:val="center"/>
                    <w:textAlignment w:val="center"/>
                    <w:rPr>
                      <w:rFonts w:eastAsia="附件"/>
                      <w:kern w:val="0"/>
                      <w:szCs w:val="21"/>
                    </w:rPr>
                  </w:pPr>
                </w:p>
              </w:tc>
              <w:tc>
                <w:tcPr>
                  <w:tcW w:w="851" w:type="dxa"/>
                  <w:tcBorders>
                    <w:tl2br w:val="nil"/>
                    <w:tr2bl w:val="nil"/>
                  </w:tcBorders>
                  <w:vAlign w:val="center"/>
                </w:tcPr>
                <w:p w14:paraId="49EE41AE">
                  <w:pPr>
                    <w:jc w:val="center"/>
                    <w:rPr>
                      <w:rFonts w:eastAsia="附件"/>
                      <w:kern w:val="0"/>
                      <w:szCs w:val="21"/>
                    </w:rPr>
                  </w:pPr>
                </w:p>
              </w:tc>
              <w:tc>
                <w:tcPr>
                  <w:tcW w:w="850" w:type="dxa"/>
                  <w:tcBorders>
                    <w:tl2br w:val="nil"/>
                    <w:tr2bl w:val="nil"/>
                  </w:tcBorders>
                  <w:vAlign w:val="center"/>
                </w:tcPr>
                <w:p w14:paraId="449882DB">
                  <w:pPr>
                    <w:jc w:val="center"/>
                    <w:rPr>
                      <w:rFonts w:eastAsia="附件"/>
                      <w:kern w:val="0"/>
                      <w:szCs w:val="21"/>
                    </w:rPr>
                  </w:pPr>
                </w:p>
              </w:tc>
              <w:tc>
                <w:tcPr>
                  <w:tcW w:w="709" w:type="dxa"/>
                  <w:tcBorders>
                    <w:tl2br w:val="nil"/>
                    <w:tr2bl w:val="nil"/>
                  </w:tcBorders>
                  <w:vAlign w:val="center"/>
                </w:tcPr>
                <w:p w14:paraId="3A59AD1C">
                  <w:pPr>
                    <w:jc w:val="center"/>
                    <w:rPr>
                      <w:rFonts w:eastAsia="附件"/>
                      <w:kern w:val="0"/>
                      <w:szCs w:val="21"/>
                    </w:rPr>
                  </w:pPr>
                </w:p>
              </w:tc>
              <w:tc>
                <w:tcPr>
                  <w:tcW w:w="520" w:type="dxa"/>
                  <w:tcBorders>
                    <w:tl2br w:val="nil"/>
                    <w:tr2bl w:val="nil"/>
                  </w:tcBorders>
                  <w:vAlign w:val="center"/>
                </w:tcPr>
                <w:p w14:paraId="6B528BF0">
                  <w:pPr>
                    <w:widowControl/>
                    <w:adjustRightInd w:val="0"/>
                    <w:snapToGrid w:val="0"/>
                    <w:jc w:val="center"/>
                    <w:textAlignment w:val="center"/>
                    <w:rPr>
                      <w:rFonts w:eastAsia="附件"/>
                      <w:kern w:val="0"/>
                      <w:szCs w:val="21"/>
                    </w:rPr>
                  </w:pPr>
                </w:p>
              </w:tc>
            </w:tr>
            <w:tr w14:paraId="090DA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685CD918">
                  <w:pPr>
                    <w:adjustRightInd w:val="0"/>
                    <w:snapToGrid w:val="0"/>
                    <w:jc w:val="center"/>
                    <w:rPr>
                      <w:rFonts w:eastAsia="附件"/>
                      <w:kern w:val="0"/>
                      <w:szCs w:val="21"/>
                    </w:rPr>
                  </w:pPr>
                  <w:r>
                    <w:rPr>
                      <w:rFonts w:eastAsia="附件"/>
                      <w:kern w:val="0"/>
                      <w:szCs w:val="21"/>
                    </w:rPr>
                    <w:t>3</w:t>
                  </w:r>
                </w:p>
              </w:tc>
              <w:tc>
                <w:tcPr>
                  <w:tcW w:w="1000" w:type="dxa"/>
                  <w:tcBorders>
                    <w:tl2br w:val="nil"/>
                    <w:tr2bl w:val="nil"/>
                  </w:tcBorders>
                  <w:vAlign w:val="center"/>
                </w:tcPr>
                <w:p w14:paraId="55EA9103">
                  <w:pPr>
                    <w:widowControl/>
                    <w:jc w:val="center"/>
                    <w:rPr>
                      <w:rFonts w:eastAsia="附件"/>
                      <w:szCs w:val="21"/>
                    </w:rPr>
                  </w:pPr>
                  <w:r>
                    <w:rPr>
                      <w:rFonts w:hint="eastAsia" w:eastAsia="附件"/>
                      <w:szCs w:val="21"/>
                    </w:rPr>
                    <w:t>石油烃</w:t>
                  </w:r>
                </w:p>
              </w:tc>
              <w:tc>
                <w:tcPr>
                  <w:tcW w:w="850" w:type="dxa"/>
                  <w:tcBorders>
                    <w:tl2br w:val="nil"/>
                    <w:tr2bl w:val="nil"/>
                  </w:tcBorders>
                  <w:vAlign w:val="center"/>
                </w:tcPr>
                <w:p w14:paraId="4334E1B8">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607DB0BA">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35FBF012">
                  <w:pPr>
                    <w:spacing w:line="240" w:lineRule="exact"/>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50527ABE">
                  <w:pPr>
                    <w:widowControl/>
                    <w:adjustRightInd w:val="0"/>
                    <w:snapToGrid w:val="0"/>
                    <w:jc w:val="center"/>
                    <w:textAlignment w:val="center"/>
                    <w:rPr>
                      <w:rFonts w:eastAsia="附件"/>
                      <w:kern w:val="0"/>
                      <w:szCs w:val="21"/>
                    </w:rPr>
                  </w:pPr>
                  <w:r>
                    <w:rPr>
                      <w:rFonts w:eastAsia="附件"/>
                      <w:kern w:val="0"/>
                      <w:szCs w:val="21"/>
                    </w:rPr>
                    <w:t>4500</w:t>
                  </w:r>
                </w:p>
              </w:tc>
              <w:tc>
                <w:tcPr>
                  <w:tcW w:w="851" w:type="dxa"/>
                  <w:tcBorders>
                    <w:tl2br w:val="nil"/>
                    <w:tr2bl w:val="nil"/>
                  </w:tcBorders>
                  <w:vAlign w:val="center"/>
                </w:tcPr>
                <w:p w14:paraId="4F5AB2FD">
                  <w:pPr>
                    <w:jc w:val="center"/>
                    <w:rPr>
                      <w:szCs w:val="21"/>
                    </w:rPr>
                  </w:pPr>
                  <w:r>
                    <w:rPr>
                      <w:rFonts w:hint="eastAsia"/>
                      <w:szCs w:val="21"/>
                    </w:rPr>
                    <w:t>0.002</w:t>
                  </w:r>
                </w:p>
              </w:tc>
              <w:tc>
                <w:tcPr>
                  <w:tcW w:w="850" w:type="dxa"/>
                  <w:tcBorders>
                    <w:tl2br w:val="nil"/>
                    <w:tr2bl w:val="nil"/>
                  </w:tcBorders>
                  <w:vAlign w:val="center"/>
                </w:tcPr>
                <w:p w14:paraId="55630668">
                  <w:pPr>
                    <w:jc w:val="center"/>
                    <w:rPr>
                      <w:szCs w:val="21"/>
                    </w:rPr>
                  </w:pPr>
                  <w:r>
                    <w:rPr>
                      <w:rFonts w:hint="eastAsia"/>
                      <w:szCs w:val="21"/>
                    </w:rPr>
                    <w:t>0.002</w:t>
                  </w:r>
                </w:p>
              </w:tc>
              <w:tc>
                <w:tcPr>
                  <w:tcW w:w="709" w:type="dxa"/>
                  <w:tcBorders>
                    <w:tl2br w:val="nil"/>
                    <w:tr2bl w:val="nil"/>
                  </w:tcBorders>
                  <w:vAlign w:val="center"/>
                </w:tcPr>
                <w:p w14:paraId="65D9D543">
                  <w:pPr>
                    <w:jc w:val="center"/>
                    <w:rPr>
                      <w:szCs w:val="21"/>
                    </w:rPr>
                  </w:pPr>
                  <w:r>
                    <w:rPr>
                      <w:rFonts w:hint="eastAsia"/>
                      <w:szCs w:val="21"/>
                    </w:rPr>
                    <w:t>0.002</w:t>
                  </w:r>
                </w:p>
              </w:tc>
              <w:tc>
                <w:tcPr>
                  <w:tcW w:w="520" w:type="dxa"/>
                  <w:tcBorders>
                    <w:tl2br w:val="nil"/>
                    <w:tr2bl w:val="nil"/>
                  </w:tcBorders>
                  <w:vAlign w:val="center"/>
                </w:tcPr>
                <w:p w14:paraId="3497AE59">
                  <w:pPr>
                    <w:widowControl/>
                    <w:adjustRightInd w:val="0"/>
                    <w:snapToGrid w:val="0"/>
                    <w:jc w:val="center"/>
                    <w:textAlignment w:val="center"/>
                    <w:rPr>
                      <w:rFonts w:eastAsia="附件"/>
                      <w:kern w:val="0"/>
                      <w:szCs w:val="21"/>
                    </w:rPr>
                  </w:pPr>
                  <w:r>
                    <w:rPr>
                      <w:rFonts w:eastAsia="附件"/>
                      <w:kern w:val="0"/>
                      <w:szCs w:val="21"/>
                    </w:rPr>
                    <w:t>/</w:t>
                  </w:r>
                </w:p>
              </w:tc>
            </w:tr>
            <w:tr w14:paraId="1B79B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69BA4BA1">
                  <w:pPr>
                    <w:adjustRightInd w:val="0"/>
                    <w:snapToGrid w:val="0"/>
                    <w:jc w:val="center"/>
                    <w:rPr>
                      <w:rFonts w:eastAsia="附件"/>
                      <w:kern w:val="0"/>
                      <w:szCs w:val="21"/>
                    </w:rPr>
                  </w:pPr>
                  <w:r>
                    <w:rPr>
                      <w:rFonts w:eastAsia="附件"/>
                      <w:kern w:val="0"/>
                      <w:szCs w:val="21"/>
                    </w:rPr>
                    <w:t>4</w:t>
                  </w:r>
                </w:p>
              </w:tc>
              <w:tc>
                <w:tcPr>
                  <w:tcW w:w="1000" w:type="dxa"/>
                  <w:tcBorders>
                    <w:tl2br w:val="nil"/>
                    <w:tr2bl w:val="nil"/>
                  </w:tcBorders>
                  <w:vAlign w:val="center"/>
                </w:tcPr>
                <w:p w14:paraId="668C07A9">
                  <w:pPr>
                    <w:jc w:val="center"/>
                    <w:rPr>
                      <w:rFonts w:eastAsia="附件"/>
                      <w:szCs w:val="21"/>
                    </w:rPr>
                  </w:pPr>
                  <w:r>
                    <w:rPr>
                      <w:rFonts w:hint="eastAsia"/>
                      <w:szCs w:val="21"/>
                    </w:rPr>
                    <w:t>硫化物</w:t>
                  </w:r>
                </w:p>
              </w:tc>
              <w:tc>
                <w:tcPr>
                  <w:tcW w:w="850" w:type="dxa"/>
                  <w:tcBorders>
                    <w:tl2br w:val="nil"/>
                    <w:tr2bl w:val="nil"/>
                  </w:tcBorders>
                  <w:vAlign w:val="center"/>
                </w:tcPr>
                <w:p w14:paraId="2B484825">
                  <w:pPr>
                    <w:spacing w:line="240" w:lineRule="exact"/>
                    <w:jc w:val="center"/>
                    <w:rPr>
                      <w:bCs/>
                      <w:szCs w:val="21"/>
                    </w:rPr>
                  </w:pPr>
                  <w:r>
                    <w:rPr>
                      <w:rFonts w:hint="eastAsia"/>
                      <w:bCs/>
                      <w:sz w:val="21"/>
                      <w:szCs w:val="21"/>
                      <w:lang w:val="en-US" w:eastAsia="zh-CN"/>
                    </w:rPr>
                    <w:t>*</w:t>
                  </w:r>
                </w:p>
              </w:tc>
              <w:tc>
                <w:tcPr>
                  <w:tcW w:w="850" w:type="dxa"/>
                  <w:tcBorders>
                    <w:tl2br w:val="nil"/>
                    <w:tr2bl w:val="nil"/>
                  </w:tcBorders>
                  <w:vAlign w:val="center"/>
                </w:tcPr>
                <w:p w14:paraId="45D2D06A">
                  <w:pPr>
                    <w:spacing w:line="240" w:lineRule="exact"/>
                    <w:jc w:val="center"/>
                    <w:rPr>
                      <w:bCs/>
                      <w:szCs w:val="21"/>
                      <w:lang w:bidi="ar"/>
                    </w:rPr>
                  </w:pPr>
                  <w:r>
                    <w:rPr>
                      <w:rFonts w:hint="eastAsia"/>
                      <w:bCs/>
                      <w:sz w:val="21"/>
                      <w:szCs w:val="21"/>
                      <w:lang w:val="en-US" w:eastAsia="zh-CN"/>
                    </w:rPr>
                    <w:t>*</w:t>
                  </w:r>
                </w:p>
              </w:tc>
              <w:tc>
                <w:tcPr>
                  <w:tcW w:w="850" w:type="dxa"/>
                  <w:tcBorders>
                    <w:tl2br w:val="nil"/>
                    <w:tr2bl w:val="nil"/>
                  </w:tcBorders>
                  <w:vAlign w:val="center"/>
                </w:tcPr>
                <w:p w14:paraId="6F19F6ED">
                  <w:pPr>
                    <w:spacing w:line="240" w:lineRule="exact"/>
                    <w:jc w:val="center"/>
                    <w:rPr>
                      <w:kern w:val="0"/>
                      <w:szCs w:val="21"/>
                      <w:lang w:bidi="ar"/>
                    </w:rPr>
                  </w:pPr>
                  <w:r>
                    <w:rPr>
                      <w:rFonts w:hint="eastAsia"/>
                      <w:bCs/>
                      <w:sz w:val="21"/>
                      <w:szCs w:val="21"/>
                      <w:lang w:val="en-US" w:eastAsia="zh-CN"/>
                    </w:rPr>
                    <w:t>*</w:t>
                  </w:r>
                </w:p>
              </w:tc>
              <w:tc>
                <w:tcPr>
                  <w:tcW w:w="993" w:type="dxa"/>
                  <w:tcBorders>
                    <w:tl2br w:val="nil"/>
                    <w:tr2bl w:val="nil"/>
                  </w:tcBorders>
                  <w:vAlign w:val="center"/>
                </w:tcPr>
                <w:p w14:paraId="4961342F">
                  <w:pPr>
                    <w:widowControl/>
                    <w:adjustRightInd w:val="0"/>
                    <w:snapToGrid w:val="0"/>
                    <w:jc w:val="center"/>
                    <w:textAlignment w:val="center"/>
                    <w:rPr>
                      <w:rFonts w:eastAsia="附件"/>
                      <w:kern w:val="0"/>
                      <w:szCs w:val="21"/>
                    </w:rPr>
                  </w:pPr>
                  <w:r>
                    <w:rPr>
                      <w:rFonts w:eastAsia="附件"/>
                      <w:kern w:val="0"/>
                      <w:szCs w:val="21"/>
                    </w:rPr>
                    <w:t>/</w:t>
                  </w:r>
                </w:p>
              </w:tc>
              <w:tc>
                <w:tcPr>
                  <w:tcW w:w="851" w:type="dxa"/>
                  <w:tcBorders>
                    <w:tl2br w:val="nil"/>
                    <w:tr2bl w:val="nil"/>
                  </w:tcBorders>
                  <w:vAlign w:val="center"/>
                </w:tcPr>
                <w:p w14:paraId="029FB99C">
                  <w:pPr>
                    <w:jc w:val="center"/>
                    <w:rPr>
                      <w:szCs w:val="21"/>
                    </w:rPr>
                  </w:pPr>
                  <w:r>
                    <w:rPr>
                      <w:rFonts w:eastAsia="附件"/>
                      <w:kern w:val="0"/>
                      <w:szCs w:val="21"/>
                    </w:rPr>
                    <w:t>/</w:t>
                  </w:r>
                </w:p>
              </w:tc>
              <w:tc>
                <w:tcPr>
                  <w:tcW w:w="850" w:type="dxa"/>
                  <w:tcBorders>
                    <w:tl2br w:val="nil"/>
                    <w:tr2bl w:val="nil"/>
                  </w:tcBorders>
                  <w:vAlign w:val="center"/>
                </w:tcPr>
                <w:p w14:paraId="77B85B98">
                  <w:pPr>
                    <w:jc w:val="center"/>
                    <w:rPr>
                      <w:szCs w:val="21"/>
                    </w:rPr>
                  </w:pPr>
                  <w:r>
                    <w:rPr>
                      <w:rFonts w:eastAsia="附件"/>
                      <w:kern w:val="0"/>
                      <w:szCs w:val="21"/>
                    </w:rPr>
                    <w:t>/</w:t>
                  </w:r>
                </w:p>
              </w:tc>
              <w:tc>
                <w:tcPr>
                  <w:tcW w:w="709" w:type="dxa"/>
                  <w:tcBorders>
                    <w:tl2br w:val="nil"/>
                    <w:tr2bl w:val="nil"/>
                  </w:tcBorders>
                  <w:vAlign w:val="center"/>
                </w:tcPr>
                <w:p w14:paraId="418337BE">
                  <w:pPr>
                    <w:jc w:val="center"/>
                    <w:rPr>
                      <w:szCs w:val="21"/>
                    </w:rPr>
                  </w:pPr>
                  <w:r>
                    <w:rPr>
                      <w:rFonts w:eastAsia="附件"/>
                      <w:kern w:val="0"/>
                      <w:szCs w:val="21"/>
                    </w:rPr>
                    <w:t>/</w:t>
                  </w:r>
                </w:p>
              </w:tc>
              <w:tc>
                <w:tcPr>
                  <w:tcW w:w="520" w:type="dxa"/>
                  <w:tcBorders>
                    <w:tl2br w:val="nil"/>
                    <w:tr2bl w:val="nil"/>
                  </w:tcBorders>
                  <w:vAlign w:val="center"/>
                </w:tcPr>
                <w:p w14:paraId="03781782">
                  <w:pPr>
                    <w:widowControl/>
                    <w:adjustRightInd w:val="0"/>
                    <w:snapToGrid w:val="0"/>
                    <w:jc w:val="center"/>
                    <w:textAlignment w:val="center"/>
                    <w:rPr>
                      <w:rFonts w:eastAsia="附件"/>
                      <w:kern w:val="0"/>
                      <w:szCs w:val="21"/>
                    </w:rPr>
                  </w:pPr>
                  <w:r>
                    <w:rPr>
                      <w:rFonts w:eastAsia="附件"/>
                      <w:kern w:val="0"/>
                      <w:szCs w:val="21"/>
                    </w:rPr>
                    <w:t>/</w:t>
                  </w:r>
                </w:p>
              </w:tc>
            </w:tr>
            <w:tr w14:paraId="7CD99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42554C4E">
                  <w:pPr>
                    <w:adjustRightInd w:val="0"/>
                    <w:snapToGrid w:val="0"/>
                    <w:jc w:val="center"/>
                    <w:rPr>
                      <w:rFonts w:eastAsia="附件"/>
                      <w:kern w:val="0"/>
                      <w:szCs w:val="21"/>
                    </w:rPr>
                  </w:pPr>
                  <w:r>
                    <w:rPr>
                      <w:rFonts w:eastAsia="附件"/>
                      <w:kern w:val="0"/>
                      <w:szCs w:val="21"/>
                    </w:rPr>
                    <w:t>5</w:t>
                  </w:r>
                </w:p>
              </w:tc>
              <w:tc>
                <w:tcPr>
                  <w:tcW w:w="1000" w:type="dxa"/>
                  <w:tcBorders>
                    <w:tl2br w:val="nil"/>
                    <w:tr2bl w:val="nil"/>
                  </w:tcBorders>
                  <w:vAlign w:val="center"/>
                </w:tcPr>
                <w:p w14:paraId="0302AE72">
                  <w:pPr>
                    <w:jc w:val="center"/>
                    <w:rPr>
                      <w:rFonts w:eastAsia="附件"/>
                      <w:szCs w:val="21"/>
                    </w:rPr>
                  </w:pPr>
                  <w:r>
                    <w:rPr>
                      <w:rFonts w:hint="eastAsia"/>
                      <w:szCs w:val="21"/>
                    </w:rPr>
                    <w:t>钡</w:t>
                  </w:r>
                </w:p>
              </w:tc>
              <w:tc>
                <w:tcPr>
                  <w:tcW w:w="850" w:type="dxa"/>
                  <w:tcBorders>
                    <w:tl2br w:val="nil"/>
                    <w:tr2bl w:val="nil"/>
                  </w:tcBorders>
                  <w:vAlign w:val="center"/>
                </w:tcPr>
                <w:p w14:paraId="54BEB3FE">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1F1B8A37">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071EF6A6">
                  <w:pPr>
                    <w:spacing w:line="240" w:lineRule="exact"/>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5E798E89">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1F648122">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167ABAFA">
                  <w:pPr>
                    <w:jc w:val="center"/>
                    <w:rPr>
                      <w:rFonts w:eastAsia="附件"/>
                      <w:kern w:val="0"/>
                      <w:szCs w:val="21"/>
                    </w:rPr>
                  </w:pPr>
                  <w:r>
                    <w:rPr>
                      <w:rFonts w:eastAsia="附件"/>
                      <w:kern w:val="0"/>
                      <w:szCs w:val="21"/>
                    </w:rPr>
                    <w:t>/</w:t>
                  </w:r>
                </w:p>
              </w:tc>
              <w:tc>
                <w:tcPr>
                  <w:tcW w:w="709" w:type="dxa"/>
                  <w:tcBorders>
                    <w:tl2br w:val="nil"/>
                    <w:tr2bl w:val="nil"/>
                  </w:tcBorders>
                  <w:vAlign w:val="center"/>
                </w:tcPr>
                <w:p w14:paraId="04108852">
                  <w:pPr>
                    <w:jc w:val="center"/>
                    <w:rPr>
                      <w:rFonts w:eastAsia="附件"/>
                      <w:kern w:val="0"/>
                      <w:szCs w:val="21"/>
                    </w:rPr>
                  </w:pPr>
                  <w:r>
                    <w:rPr>
                      <w:rFonts w:eastAsia="附件"/>
                      <w:kern w:val="0"/>
                      <w:szCs w:val="21"/>
                    </w:rPr>
                    <w:t>/</w:t>
                  </w:r>
                </w:p>
              </w:tc>
              <w:tc>
                <w:tcPr>
                  <w:tcW w:w="520" w:type="dxa"/>
                  <w:tcBorders>
                    <w:tl2br w:val="nil"/>
                    <w:tr2bl w:val="nil"/>
                  </w:tcBorders>
                  <w:vAlign w:val="center"/>
                </w:tcPr>
                <w:p w14:paraId="056192C0">
                  <w:pPr>
                    <w:widowControl/>
                    <w:adjustRightInd w:val="0"/>
                    <w:snapToGrid w:val="0"/>
                    <w:jc w:val="center"/>
                    <w:textAlignment w:val="center"/>
                    <w:rPr>
                      <w:rFonts w:eastAsia="附件"/>
                      <w:kern w:val="0"/>
                      <w:szCs w:val="21"/>
                    </w:rPr>
                  </w:pPr>
                  <w:r>
                    <w:rPr>
                      <w:rFonts w:eastAsia="附件"/>
                      <w:kern w:val="0"/>
                      <w:szCs w:val="21"/>
                    </w:rPr>
                    <w:t>0</w:t>
                  </w:r>
                </w:p>
              </w:tc>
            </w:tr>
            <w:tr w14:paraId="29EA7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3267A09C">
                  <w:pPr>
                    <w:adjustRightInd w:val="0"/>
                    <w:snapToGrid w:val="0"/>
                    <w:jc w:val="center"/>
                    <w:rPr>
                      <w:rFonts w:eastAsia="附件"/>
                      <w:kern w:val="0"/>
                      <w:szCs w:val="21"/>
                    </w:rPr>
                  </w:pPr>
                  <w:r>
                    <w:rPr>
                      <w:rFonts w:hint="eastAsia" w:eastAsia="附件"/>
                      <w:kern w:val="0"/>
                      <w:szCs w:val="21"/>
                    </w:rPr>
                    <w:t>6</w:t>
                  </w:r>
                </w:p>
              </w:tc>
              <w:tc>
                <w:tcPr>
                  <w:tcW w:w="1000" w:type="dxa"/>
                  <w:tcBorders>
                    <w:tl2br w:val="nil"/>
                    <w:tr2bl w:val="nil"/>
                  </w:tcBorders>
                  <w:vAlign w:val="center"/>
                </w:tcPr>
                <w:p w14:paraId="391440FB">
                  <w:pPr>
                    <w:jc w:val="center"/>
                    <w:rPr>
                      <w:rFonts w:eastAsia="附件"/>
                      <w:szCs w:val="21"/>
                    </w:rPr>
                  </w:pPr>
                  <w:r>
                    <w:rPr>
                      <w:rFonts w:hint="eastAsia"/>
                      <w:color w:val="000000"/>
                      <w:szCs w:val="21"/>
                    </w:rPr>
                    <w:t>水溶性盐总量</w:t>
                  </w:r>
                </w:p>
              </w:tc>
              <w:tc>
                <w:tcPr>
                  <w:tcW w:w="850" w:type="dxa"/>
                  <w:tcBorders>
                    <w:tl2br w:val="nil"/>
                    <w:tr2bl w:val="nil"/>
                  </w:tcBorders>
                  <w:vAlign w:val="center"/>
                </w:tcPr>
                <w:p w14:paraId="1BA892D6">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650E3588">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6C9DCBD">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69C16AEC">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0C8860C9">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21749C0C">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645A46C7">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5680EF04">
                  <w:pPr>
                    <w:widowControl/>
                    <w:adjustRightInd w:val="0"/>
                    <w:snapToGrid w:val="0"/>
                    <w:jc w:val="center"/>
                    <w:textAlignment w:val="center"/>
                    <w:rPr>
                      <w:rFonts w:eastAsia="附件"/>
                      <w:kern w:val="0"/>
                      <w:szCs w:val="21"/>
                    </w:rPr>
                  </w:pPr>
                  <w:r>
                    <w:rPr>
                      <w:rFonts w:hint="eastAsia" w:eastAsia="附件"/>
                      <w:kern w:val="0"/>
                      <w:szCs w:val="21"/>
                    </w:rPr>
                    <w:t>0</w:t>
                  </w:r>
                </w:p>
              </w:tc>
            </w:tr>
            <w:tr w14:paraId="4A6F5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7E980350">
                  <w:pPr>
                    <w:adjustRightInd w:val="0"/>
                    <w:snapToGrid w:val="0"/>
                    <w:jc w:val="center"/>
                    <w:rPr>
                      <w:rFonts w:eastAsia="附件"/>
                      <w:kern w:val="0"/>
                      <w:szCs w:val="21"/>
                    </w:rPr>
                  </w:pPr>
                  <w:r>
                    <w:rPr>
                      <w:rFonts w:hint="eastAsia" w:eastAsia="附件"/>
                      <w:kern w:val="0"/>
                      <w:szCs w:val="21"/>
                    </w:rPr>
                    <w:t>7</w:t>
                  </w:r>
                </w:p>
              </w:tc>
              <w:tc>
                <w:tcPr>
                  <w:tcW w:w="1000" w:type="dxa"/>
                  <w:tcBorders>
                    <w:tl2br w:val="nil"/>
                    <w:tr2bl w:val="nil"/>
                  </w:tcBorders>
                  <w:vAlign w:val="center"/>
                </w:tcPr>
                <w:p w14:paraId="480F9A30">
                  <w:pPr>
                    <w:jc w:val="center"/>
                    <w:rPr>
                      <w:rFonts w:eastAsia="附件"/>
                      <w:szCs w:val="21"/>
                    </w:rPr>
                  </w:pPr>
                  <w:r>
                    <w:rPr>
                      <w:rFonts w:hint="eastAsia"/>
                      <w:szCs w:val="21"/>
                    </w:rPr>
                    <w:t>汞</w:t>
                  </w:r>
                </w:p>
              </w:tc>
              <w:tc>
                <w:tcPr>
                  <w:tcW w:w="850" w:type="dxa"/>
                  <w:tcBorders>
                    <w:tl2br w:val="nil"/>
                    <w:tr2bl w:val="nil"/>
                  </w:tcBorders>
                  <w:vAlign w:val="center"/>
                </w:tcPr>
                <w:p w14:paraId="38CC20F2">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6FD5DBE">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730F56D4">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78FD0731">
                  <w:pPr>
                    <w:widowControl/>
                    <w:adjustRightInd w:val="0"/>
                    <w:snapToGrid w:val="0"/>
                    <w:jc w:val="center"/>
                    <w:textAlignment w:val="center"/>
                    <w:rPr>
                      <w:rFonts w:eastAsia="附件"/>
                      <w:kern w:val="0"/>
                      <w:szCs w:val="21"/>
                    </w:rPr>
                  </w:pPr>
                  <w:r>
                    <w:rPr>
                      <w:rFonts w:hint="eastAsia" w:eastAsia="附件"/>
                      <w:kern w:val="0"/>
                      <w:szCs w:val="21"/>
                    </w:rPr>
                    <w:t>8</w:t>
                  </w:r>
                </w:p>
              </w:tc>
              <w:tc>
                <w:tcPr>
                  <w:tcW w:w="851" w:type="dxa"/>
                  <w:tcBorders>
                    <w:tl2br w:val="nil"/>
                    <w:tr2bl w:val="nil"/>
                  </w:tcBorders>
                  <w:vAlign w:val="center"/>
                </w:tcPr>
                <w:p w14:paraId="0A0A32D2">
                  <w:pPr>
                    <w:widowControl/>
                    <w:jc w:val="center"/>
                    <w:textAlignment w:val="center"/>
                    <w:rPr>
                      <w:rFonts w:eastAsia="附件"/>
                      <w:kern w:val="0"/>
                      <w:szCs w:val="21"/>
                    </w:rPr>
                  </w:pPr>
                  <w:r>
                    <w:rPr>
                      <w:color w:val="000000"/>
                      <w:kern w:val="0"/>
                      <w:sz w:val="22"/>
                      <w:szCs w:val="22"/>
                      <w:lang w:bidi="ar"/>
                    </w:rPr>
                    <w:t xml:space="preserve">0.05 </w:t>
                  </w:r>
                </w:p>
              </w:tc>
              <w:tc>
                <w:tcPr>
                  <w:tcW w:w="850" w:type="dxa"/>
                  <w:tcBorders>
                    <w:tl2br w:val="nil"/>
                    <w:tr2bl w:val="nil"/>
                  </w:tcBorders>
                  <w:vAlign w:val="center"/>
                </w:tcPr>
                <w:p w14:paraId="16228F40">
                  <w:pPr>
                    <w:widowControl/>
                    <w:jc w:val="center"/>
                    <w:textAlignment w:val="center"/>
                    <w:rPr>
                      <w:rFonts w:eastAsia="附件"/>
                      <w:kern w:val="0"/>
                      <w:szCs w:val="21"/>
                    </w:rPr>
                  </w:pPr>
                  <w:r>
                    <w:rPr>
                      <w:color w:val="000000"/>
                      <w:kern w:val="0"/>
                      <w:sz w:val="22"/>
                      <w:szCs w:val="22"/>
                      <w:lang w:bidi="ar"/>
                    </w:rPr>
                    <w:t xml:space="preserve">0.07 </w:t>
                  </w:r>
                </w:p>
              </w:tc>
              <w:tc>
                <w:tcPr>
                  <w:tcW w:w="709" w:type="dxa"/>
                  <w:tcBorders>
                    <w:tl2br w:val="nil"/>
                    <w:tr2bl w:val="nil"/>
                  </w:tcBorders>
                  <w:vAlign w:val="center"/>
                </w:tcPr>
                <w:p w14:paraId="1F5B8532">
                  <w:pPr>
                    <w:widowControl/>
                    <w:jc w:val="center"/>
                    <w:textAlignment w:val="center"/>
                    <w:rPr>
                      <w:rFonts w:eastAsia="附件"/>
                      <w:kern w:val="0"/>
                      <w:szCs w:val="21"/>
                    </w:rPr>
                  </w:pPr>
                  <w:r>
                    <w:rPr>
                      <w:color w:val="000000"/>
                      <w:kern w:val="0"/>
                      <w:sz w:val="22"/>
                      <w:szCs w:val="22"/>
                      <w:lang w:bidi="ar"/>
                    </w:rPr>
                    <w:t xml:space="preserve">0.04 </w:t>
                  </w:r>
                </w:p>
              </w:tc>
              <w:tc>
                <w:tcPr>
                  <w:tcW w:w="520" w:type="dxa"/>
                  <w:tcBorders>
                    <w:tl2br w:val="nil"/>
                    <w:tr2bl w:val="nil"/>
                  </w:tcBorders>
                  <w:vAlign w:val="center"/>
                </w:tcPr>
                <w:p w14:paraId="6AAAB919">
                  <w:pPr>
                    <w:widowControl/>
                    <w:adjustRightInd w:val="0"/>
                    <w:snapToGrid w:val="0"/>
                    <w:jc w:val="center"/>
                    <w:textAlignment w:val="center"/>
                    <w:rPr>
                      <w:rFonts w:eastAsia="附件"/>
                      <w:kern w:val="0"/>
                      <w:szCs w:val="21"/>
                    </w:rPr>
                  </w:pPr>
                  <w:r>
                    <w:rPr>
                      <w:rFonts w:hint="eastAsia" w:eastAsia="附件"/>
                      <w:kern w:val="0"/>
                      <w:szCs w:val="21"/>
                    </w:rPr>
                    <w:t>0</w:t>
                  </w:r>
                </w:p>
              </w:tc>
            </w:tr>
            <w:tr w14:paraId="66E5D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28A25411">
                  <w:pPr>
                    <w:adjustRightInd w:val="0"/>
                    <w:snapToGrid w:val="0"/>
                    <w:jc w:val="center"/>
                    <w:rPr>
                      <w:rFonts w:eastAsia="附件"/>
                      <w:kern w:val="0"/>
                      <w:szCs w:val="21"/>
                    </w:rPr>
                  </w:pPr>
                  <w:r>
                    <w:rPr>
                      <w:rFonts w:hint="eastAsia" w:eastAsia="附件"/>
                      <w:kern w:val="0"/>
                      <w:szCs w:val="21"/>
                    </w:rPr>
                    <w:t>8</w:t>
                  </w:r>
                </w:p>
              </w:tc>
              <w:tc>
                <w:tcPr>
                  <w:tcW w:w="1000" w:type="dxa"/>
                  <w:tcBorders>
                    <w:tl2br w:val="nil"/>
                    <w:tr2bl w:val="nil"/>
                  </w:tcBorders>
                  <w:vAlign w:val="center"/>
                </w:tcPr>
                <w:p w14:paraId="227A7055">
                  <w:pPr>
                    <w:jc w:val="center"/>
                    <w:rPr>
                      <w:rFonts w:eastAsia="附件"/>
                      <w:szCs w:val="21"/>
                    </w:rPr>
                  </w:pPr>
                  <w:r>
                    <w:rPr>
                      <w:rFonts w:hint="eastAsia"/>
                      <w:szCs w:val="21"/>
                    </w:rPr>
                    <w:t>砷</w:t>
                  </w:r>
                </w:p>
              </w:tc>
              <w:tc>
                <w:tcPr>
                  <w:tcW w:w="850" w:type="dxa"/>
                  <w:tcBorders>
                    <w:tl2br w:val="nil"/>
                    <w:tr2bl w:val="nil"/>
                  </w:tcBorders>
                  <w:vAlign w:val="center"/>
                </w:tcPr>
                <w:p w14:paraId="0C3C96AB">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67EB213">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32CEB3F6">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0E3F1F32">
                  <w:pPr>
                    <w:widowControl/>
                    <w:adjustRightInd w:val="0"/>
                    <w:snapToGrid w:val="0"/>
                    <w:jc w:val="center"/>
                    <w:textAlignment w:val="center"/>
                    <w:rPr>
                      <w:rFonts w:eastAsia="附件"/>
                      <w:kern w:val="0"/>
                      <w:szCs w:val="21"/>
                    </w:rPr>
                  </w:pPr>
                  <w:r>
                    <w:rPr>
                      <w:rFonts w:hint="eastAsia" w:eastAsia="附件"/>
                      <w:kern w:val="0"/>
                      <w:szCs w:val="21"/>
                    </w:rPr>
                    <w:t>20</w:t>
                  </w:r>
                </w:p>
              </w:tc>
              <w:tc>
                <w:tcPr>
                  <w:tcW w:w="851" w:type="dxa"/>
                  <w:tcBorders>
                    <w:tl2br w:val="nil"/>
                    <w:tr2bl w:val="nil"/>
                  </w:tcBorders>
                  <w:vAlign w:val="center"/>
                </w:tcPr>
                <w:p w14:paraId="4F4315BD">
                  <w:pPr>
                    <w:widowControl/>
                    <w:jc w:val="center"/>
                    <w:textAlignment w:val="center"/>
                    <w:rPr>
                      <w:rFonts w:eastAsia="附件"/>
                      <w:kern w:val="0"/>
                      <w:szCs w:val="21"/>
                    </w:rPr>
                  </w:pPr>
                  <w:r>
                    <w:rPr>
                      <w:color w:val="000000"/>
                      <w:kern w:val="0"/>
                      <w:sz w:val="22"/>
                      <w:szCs w:val="22"/>
                      <w:lang w:bidi="ar"/>
                    </w:rPr>
                    <w:t xml:space="preserve">0.20 </w:t>
                  </w:r>
                </w:p>
              </w:tc>
              <w:tc>
                <w:tcPr>
                  <w:tcW w:w="850" w:type="dxa"/>
                  <w:tcBorders>
                    <w:tl2br w:val="nil"/>
                    <w:tr2bl w:val="nil"/>
                  </w:tcBorders>
                  <w:vAlign w:val="center"/>
                </w:tcPr>
                <w:p w14:paraId="1CDE0422">
                  <w:pPr>
                    <w:widowControl/>
                    <w:jc w:val="center"/>
                    <w:textAlignment w:val="center"/>
                    <w:rPr>
                      <w:rFonts w:eastAsia="附件"/>
                      <w:kern w:val="0"/>
                      <w:szCs w:val="21"/>
                    </w:rPr>
                  </w:pPr>
                  <w:r>
                    <w:rPr>
                      <w:color w:val="000000"/>
                      <w:kern w:val="0"/>
                      <w:sz w:val="22"/>
                      <w:szCs w:val="22"/>
                      <w:lang w:bidi="ar"/>
                    </w:rPr>
                    <w:t xml:space="preserve">0.23 </w:t>
                  </w:r>
                </w:p>
              </w:tc>
              <w:tc>
                <w:tcPr>
                  <w:tcW w:w="709" w:type="dxa"/>
                  <w:tcBorders>
                    <w:tl2br w:val="nil"/>
                    <w:tr2bl w:val="nil"/>
                  </w:tcBorders>
                  <w:vAlign w:val="center"/>
                </w:tcPr>
                <w:p w14:paraId="59B3CC2B">
                  <w:pPr>
                    <w:widowControl/>
                    <w:jc w:val="center"/>
                    <w:textAlignment w:val="center"/>
                    <w:rPr>
                      <w:rFonts w:eastAsia="附件"/>
                      <w:kern w:val="0"/>
                      <w:szCs w:val="21"/>
                    </w:rPr>
                  </w:pPr>
                  <w:r>
                    <w:rPr>
                      <w:color w:val="000000"/>
                      <w:kern w:val="0"/>
                      <w:sz w:val="22"/>
                      <w:szCs w:val="22"/>
                      <w:lang w:bidi="ar"/>
                    </w:rPr>
                    <w:t xml:space="preserve">0.31 </w:t>
                  </w:r>
                </w:p>
              </w:tc>
              <w:tc>
                <w:tcPr>
                  <w:tcW w:w="520" w:type="dxa"/>
                  <w:tcBorders>
                    <w:tl2br w:val="nil"/>
                    <w:tr2bl w:val="nil"/>
                  </w:tcBorders>
                  <w:vAlign w:val="center"/>
                </w:tcPr>
                <w:p w14:paraId="2506B289">
                  <w:pPr>
                    <w:widowControl/>
                    <w:adjustRightInd w:val="0"/>
                    <w:snapToGrid w:val="0"/>
                    <w:jc w:val="center"/>
                    <w:textAlignment w:val="center"/>
                    <w:rPr>
                      <w:rFonts w:eastAsia="附件"/>
                      <w:kern w:val="0"/>
                      <w:szCs w:val="21"/>
                    </w:rPr>
                  </w:pPr>
                  <w:r>
                    <w:rPr>
                      <w:rFonts w:hint="eastAsia" w:eastAsia="附件"/>
                      <w:kern w:val="0"/>
                      <w:szCs w:val="21"/>
                    </w:rPr>
                    <w:t>0</w:t>
                  </w:r>
                </w:p>
              </w:tc>
            </w:tr>
            <w:tr w14:paraId="51678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22215427">
                  <w:pPr>
                    <w:adjustRightInd w:val="0"/>
                    <w:snapToGrid w:val="0"/>
                    <w:jc w:val="center"/>
                    <w:rPr>
                      <w:rFonts w:eastAsia="附件"/>
                      <w:kern w:val="0"/>
                      <w:szCs w:val="21"/>
                    </w:rPr>
                  </w:pPr>
                  <w:r>
                    <w:rPr>
                      <w:rFonts w:hint="eastAsia" w:eastAsia="附件"/>
                      <w:kern w:val="0"/>
                      <w:szCs w:val="21"/>
                    </w:rPr>
                    <w:t>9</w:t>
                  </w:r>
                </w:p>
              </w:tc>
              <w:tc>
                <w:tcPr>
                  <w:tcW w:w="1000" w:type="dxa"/>
                  <w:tcBorders>
                    <w:tl2br w:val="nil"/>
                    <w:tr2bl w:val="nil"/>
                  </w:tcBorders>
                  <w:vAlign w:val="center"/>
                </w:tcPr>
                <w:p w14:paraId="3D782866">
                  <w:pPr>
                    <w:jc w:val="center"/>
                    <w:rPr>
                      <w:rFonts w:eastAsia="附件"/>
                      <w:szCs w:val="21"/>
                    </w:rPr>
                  </w:pPr>
                  <w:r>
                    <w:rPr>
                      <w:rFonts w:hint="eastAsia"/>
                      <w:szCs w:val="21"/>
                    </w:rPr>
                    <w:t>六价铬</w:t>
                  </w:r>
                </w:p>
              </w:tc>
              <w:tc>
                <w:tcPr>
                  <w:tcW w:w="850" w:type="dxa"/>
                  <w:tcBorders>
                    <w:tl2br w:val="nil"/>
                    <w:tr2bl w:val="nil"/>
                  </w:tcBorders>
                  <w:vAlign w:val="center"/>
                </w:tcPr>
                <w:p w14:paraId="13EC60A5">
                  <w:pPr>
                    <w:jc w:val="center"/>
                    <w:rPr>
                      <w:szCs w:val="21"/>
                    </w:rPr>
                  </w:pPr>
                  <w:r>
                    <w:rPr>
                      <w:rFonts w:hint="eastAsia"/>
                      <w:bCs/>
                      <w:sz w:val="21"/>
                      <w:szCs w:val="21"/>
                      <w:lang w:val="en-US" w:eastAsia="zh-CN"/>
                    </w:rPr>
                    <w:t>*</w:t>
                  </w:r>
                </w:p>
              </w:tc>
              <w:tc>
                <w:tcPr>
                  <w:tcW w:w="850" w:type="dxa"/>
                  <w:tcBorders>
                    <w:tl2br w:val="nil"/>
                    <w:tr2bl w:val="nil"/>
                  </w:tcBorders>
                  <w:vAlign w:val="center"/>
                </w:tcPr>
                <w:p w14:paraId="25FEBF5D">
                  <w:pPr>
                    <w:jc w:val="center"/>
                    <w:rPr>
                      <w:szCs w:val="21"/>
                    </w:rPr>
                  </w:pPr>
                  <w:r>
                    <w:rPr>
                      <w:rFonts w:hint="eastAsia"/>
                      <w:bCs/>
                      <w:sz w:val="21"/>
                      <w:szCs w:val="21"/>
                      <w:lang w:val="en-US" w:eastAsia="zh-CN"/>
                    </w:rPr>
                    <w:t>*</w:t>
                  </w:r>
                </w:p>
              </w:tc>
              <w:tc>
                <w:tcPr>
                  <w:tcW w:w="850" w:type="dxa"/>
                  <w:tcBorders>
                    <w:tl2br w:val="nil"/>
                    <w:tr2bl w:val="nil"/>
                  </w:tcBorders>
                  <w:vAlign w:val="center"/>
                </w:tcPr>
                <w:p w14:paraId="1122CAE6">
                  <w:pPr>
                    <w:jc w:val="center"/>
                    <w:rPr>
                      <w:szCs w:val="21"/>
                    </w:rPr>
                  </w:pPr>
                  <w:r>
                    <w:rPr>
                      <w:rFonts w:hint="eastAsia"/>
                      <w:bCs/>
                      <w:sz w:val="21"/>
                      <w:szCs w:val="21"/>
                      <w:lang w:val="en-US" w:eastAsia="zh-CN"/>
                    </w:rPr>
                    <w:t>*</w:t>
                  </w:r>
                </w:p>
              </w:tc>
              <w:tc>
                <w:tcPr>
                  <w:tcW w:w="993" w:type="dxa"/>
                  <w:tcBorders>
                    <w:tl2br w:val="nil"/>
                    <w:tr2bl w:val="nil"/>
                  </w:tcBorders>
                  <w:vAlign w:val="center"/>
                </w:tcPr>
                <w:p w14:paraId="502C4E19">
                  <w:pPr>
                    <w:widowControl/>
                    <w:adjustRightInd w:val="0"/>
                    <w:snapToGrid w:val="0"/>
                    <w:jc w:val="center"/>
                    <w:textAlignment w:val="center"/>
                    <w:rPr>
                      <w:rFonts w:eastAsia="附件"/>
                      <w:kern w:val="0"/>
                      <w:szCs w:val="21"/>
                    </w:rPr>
                  </w:pPr>
                  <w:r>
                    <w:rPr>
                      <w:rFonts w:hint="eastAsia" w:eastAsia="附件"/>
                      <w:kern w:val="0"/>
                      <w:szCs w:val="21"/>
                    </w:rPr>
                    <w:t>3.0</w:t>
                  </w:r>
                </w:p>
              </w:tc>
              <w:tc>
                <w:tcPr>
                  <w:tcW w:w="851" w:type="dxa"/>
                  <w:tcBorders>
                    <w:tl2br w:val="nil"/>
                    <w:tr2bl w:val="nil"/>
                  </w:tcBorders>
                  <w:vAlign w:val="center"/>
                </w:tcPr>
                <w:p w14:paraId="3837289F">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08A824E8">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520EA696">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70961747">
                  <w:pPr>
                    <w:widowControl/>
                    <w:adjustRightInd w:val="0"/>
                    <w:snapToGrid w:val="0"/>
                    <w:jc w:val="center"/>
                    <w:textAlignment w:val="center"/>
                    <w:rPr>
                      <w:rFonts w:eastAsia="附件"/>
                      <w:kern w:val="0"/>
                      <w:szCs w:val="21"/>
                    </w:rPr>
                  </w:pPr>
                  <w:r>
                    <w:rPr>
                      <w:rFonts w:hint="eastAsia" w:eastAsia="附件"/>
                      <w:kern w:val="0"/>
                      <w:szCs w:val="21"/>
                    </w:rPr>
                    <w:t>/</w:t>
                  </w:r>
                </w:p>
              </w:tc>
            </w:tr>
            <w:tr w14:paraId="30190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14:paraId="386D7DE6">
                  <w:pPr>
                    <w:widowControl/>
                    <w:adjustRightInd w:val="0"/>
                    <w:snapToGrid w:val="0"/>
                    <w:jc w:val="center"/>
                    <w:textAlignment w:val="center"/>
                    <w:rPr>
                      <w:rFonts w:eastAsia="附件"/>
                      <w:kern w:val="0"/>
                      <w:szCs w:val="21"/>
                    </w:rPr>
                  </w:pPr>
                  <w:r>
                    <w:rPr>
                      <w:rFonts w:eastAsia="附件"/>
                      <w:kern w:val="0"/>
                      <w:szCs w:val="21"/>
                    </w:rPr>
                    <w:t>S3</w:t>
                  </w:r>
                </w:p>
              </w:tc>
            </w:tr>
            <w:tr w14:paraId="20068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4971A712">
                  <w:pPr>
                    <w:adjustRightInd w:val="0"/>
                    <w:snapToGrid w:val="0"/>
                    <w:jc w:val="center"/>
                    <w:rPr>
                      <w:rFonts w:eastAsia="附件"/>
                      <w:kern w:val="0"/>
                      <w:szCs w:val="21"/>
                    </w:rPr>
                  </w:pPr>
                  <w:r>
                    <w:rPr>
                      <w:rFonts w:eastAsia="附件"/>
                      <w:kern w:val="0"/>
                      <w:szCs w:val="21"/>
                    </w:rPr>
                    <w:t>1</w:t>
                  </w:r>
                </w:p>
              </w:tc>
              <w:tc>
                <w:tcPr>
                  <w:tcW w:w="1000" w:type="dxa"/>
                  <w:tcBorders>
                    <w:tl2br w:val="nil"/>
                    <w:tr2bl w:val="nil"/>
                  </w:tcBorders>
                  <w:vAlign w:val="center"/>
                </w:tcPr>
                <w:p w14:paraId="4106E104">
                  <w:pPr>
                    <w:widowControl/>
                    <w:jc w:val="center"/>
                    <w:rPr>
                      <w:rFonts w:eastAsia="附件"/>
                      <w:szCs w:val="21"/>
                    </w:rPr>
                  </w:pPr>
                  <w:r>
                    <w:rPr>
                      <w:rFonts w:eastAsia="附件"/>
                      <w:szCs w:val="21"/>
                    </w:rPr>
                    <w:t>pH</w:t>
                  </w:r>
                </w:p>
              </w:tc>
              <w:tc>
                <w:tcPr>
                  <w:tcW w:w="850" w:type="dxa"/>
                  <w:tcBorders>
                    <w:tl2br w:val="nil"/>
                    <w:tr2bl w:val="nil"/>
                  </w:tcBorders>
                  <w:vAlign w:val="center"/>
                </w:tcPr>
                <w:p w14:paraId="039AE3F7">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75A852CD">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1E6F04BB">
                  <w:pPr>
                    <w:spacing w:line="240" w:lineRule="exact"/>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682A8CD4">
                  <w:pPr>
                    <w:widowControl/>
                    <w:adjustRightInd w:val="0"/>
                    <w:snapToGrid w:val="0"/>
                    <w:jc w:val="center"/>
                    <w:textAlignment w:val="center"/>
                    <w:rPr>
                      <w:rFonts w:eastAsia="附件"/>
                      <w:kern w:val="0"/>
                      <w:szCs w:val="21"/>
                    </w:rPr>
                  </w:pPr>
                  <w:r>
                    <w:rPr>
                      <w:rFonts w:eastAsia="附件"/>
                      <w:kern w:val="0"/>
                      <w:szCs w:val="21"/>
                    </w:rPr>
                    <w:t>6.5~8.5</w:t>
                  </w:r>
                </w:p>
              </w:tc>
              <w:tc>
                <w:tcPr>
                  <w:tcW w:w="851" w:type="dxa"/>
                  <w:tcBorders>
                    <w:tl2br w:val="nil"/>
                    <w:tr2bl w:val="nil"/>
                  </w:tcBorders>
                  <w:vAlign w:val="center"/>
                </w:tcPr>
                <w:p w14:paraId="33704FE7">
                  <w:pPr>
                    <w:jc w:val="center"/>
                    <w:rPr>
                      <w:rFonts w:eastAsia="附件"/>
                      <w:kern w:val="0"/>
                      <w:szCs w:val="21"/>
                    </w:rPr>
                  </w:pPr>
                </w:p>
              </w:tc>
              <w:tc>
                <w:tcPr>
                  <w:tcW w:w="850" w:type="dxa"/>
                  <w:tcBorders>
                    <w:tl2br w:val="nil"/>
                    <w:tr2bl w:val="nil"/>
                  </w:tcBorders>
                  <w:vAlign w:val="center"/>
                </w:tcPr>
                <w:p w14:paraId="4B024BD9">
                  <w:pPr>
                    <w:jc w:val="center"/>
                    <w:rPr>
                      <w:rFonts w:eastAsia="附件"/>
                      <w:kern w:val="0"/>
                      <w:szCs w:val="21"/>
                    </w:rPr>
                  </w:pPr>
                </w:p>
              </w:tc>
              <w:tc>
                <w:tcPr>
                  <w:tcW w:w="709" w:type="dxa"/>
                  <w:tcBorders>
                    <w:tl2br w:val="nil"/>
                    <w:tr2bl w:val="nil"/>
                  </w:tcBorders>
                  <w:vAlign w:val="center"/>
                </w:tcPr>
                <w:p w14:paraId="59DB0466">
                  <w:pPr>
                    <w:jc w:val="center"/>
                    <w:rPr>
                      <w:rFonts w:eastAsia="附件"/>
                      <w:kern w:val="0"/>
                      <w:szCs w:val="21"/>
                    </w:rPr>
                  </w:pPr>
                </w:p>
              </w:tc>
              <w:tc>
                <w:tcPr>
                  <w:tcW w:w="520" w:type="dxa"/>
                  <w:tcBorders>
                    <w:tl2br w:val="nil"/>
                    <w:tr2bl w:val="nil"/>
                  </w:tcBorders>
                  <w:vAlign w:val="center"/>
                </w:tcPr>
                <w:p w14:paraId="34C0F7E3">
                  <w:pPr>
                    <w:widowControl/>
                    <w:adjustRightInd w:val="0"/>
                    <w:snapToGrid w:val="0"/>
                    <w:jc w:val="center"/>
                    <w:textAlignment w:val="center"/>
                    <w:rPr>
                      <w:rFonts w:eastAsia="附件"/>
                      <w:kern w:val="0"/>
                      <w:szCs w:val="21"/>
                    </w:rPr>
                  </w:pPr>
                </w:p>
              </w:tc>
            </w:tr>
            <w:tr w14:paraId="30BFA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1B8FF737">
                  <w:pPr>
                    <w:adjustRightInd w:val="0"/>
                    <w:snapToGrid w:val="0"/>
                    <w:jc w:val="center"/>
                    <w:rPr>
                      <w:rFonts w:eastAsia="附件"/>
                      <w:kern w:val="0"/>
                      <w:szCs w:val="21"/>
                    </w:rPr>
                  </w:pPr>
                  <w:r>
                    <w:rPr>
                      <w:rFonts w:eastAsia="附件"/>
                      <w:kern w:val="0"/>
                      <w:szCs w:val="21"/>
                    </w:rPr>
                    <w:t>2</w:t>
                  </w:r>
                </w:p>
              </w:tc>
              <w:tc>
                <w:tcPr>
                  <w:tcW w:w="1000" w:type="dxa"/>
                  <w:tcBorders>
                    <w:tl2br w:val="nil"/>
                    <w:tr2bl w:val="nil"/>
                  </w:tcBorders>
                  <w:vAlign w:val="center"/>
                </w:tcPr>
                <w:p w14:paraId="5E1F941A">
                  <w:pPr>
                    <w:jc w:val="center"/>
                    <w:rPr>
                      <w:rFonts w:eastAsia="附件"/>
                      <w:szCs w:val="21"/>
                    </w:rPr>
                  </w:pPr>
                  <w:r>
                    <w:rPr>
                      <w:rFonts w:hint="eastAsia"/>
                      <w:szCs w:val="21"/>
                    </w:rPr>
                    <w:t>石油类</w:t>
                  </w:r>
                </w:p>
              </w:tc>
              <w:tc>
                <w:tcPr>
                  <w:tcW w:w="850" w:type="dxa"/>
                  <w:tcBorders>
                    <w:tl2br w:val="nil"/>
                    <w:tr2bl w:val="nil"/>
                  </w:tcBorders>
                  <w:vAlign w:val="center"/>
                </w:tcPr>
                <w:p w14:paraId="0DD6F915">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0DB81AEF">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79C455A9">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6401D712">
                  <w:pPr>
                    <w:widowControl/>
                    <w:adjustRightInd w:val="0"/>
                    <w:snapToGrid w:val="0"/>
                    <w:jc w:val="center"/>
                    <w:textAlignment w:val="center"/>
                    <w:rPr>
                      <w:rFonts w:eastAsia="附件"/>
                      <w:kern w:val="0"/>
                      <w:szCs w:val="21"/>
                    </w:rPr>
                  </w:pPr>
                </w:p>
              </w:tc>
              <w:tc>
                <w:tcPr>
                  <w:tcW w:w="851" w:type="dxa"/>
                  <w:tcBorders>
                    <w:tl2br w:val="nil"/>
                    <w:tr2bl w:val="nil"/>
                  </w:tcBorders>
                  <w:vAlign w:val="center"/>
                </w:tcPr>
                <w:p w14:paraId="304D70B9">
                  <w:pPr>
                    <w:jc w:val="center"/>
                    <w:rPr>
                      <w:rFonts w:eastAsia="附件"/>
                      <w:kern w:val="0"/>
                      <w:szCs w:val="21"/>
                    </w:rPr>
                  </w:pPr>
                </w:p>
              </w:tc>
              <w:tc>
                <w:tcPr>
                  <w:tcW w:w="850" w:type="dxa"/>
                  <w:tcBorders>
                    <w:tl2br w:val="nil"/>
                    <w:tr2bl w:val="nil"/>
                  </w:tcBorders>
                  <w:vAlign w:val="center"/>
                </w:tcPr>
                <w:p w14:paraId="08C2BA22">
                  <w:pPr>
                    <w:jc w:val="center"/>
                    <w:rPr>
                      <w:rFonts w:eastAsia="附件"/>
                      <w:kern w:val="0"/>
                      <w:szCs w:val="21"/>
                    </w:rPr>
                  </w:pPr>
                </w:p>
              </w:tc>
              <w:tc>
                <w:tcPr>
                  <w:tcW w:w="709" w:type="dxa"/>
                  <w:tcBorders>
                    <w:tl2br w:val="nil"/>
                    <w:tr2bl w:val="nil"/>
                  </w:tcBorders>
                  <w:vAlign w:val="center"/>
                </w:tcPr>
                <w:p w14:paraId="39C2BFA4">
                  <w:pPr>
                    <w:jc w:val="center"/>
                    <w:rPr>
                      <w:rFonts w:eastAsia="附件"/>
                      <w:kern w:val="0"/>
                      <w:szCs w:val="21"/>
                    </w:rPr>
                  </w:pPr>
                </w:p>
              </w:tc>
              <w:tc>
                <w:tcPr>
                  <w:tcW w:w="520" w:type="dxa"/>
                  <w:tcBorders>
                    <w:tl2br w:val="nil"/>
                    <w:tr2bl w:val="nil"/>
                  </w:tcBorders>
                  <w:vAlign w:val="center"/>
                </w:tcPr>
                <w:p w14:paraId="02BA7F39">
                  <w:pPr>
                    <w:widowControl/>
                    <w:adjustRightInd w:val="0"/>
                    <w:snapToGrid w:val="0"/>
                    <w:jc w:val="center"/>
                    <w:textAlignment w:val="center"/>
                    <w:rPr>
                      <w:rFonts w:eastAsia="附件"/>
                      <w:kern w:val="0"/>
                      <w:szCs w:val="21"/>
                    </w:rPr>
                  </w:pPr>
                </w:p>
              </w:tc>
            </w:tr>
            <w:tr w14:paraId="7EEEE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45FB5D01">
                  <w:pPr>
                    <w:adjustRightInd w:val="0"/>
                    <w:snapToGrid w:val="0"/>
                    <w:jc w:val="center"/>
                    <w:rPr>
                      <w:rFonts w:eastAsia="附件"/>
                      <w:kern w:val="0"/>
                      <w:szCs w:val="21"/>
                    </w:rPr>
                  </w:pPr>
                  <w:r>
                    <w:rPr>
                      <w:rFonts w:eastAsia="附件"/>
                      <w:kern w:val="0"/>
                      <w:szCs w:val="21"/>
                    </w:rPr>
                    <w:t>3</w:t>
                  </w:r>
                </w:p>
              </w:tc>
              <w:tc>
                <w:tcPr>
                  <w:tcW w:w="1000" w:type="dxa"/>
                  <w:tcBorders>
                    <w:tl2br w:val="nil"/>
                    <w:tr2bl w:val="nil"/>
                  </w:tcBorders>
                  <w:vAlign w:val="center"/>
                </w:tcPr>
                <w:p w14:paraId="29693A98">
                  <w:pPr>
                    <w:widowControl/>
                    <w:jc w:val="center"/>
                    <w:rPr>
                      <w:rFonts w:eastAsia="附件"/>
                      <w:szCs w:val="21"/>
                    </w:rPr>
                  </w:pPr>
                  <w:r>
                    <w:rPr>
                      <w:rFonts w:hint="eastAsia" w:eastAsia="附件"/>
                      <w:szCs w:val="21"/>
                    </w:rPr>
                    <w:t>石油烃</w:t>
                  </w:r>
                </w:p>
              </w:tc>
              <w:tc>
                <w:tcPr>
                  <w:tcW w:w="850" w:type="dxa"/>
                  <w:tcBorders>
                    <w:tl2br w:val="nil"/>
                    <w:tr2bl w:val="nil"/>
                  </w:tcBorders>
                  <w:vAlign w:val="center"/>
                </w:tcPr>
                <w:p w14:paraId="09B482AA">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6135B7E2">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01045528">
                  <w:pPr>
                    <w:spacing w:line="240" w:lineRule="exact"/>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5170EF45">
                  <w:pPr>
                    <w:widowControl/>
                    <w:adjustRightInd w:val="0"/>
                    <w:snapToGrid w:val="0"/>
                    <w:jc w:val="center"/>
                    <w:textAlignment w:val="center"/>
                    <w:rPr>
                      <w:rFonts w:eastAsia="附件"/>
                      <w:kern w:val="0"/>
                      <w:szCs w:val="21"/>
                    </w:rPr>
                  </w:pPr>
                  <w:r>
                    <w:rPr>
                      <w:rFonts w:hint="eastAsia" w:eastAsia="附件"/>
                      <w:kern w:val="0"/>
                      <w:szCs w:val="21"/>
                    </w:rPr>
                    <w:t>4500</w:t>
                  </w:r>
                </w:p>
              </w:tc>
              <w:tc>
                <w:tcPr>
                  <w:tcW w:w="851" w:type="dxa"/>
                  <w:tcBorders>
                    <w:tl2br w:val="nil"/>
                    <w:tr2bl w:val="nil"/>
                  </w:tcBorders>
                  <w:vAlign w:val="center"/>
                </w:tcPr>
                <w:p w14:paraId="13B6F3DA">
                  <w:pPr>
                    <w:jc w:val="center"/>
                    <w:rPr>
                      <w:rFonts w:eastAsia="附件"/>
                      <w:kern w:val="0"/>
                      <w:szCs w:val="21"/>
                    </w:rPr>
                  </w:pPr>
                  <w:r>
                    <w:rPr>
                      <w:rFonts w:hint="eastAsia" w:eastAsia="附件"/>
                      <w:kern w:val="0"/>
                      <w:szCs w:val="21"/>
                    </w:rPr>
                    <w:t>0.002</w:t>
                  </w:r>
                </w:p>
              </w:tc>
              <w:tc>
                <w:tcPr>
                  <w:tcW w:w="850" w:type="dxa"/>
                  <w:tcBorders>
                    <w:tl2br w:val="nil"/>
                    <w:tr2bl w:val="nil"/>
                  </w:tcBorders>
                </w:tcPr>
                <w:p w14:paraId="718FE0A5">
                  <w:pPr>
                    <w:jc w:val="center"/>
                    <w:rPr>
                      <w:rFonts w:eastAsia="附件"/>
                      <w:kern w:val="0"/>
                      <w:szCs w:val="21"/>
                    </w:rPr>
                  </w:pPr>
                  <w:r>
                    <w:rPr>
                      <w:rFonts w:hint="eastAsia" w:eastAsia="附件"/>
                      <w:kern w:val="0"/>
                      <w:szCs w:val="21"/>
                    </w:rPr>
                    <w:t>0.002</w:t>
                  </w:r>
                </w:p>
              </w:tc>
              <w:tc>
                <w:tcPr>
                  <w:tcW w:w="709" w:type="dxa"/>
                  <w:tcBorders>
                    <w:tl2br w:val="nil"/>
                    <w:tr2bl w:val="nil"/>
                  </w:tcBorders>
                </w:tcPr>
                <w:p w14:paraId="61335E52">
                  <w:pPr>
                    <w:jc w:val="center"/>
                    <w:rPr>
                      <w:rFonts w:eastAsia="附件"/>
                      <w:kern w:val="0"/>
                      <w:szCs w:val="21"/>
                    </w:rPr>
                  </w:pPr>
                  <w:r>
                    <w:rPr>
                      <w:rFonts w:hint="eastAsia" w:eastAsia="附件"/>
                      <w:kern w:val="0"/>
                      <w:szCs w:val="21"/>
                    </w:rPr>
                    <w:t>0.004</w:t>
                  </w:r>
                </w:p>
              </w:tc>
              <w:tc>
                <w:tcPr>
                  <w:tcW w:w="520" w:type="dxa"/>
                  <w:tcBorders>
                    <w:tl2br w:val="nil"/>
                    <w:tr2bl w:val="nil"/>
                  </w:tcBorders>
                  <w:vAlign w:val="center"/>
                </w:tcPr>
                <w:p w14:paraId="2BEAA9C2">
                  <w:pPr>
                    <w:widowControl/>
                    <w:adjustRightInd w:val="0"/>
                    <w:snapToGrid w:val="0"/>
                    <w:jc w:val="center"/>
                    <w:textAlignment w:val="center"/>
                    <w:rPr>
                      <w:rFonts w:eastAsia="附件"/>
                      <w:kern w:val="0"/>
                      <w:szCs w:val="21"/>
                    </w:rPr>
                  </w:pPr>
                  <w:r>
                    <w:rPr>
                      <w:rFonts w:eastAsia="附件"/>
                      <w:kern w:val="0"/>
                      <w:szCs w:val="21"/>
                    </w:rPr>
                    <w:t>0</w:t>
                  </w:r>
                </w:p>
              </w:tc>
            </w:tr>
            <w:tr w14:paraId="79459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73BE348A">
                  <w:pPr>
                    <w:adjustRightInd w:val="0"/>
                    <w:snapToGrid w:val="0"/>
                    <w:jc w:val="center"/>
                    <w:rPr>
                      <w:rFonts w:eastAsia="附件"/>
                      <w:kern w:val="0"/>
                      <w:szCs w:val="21"/>
                    </w:rPr>
                  </w:pPr>
                  <w:r>
                    <w:rPr>
                      <w:rFonts w:eastAsia="附件"/>
                      <w:kern w:val="0"/>
                      <w:szCs w:val="21"/>
                    </w:rPr>
                    <w:t>4</w:t>
                  </w:r>
                </w:p>
              </w:tc>
              <w:tc>
                <w:tcPr>
                  <w:tcW w:w="1000" w:type="dxa"/>
                  <w:tcBorders>
                    <w:tl2br w:val="nil"/>
                    <w:tr2bl w:val="nil"/>
                  </w:tcBorders>
                  <w:vAlign w:val="center"/>
                </w:tcPr>
                <w:p w14:paraId="73C1772D">
                  <w:pPr>
                    <w:jc w:val="center"/>
                    <w:rPr>
                      <w:rFonts w:eastAsia="附件"/>
                      <w:szCs w:val="21"/>
                    </w:rPr>
                  </w:pPr>
                  <w:r>
                    <w:rPr>
                      <w:rFonts w:hint="eastAsia"/>
                      <w:szCs w:val="21"/>
                    </w:rPr>
                    <w:t>硫化物</w:t>
                  </w:r>
                </w:p>
              </w:tc>
              <w:tc>
                <w:tcPr>
                  <w:tcW w:w="850" w:type="dxa"/>
                  <w:tcBorders>
                    <w:tl2br w:val="nil"/>
                    <w:tr2bl w:val="nil"/>
                  </w:tcBorders>
                  <w:vAlign w:val="center"/>
                </w:tcPr>
                <w:p w14:paraId="265CE5D5">
                  <w:pPr>
                    <w:spacing w:line="240" w:lineRule="exact"/>
                    <w:jc w:val="center"/>
                    <w:rPr>
                      <w:bCs/>
                      <w:szCs w:val="21"/>
                    </w:rPr>
                  </w:pPr>
                  <w:r>
                    <w:rPr>
                      <w:rFonts w:hint="eastAsia"/>
                      <w:bCs/>
                      <w:sz w:val="21"/>
                      <w:szCs w:val="21"/>
                      <w:lang w:val="en-US" w:eastAsia="zh-CN"/>
                    </w:rPr>
                    <w:t>*</w:t>
                  </w:r>
                </w:p>
              </w:tc>
              <w:tc>
                <w:tcPr>
                  <w:tcW w:w="850" w:type="dxa"/>
                  <w:tcBorders>
                    <w:tl2br w:val="nil"/>
                    <w:tr2bl w:val="nil"/>
                  </w:tcBorders>
                  <w:vAlign w:val="center"/>
                </w:tcPr>
                <w:p w14:paraId="1DEA4675">
                  <w:pPr>
                    <w:spacing w:line="240" w:lineRule="exact"/>
                    <w:jc w:val="center"/>
                    <w:rPr>
                      <w:bCs/>
                      <w:szCs w:val="21"/>
                      <w:lang w:bidi="ar"/>
                    </w:rPr>
                  </w:pPr>
                  <w:r>
                    <w:rPr>
                      <w:rFonts w:hint="eastAsia"/>
                      <w:bCs/>
                      <w:sz w:val="21"/>
                      <w:szCs w:val="21"/>
                      <w:lang w:val="en-US" w:eastAsia="zh-CN"/>
                    </w:rPr>
                    <w:t>*</w:t>
                  </w:r>
                </w:p>
              </w:tc>
              <w:tc>
                <w:tcPr>
                  <w:tcW w:w="850" w:type="dxa"/>
                  <w:tcBorders>
                    <w:tl2br w:val="nil"/>
                    <w:tr2bl w:val="nil"/>
                  </w:tcBorders>
                  <w:vAlign w:val="center"/>
                </w:tcPr>
                <w:p w14:paraId="11D49B0D">
                  <w:pPr>
                    <w:spacing w:line="240" w:lineRule="exact"/>
                    <w:jc w:val="center"/>
                    <w:rPr>
                      <w:kern w:val="0"/>
                      <w:szCs w:val="21"/>
                      <w:lang w:bidi="ar"/>
                    </w:rPr>
                  </w:pPr>
                  <w:r>
                    <w:rPr>
                      <w:rFonts w:hint="eastAsia"/>
                      <w:bCs/>
                      <w:sz w:val="21"/>
                      <w:szCs w:val="21"/>
                      <w:lang w:val="en-US" w:eastAsia="zh-CN"/>
                    </w:rPr>
                    <w:t>*</w:t>
                  </w:r>
                </w:p>
              </w:tc>
              <w:tc>
                <w:tcPr>
                  <w:tcW w:w="993" w:type="dxa"/>
                  <w:tcBorders>
                    <w:tl2br w:val="nil"/>
                    <w:tr2bl w:val="nil"/>
                  </w:tcBorders>
                  <w:vAlign w:val="center"/>
                </w:tcPr>
                <w:p w14:paraId="0C9BD7DD">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193B0808">
                  <w:pPr>
                    <w:jc w:val="center"/>
                    <w:rPr>
                      <w:rFonts w:eastAsia="附件"/>
                      <w:kern w:val="0"/>
                      <w:szCs w:val="21"/>
                    </w:rPr>
                  </w:pPr>
                  <w:r>
                    <w:rPr>
                      <w:rFonts w:hint="eastAsia" w:eastAsia="附件"/>
                      <w:kern w:val="0"/>
                      <w:szCs w:val="21"/>
                    </w:rPr>
                    <w:t>/</w:t>
                  </w:r>
                </w:p>
              </w:tc>
              <w:tc>
                <w:tcPr>
                  <w:tcW w:w="850" w:type="dxa"/>
                  <w:tcBorders>
                    <w:tl2br w:val="nil"/>
                    <w:tr2bl w:val="nil"/>
                  </w:tcBorders>
                </w:tcPr>
                <w:p w14:paraId="4C6AE6F5">
                  <w:pPr>
                    <w:jc w:val="center"/>
                    <w:rPr>
                      <w:rFonts w:eastAsia="附件"/>
                      <w:kern w:val="0"/>
                      <w:szCs w:val="21"/>
                    </w:rPr>
                  </w:pPr>
                  <w:r>
                    <w:rPr>
                      <w:rFonts w:hint="eastAsia" w:eastAsia="附件"/>
                      <w:kern w:val="0"/>
                      <w:szCs w:val="21"/>
                    </w:rPr>
                    <w:t>/</w:t>
                  </w:r>
                </w:p>
              </w:tc>
              <w:tc>
                <w:tcPr>
                  <w:tcW w:w="709" w:type="dxa"/>
                  <w:tcBorders>
                    <w:tl2br w:val="nil"/>
                    <w:tr2bl w:val="nil"/>
                  </w:tcBorders>
                </w:tcPr>
                <w:p w14:paraId="6C0C9333">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74EA289E">
                  <w:pPr>
                    <w:widowControl/>
                    <w:adjustRightInd w:val="0"/>
                    <w:snapToGrid w:val="0"/>
                    <w:jc w:val="center"/>
                    <w:textAlignment w:val="center"/>
                    <w:rPr>
                      <w:rFonts w:eastAsia="附件"/>
                      <w:kern w:val="0"/>
                      <w:szCs w:val="21"/>
                    </w:rPr>
                  </w:pPr>
                  <w:r>
                    <w:rPr>
                      <w:rFonts w:hint="eastAsia" w:eastAsia="附件"/>
                      <w:kern w:val="0"/>
                      <w:szCs w:val="21"/>
                    </w:rPr>
                    <w:t>/</w:t>
                  </w:r>
                </w:p>
              </w:tc>
            </w:tr>
            <w:tr w14:paraId="39F27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2F199A38">
                  <w:pPr>
                    <w:adjustRightInd w:val="0"/>
                    <w:snapToGrid w:val="0"/>
                    <w:jc w:val="center"/>
                    <w:rPr>
                      <w:rFonts w:eastAsia="附件"/>
                      <w:kern w:val="0"/>
                      <w:szCs w:val="21"/>
                    </w:rPr>
                  </w:pPr>
                  <w:r>
                    <w:rPr>
                      <w:rFonts w:eastAsia="附件"/>
                      <w:kern w:val="0"/>
                      <w:szCs w:val="21"/>
                    </w:rPr>
                    <w:t>5</w:t>
                  </w:r>
                </w:p>
              </w:tc>
              <w:tc>
                <w:tcPr>
                  <w:tcW w:w="1000" w:type="dxa"/>
                  <w:tcBorders>
                    <w:tl2br w:val="nil"/>
                    <w:tr2bl w:val="nil"/>
                  </w:tcBorders>
                  <w:vAlign w:val="center"/>
                </w:tcPr>
                <w:p w14:paraId="3249AF61">
                  <w:pPr>
                    <w:jc w:val="center"/>
                    <w:rPr>
                      <w:rFonts w:eastAsia="附件"/>
                      <w:szCs w:val="21"/>
                    </w:rPr>
                  </w:pPr>
                  <w:r>
                    <w:rPr>
                      <w:rFonts w:hint="eastAsia"/>
                      <w:szCs w:val="21"/>
                    </w:rPr>
                    <w:t>钡</w:t>
                  </w:r>
                </w:p>
              </w:tc>
              <w:tc>
                <w:tcPr>
                  <w:tcW w:w="850" w:type="dxa"/>
                  <w:tcBorders>
                    <w:tl2br w:val="nil"/>
                    <w:tr2bl w:val="nil"/>
                  </w:tcBorders>
                  <w:vAlign w:val="center"/>
                </w:tcPr>
                <w:p w14:paraId="1A745BC2">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0493A96E">
                  <w:pPr>
                    <w:spacing w:line="240" w:lineRule="exact"/>
                    <w:jc w:val="center"/>
                    <w:rPr>
                      <w:rFonts w:eastAsia="附件"/>
                      <w:kern w:val="0"/>
                      <w:szCs w:val="21"/>
                    </w:rPr>
                  </w:pPr>
                  <w:r>
                    <w:rPr>
                      <w:rFonts w:hint="eastAsia"/>
                      <w:bCs/>
                      <w:sz w:val="21"/>
                      <w:szCs w:val="21"/>
                      <w:lang w:val="en-US" w:eastAsia="zh-CN"/>
                    </w:rPr>
                    <w:t>*</w:t>
                  </w:r>
                </w:p>
              </w:tc>
              <w:tc>
                <w:tcPr>
                  <w:tcW w:w="850" w:type="dxa"/>
                  <w:tcBorders>
                    <w:tl2br w:val="nil"/>
                    <w:tr2bl w:val="nil"/>
                  </w:tcBorders>
                  <w:vAlign w:val="center"/>
                </w:tcPr>
                <w:p w14:paraId="4AB9E874">
                  <w:pPr>
                    <w:spacing w:line="240" w:lineRule="exact"/>
                    <w:jc w:val="center"/>
                    <w:rPr>
                      <w:rFonts w:eastAsia="附件"/>
                      <w:kern w:val="0"/>
                      <w:szCs w:val="21"/>
                    </w:rPr>
                  </w:pPr>
                  <w:r>
                    <w:rPr>
                      <w:rFonts w:hint="eastAsia"/>
                      <w:bCs/>
                      <w:sz w:val="21"/>
                      <w:szCs w:val="21"/>
                      <w:lang w:val="en-US" w:eastAsia="zh-CN"/>
                    </w:rPr>
                    <w:t>*</w:t>
                  </w:r>
                </w:p>
              </w:tc>
              <w:tc>
                <w:tcPr>
                  <w:tcW w:w="993" w:type="dxa"/>
                  <w:tcBorders>
                    <w:tl2br w:val="nil"/>
                    <w:tr2bl w:val="nil"/>
                  </w:tcBorders>
                  <w:vAlign w:val="center"/>
                </w:tcPr>
                <w:p w14:paraId="36A83222">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5B2DBFD0">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545BED69">
                  <w:pPr>
                    <w:jc w:val="center"/>
                    <w:rPr>
                      <w:rFonts w:eastAsia="附件"/>
                      <w:kern w:val="0"/>
                      <w:szCs w:val="21"/>
                    </w:rPr>
                  </w:pPr>
                  <w:r>
                    <w:rPr>
                      <w:rFonts w:eastAsia="附件"/>
                      <w:kern w:val="0"/>
                      <w:szCs w:val="21"/>
                    </w:rPr>
                    <w:t>/</w:t>
                  </w:r>
                </w:p>
              </w:tc>
              <w:tc>
                <w:tcPr>
                  <w:tcW w:w="709" w:type="dxa"/>
                  <w:tcBorders>
                    <w:tl2br w:val="nil"/>
                    <w:tr2bl w:val="nil"/>
                  </w:tcBorders>
                  <w:vAlign w:val="center"/>
                </w:tcPr>
                <w:p w14:paraId="20A779B3">
                  <w:pPr>
                    <w:jc w:val="center"/>
                    <w:rPr>
                      <w:rFonts w:eastAsia="附件"/>
                      <w:kern w:val="0"/>
                      <w:szCs w:val="21"/>
                    </w:rPr>
                  </w:pPr>
                  <w:r>
                    <w:rPr>
                      <w:rFonts w:eastAsia="附件"/>
                      <w:kern w:val="0"/>
                      <w:szCs w:val="21"/>
                    </w:rPr>
                    <w:t>/</w:t>
                  </w:r>
                </w:p>
              </w:tc>
              <w:tc>
                <w:tcPr>
                  <w:tcW w:w="520" w:type="dxa"/>
                  <w:tcBorders>
                    <w:tl2br w:val="nil"/>
                    <w:tr2bl w:val="nil"/>
                  </w:tcBorders>
                  <w:vAlign w:val="center"/>
                </w:tcPr>
                <w:p w14:paraId="41D1DD8F">
                  <w:pPr>
                    <w:widowControl/>
                    <w:adjustRightInd w:val="0"/>
                    <w:snapToGrid w:val="0"/>
                    <w:jc w:val="center"/>
                    <w:textAlignment w:val="center"/>
                    <w:rPr>
                      <w:rFonts w:eastAsia="附件"/>
                      <w:kern w:val="0"/>
                      <w:szCs w:val="21"/>
                    </w:rPr>
                  </w:pPr>
                  <w:r>
                    <w:rPr>
                      <w:rFonts w:eastAsia="附件"/>
                      <w:kern w:val="0"/>
                      <w:szCs w:val="21"/>
                    </w:rPr>
                    <w:t>/</w:t>
                  </w:r>
                </w:p>
              </w:tc>
            </w:tr>
            <w:tr w14:paraId="3D31D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0C32EDC4">
                  <w:pPr>
                    <w:adjustRightInd w:val="0"/>
                    <w:snapToGrid w:val="0"/>
                    <w:jc w:val="center"/>
                    <w:rPr>
                      <w:rFonts w:eastAsia="附件"/>
                      <w:kern w:val="0"/>
                      <w:szCs w:val="21"/>
                    </w:rPr>
                  </w:pPr>
                  <w:r>
                    <w:rPr>
                      <w:rFonts w:hint="eastAsia" w:eastAsia="附件"/>
                      <w:kern w:val="0"/>
                      <w:szCs w:val="21"/>
                    </w:rPr>
                    <w:t>6</w:t>
                  </w:r>
                </w:p>
              </w:tc>
              <w:tc>
                <w:tcPr>
                  <w:tcW w:w="1000" w:type="dxa"/>
                  <w:tcBorders>
                    <w:tl2br w:val="nil"/>
                    <w:tr2bl w:val="nil"/>
                  </w:tcBorders>
                  <w:vAlign w:val="center"/>
                </w:tcPr>
                <w:p w14:paraId="2B593B79">
                  <w:pPr>
                    <w:jc w:val="center"/>
                    <w:rPr>
                      <w:rFonts w:eastAsia="附件"/>
                      <w:szCs w:val="21"/>
                    </w:rPr>
                  </w:pPr>
                  <w:r>
                    <w:rPr>
                      <w:rFonts w:hint="eastAsia"/>
                      <w:color w:val="000000"/>
                      <w:szCs w:val="21"/>
                    </w:rPr>
                    <w:t>水溶性盐总量</w:t>
                  </w:r>
                </w:p>
              </w:tc>
              <w:tc>
                <w:tcPr>
                  <w:tcW w:w="850" w:type="dxa"/>
                  <w:tcBorders>
                    <w:tl2br w:val="nil"/>
                    <w:tr2bl w:val="nil"/>
                  </w:tcBorders>
                  <w:vAlign w:val="center"/>
                </w:tcPr>
                <w:p w14:paraId="59471EB6">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01316BFF">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46043AC9">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7A68080D">
                  <w:pPr>
                    <w:widowControl/>
                    <w:adjustRightInd w:val="0"/>
                    <w:snapToGrid w:val="0"/>
                    <w:jc w:val="center"/>
                    <w:textAlignment w:val="center"/>
                    <w:rPr>
                      <w:rFonts w:eastAsia="附件"/>
                      <w:kern w:val="0"/>
                      <w:szCs w:val="21"/>
                    </w:rPr>
                  </w:pPr>
                  <w:r>
                    <w:rPr>
                      <w:rFonts w:hint="eastAsia" w:eastAsia="附件"/>
                      <w:kern w:val="0"/>
                      <w:szCs w:val="21"/>
                    </w:rPr>
                    <w:t>/</w:t>
                  </w:r>
                </w:p>
              </w:tc>
              <w:tc>
                <w:tcPr>
                  <w:tcW w:w="851" w:type="dxa"/>
                  <w:tcBorders>
                    <w:tl2br w:val="nil"/>
                    <w:tr2bl w:val="nil"/>
                  </w:tcBorders>
                  <w:vAlign w:val="center"/>
                </w:tcPr>
                <w:p w14:paraId="3952E51A">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425C3F35">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41C5ADF1">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50E65C23">
                  <w:pPr>
                    <w:widowControl/>
                    <w:adjustRightInd w:val="0"/>
                    <w:snapToGrid w:val="0"/>
                    <w:jc w:val="center"/>
                    <w:textAlignment w:val="center"/>
                    <w:rPr>
                      <w:rFonts w:eastAsia="附件"/>
                      <w:kern w:val="0"/>
                      <w:szCs w:val="21"/>
                    </w:rPr>
                  </w:pPr>
                  <w:r>
                    <w:rPr>
                      <w:rFonts w:hint="eastAsia" w:eastAsia="附件"/>
                      <w:kern w:val="0"/>
                      <w:szCs w:val="21"/>
                    </w:rPr>
                    <w:t>/</w:t>
                  </w:r>
                </w:p>
              </w:tc>
            </w:tr>
            <w:tr w14:paraId="0D502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27C57A73">
                  <w:pPr>
                    <w:adjustRightInd w:val="0"/>
                    <w:snapToGrid w:val="0"/>
                    <w:jc w:val="center"/>
                    <w:rPr>
                      <w:rFonts w:eastAsia="附件"/>
                      <w:kern w:val="0"/>
                      <w:szCs w:val="21"/>
                    </w:rPr>
                  </w:pPr>
                  <w:r>
                    <w:rPr>
                      <w:rFonts w:hint="eastAsia" w:eastAsia="附件"/>
                      <w:kern w:val="0"/>
                      <w:szCs w:val="21"/>
                    </w:rPr>
                    <w:t>7</w:t>
                  </w:r>
                </w:p>
              </w:tc>
              <w:tc>
                <w:tcPr>
                  <w:tcW w:w="1000" w:type="dxa"/>
                  <w:tcBorders>
                    <w:tl2br w:val="nil"/>
                    <w:tr2bl w:val="nil"/>
                  </w:tcBorders>
                  <w:vAlign w:val="center"/>
                </w:tcPr>
                <w:p w14:paraId="5CE0C769">
                  <w:pPr>
                    <w:jc w:val="center"/>
                    <w:rPr>
                      <w:rFonts w:eastAsia="附件"/>
                      <w:szCs w:val="21"/>
                    </w:rPr>
                  </w:pPr>
                  <w:r>
                    <w:rPr>
                      <w:rFonts w:hint="eastAsia"/>
                      <w:szCs w:val="21"/>
                    </w:rPr>
                    <w:t>汞</w:t>
                  </w:r>
                </w:p>
              </w:tc>
              <w:tc>
                <w:tcPr>
                  <w:tcW w:w="850" w:type="dxa"/>
                  <w:tcBorders>
                    <w:tl2br w:val="nil"/>
                    <w:tr2bl w:val="nil"/>
                  </w:tcBorders>
                  <w:vAlign w:val="center"/>
                </w:tcPr>
                <w:p w14:paraId="4321C928">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2FEFC220">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19CB44D7">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47D754CB">
                  <w:pPr>
                    <w:widowControl/>
                    <w:adjustRightInd w:val="0"/>
                    <w:snapToGrid w:val="0"/>
                    <w:jc w:val="center"/>
                    <w:textAlignment w:val="center"/>
                    <w:rPr>
                      <w:rFonts w:eastAsia="附件"/>
                      <w:kern w:val="0"/>
                      <w:szCs w:val="21"/>
                    </w:rPr>
                  </w:pPr>
                  <w:r>
                    <w:rPr>
                      <w:rFonts w:hint="eastAsia" w:eastAsia="附件"/>
                      <w:kern w:val="0"/>
                      <w:szCs w:val="21"/>
                    </w:rPr>
                    <w:t>8</w:t>
                  </w:r>
                </w:p>
              </w:tc>
              <w:tc>
                <w:tcPr>
                  <w:tcW w:w="851" w:type="dxa"/>
                  <w:tcBorders>
                    <w:tl2br w:val="nil"/>
                    <w:tr2bl w:val="nil"/>
                  </w:tcBorders>
                  <w:shd w:val="clear" w:color="auto" w:fill="auto"/>
                  <w:vAlign w:val="center"/>
                </w:tcPr>
                <w:p w14:paraId="2D56C262">
                  <w:pPr>
                    <w:widowControl/>
                    <w:jc w:val="center"/>
                    <w:textAlignment w:val="center"/>
                    <w:rPr>
                      <w:color w:val="000000"/>
                      <w:sz w:val="22"/>
                      <w:szCs w:val="22"/>
                    </w:rPr>
                  </w:pPr>
                  <w:r>
                    <w:rPr>
                      <w:color w:val="000000"/>
                      <w:kern w:val="0"/>
                      <w:sz w:val="22"/>
                      <w:szCs w:val="22"/>
                      <w:lang w:bidi="ar"/>
                    </w:rPr>
                    <w:t xml:space="preserve">0.04 </w:t>
                  </w:r>
                </w:p>
              </w:tc>
              <w:tc>
                <w:tcPr>
                  <w:tcW w:w="850" w:type="dxa"/>
                  <w:tcBorders>
                    <w:tl2br w:val="nil"/>
                    <w:tr2bl w:val="nil"/>
                  </w:tcBorders>
                  <w:shd w:val="clear" w:color="auto" w:fill="auto"/>
                  <w:vAlign w:val="center"/>
                </w:tcPr>
                <w:p w14:paraId="3D6A5209">
                  <w:pPr>
                    <w:widowControl/>
                    <w:jc w:val="center"/>
                    <w:textAlignment w:val="center"/>
                    <w:rPr>
                      <w:color w:val="000000"/>
                      <w:sz w:val="22"/>
                      <w:szCs w:val="22"/>
                    </w:rPr>
                  </w:pPr>
                  <w:r>
                    <w:rPr>
                      <w:color w:val="000000"/>
                      <w:kern w:val="0"/>
                      <w:sz w:val="22"/>
                      <w:szCs w:val="22"/>
                      <w:lang w:bidi="ar"/>
                    </w:rPr>
                    <w:t xml:space="preserve">0.03 </w:t>
                  </w:r>
                </w:p>
              </w:tc>
              <w:tc>
                <w:tcPr>
                  <w:tcW w:w="709" w:type="dxa"/>
                  <w:tcBorders>
                    <w:tl2br w:val="nil"/>
                    <w:tr2bl w:val="nil"/>
                  </w:tcBorders>
                  <w:shd w:val="clear" w:color="auto" w:fill="auto"/>
                  <w:vAlign w:val="center"/>
                </w:tcPr>
                <w:p w14:paraId="5AC11A23">
                  <w:pPr>
                    <w:widowControl/>
                    <w:jc w:val="center"/>
                    <w:textAlignment w:val="center"/>
                    <w:rPr>
                      <w:color w:val="000000"/>
                      <w:sz w:val="22"/>
                      <w:szCs w:val="22"/>
                    </w:rPr>
                  </w:pPr>
                  <w:r>
                    <w:rPr>
                      <w:color w:val="000000"/>
                      <w:kern w:val="0"/>
                      <w:sz w:val="22"/>
                      <w:szCs w:val="22"/>
                      <w:lang w:bidi="ar"/>
                    </w:rPr>
                    <w:t xml:space="preserve">0.03 </w:t>
                  </w:r>
                </w:p>
              </w:tc>
              <w:tc>
                <w:tcPr>
                  <w:tcW w:w="520" w:type="dxa"/>
                  <w:tcBorders>
                    <w:tl2br w:val="nil"/>
                    <w:tr2bl w:val="nil"/>
                  </w:tcBorders>
                  <w:vAlign w:val="center"/>
                </w:tcPr>
                <w:p w14:paraId="13191C45">
                  <w:pPr>
                    <w:widowControl/>
                    <w:adjustRightInd w:val="0"/>
                    <w:snapToGrid w:val="0"/>
                    <w:jc w:val="center"/>
                    <w:textAlignment w:val="center"/>
                    <w:rPr>
                      <w:rFonts w:eastAsia="附件"/>
                      <w:kern w:val="0"/>
                      <w:szCs w:val="21"/>
                    </w:rPr>
                  </w:pPr>
                  <w:r>
                    <w:rPr>
                      <w:rFonts w:hint="eastAsia" w:eastAsia="附件"/>
                      <w:kern w:val="0"/>
                      <w:szCs w:val="21"/>
                    </w:rPr>
                    <w:t>/</w:t>
                  </w:r>
                </w:p>
              </w:tc>
            </w:tr>
            <w:tr w14:paraId="2C969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14:paraId="6F63D9E4">
                  <w:pPr>
                    <w:adjustRightInd w:val="0"/>
                    <w:snapToGrid w:val="0"/>
                    <w:jc w:val="center"/>
                    <w:rPr>
                      <w:rFonts w:eastAsia="附件"/>
                      <w:kern w:val="0"/>
                      <w:szCs w:val="21"/>
                    </w:rPr>
                  </w:pPr>
                  <w:r>
                    <w:rPr>
                      <w:rFonts w:hint="eastAsia" w:eastAsia="附件"/>
                      <w:kern w:val="0"/>
                      <w:szCs w:val="21"/>
                    </w:rPr>
                    <w:t>8</w:t>
                  </w:r>
                </w:p>
              </w:tc>
              <w:tc>
                <w:tcPr>
                  <w:tcW w:w="1000" w:type="dxa"/>
                  <w:tcBorders>
                    <w:tl2br w:val="nil"/>
                    <w:tr2bl w:val="nil"/>
                  </w:tcBorders>
                  <w:vAlign w:val="center"/>
                </w:tcPr>
                <w:p w14:paraId="6A736D86">
                  <w:pPr>
                    <w:jc w:val="center"/>
                    <w:rPr>
                      <w:rFonts w:eastAsia="附件"/>
                      <w:szCs w:val="21"/>
                    </w:rPr>
                  </w:pPr>
                  <w:r>
                    <w:rPr>
                      <w:rFonts w:hint="eastAsia"/>
                      <w:szCs w:val="21"/>
                    </w:rPr>
                    <w:t>砷</w:t>
                  </w:r>
                </w:p>
              </w:tc>
              <w:tc>
                <w:tcPr>
                  <w:tcW w:w="850" w:type="dxa"/>
                  <w:tcBorders>
                    <w:tl2br w:val="nil"/>
                    <w:tr2bl w:val="nil"/>
                  </w:tcBorders>
                  <w:vAlign w:val="center"/>
                </w:tcPr>
                <w:p w14:paraId="31B73550">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5DE81710">
                  <w:pPr>
                    <w:spacing w:line="240" w:lineRule="exact"/>
                    <w:jc w:val="center"/>
                    <w:rPr>
                      <w:szCs w:val="21"/>
                    </w:rPr>
                  </w:pPr>
                  <w:r>
                    <w:rPr>
                      <w:rFonts w:hint="eastAsia"/>
                      <w:bCs/>
                      <w:sz w:val="21"/>
                      <w:szCs w:val="21"/>
                      <w:lang w:val="en-US" w:eastAsia="zh-CN"/>
                    </w:rPr>
                    <w:t>*</w:t>
                  </w:r>
                </w:p>
              </w:tc>
              <w:tc>
                <w:tcPr>
                  <w:tcW w:w="850" w:type="dxa"/>
                  <w:tcBorders>
                    <w:tl2br w:val="nil"/>
                    <w:tr2bl w:val="nil"/>
                  </w:tcBorders>
                  <w:vAlign w:val="center"/>
                </w:tcPr>
                <w:p w14:paraId="3A83785D">
                  <w:pPr>
                    <w:spacing w:line="240" w:lineRule="exact"/>
                    <w:jc w:val="center"/>
                    <w:rPr>
                      <w:szCs w:val="21"/>
                    </w:rPr>
                  </w:pPr>
                  <w:r>
                    <w:rPr>
                      <w:rFonts w:hint="eastAsia"/>
                      <w:bCs/>
                      <w:sz w:val="21"/>
                      <w:szCs w:val="21"/>
                      <w:lang w:val="en-US" w:eastAsia="zh-CN"/>
                    </w:rPr>
                    <w:t>*</w:t>
                  </w:r>
                </w:p>
              </w:tc>
              <w:tc>
                <w:tcPr>
                  <w:tcW w:w="993" w:type="dxa"/>
                  <w:tcBorders>
                    <w:tl2br w:val="nil"/>
                    <w:tr2bl w:val="nil"/>
                  </w:tcBorders>
                  <w:vAlign w:val="center"/>
                </w:tcPr>
                <w:p w14:paraId="742942EC">
                  <w:pPr>
                    <w:widowControl/>
                    <w:adjustRightInd w:val="0"/>
                    <w:snapToGrid w:val="0"/>
                    <w:jc w:val="center"/>
                    <w:textAlignment w:val="center"/>
                    <w:rPr>
                      <w:rFonts w:eastAsia="附件"/>
                      <w:kern w:val="0"/>
                      <w:szCs w:val="21"/>
                    </w:rPr>
                  </w:pPr>
                  <w:r>
                    <w:rPr>
                      <w:rFonts w:hint="eastAsia" w:eastAsia="附件"/>
                      <w:kern w:val="0"/>
                      <w:szCs w:val="21"/>
                    </w:rPr>
                    <w:t>20</w:t>
                  </w:r>
                </w:p>
              </w:tc>
              <w:tc>
                <w:tcPr>
                  <w:tcW w:w="851" w:type="dxa"/>
                  <w:tcBorders>
                    <w:tl2br w:val="nil"/>
                    <w:tr2bl w:val="nil"/>
                  </w:tcBorders>
                  <w:shd w:val="clear" w:color="auto" w:fill="auto"/>
                  <w:vAlign w:val="center"/>
                </w:tcPr>
                <w:p w14:paraId="2A54445D">
                  <w:pPr>
                    <w:widowControl/>
                    <w:jc w:val="center"/>
                    <w:textAlignment w:val="center"/>
                    <w:rPr>
                      <w:color w:val="000000"/>
                      <w:sz w:val="22"/>
                      <w:szCs w:val="22"/>
                    </w:rPr>
                  </w:pPr>
                  <w:r>
                    <w:rPr>
                      <w:color w:val="000000"/>
                      <w:kern w:val="0"/>
                      <w:sz w:val="22"/>
                      <w:szCs w:val="22"/>
                      <w:lang w:bidi="ar"/>
                    </w:rPr>
                    <w:t xml:space="preserve">0.23 </w:t>
                  </w:r>
                </w:p>
              </w:tc>
              <w:tc>
                <w:tcPr>
                  <w:tcW w:w="850" w:type="dxa"/>
                  <w:tcBorders>
                    <w:tl2br w:val="nil"/>
                    <w:tr2bl w:val="nil"/>
                  </w:tcBorders>
                  <w:shd w:val="clear" w:color="auto" w:fill="auto"/>
                  <w:vAlign w:val="center"/>
                </w:tcPr>
                <w:p w14:paraId="2E424004">
                  <w:pPr>
                    <w:widowControl/>
                    <w:jc w:val="center"/>
                    <w:textAlignment w:val="center"/>
                    <w:rPr>
                      <w:color w:val="000000"/>
                      <w:sz w:val="22"/>
                      <w:szCs w:val="22"/>
                    </w:rPr>
                  </w:pPr>
                  <w:r>
                    <w:rPr>
                      <w:color w:val="000000"/>
                      <w:kern w:val="0"/>
                      <w:sz w:val="22"/>
                      <w:szCs w:val="22"/>
                      <w:lang w:bidi="ar"/>
                    </w:rPr>
                    <w:t xml:space="preserve">0.20 </w:t>
                  </w:r>
                </w:p>
              </w:tc>
              <w:tc>
                <w:tcPr>
                  <w:tcW w:w="709" w:type="dxa"/>
                  <w:tcBorders>
                    <w:tl2br w:val="nil"/>
                    <w:tr2bl w:val="nil"/>
                  </w:tcBorders>
                  <w:shd w:val="clear" w:color="auto" w:fill="auto"/>
                  <w:vAlign w:val="center"/>
                </w:tcPr>
                <w:p w14:paraId="1AD6F0D4">
                  <w:pPr>
                    <w:widowControl/>
                    <w:jc w:val="center"/>
                    <w:textAlignment w:val="center"/>
                    <w:rPr>
                      <w:color w:val="000000"/>
                      <w:sz w:val="22"/>
                      <w:szCs w:val="22"/>
                    </w:rPr>
                  </w:pPr>
                  <w:r>
                    <w:rPr>
                      <w:color w:val="000000"/>
                      <w:kern w:val="0"/>
                      <w:sz w:val="22"/>
                      <w:szCs w:val="22"/>
                      <w:lang w:bidi="ar"/>
                    </w:rPr>
                    <w:t xml:space="preserve">0.18 </w:t>
                  </w:r>
                </w:p>
              </w:tc>
              <w:tc>
                <w:tcPr>
                  <w:tcW w:w="520" w:type="dxa"/>
                  <w:tcBorders>
                    <w:tl2br w:val="nil"/>
                    <w:tr2bl w:val="nil"/>
                  </w:tcBorders>
                  <w:vAlign w:val="center"/>
                </w:tcPr>
                <w:p w14:paraId="1C4761A6">
                  <w:pPr>
                    <w:widowControl/>
                    <w:adjustRightInd w:val="0"/>
                    <w:snapToGrid w:val="0"/>
                    <w:jc w:val="center"/>
                    <w:textAlignment w:val="center"/>
                    <w:rPr>
                      <w:rFonts w:eastAsia="附件"/>
                      <w:kern w:val="0"/>
                      <w:szCs w:val="21"/>
                    </w:rPr>
                  </w:pPr>
                  <w:r>
                    <w:rPr>
                      <w:rFonts w:hint="eastAsia" w:eastAsia="附件"/>
                      <w:kern w:val="0"/>
                      <w:szCs w:val="21"/>
                    </w:rPr>
                    <w:t>/</w:t>
                  </w:r>
                </w:p>
              </w:tc>
            </w:tr>
            <w:tr w14:paraId="71834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14:paraId="43E9E273">
                  <w:pPr>
                    <w:adjustRightInd w:val="0"/>
                    <w:snapToGrid w:val="0"/>
                    <w:jc w:val="center"/>
                    <w:rPr>
                      <w:rFonts w:eastAsia="附件"/>
                      <w:kern w:val="0"/>
                      <w:szCs w:val="21"/>
                    </w:rPr>
                  </w:pPr>
                  <w:r>
                    <w:rPr>
                      <w:rFonts w:hint="eastAsia" w:eastAsia="附件"/>
                      <w:kern w:val="0"/>
                      <w:szCs w:val="21"/>
                    </w:rPr>
                    <w:t>9</w:t>
                  </w:r>
                </w:p>
              </w:tc>
              <w:tc>
                <w:tcPr>
                  <w:tcW w:w="1000" w:type="dxa"/>
                  <w:tcBorders>
                    <w:tl2br w:val="nil"/>
                    <w:tr2bl w:val="nil"/>
                  </w:tcBorders>
                  <w:vAlign w:val="center"/>
                </w:tcPr>
                <w:p w14:paraId="1AF91C6A">
                  <w:pPr>
                    <w:jc w:val="center"/>
                    <w:rPr>
                      <w:rFonts w:eastAsia="附件"/>
                      <w:szCs w:val="21"/>
                    </w:rPr>
                  </w:pPr>
                  <w:r>
                    <w:rPr>
                      <w:rFonts w:hint="eastAsia"/>
                      <w:szCs w:val="21"/>
                    </w:rPr>
                    <w:t>六价铬</w:t>
                  </w:r>
                </w:p>
              </w:tc>
              <w:tc>
                <w:tcPr>
                  <w:tcW w:w="850" w:type="dxa"/>
                  <w:tcBorders>
                    <w:tl2br w:val="nil"/>
                    <w:tr2bl w:val="nil"/>
                  </w:tcBorders>
                  <w:vAlign w:val="center"/>
                </w:tcPr>
                <w:p w14:paraId="74724427">
                  <w:pPr>
                    <w:jc w:val="center"/>
                    <w:rPr>
                      <w:szCs w:val="21"/>
                    </w:rPr>
                  </w:pPr>
                  <w:r>
                    <w:rPr>
                      <w:rFonts w:hint="eastAsia"/>
                      <w:bCs/>
                      <w:sz w:val="21"/>
                      <w:szCs w:val="21"/>
                      <w:lang w:val="en-US" w:eastAsia="zh-CN"/>
                    </w:rPr>
                    <w:t>*</w:t>
                  </w:r>
                </w:p>
              </w:tc>
              <w:tc>
                <w:tcPr>
                  <w:tcW w:w="850" w:type="dxa"/>
                  <w:tcBorders>
                    <w:tl2br w:val="nil"/>
                    <w:tr2bl w:val="nil"/>
                  </w:tcBorders>
                  <w:vAlign w:val="center"/>
                </w:tcPr>
                <w:p w14:paraId="2AF8473B">
                  <w:pPr>
                    <w:jc w:val="center"/>
                    <w:rPr>
                      <w:szCs w:val="21"/>
                    </w:rPr>
                  </w:pPr>
                  <w:r>
                    <w:rPr>
                      <w:rFonts w:hint="eastAsia"/>
                      <w:bCs/>
                      <w:sz w:val="21"/>
                      <w:szCs w:val="21"/>
                      <w:lang w:val="en-US" w:eastAsia="zh-CN"/>
                    </w:rPr>
                    <w:t>*</w:t>
                  </w:r>
                </w:p>
              </w:tc>
              <w:tc>
                <w:tcPr>
                  <w:tcW w:w="850" w:type="dxa"/>
                  <w:tcBorders>
                    <w:tl2br w:val="nil"/>
                    <w:tr2bl w:val="nil"/>
                  </w:tcBorders>
                  <w:vAlign w:val="center"/>
                </w:tcPr>
                <w:p w14:paraId="25CB5722">
                  <w:pPr>
                    <w:jc w:val="center"/>
                    <w:rPr>
                      <w:szCs w:val="21"/>
                    </w:rPr>
                  </w:pPr>
                  <w:r>
                    <w:rPr>
                      <w:rFonts w:hint="eastAsia"/>
                      <w:bCs/>
                      <w:sz w:val="21"/>
                      <w:szCs w:val="21"/>
                      <w:lang w:val="en-US" w:eastAsia="zh-CN"/>
                    </w:rPr>
                    <w:t>*</w:t>
                  </w:r>
                </w:p>
              </w:tc>
              <w:tc>
                <w:tcPr>
                  <w:tcW w:w="993" w:type="dxa"/>
                  <w:tcBorders>
                    <w:tl2br w:val="nil"/>
                    <w:tr2bl w:val="nil"/>
                  </w:tcBorders>
                  <w:vAlign w:val="center"/>
                </w:tcPr>
                <w:p w14:paraId="0D2FD6C1">
                  <w:pPr>
                    <w:widowControl/>
                    <w:adjustRightInd w:val="0"/>
                    <w:snapToGrid w:val="0"/>
                    <w:jc w:val="center"/>
                    <w:textAlignment w:val="center"/>
                    <w:rPr>
                      <w:rFonts w:eastAsia="附件"/>
                      <w:kern w:val="0"/>
                      <w:szCs w:val="21"/>
                    </w:rPr>
                  </w:pPr>
                  <w:r>
                    <w:rPr>
                      <w:rFonts w:hint="eastAsia" w:eastAsia="附件"/>
                      <w:kern w:val="0"/>
                      <w:szCs w:val="21"/>
                    </w:rPr>
                    <w:t>3.0</w:t>
                  </w:r>
                </w:p>
              </w:tc>
              <w:tc>
                <w:tcPr>
                  <w:tcW w:w="851" w:type="dxa"/>
                  <w:tcBorders>
                    <w:tl2br w:val="nil"/>
                    <w:tr2bl w:val="nil"/>
                  </w:tcBorders>
                  <w:vAlign w:val="center"/>
                </w:tcPr>
                <w:p w14:paraId="4074EC75">
                  <w:pPr>
                    <w:jc w:val="center"/>
                    <w:rPr>
                      <w:rFonts w:eastAsia="附件"/>
                      <w:kern w:val="0"/>
                      <w:szCs w:val="21"/>
                    </w:rPr>
                  </w:pPr>
                  <w:r>
                    <w:rPr>
                      <w:rFonts w:hint="eastAsia" w:eastAsia="附件"/>
                      <w:kern w:val="0"/>
                      <w:szCs w:val="21"/>
                    </w:rPr>
                    <w:t>/</w:t>
                  </w:r>
                </w:p>
              </w:tc>
              <w:tc>
                <w:tcPr>
                  <w:tcW w:w="850" w:type="dxa"/>
                  <w:tcBorders>
                    <w:tl2br w:val="nil"/>
                    <w:tr2bl w:val="nil"/>
                  </w:tcBorders>
                  <w:vAlign w:val="center"/>
                </w:tcPr>
                <w:p w14:paraId="75B503AE">
                  <w:pPr>
                    <w:jc w:val="center"/>
                    <w:rPr>
                      <w:rFonts w:eastAsia="附件"/>
                      <w:kern w:val="0"/>
                      <w:szCs w:val="21"/>
                    </w:rPr>
                  </w:pPr>
                  <w:r>
                    <w:rPr>
                      <w:rFonts w:hint="eastAsia" w:eastAsia="附件"/>
                      <w:kern w:val="0"/>
                      <w:szCs w:val="21"/>
                    </w:rPr>
                    <w:t>/</w:t>
                  </w:r>
                </w:p>
              </w:tc>
              <w:tc>
                <w:tcPr>
                  <w:tcW w:w="709" w:type="dxa"/>
                  <w:tcBorders>
                    <w:tl2br w:val="nil"/>
                    <w:tr2bl w:val="nil"/>
                  </w:tcBorders>
                  <w:vAlign w:val="center"/>
                </w:tcPr>
                <w:p w14:paraId="2F0F4F31">
                  <w:pPr>
                    <w:jc w:val="center"/>
                    <w:rPr>
                      <w:rFonts w:eastAsia="附件"/>
                      <w:kern w:val="0"/>
                      <w:szCs w:val="21"/>
                    </w:rPr>
                  </w:pPr>
                  <w:r>
                    <w:rPr>
                      <w:rFonts w:hint="eastAsia" w:eastAsia="附件"/>
                      <w:kern w:val="0"/>
                      <w:szCs w:val="21"/>
                    </w:rPr>
                    <w:t>/</w:t>
                  </w:r>
                </w:p>
              </w:tc>
              <w:tc>
                <w:tcPr>
                  <w:tcW w:w="520" w:type="dxa"/>
                  <w:tcBorders>
                    <w:tl2br w:val="nil"/>
                    <w:tr2bl w:val="nil"/>
                  </w:tcBorders>
                  <w:vAlign w:val="center"/>
                </w:tcPr>
                <w:p w14:paraId="56AFF9C9">
                  <w:pPr>
                    <w:widowControl/>
                    <w:adjustRightInd w:val="0"/>
                    <w:snapToGrid w:val="0"/>
                    <w:jc w:val="center"/>
                    <w:textAlignment w:val="center"/>
                    <w:rPr>
                      <w:rFonts w:eastAsia="附件"/>
                      <w:kern w:val="0"/>
                      <w:szCs w:val="21"/>
                    </w:rPr>
                  </w:pPr>
                  <w:r>
                    <w:rPr>
                      <w:rFonts w:hint="eastAsia" w:eastAsia="附件"/>
                      <w:kern w:val="0"/>
                      <w:szCs w:val="21"/>
                    </w:rPr>
                    <w:t>/</w:t>
                  </w:r>
                </w:p>
              </w:tc>
            </w:tr>
            <w:tr w14:paraId="78249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14:paraId="23A206AF">
                  <w:pPr>
                    <w:widowControl/>
                    <w:adjustRightInd w:val="0"/>
                    <w:snapToGrid w:val="0"/>
                    <w:textAlignment w:val="center"/>
                    <w:rPr>
                      <w:rFonts w:eastAsia="附件"/>
                      <w:kern w:val="0"/>
                      <w:szCs w:val="21"/>
                    </w:rPr>
                  </w:pPr>
                  <w:r>
                    <w:rPr>
                      <w:rFonts w:eastAsia="附件"/>
                      <w:kern w:val="0"/>
                      <w:szCs w:val="21"/>
                    </w:rPr>
                    <w:t>S1、S2、S3执行《土壤环境质量 建设用地土壤污染风险管控标准（试行）》（GB36600-2018）第二类用地筛选值。</w:t>
                  </w:r>
                </w:p>
              </w:tc>
            </w:tr>
          </w:tbl>
          <w:p w14:paraId="2C8E1B35">
            <w:pPr>
              <w:pStyle w:val="333"/>
              <w:numPr>
                <w:ilvl w:val="0"/>
                <w:numId w:val="8"/>
              </w:numPr>
              <w:adjustRightInd w:val="0"/>
              <w:snapToGrid w:val="0"/>
              <w:spacing w:line="360" w:lineRule="auto"/>
              <w:ind w:left="0" w:firstLine="0" w:firstLineChars="0"/>
              <w:jc w:val="center"/>
              <w:rPr>
                <w:b/>
                <w:bCs/>
                <w:kern w:val="0"/>
                <w:szCs w:val="21"/>
              </w:rPr>
            </w:pPr>
            <w:r>
              <w:rPr>
                <w:b/>
                <w:bCs/>
                <w:kern w:val="0"/>
                <w:szCs w:val="21"/>
              </w:rPr>
              <w:t>S5、S6土壤环境现状监测及评价结果     单位：mg/kg</w:t>
            </w:r>
          </w:p>
          <w:tbl>
            <w:tblPr>
              <w:tblStyle w:val="44"/>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14:paraId="21E0A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 w:hRule="atLeast"/>
                <w:tblHeader/>
                <w:jc w:val="center"/>
              </w:trPr>
              <w:tc>
                <w:tcPr>
                  <w:tcW w:w="527" w:type="dxa"/>
                  <w:tcBorders>
                    <w:tl2br w:val="nil"/>
                    <w:tr2bl w:val="nil"/>
                  </w:tcBorders>
                  <w:vAlign w:val="center"/>
                </w:tcPr>
                <w:p w14:paraId="463C9ABA">
                  <w:pPr>
                    <w:autoSpaceDE w:val="0"/>
                    <w:autoSpaceDN w:val="0"/>
                    <w:adjustRightInd w:val="0"/>
                    <w:snapToGrid w:val="0"/>
                    <w:jc w:val="center"/>
                    <w:rPr>
                      <w:rFonts w:eastAsia="附件"/>
                      <w:kern w:val="0"/>
                      <w:szCs w:val="21"/>
                    </w:rPr>
                  </w:pPr>
                  <w:r>
                    <w:rPr>
                      <w:rFonts w:eastAsia="附件"/>
                      <w:kern w:val="0"/>
                      <w:szCs w:val="21"/>
                    </w:rPr>
                    <w:t>编号</w:t>
                  </w:r>
                </w:p>
              </w:tc>
              <w:tc>
                <w:tcPr>
                  <w:tcW w:w="1376" w:type="dxa"/>
                  <w:tcBorders>
                    <w:tl2br w:val="nil"/>
                    <w:tr2bl w:val="nil"/>
                  </w:tcBorders>
                  <w:vAlign w:val="center"/>
                </w:tcPr>
                <w:p w14:paraId="6CD0F7C2">
                  <w:pPr>
                    <w:widowControl/>
                    <w:adjustRightInd w:val="0"/>
                    <w:snapToGrid w:val="0"/>
                    <w:jc w:val="center"/>
                    <w:textAlignment w:val="center"/>
                    <w:rPr>
                      <w:rFonts w:eastAsia="附件"/>
                      <w:kern w:val="0"/>
                      <w:szCs w:val="21"/>
                    </w:rPr>
                  </w:pPr>
                  <w:r>
                    <w:rPr>
                      <w:rFonts w:eastAsia="附件"/>
                      <w:kern w:val="0"/>
                      <w:szCs w:val="21"/>
                    </w:rPr>
                    <w:t>因子</w:t>
                  </w:r>
                </w:p>
              </w:tc>
              <w:tc>
                <w:tcPr>
                  <w:tcW w:w="1030" w:type="dxa"/>
                  <w:tcBorders>
                    <w:tl2br w:val="nil"/>
                    <w:tr2bl w:val="nil"/>
                  </w:tcBorders>
                  <w:vAlign w:val="center"/>
                </w:tcPr>
                <w:p w14:paraId="1AA96F84">
                  <w:pPr>
                    <w:adjustRightInd w:val="0"/>
                    <w:snapToGrid w:val="0"/>
                    <w:jc w:val="center"/>
                    <w:textAlignment w:val="center"/>
                    <w:rPr>
                      <w:rFonts w:eastAsia="附件"/>
                      <w:kern w:val="0"/>
                      <w:szCs w:val="21"/>
                    </w:rPr>
                  </w:pPr>
                  <w:r>
                    <w:rPr>
                      <w:rFonts w:eastAsia="附件"/>
                      <w:kern w:val="0"/>
                      <w:szCs w:val="21"/>
                    </w:rPr>
                    <w:t>S5</w:t>
                  </w:r>
                </w:p>
              </w:tc>
              <w:tc>
                <w:tcPr>
                  <w:tcW w:w="860" w:type="dxa"/>
                  <w:tcBorders>
                    <w:tl2br w:val="nil"/>
                    <w:tr2bl w:val="nil"/>
                  </w:tcBorders>
                  <w:vAlign w:val="center"/>
                </w:tcPr>
                <w:p w14:paraId="1C9FB909">
                  <w:pPr>
                    <w:adjustRightInd w:val="0"/>
                    <w:snapToGrid w:val="0"/>
                    <w:jc w:val="center"/>
                    <w:textAlignment w:val="center"/>
                    <w:rPr>
                      <w:rFonts w:eastAsia="附件"/>
                      <w:kern w:val="0"/>
                      <w:szCs w:val="21"/>
                    </w:rPr>
                  </w:pPr>
                  <w:r>
                    <w:rPr>
                      <w:rFonts w:eastAsia="附件"/>
                      <w:kern w:val="0"/>
                      <w:szCs w:val="21"/>
                    </w:rPr>
                    <w:t>S6</w:t>
                  </w:r>
                </w:p>
              </w:tc>
              <w:tc>
                <w:tcPr>
                  <w:tcW w:w="1490" w:type="dxa"/>
                  <w:tcBorders>
                    <w:tl2br w:val="nil"/>
                    <w:tr2bl w:val="nil"/>
                  </w:tcBorders>
                  <w:vAlign w:val="center"/>
                </w:tcPr>
                <w:p w14:paraId="580FB1FD">
                  <w:pPr>
                    <w:widowControl/>
                    <w:adjustRightInd w:val="0"/>
                    <w:snapToGrid w:val="0"/>
                    <w:jc w:val="center"/>
                    <w:textAlignment w:val="center"/>
                    <w:rPr>
                      <w:rFonts w:eastAsia="附件"/>
                      <w:kern w:val="0"/>
                      <w:szCs w:val="21"/>
                    </w:rPr>
                  </w:pPr>
                  <w:r>
                    <w:rPr>
                      <w:rFonts w:eastAsia="附件"/>
                      <w:kern w:val="0"/>
                      <w:szCs w:val="21"/>
                    </w:rPr>
                    <w:t>标准值</w:t>
                  </w:r>
                </w:p>
              </w:tc>
              <w:tc>
                <w:tcPr>
                  <w:tcW w:w="841" w:type="dxa"/>
                  <w:tcBorders>
                    <w:tl2br w:val="nil"/>
                    <w:tr2bl w:val="nil"/>
                  </w:tcBorders>
                  <w:vAlign w:val="center"/>
                </w:tcPr>
                <w:p w14:paraId="791080F9">
                  <w:pPr>
                    <w:adjustRightInd w:val="0"/>
                    <w:snapToGrid w:val="0"/>
                    <w:jc w:val="center"/>
                    <w:textAlignment w:val="center"/>
                    <w:rPr>
                      <w:rFonts w:eastAsia="附件"/>
                      <w:kern w:val="0"/>
                      <w:szCs w:val="21"/>
                    </w:rPr>
                  </w:pPr>
                  <w:r>
                    <w:rPr>
                      <w:rFonts w:eastAsia="附件"/>
                      <w:kern w:val="0"/>
                      <w:szCs w:val="21"/>
                    </w:rPr>
                    <w:t>S5</w:t>
                  </w:r>
                </w:p>
              </w:tc>
              <w:tc>
                <w:tcPr>
                  <w:tcW w:w="850" w:type="dxa"/>
                  <w:tcBorders>
                    <w:tl2br w:val="nil"/>
                    <w:tr2bl w:val="nil"/>
                  </w:tcBorders>
                  <w:vAlign w:val="center"/>
                </w:tcPr>
                <w:p w14:paraId="232B32A0">
                  <w:pPr>
                    <w:adjustRightInd w:val="0"/>
                    <w:snapToGrid w:val="0"/>
                    <w:jc w:val="center"/>
                    <w:textAlignment w:val="center"/>
                    <w:rPr>
                      <w:rFonts w:eastAsia="附件"/>
                      <w:kern w:val="0"/>
                      <w:szCs w:val="21"/>
                    </w:rPr>
                  </w:pPr>
                  <w:r>
                    <w:rPr>
                      <w:rFonts w:eastAsia="附件"/>
                      <w:kern w:val="0"/>
                      <w:szCs w:val="21"/>
                    </w:rPr>
                    <w:t>S6</w:t>
                  </w:r>
                </w:p>
              </w:tc>
              <w:tc>
                <w:tcPr>
                  <w:tcW w:w="1056" w:type="dxa"/>
                  <w:tcBorders>
                    <w:tl2br w:val="nil"/>
                    <w:tr2bl w:val="nil"/>
                  </w:tcBorders>
                  <w:vAlign w:val="center"/>
                </w:tcPr>
                <w:p w14:paraId="28444515">
                  <w:pPr>
                    <w:widowControl/>
                    <w:adjustRightInd w:val="0"/>
                    <w:snapToGrid w:val="0"/>
                    <w:jc w:val="center"/>
                    <w:textAlignment w:val="center"/>
                    <w:rPr>
                      <w:rFonts w:eastAsia="附件"/>
                      <w:kern w:val="0"/>
                      <w:szCs w:val="21"/>
                    </w:rPr>
                  </w:pPr>
                  <w:r>
                    <w:rPr>
                      <w:rFonts w:eastAsia="附件"/>
                      <w:kern w:val="0"/>
                      <w:szCs w:val="21"/>
                    </w:rPr>
                    <w:t>超标率</w:t>
                  </w:r>
                </w:p>
              </w:tc>
            </w:tr>
            <w:tr w14:paraId="58873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14:paraId="6F711975">
                  <w:pPr>
                    <w:widowControl/>
                    <w:adjustRightInd w:val="0"/>
                    <w:snapToGrid w:val="0"/>
                    <w:jc w:val="center"/>
                    <w:textAlignment w:val="center"/>
                    <w:rPr>
                      <w:rFonts w:eastAsia="附件"/>
                      <w:kern w:val="0"/>
                      <w:szCs w:val="21"/>
                    </w:rPr>
                  </w:pPr>
                  <w:r>
                    <w:rPr>
                      <w:rFonts w:eastAsia="附件"/>
                      <w:kern w:val="0"/>
                      <w:szCs w:val="21"/>
                    </w:rPr>
                    <w:t>1</w:t>
                  </w:r>
                </w:p>
              </w:tc>
              <w:tc>
                <w:tcPr>
                  <w:tcW w:w="1376" w:type="dxa"/>
                  <w:tcBorders>
                    <w:tl2br w:val="nil"/>
                    <w:tr2bl w:val="nil"/>
                  </w:tcBorders>
                  <w:vAlign w:val="center"/>
                </w:tcPr>
                <w:p w14:paraId="5CEE5522">
                  <w:pPr>
                    <w:widowControl/>
                    <w:jc w:val="center"/>
                    <w:rPr>
                      <w:rFonts w:eastAsia="附件"/>
                      <w:szCs w:val="21"/>
                    </w:rPr>
                  </w:pPr>
                  <w:r>
                    <w:rPr>
                      <w:rFonts w:eastAsia="附件"/>
                      <w:szCs w:val="21"/>
                    </w:rPr>
                    <w:t>pH</w:t>
                  </w:r>
                </w:p>
              </w:tc>
              <w:tc>
                <w:tcPr>
                  <w:tcW w:w="1030" w:type="dxa"/>
                  <w:tcBorders>
                    <w:tl2br w:val="nil"/>
                    <w:tr2bl w:val="nil"/>
                  </w:tcBorders>
                  <w:shd w:val="clear" w:color="auto" w:fill="auto"/>
                  <w:vAlign w:val="center"/>
                </w:tcPr>
                <w:p w14:paraId="603F50CA">
                  <w:pPr>
                    <w:jc w:val="center"/>
                    <w:rPr>
                      <w:spacing w:val="-6"/>
                      <w:szCs w:val="21"/>
                    </w:rPr>
                  </w:pPr>
                  <w:r>
                    <w:rPr>
                      <w:rFonts w:hint="eastAsia"/>
                      <w:bCs/>
                      <w:sz w:val="21"/>
                      <w:szCs w:val="21"/>
                      <w:lang w:val="en-US" w:eastAsia="zh-CN"/>
                    </w:rPr>
                    <w:t>*</w:t>
                  </w:r>
                </w:p>
              </w:tc>
              <w:tc>
                <w:tcPr>
                  <w:tcW w:w="860" w:type="dxa"/>
                  <w:tcBorders>
                    <w:tl2br w:val="nil"/>
                    <w:tr2bl w:val="nil"/>
                  </w:tcBorders>
                  <w:vAlign w:val="center"/>
                </w:tcPr>
                <w:p w14:paraId="660FE350">
                  <w:pPr>
                    <w:jc w:val="center"/>
                    <w:rPr>
                      <w:rFonts w:eastAsia="附件"/>
                      <w:kern w:val="0"/>
                      <w:szCs w:val="21"/>
                    </w:rPr>
                  </w:pPr>
                  <w:r>
                    <w:rPr>
                      <w:rFonts w:hint="eastAsia"/>
                      <w:bCs/>
                      <w:sz w:val="21"/>
                      <w:szCs w:val="21"/>
                      <w:lang w:val="en-US" w:eastAsia="zh-CN"/>
                    </w:rPr>
                    <w:t>*</w:t>
                  </w:r>
                </w:p>
              </w:tc>
              <w:tc>
                <w:tcPr>
                  <w:tcW w:w="1490" w:type="dxa"/>
                  <w:tcBorders>
                    <w:tl2br w:val="nil"/>
                    <w:tr2bl w:val="nil"/>
                  </w:tcBorders>
                  <w:vAlign w:val="center"/>
                </w:tcPr>
                <w:p w14:paraId="4255779A">
                  <w:pPr>
                    <w:widowControl/>
                    <w:adjustRightInd w:val="0"/>
                    <w:snapToGrid w:val="0"/>
                    <w:jc w:val="center"/>
                    <w:textAlignment w:val="center"/>
                    <w:rPr>
                      <w:rFonts w:eastAsia="附件"/>
                      <w:kern w:val="0"/>
                      <w:szCs w:val="21"/>
                    </w:rPr>
                  </w:pPr>
                  <w:r>
                    <w:rPr>
                      <w:rFonts w:eastAsia="附件"/>
                      <w:kern w:val="0"/>
                      <w:szCs w:val="21"/>
                    </w:rPr>
                    <w:t>4500</w:t>
                  </w:r>
                </w:p>
              </w:tc>
              <w:tc>
                <w:tcPr>
                  <w:tcW w:w="841" w:type="dxa"/>
                  <w:tcBorders>
                    <w:tl2br w:val="nil"/>
                    <w:tr2bl w:val="nil"/>
                  </w:tcBorders>
                  <w:vAlign w:val="center"/>
                </w:tcPr>
                <w:p w14:paraId="01FDAFC9">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2ABD2288">
                  <w:pPr>
                    <w:jc w:val="center"/>
                    <w:rPr>
                      <w:rFonts w:eastAsia="附件"/>
                      <w:kern w:val="0"/>
                      <w:szCs w:val="21"/>
                    </w:rPr>
                  </w:pPr>
                  <w:r>
                    <w:rPr>
                      <w:rFonts w:eastAsia="附件"/>
                      <w:kern w:val="0"/>
                      <w:szCs w:val="21"/>
                    </w:rPr>
                    <w:t>/</w:t>
                  </w:r>
                </w:p>
              </w:tc>
              <w:tc>
                <w:tcPr>
                  <w:tcW w:w="1056" w:type="dxa"/>
                  <w:tcBorders>
                    <w:tl2br w:val="nil"/>
                    <w:tr2bl w:val="nil"/>
                  </w:tcBorders>
                  <w:vAlign w:val="center"/>
                </w:tcPr>
                <w:p w14:paraId="41C261AD">
                  <w:pPr>
                    <w:widowControl/>
                    <w:adjustRightInd w:val="0"/>
                    <w:snapToGrid w:val="0"/>
                    <w:jc w:val="center"/>
                    <w:textAlignment w:val="center"/>
                    <w:rPr>
                      <w:rFonts w:eastAsia="附件"/>
                      <w:kern w:val="0"/>
                      <w:szCs w:val="21"/>
                    </w:rPr>
                  </w:pPr>
                  <w:r>
                    <w:rPr>
                      <w:rFonts w:eastAsia="附件"/>
                      <w:kern w:val="0"/>
                      <w:szCs w:val="21"/>
                    </w:rPr>
                    <w:t>0</w:t>
                  </w:r>
                </w:p>
              </w:tc>
            </w:tr>
            <w:tr w14:paraId="7255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7D132003">
                  <w:pPr>
                    <w:adjustRightInd w:val="0"/>
                    <w:snapToGrid w:val="0"/>
                    <w:jc w:val="center"/>
                    <w:rPr>
                      <w:rFonts w:eastAsia="附件"/>
                      <w:kern w:val="0"/>
                      <w:szCs w:val="21"/>
                    </w:rPr>
                  </w:pPr>
                  <w:r>
                    <w:rPr>
                      <w:rFonts w:eastAsia="附件"/>
                      <w:kern w:val="0"/>
                      <w:szCs w:val="21"/>
                    </w:rPr>
                    <w:t>2</w:t>
                  </w:r>
                </w:p>
              </w:tc>
              <w:tc>
                <w:tcPr>
                  <w:tcW w:w="1376" w:type="dxa"/>
                  <w:tcBorders>
                    <w:tl2br w:val="nil"/>
                    <w:tr2bl w:val="nil"/>
                  </w:tcBorders>
                  <w:vAlign w:val="center"/>
                </w:tcPr>
                <w:p w14:paraId="5B964AC0">
                  <w:pPr>
                    <w:widowControl/>
                    <w:jc w:val="center"/>
                    <w:rPr>
                      <w:rFonts w:eastAsia="附件"/>
                      <w:szCs w:val="21"/>
                    </w:rPr>
                  </w:pPr>
                  <w:r>
                    <w:rPr>
                      <w:rFonts w:hint="eastAsia" w:eastAsia="附件"/>
                      <w:szCs w:val="21"/>
                    </w:rPr>
                    <w:t>石油类</w:t>
                  </w:r>
                </w:p>
              </w:tc>
              <w:tc>
                <w:tcPr>
                  <w:tcW w:w="1030" w:type="dxa"/>
                  <w:tcBorders>
                    <w:tl2br w:val="nil"/>
                    <w:tr2bl w:val="nil"/>
                  </w:tcBorders>
                  <w:shd w:val="clear" w:color="auto" w:fill="auto"/>
                  <w:vAlign w:val="center"/>
                </w:tcPr>
                <w:p w14:paraId="0E920F9E">
                  <w:pPr>
                    <w:jc w:val="center"/>
                    <w:rPr>
                      <w:szCs w:val="21"/>
                    </w:rPr>
                  </w:pPr>
                  <w:r>
                    <w:rPr>
                      <w:rFonts w:hint="eastAsia"/>
                      <w:bCs/>
                      <w:sz w:val="21"/>
                      <w:szCs w:val="21"/>
                      <w:lang w:val="en-US" w:eastAsia="zh-CN"/>
                    </w:rPr>
                    <w:t>*</w:t>
                  </w:r>
                </w:p>
              </w:tc>
              <w:tc>
                <w:tcPr>
                  <w:tcW w:w="860" w:type="dxa"/>
                  <w:tcBorders>
                    <w:tl2br w:val="nil"/>
                    <w:tr2bl w:val="nil"/>
                  </w:tcBorders>
                  <w:vAlign w:val="center"/>
                </w:tcPr>
                <w:p w14:paraId="27124C66">
                  <w:pPr>
                    <w:jc w:val="center"/>
                    <w:rPr>
                      <w:szCs w:val="21"/>
                    </w:rPr>
                  </w:pPr>
                  <w:r>
                    <w:rPr>
                      <w:rFonts w:hint="eastAsia"/>
                      <w:bCs/>
                      <w:sz w:val="21"/>
                      <w:szCs w:val="21"/>
                      <w:lang w:val="en-US" w:eastAsia="zh-CN"/>
                    </w:rPr>
                    <w:t>*</w:t>
                  </w:r>
                </w:p>
              </w:tc>
              <w:tc>
                <w:tcPr>
                  <w:tcW w:w="1490" w:type="dxa"/>
                  <w:tcBorders>
                    <w:tl2br w:val="nil"/>
                    <w:tr2bl w:val="nil"/>
                  </w:tcBorders>
                  <w:vAlign w:val="center"/>
                </w:tcPr>
                <w:p w14:paraId="54F62665">
                  <w:pPr>
                    <w:widowControl/>
                    <w:adjustRightInd w:val="0"/>
                    <w:snapToGrid w:val="0"/>
                    <w:jc w:val="center"/>
                    <w:textAlignment w:val="center"/>
                    <w:rPr>
                      <w:rFonts w:eastAsia="附件"/>
                      <w:kern w:val="0"/>
                      <w:szCs w:val="21"/>
                    </w:rPr>
                  </w:pPr>
                </w:p>
              </w:tc>
              <w:tc>
                <w:tcPr>
                  <w:tcW w:w="841" w:type="dxa"/>
                  <w:tcBorders>
                    <w:tl2br w:val="nil"/>
                    <w:tr2bl w:val="nil"/>
                  </w:tcBorders>
                  <w:vAlign w:val="center"/>
                </w:tcPr>
                <w:p w14:paraId="648F2F1F">
                  <w:pPr>
                    <w:jc w:val="center"/>
                    <w:rPr>
                      <w:rFonts w:eastAsia="附件"/>
                      <w:kern w:val="0"/>
                      <w:szCs w:val="21"/>
                    </w:rPr>
                  </w:pPr>
                </w:p>
              </w:tc>
              <w:tc>
                <w:tcPr>
                  <w:tcW w:w="850" w:type="dxa"/>
                  <w:tcBorders>
                    <w:tl2br w:val="nil"/>
                    <w:tr2bl w:val="nil"/>
                  </w:tcBorders>
                  <w:vAlign w:val="center"/>
                </w:tcPr>
                <w:p w14:paraId="5DB42FB7">
                  <w:pPr>
                    <w:jc w:val="center"/>
                    <w:rPr>
                      <w:rFonts w:eastAsia="附件"/>
                      <w:kern w:val="0"/>
                      <w:szCs w:val="21"/>
                    </w:rPr>
                  </w:pPr>
                </w:p>
              </w:tc>
              <w:tc>
                <w:tcPr>
                  <w:tcW w:w="1056" w:type="dxa"/>
                  <w:tcBorders>
                    <w:tl2br w:val="nil"/>
                    <w:tr2bl w:val="nil"/>
                  </w:tcBorders>
                  <w:vAlign w:val="center"/>
                </w:tcPr>
                <w:p w14:paraId="214FDC52">
                  <w:pPr>
                    <w:widowControl/>
                    <w:adjustRightInd w:val="0"/>
                    <w:snapToGrid w:val="0"/>
                    <w:jc w:val="center"/>
                    <w:textAlignment w:val="center"/>
                    <w:rPr>
                      <w:rFonts w:eastAsia="附件"/>
                      <w:kern w:val="0"/>
                      <w:szCs w:val="21"/>
                    </w:rPr>
                  </w:pPr>
                </w:p>
              </w:tc>
            </w:tr>
            <w:tr w14:paraId="2D51A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0085BCAB">
                  <w:pPr>
                    <w:adjustRightInd w:val="0"/>
                    <w:snapToGrid w:val="0"/>
                    <w:jc w:val="center"/>
                    <w:rPr>
                      <w:rFonts w:eastAsia="附件"/>
                      <w:kern w:val="0"/>
                      <w:szCs w:val="21"/>
                    </w:rPr>
                  </w:pPr>
                  <w:r>
                    <w:rPr>
                      <w:rFonts w:eastAsia="附件"/>
                      <w:kern w:val="0"/>
                      <w:szCs w:val="21"/>
                    </w:rPr>
                    <w:t>3</w:t>
                  </w:r>
                </w:p>
              </w:tc>
              <w:tc>
                <w:tcPr>
                  <w:tcW w:w="1376" w:type="dxa"/>
                  <w:tcBorders>
                    <w:tl2br w:val="nil"/>
                    <w:tr2bl w:val="nil"/>
                  </w:tcBorders>
                  <w:vAlign w:val="center"/>
                </w:tcPr>
                <w:p w14:paraId="34F7CF29">
                  <w:pPr>
                    <w:widowControl/>
                    <w:jc w:val="center"/>
                    <w:rPr>
                      <w:rFonts w:eastAsia="附件"/>
                      <w:szCs w:val="21"/>
                    </w:rPr>
                  </w:pPr>
                  <w:r>
                    <w:rPr>
                      <w:rFonts w:eastAsia="附件"/>
                      <w:szCs w:val="21"/>
                    </w:rPr>
                    <w:t>石油烃（C10-C40）</w:t>
                  </w:r>
                </w:p>
              </w:tc>
              <w:tc>
                <w:tcPr>
                  <w:tcW w:w="1030" w:type="dxa"/>
                  <w:tcBorders>
                    <w:tl2br w:val="nil"/>
                    <w:tr2bl w:val="nil"/>
                  </w:tcBorders>
                  <w:shd w:val="clear" w:color="auto" w:fill="auto"/>
                  <w:vAlign w:val="center"/>
                </w:tcPr>
                <w:p w14:paraId="2EAD4F4D">
                  <w:pPr>
                    <w:jc w:val="center"/>
                    <w:rPr>
                      <w:spacing w:val="-6"/>
                      <w:szCs w:val="21"/>
                    </w:rPr>
                  </w:pPr>
                  <w:r>
                    <w:rPr>
                      <w:rFonts w:hint="eastAsia"/>
                      <w:bCs/>
                      <w:sz w:val="21"/>
                      <w:szCs w:val="21"/>
                      <w:lang w:val="en-US" w:eastAsia="zh-CN"/>
                    </w:rPr>
                    <w:t>*</w:t>
                  </w:r>
                </w:p>
              </w:tc>
              <w:tc>
                <w:tcPr>
                  <w:tcW w:w="860" w:type="dxa"/>
                  <w:tcBorders>
                    <w:tl2br w:val="nil"/>
                    <w:tr2bl w:val="nil"/>
                  </w:tcBorders>
                  <w:vAlign w:val="center"/>
                </w:tcPr>
                <w:p w14:paraId="3168CCD3">
                  <w:pPr>
                    <w:jc w:val="center"/>
                    <w:rPr>
                      <w:rFonts w:eastAsia="附件"/>
                      <w:kern w:val="0"/>
                      <w:szCs w:val="21"/>
                    </w:rPr>
                  </w:pPr>
                  <w:r>
                    <w:rPr>
                      <w:rFonts w:hint="eastAsia"/>
                      <w:bCs/>
                      <w:sz w:val="21"/>
                      <w:szCs w:val="21"/>
                      <w:lang w:val="en-US" w:eastAsia="zh-CN"/>
                    </w:rPr>
                    <w:t>*</w:t>
                  </w:r>
                </w:p>
              </w:tc>
              <w:tc>
                <w:tcPr>
                  <w:tcW w:w="1490" w:type="dxa"/>
                  <w:tcBorders>
                    <w:tl2br w:val="nil"/>
                    <w:tr2bl w:val="nil"/>
                  </w:tcBorders>
                  <w:vAlign w:val="center"/>
                </w:tcPr>
                <w:p w14:paraId="3A27D6B4">
                  <w:pPr>
                    <w:widowControl/>
                    <w:adjustRightInd w:val="0"/>
                    <w:snapToGrid w:val="0"/>
                    <w:jc w:val="center"/>
                    <w:textAlignment w:val="center"/>
                    <w:rPr>
                      <w:rFonts w:eastAsia="附件"/>
                      <w:kern w:val="0"/>
                      <w:szCs w:val="21"/>
                    </w:rPr>
                  </w:pPr>
                  <w:r>
                    <w:rPr>
                      <w:rFonts w:eastAsia="附件"/>
                      <w:kern w:val="0"/>
                      <w:szCs w:val="21"/>
                    </w:rPr>
                    <w:t>/</w:t>
                  </w:r>
                </w:p>
              </w:tc>
              <w:tc>
                <w:tcPr>
                  <w:tcW w:w="841" w:type="dxa"/>
                  <w:tcBorders>
                    <w:tl2br w:val="nil"/>
                    <w:tr2bl w:val="nil"/>
                  </w:tcBorders>
                  <w:vAlign w:val="center"/>
                </w:tcPr>
                <w:p w14:paraId="3CC9F04E">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05840DDC">
                  <w:pPr>
                    <w:jc w:val="center"/>
                    <w:rPr>
                      <w:rFonts w:eastAsia="附件"/>
                      <w:kern w:val="0"/>
                      <w:szCs w:val="21"/>
                    </w:rPr>
                  </w:pPr>
                  <w:r>
                    <w:rPr>
                      <w:rFonts w:eastAsia="附件"/>
                      <w:kern w:val="0"/>
                      <w:szCs w:val="21"/>
                    </w:rPr>
                    <w:t>/</w:t>
                  </w:r>
                </w:p>
              </w:tc>
              <w:tc>
                <w:tcPr>
                  <w:tcW w:w="1056" w:type="dxa"/>
                  <w:tcBorders>
                    <w:tl2br w:val="nil"/>
                    <w:tr2bl w:val="nil"/>
                  </w:tcBorders>
                  <w:vAlign w:val="center"/>
                </w:tcPr>
                <w:p w14:paraId="7048DA1D">
                  <w:pPr>
                    <w:widowControl/>
                    <w:adjustRightInd w:val="0"/>
                    <w:snapToGrid w:val="0"/>
                    <w:jc w:val="center"/>
                    <w:textAlignment w:val="center"/>
                    <w:rPr>
                      <w:rFonts w:eastAsia="附件"/>
                      <w:kern w:val="0"/>
                      <w:szCs w:val="21"/>
                    </w:rPr>
                  </w:pPr>
                </w:p>
              </w:tc>
            </w:tr>
            <w:tr w14:paraId="24F1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07421254">
                  <w:pPr>
                    <w:adjustRightInd w:val="0"/>
                    <w:snapToGrid w:val="0"/>
                    <w:jc w:val="center"/>
                    <w:rPr>
                      <w:rFonts w:eastAsia="附件"/>
                      <w:kern w:val="0"/>
                      <w:szCs w:val="21"/>
                    </w:rPr>
                  </w:pPr>
                  <w:r>
                    <w:rPr>
                      <w:rFonts w:eastAsia="附件"/>
                      <w:kern w:val="0"/>
                      <w:szCs w:val="21"/>
                    </w:rPr>
                    <w:t>4</w:t>
                  </w:r>
                </w:p>
              </w:tc>
              <w:tc>
                <w:tcPr>
                  <w:tcW w:w="1376" w:type="dxa"/>
                  <w:tcBorders>
                    <w:tl2br w:val="nil"/>
                    <w:tr2bl w:val="nil"/>
                  </w:tcBorders>
                  <w:vAlign w:val="center"/>
                </w:tcPr>
                <w:p w14:paraId="231EA665">
                  <w:pPr>
                    <w:widowControl/>
                    <w:jc w:val="center"/>
                    <w:rPr>
                      <w:rFonts w:eastAsia="附件"/>
                      <w:szCs w:val="21"/>
                    </w:rPr>
                  </w:pPr>
                  <w:r>
                    <w:rPr>
                      <w:rFonts w:eastAsia="附件"/>
                      <w:szCs w:val="21"/>
                    </w:rPr>
                    <w:t>硫化物</w:t>
                  </w:r>
                </w:p>
              </w:tc>
              <w:tc>
                <w:tcPr>
                  <w:tcW w:w="1030" w:type="dxa"/>
                  <w:tcBorders>
                    <w:tl2br w:val="nil"/>
                    <w:tr2bl w:val="nil"/>
                  </w:tcBorders>
                  <w:shd w:val="clear" w:color="auto" w:fill="auto"/>
                  <w:vAlign w:val="center"/>
                </w:tcPr>
                <w:p w14:paraId="4679EB64">
                  <w:pPr>
                    <w:jc w:val="center"/>
                    <w:rPr>
                      <w:spacing w:val="-6"/>
                      <w:szCs w:val="21"/>
                    </w:rPr>
                  </w:pPr>
                  <w:r>
                    <w:rPr>
                      <w:rFonts w:hint="eastAsia"/>
                      <w:bCs/>
                      <w:sz w:val="21"/>
                      <w:szCs w:val="21"/>
                      <w:lang w:val="en-US" w:eastAsia="zh-CN"/>
                    </w:rPr>
                    <w:t>*</w:t>
                  </w:r>
                </w:p>
              </w:tc>
              <w:tc>
                <w:tcPr>
                  <w:tcW w:w="860" w:type="dxa"/>
                  <w:tcBorders>
                    <w:tl2br w:val="nil"/>
                    <w:tr2bl w:val="nil"/>
                  </w:tcBorders>
                  <w:vAlign w:val="center"/>
                </w:tcPr>
                <w:p w14:paraId="3257EC7D">
                  <w:pPr>
                    <w:jc w:val="center"/>
                    <w:rPr>
                      <w:rFonts w:eastAsia="附件"/>
                      <w:kern w:val="0"/>
                      <w:szCs w:val="21"/>
                    </w:rPr>
                  </w:pPr>
                  <w:r>
                    <w:rPr>
                      <w:rFonts w:hint="eastAsia"/>
                      <w:bCs/>
                      <w:sz w:val="21"/>
                      <w:szCs w:val="21"/>
                      <w:lang w:val="en-US" w:eastAsia="zh-CN"/>
                    </w:rPr>
                    <w:t>*</w:t>
                  </w:r>
                </w:p>
              </w:tc>
              <w:tc>
                <w:tcPr>
                  <w:tcW w:w="1490" w:type="dxa"/>
                  <w:tcBorders>
                    <w:tl2br w:val="nil"/>
                    <w:tr2bl w:val="nil"/>
                  </w:tcBorders>
                  <w:vAlign w:val="center"/>
                </w:tcPr>
                <w:p w14:paraId="0CEEC089">
                  <w:pPr>
                    <w:widowControl/>
                    <w:adjustRightInd w:val="0"/>
                    <w:snapToGrid w:val="0"/>
                    <w:jc w:val="center"/>
                    <w:textAlignment w:val="center"/>
                    <w:rPr>
                      <w:rFonts w:eastAsia="附件"/>
                      <w:kern w:val="0"/>
                      <w:szCs w:val="21"/>
                    </w:rPr>
                  </w:pPr>
                  <w:r>
                    <w:rPr>
                      <w:rFonts w:eastAsia="附件"/>
                      <w:kern w:val="0"/>
                      <w:szCs w:val="21"/>
                    </w:rPr>
                    <w:t>/</w:t>
                  </w:r>
                </w:p>
              </w:tc>
              <w:tc>
                <w:tcPr>
                  <w:tcW w:w="841" w:type="dxa"/>
                  <w:tcBorders>
                    <w:tl2br w:val="nil"/>
                    <w:tr2bl w:val="nil"/>
                  </w:tcBorders>
                  <w:vAlign w:val="center"/>
                </w:tcPr>
                <w:p w14:paraId="1573A956">
                  <w:pPr>
                    <w:jc w:val="center"/>
                    <w:rPr>
                      <w:rFonts w:eastAsia="附件"/>
                      <w:kern w:val="0"/>
                      <w:szCs w:val="21"/>
                    </w:rPr>
                  </w:pPr>
                  <w:r>
                    <w:rPr>
                      <w:rFonts w:eastAsia="附件"/>
                      <w:kern w:val="0"/>
                      <w:szCs w:val="21"/>
                    </w:rPr>
                    <w:t>/</w:t>
                  </w:r>
                </w:p>
              </w:tc>
              <w:tc>
                <w:tcPr>
                  <w:tcW w:w="850" w:type="dxa"/>
                  <w:tcBorders>
                    <w:tl2br w:val="nil"/>
                    <w:tr2bl w:val="nil"/>
                  </w:tcBorders>
                  <w:vAlign w:val="center"/>
                </w:tcPr>
                <w:p w14:paraId="1E9F6954">
                  <w:pPr>
                    <w:jc w:val="center"/>
                    <w:rPr>
                      <w:rFonts w:eastAsia="附件"/>
                      <w:kern w:val="0"/>
                      <w:szCs w:val="21"/>
                    </w:rPr>
                  </w:pPr>
                  <w:r>
                    <w:rPr>
                      <w:rFonts w:eastAsia="附件"/>
                      <w:kern w:val="0"/>
                      <w:szCs w:val="21"/>
                    </w:rPr>
                    <w:t>/</w:t>
                  </w:r>
                </w:p>
              </w:tc>
              <w:tc>
                <w:tcPr>
                  <w:tcW w:w="1056" w:type="dxa"/>
                  <w:tcBorders>
                    <w:tl2br w:val="nil"/>
                    <w:tr2bl w:val="nil"/>
                  </w:tcBorders>
                  <w:vAlign w:val="center"/>
                </w:tcPr>
                <w:p w14:paraId="6D847711">
                  <w:pPr>
                    <w:widowControl/>
                    <w:adjustRightInd w:val="0"/>
                    <w:snapToGrid w:val="0"/>
                    <w:jc w:val="center"/>
                    <w:textAlignment w:val="center"/>
                    <w:rPr>
                      <w:rFonts w:eastAsia="附件"/>
                      <w:kern w:val="0"/>
                      <w:szCs w:val="21"/>
                    </w:rPr>
                  </w:pPr>
                  <w:r>
                    <w:rPr>
                      <w:rFonts w:eastAsia="附件"/>
                      <w:kern w:val="0"/>
                      <w:szCs w:val="21"/>
                    </w:rPr>
                    <w:t>/</w:t>
                  </w:r>
                </w:p>
              </w:tc>
            </w:tr>
            <w:tr w14:paraId="6139F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183DBE2E">
                  <w:pPr>
                    <w:adjustRightInd w:val="0"/>
                    <w:snapToGrid w:val="0"/>
                    <w:jc w:val="center"/>
                    <w:rPr>
                      <w:rFonts w:eastAsia="附件"/>
                      <w:kern w:val="0"/>
                      <w:szCs w:val="21"/>
                    </w:rPr>
                  </w:pPr>
                  <w:r>
                    <w:rPr>
                      <w:rFonts w:eastAsia="附件"/>
                      <w:kern w:val="0"/>
                      <w:szCs w:val="21"/>
                    </w:rPr>
                    <w:t>5</w:t>
                  </w:r>
                </w:p>
              </w:tc>
              <w:tc>
                <w:tcPr>
                  <w:tcW w:w="1376" w:type="dxa"/>
                  <w:tcBorders>
                    <w:tl2br w:val="nil"/>
                    <w:tr2bl w:val="nil"/>
                  </w:tcBorders>
                  <w:shd w:val="clear" w:color="auto" w:fill="auto"/>
                  <w:vAlign w:val="center"/>
                </w:tcPr>
                <w:p w14:paraId="76AF86B6">
                  <w:pPr>
                    <w:widowControl/>
                    <w:jc w:val="center"/>
                    <w:rPr>
                      <w:sz w:val="20"/>
                      <w:szCs w:val="21"/>
                      <w:lang w:bidi="ar"/>
                    </w:rPr>
                  </w:pPr>
                  <w:r>
                    <w:rPr>
                      <w:rStyle w:val="384"/>
                      <w:rFonts w:hint="default" w:ascii="Times New Roman" w:hAnsi="Times New Roman" w:cs="Times New Roman"/>
                      <w:color w:val="auto"/>
                      <w:szCs w:val="21"/>
                      <w:lang w:bidi="ar"/>
                    </w:rPr>
                    <w:t>钡</w:t>
                  </w:r>
                </w:p>
              </w:tc>
              <w:tc>
                <w:tcPr>
                  <w:tcW w:w="1030" w:type="dxa"/>
                  <w:tcBorders>
                    <w:tl2br w:val="nil"/>
                    <w:tr2bl w:val="nil"/>
                  </w:tcBorders>
                  <w:shd w:val="clear" w:color="auto" w:fill="auto"/>
                  <w:vAlign w:val="center"/>
                </w:tcPr>
                <w:p w14:paraId="71951439">
                  <w:pPr>
                    <w:jc w:val="center"/>
                    <w:rPr>
                      <w:spacing w:val="-6"/>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08048C29">
                  <w:pPr>
                    <w:jc w:val="center"/>
                    <w:rPr>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0F7F7104">
                  <w:pPr>
                    <w:widowControl/>
                    <w:adjustRightInd w:val="0"/>
                    <w:snapToGrid w:val="0"/>
                    <w:jc w:val="center"/>
                    <w:textAlignment w:val="center"/>
                    <w:rPr>
                      <w:bCs/>
                      <w:szCs w:val="21"/>
                      <w:lang w:bidi="ar"/>
                    </w:rPr>
                  </w:pPr>
                  <w:r>
                    <w:rPr>
                      <w:bCs/>
                      <w:szCs w:val="21"/>
                      <w:lang w:bidi="ar"/>
                    </w:rPr>
                    <w:t>2766</w:t>
                  </w:r>
                </w:p>
              </w:tc>
              <w:tc>
                <w:tcPr>
                  <w:tcW w:w="841" w:type="dxa"/>
                  <w:tcBorders>
                    <w:tl2br w:val="nil"/>
                    <w:tr2bl w:val="nil"/>
                  </w:tcBorders>
                  <w:shd w:val="clear" w:color="auto" w:fill="auto"/>
                  <w:vAlign w:val="center"/>
                </w:tcPr>
                <w:p w14:paraId="04C5189F">
                  <w:pPr>
                    <w:widowControl/>
                    <w:jc w:val="center"/>
                    <w:textAlignment w:val="center"/>
                    <w:rPr>
                      <w:rFonts w:eastAsia="附件"/>
                      <w:kern w:val="0"/>
                      <w:szCs w:val="21"/>
                    </w:rPr>
                  </w:pPr>
                  <w:r>
                    <w:rPr>
                      <w:color w:val="000000"/>
                      <w:kern w:val="0"/>
                      <w:sz w:val="22"/>
                      <w:szCs w:val="22"/>
                      <w:lang w:bidi="ar"/>
                    </w:rPr>
                    <w:t xml:space="preserve">0.000 </w:t>
                  </w:r>
                </w:p>
              </w:tc>
              <w:tc>
                <w:tcPr>
                  <w:tcW w:w="850" w:type="dxa"/>
                  <w:tcBorders>
                    <w:tl2br w:val="nil"/>
                    <w:tr2bl w:val="nil"/>
                  </w:tcBorders>
                  <w:shd w:val="clear" w:color="auto" w:fill="auto"/>
                  <w:vAlign w:val="center"/>
                </w:tcPr>
                <w:p w14:paraId="572812E1">
                  <w:pPr>
                    <w:widowControl/>
                    <w:jc w:val="center"/>
                    <w:textAlignment w:val="center"/>
                    <w:rPr>
                      <w:sz w:val="22"/>
                      <w:szCs w:val="22"/>
                    </w:rPr>
                  </w:pPr>
                  <w:r>
                    <w:rPr>
                      <w:color w:val="000000"/>
                      <w:kern w:val="0"/>
                      <w:sz w:val="22"/>
                      <w:szCs w:val="22"/>
                      <w:lang w:bidi="ar"/>
                    </w:rPr>
                    <w:t xml:space="preserve">0.000 </w:t>
                  </w:r>
                </w:p>
              </w:tc>
              <w:tc>
                <w:tcPr>
                  <w:tcW w:w="1056" w:type="dxa"/>
                  <w:tcBorders>
                    <w:tl2br w:val="nil"/>
                    <w:tr2bl w:val="nil"/>
                  </w:tcBorders>
                  <w:shd w:val="clear" w:color="auto" w:fill="auto"/>
                  <w:vAlign w:val="center"/>
                </w:tcPr>
                <w:p w14:paraId="6D2FA0F2">
                  <w:pPr>
                    <w:widowControl/>
                    <w:adjustRightInd w:val="0"/>
                    <w:snapToGrid w:val="0"/>
                    <w:jc w:val="center"/>
                    <w:textAlignment w:val="center"/>
                    <w:rPr>
                      <w:rFonts w:eastAsia="附件"/>
                      <w:kern w:val="0"/>
                      <w:szCs w:val="21"/>
                    </w:rPr>
                  </w:pPr>
                </w:p>
              </w:tc>
            </w:tr>
            <w:tr w14:paraId="1CE17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196C3C81">
                  <w:pPr>
                    <w:adjustRightInd w:val="0"/>
                    <w:snapToGrid w:val="0"/>
                    <w:jc w:val="center"/>
                    <w:rPr>
                      <w:rFonts w:eastAsia="附件"/>
                      <w:kern w:val="0"/>
                      <w:szCs w:val="21"/>
                    </w:rPr>
                  </w:pPr>
                  <w:r>
                    <w:rPr>
                      <w:rFonts w:eastAsia="附件"/>
                      <w:kern w:val="0"/>
                      <w:szCs w:val="21"/>
                    </w:rPr>
                    <w:t>6</w:t>
                  </w:r>
                </w:p>
              </w:tc>
              <w:tc>
                <w:tcPr>
                  <w:tcW w:w="1376" w:type="dxa"/>
                  <w:tcBorders>
                    <w:tl2br w:val="nil"/>
                    <w:tr2bl w:val="nil"/>
                  </w:tcBorders>
                  <w:shd w:val="clear" w:color="auto" w:fill="auto"/>
                  <w:vAlign w:val="center"/>
                </w:tcPr>
                <w:p w14:paraId="094BBA19">
                  <w:pPr>
                    <w:widowControl/>
                    <w:jc w:val="center"/>
                    <w:rPr>
                      <w:sz w:val="20"/>
                      <w:szCs w:val="21"/>
                      <w:lang w:bidi="ar"/>
                    </w:rPr>
                  </w:pPr>
                  <w:r>
                    <w:rPr>
                      <w:rFonts w:hint="eastAsia"/>
                      <w:sz w:val="20"/>
                      <w:szCs w:val="21"/>
                      <w:lang w:bidi="ar"/>
                    </w:rPr>
                    <w:t>水溶性盐总量</w:t>
                  </w:r>
                </w:p>
              </w:tc>
              <w:tc>
                <w:tcPr>
                  <w:tcW w:w="1030" w:type="dxa"/>
                  <w:tcBorders>
                    <w:tl2br w:val="nil"/>
                    <w:tr2bl w:val="nil"/>
                  </w:tcBorders>
                  <w:shd w:val="clear" w:color="auto" w:fill="auto"/>
                  <w:vAlign w:val="center"/>
                </w:tcPr>
                <w:p w14:paraId="5CFD0E23">
                  <w:pPr>
                    <w:jc w:val="center"/>
                    <w:rPr>
                      <w:spacing w:val="-6"/>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2457D6C0">
                  <w:pPr>
                    <w:jc w:val="center"/>
                    <w:rPr>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6E1EF8F8">
                  <w:pPr>
                    <w:widowControl/>
                    <w:adjustRightInd w:val="0"/>
                    <w:snapToGrid w:val="0"/>
                    <w:jc w:val="center"/>
                    <w:textAlignment w:val="center"/>
                    <w:rPr>
                      <w:bCs/>
                      <w:szCs w:val="21"/>
                      <w:lang w:bidi="ar"/>
                    </w:rPr>
                  </w:pPr>
                </w:p>
              </w:tc>
              <w:tc>
                <w:tcPr>
                  <w:tcW w:w="841" w:type="dxa"/>
                  <w:tcBorders>
                    <w:tl2br w:val="nil"/>
                    <w:tr2bl w:val="nil"/>
                  </w:tcBorders>
                  <w:shd w:val="clear" w:color="auto" w:fill="auto"/>
                  <w:vAlign w:val="center"/>
                </w:tcPr>
                <w:p w14:paraId="46819C5E">
                  <w:pPr>
                    <w:widowControl/>
                    <w:jc w:val="center"/>
                    <w:textAlignment w:val="center"/>
                    <w:rPr>
                      <w:rFonts w:eastAsia="附件"/>
                      <w:kern w:val="0"/>
                      <w:szCs w:val="21"/>
                    </w:rPr>
                  </w:pPr>
                  <w:r>
                    <w:rPr>
                      <w:color w:val="000000"/>
                      <w:kern w:val="0"/>
                      <w:sz w:val="22"/>
                      <w:szCs w:val="22"/>
                      <w:lang w:bidi="ar"/>
                    </w:rPr>
                    <w:t xml:space="preserve">0.003 </w:t>
                  </w:r>
                </w:p>
              </w:tc>
              <w:tc>
                <w:tcPr>
                  <w:tcW w:w="850" w:type="dxa"/>
                  <w:tcBorders>
                    <w:tl2br w:val="nil"/>
                    <w:tr2bl w:val="nil"/>
                  </w:tcBorders>
                  <w:shd w:val="clear" w:color="auto" w:fill="auto"/>
                  <w:vAlign w:val="center"/>
                </w:tcPr>
                <w:p w14:paraId="09E48590">
                  <w:pPr>
                    <w:widowControl/>
                    <w:jc w:val="center"/>
                    <w:textAlignment w:val="center"/>
                    <w:rPr>
                      <w:sz w:val="22"/>
                      <w:szCs w:val="22"/>
                    </w:rPr>
                  </w:pPr>
                  <w:r>
                    <w:rPr>
                      <w:color w:val="000000"/>
                      <w:kern w:val="0"/>
                      <w:sz w:val="22"/>
                      <w:szCs w:val="22"/>
                      <w:lang w:bidi="ar"/>
                    </w:rPr>
                    <w:t xml:space="preserve">0.002 </w:t>
                  </w:r>
                </w:p>
              </w:tc>
              <w:tc>
                <w:tcPr>
                  <w:tcW w:w="1056" w:type="dxa"/>
                  <w:tcBorders>
                    <w:tl2br w:val="nil"/>
                    <w:tr2bl w:val="nil"/>
                  </w:tcBorders>
                  <w:shd w:val="clear" w:color="auto" w:fill="auto"/>
                  <w:vAlign w:val="center"/>
                </w:tcPr>
                <w:p w14:paraId="3F91FB12">
                  <w:pPr>
                    <w:widowControl/>
                    <w:adjustRightInd w:val="0"/>
                    <w:snapToGrid w:val="0"/>
                    <w:jc w:val="center"/>
                    <w:textAlignment w:val="center"/>
                    <w:rPr>
                      <w:rFonts w:eastAsia="附件"/>
                      <w:kern w:val="0"/>
                      <w:szCs w:val="21"/>
                    </w:rPr>
                  </w:pPr>
                </w:p>
              </w:tc>
            </w:tr>
            <w:tr w14:paraId="7C438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370D2DBE">
                  <w:pPr>
                    <w:adjustRightInd w:val="0"/>
                    <w:snapToGrid w:val="0"/>
                    <w:jc w:val="center"/>
                    <w:rPr>
                      <w:rFonts w:eastAsia="附件"/>
                      <w:kern w:val="0"/>
                      <w:szCs w:val="21"/>
                    </w:rPr>
                  </w:pPr>
                  <w:r>
                    <w:rPr>
                      <w:rFonts w:eastAsia="附件"/>
                      <w:kern w:val="0"/>
                      <w:szCs w:val="21"/>
                    </w:rPr>
                    <w:t>7</w:t>
                  </w:r>
                </w:p>
              </w:tc>
              <w:tc>
                <w:tcPr>
                  <w:tcW w:w="1376" w:type="dxa"/>
                  <w:tcBorders>
                    <w:tl2br w:val="nil"/>
                    <w:tr2bl w:val="nil"/>
                  </w:tcBorders>
                  <w:shd w:val="clear" w:color="auto" w:fill="auto"/>
                  <w:vAlign w:val="center"/>
                </w:tcPr>
                <w:p w14:paraId="406CD3EF">
                  <w:pPr>
                    <w:widowControl/>
                    <w:jc w:val="center"/>
                    <w:rPr>
                      <w:rFonts w:eastAsia="附件"/>
                      <w:szCs w:val="21"/>
                    </w:rPr>
                  </w:pPr>
                  <w:r>
                    <w:rPr>
                      <w:rStyle w:val="384"/>
                      <w:rFonts w:hint="default" w:ascii="Times New Roman" w:hAnsi="Times New Roman" w:cs="Times New Roman"/>
                      <w:color w:val="auto"/>
                      <w:szCs w:val="21"/>
                      <w:lang w:bidi="ar"/>
                    </w:rPr>
                    <w:t>汞</w:t>
                  </w:r>
                </w:p>
              </w:tc>
              <w:tc>
                <w:tcPr>
                  <w:tcW w:w="1030" w:type="dxa"/>
                  <w:tcBorders>
                    <w:tl2br w:val="nil"/>
                    <w:tr2bl w:val="nil"/>
                  </w:tcBorders>
                  <w:shd w:val="clear" w:color="auto" w:fill="auto"/>
                  <w:vAlign w:val="center"/>
                </w:tcPr>
                <w:p w14:paraId="71BE0C49">
                  <w:pPr>
                    <w:spacing w:line="240" w:lineRule="exact"/>
                    <w:jc w:val="center"/>
                    <w:rPr>
                      <w:spacing w:val="-6"/>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745D4E55">
                  <w:pPr>
                    <w:spacing w:line="240" w:lineRule="exact"/>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5ABC5828">
                  <w:pPr>
                    <w:widowControl/>
                    <w:adjustRightInd w:val="0"/>
                    <w:snapToGrid w:val="0"/>
                    <w:jc w:val="center"/>
                    <w:textAlignment w:val="center"/>
                    <w:rPr>
                      <w:rFonts w:eastAsia="附件"/>
                      <w:kern w:val="0"/>
                      <w:szCs w:val="21"/>
                    </w:rPr>
                  </w:pPr>
                  <w:r>
                    <w:rPr>
                      <w:bCs/>
                      <w:szCs w:val="21"/>
                      <w:lang w:bidi="ar"/>
                    </w:rPr>
                    <w:t>3.4</w:t>
                  </w:r>
                </w:p>
              </w:tc>
              <w:tc>
                <w:tcPr>
                  <w:tcW w:w="841" w:type="dxa"/>
                  <w:tcBorders>
                    <w:tl2br w:val="nil"/>
                    <w:tr2bl w:val="nil"/>
                  </w:tcBorders>
                  <w:shd w:val="clear" w:color="auto" w:fill="auto"/>
                  <w:vAlign w:val="center"/>
                </w:tcPr>
                <w:p w14:paraId="037A50D0">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41DD5D11">
                  <w:pPr>
                    <w:widowControl/>
                    <w:jc w:val="center"/>
                    <w:textAlignment w:val="center"/>
                    <w:rPr>
                      <w:sz w:val="22"/>
                      <w:szCs w:val="22"/>
                    </w:rPr>
                  </w:pPr>
                  <w:r>
                    <w:rPr>
                      <w:color w:val="000000"/>
                      <w:kern w:val="0"/>
                      <w:sz w:val="22"/>
                      <w:szCs w:val="22"/>
                      <w:lang w:bidi="ar"/>
                    </w:rPr>
                    <w:t>/</w:t>
                  </w:r>
                </w:p>
              </w:tc>
              <w:tc>
                <w:tcPr>
                  <w:tcW w:w="1056" w:type="dxa"/>
                  <w:tcBorders>
                    <w:tl2br w:val="nil"/>
                    <w:tr2bl w:val="nil"/>
                  </w:tcBorders>
                  <w:shd w:val="clear" w:color="auto" w:fill="auto"/>
                  <w:vAlign w:val="center"/>
                </w:tcPr>
                <w:p w14:paraId="37322039">
                  <w:pPr>
                    <w:widowControl/>
                    <w:adjustRightInd w:val="0"/>
                    <w:snapToGrid w:val="0"/>
                    <w:jc w:val="center"/>
                    <w:textAlignment w:val="center"/>
                    <w:rPr>
                      <w:rFonts w:eastAsia="附件"/>
                      <w:kern w:val="0"/>
                      <w:szCs w:val="21"/>
                    </w:rPr>
                  </w:pPr>
                  <w:r>
                    <w:rPr>
                      <w:rFonts w:eastAsia="附件"/>
                      <w:kern w:val="0"/>
                      <w:szCs w:val="21"/>
                    </w:rPr>
                    <w:t>0</w:t>
                  </w:r>
                </w:p>
              </w:tc>
            </w:tr>
            <w:tr w14:paraId="237E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2895D5A8">
                  <w:pPr>
                    <w:adjustRightInd w:val="0"/>
                    <w:snapToGrid w:val="0"/>
                    <w:jc w:val="center"/>
                    <w:rPr>
                      <w:rFonts w:eastAsia="附件"/>
                      <w:kern w:val="0"/>
                      <w:szCs w:val="21"/>
                    </w:rPr>
                  </w:pPr>
                  <w:r>
                    <w:rPr>
                      <w:rFonts w:eastAsia="附件"/>
                      <w:kern w:val="0"/>
                      <w:szCs w:val="21"/>
                    </w:rPr>
                    <w:t>8</w:t>
                  </w:r>
                </w:p>
              </w:tc>
              <w:tc>
                <w:tcPr>
                  <w:tcW w:w="1376" w:type="dxa"/>
                  <w:tcBorders>
                    <w:tl2br w:val="nil"/>
                    <w:tr2bl w:val="nil"/>
                  </w:tcBorders>
                  <w:shd w:val="clear" w:color="auto" w:fill="auto"/>
                  <w:vAlign w:val="center"/>
                </w:tcPr>
                <w:p w14:paraId="3D1B2DA5">
                  <w:pPr>
                    <w:widowControl/>
                    <w:jc w:val="center"/>
                    <w:rPr>
                      <w:rFonts w:eastAsia="附件"/>
                      <w:szCs w:val="21"/>
                    </w:rPr>
                  </w:pPr>
                  <w:r>
                    <w:rPr>
                      <w:rStyle w:val="384"/>
                      <w:rFonts w:hint="default" w:ascii="Times New Roman" w:hAnsi="Times New Roman" w:cs="Times New Roman"/>
                      <w:color w:val="auto"/>
                      <w:szCs w:val="21"/>
                      <w:lang w:bidi="ar"/>
                    </w:rPr>
                    <w:t>砷</w:t>
                  </w:r>
                </w:p>
              </w:tc>
              <w:tc>
                <w:tcPr>
                  <w:tcW w:w="1030" w:type="dxa"/>
                  <w:tcBorders>
                    <w:tl2br w:val="nil"/>
                    <w:tr2bl w:val="nil"/>
                  </w:tcBorders>
                  <w:shd w:val="clear" w:color="auto" w:fill="auto"/>
                  <w:vAlign w:val="center"/>
                </w:tcPr>
                <w:p w14:paraId="047AFC65">
                  <w:pPr>
                    <w:jc w:val="center"/>
                    <w:rPr>
                      <w:spacing w:val="-6"/>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6DF8AE5D">
                  <w:pPr>
                    <w:jc w:val="center"/>
                    <w:rPr>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48D0D479">
                  <w:pPr>
                    <w:widowControl/>
                    <w:adjustRightInd w:val="0"/>
                    <w:snapToGrid w:val="0"/>
                    <w:jc w:val="center"/>
                    <w:textAlignment w:val="center"/>
                    <w:rPr>
                      <w:rFonts w:eastAsia="附件"/>
                      <w:kern w:val="0"/>
                      <w:szCs w:val="21"/>
                    </w:rPr>
                  </w:pPr>
                  <w:r>
                    <w:rPr>
                      <w:bCs/>
                      <w:szCs w:val="21"/>
                      <w:lang w:bidi="ar"/>
                    </w:rPr>
                    <w:t>25</w:t>
                  </w:r>
                </w:p>
              </w:tc>
              <w:tc>
                <w:tcPr>
                  <w:tcW w:w="841" w:type="dxa"/>
                  <w:tcBorders>
                    <w:tl2br w:val="nil"/>
                    <w:tr2bl w:val="nil"/>
                  </w:tcBorders>
                  <w:shd w:val="clear" w:color="auto" w:fill="auto"/>
                  <w:vAlign w:val="center"/>
                </w:tcPr>
                <w:p w14:paraId="04326B24">
                  <w:pPr>
                    <w:widowControl/>
                    <w:jc w:val="center"/>
                    <w:textAlignment w:val="center"/>
                    <w:rPr>
                      <w:rFonts w:eastAsia="附件"/>
                      <w:kern w:val="0"/>
                      <w:szCs w:val="21"/>
                    </w:rPr>
                  </w:pPr>
                  <w:r>
                    <w:rPr>
                      <w:color w:val="000000"/>
                      <w:kern w:val="0"/>
                      <w:sz w:val="22"/>
                      <w:szCs w:val="22"/>
                      <w:lang w:bidi="ar"/>
                    </w:rPr>
                    <w:t xml:space="preserve">0.000 </w:t>
                  </w:r>
                </w:p>
              </w:tc>
              <w:tc>
                <w:tcPr>
                  <w:tcW w:w="850" w:type="dxa"/>
                  <w:tcBorders>
                    <w:tl2br w:val="nil"/>
                    <w:tr2bl w:val="nil"/>
                  </w:tcBorders>
                  <w:shd w:val="clear" w:color="auto" w:fill="auto"/>
                  <w:vAlign w:val="center"/>
                </w:tcPr>
                <w:p w14:paraId="6088A02E">
                  <w:pPr>
                    <w:widowControl/>
                    <w:jc w:val="center"/>
                    <w:textAlignment w:val="center"/>
                    <w:rPr>
                      <w:sz w:val="22"/>
                      <w:szCs w:val="22"/>
                    </w:rPr>
                  </w:pPr>
                  <w:r>
                    <w:rPr>
                      <w:color w:val="000000"/>
                      <w:kern w:val="0"/>
                      <w:sz w:val="22"/>
                      <w:szCs w:val="22"/>
                      <w:lang w:bidi="ar"/>
                    </w:rPr>
                    <w:t xml:space="preserve">0.000 </w:t>
                  </w:r>
                </w:p>
              </w:tc>
              <w:tc>
                <w:tcPr>
                  <w:tcW w:w="1056" w:type="dxa"/>
                  <w:tcBorders>
                    <w:tl2br w:val="nil"/>
                    <w:tr2bl w:val="nil"/>
                  </w:tcBorders>
                  <w:shd w:val="clear" w:color="auto" w:fill="auto"/>
                  <w:vAlign w:val="center"/>
                </w:tcPr>
                <w:p w14:paraId="1E16AE0F">
                  <w:pPr>
                    <w:widowControl/>
                    <w:adjustRightInd w:val="0"/>
                    <w:snapToGrid w:val="0"/>
                    <w:jc w:val="center"/>
                    <w:textAlignment w:val="center"/>
                    <w:rPr>
                      <w:rFonts w:eastAsia="附件"/>
                      <w:kern w:val="0"/>
                      <w:szCs w:val="21"/>
                    </w:rPr>
                  </w:pPr>
                  <w:r>
                    <w:rPr>
                      <w:rFonts w:eastAsia="附件"/>
                      <w:kern w:val="0"/>
                      <w:szCs w:val="21"/>
                    </w:rPr>
                    <w:t>0</w:t>
                  </w:r>
                </w:p>
              </w:tc>
            </w:tr>
            <w:tr w14:paraId="6035B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5C86902C">
                  <w:pPr>
                    <w:adjustRightInd w:val="0"/>
                    <w:snapToGrid w:val="0"/>
                    <w:jc w:val="center"/>
                    <w:rPr>
                      <w:rFonts w:eastAsia="附件"/>
                      <w:kern w:val="0"/>
                      <w:szCs w:val="21"/>
                    </w:rPr>
                  </w:pPr>
                  <w:r>
                    <w:rPr>
                      <w:rFonts w:eastAsia="附件"/>
                      <w:kern w:val="0"/>
                      <w:szCs w:val="21"/>
                    </w:rPr>
                    <w:t>9</w:t>
                  </w:r>
                </w:p>
              </w:tc>
              <w:tc>
                <w:tcPr>
                  <w:tcW w:w="1376" w:type="dxa"/>
                  <w:tcBorders>
                    <w:tl2br w:val="nil"/>
                    <w:tr2bl w:val="nil"/>
                  </w:tcBorders>
                  <w:shd w:val="clear" w:color="auto" w:fill="auto"/>
                  <w:vAlign w:val="center"/>
                </w:tcPr>
                <w:p w14:paraId="2F9BF29C">
                  <w:pPr>
                    <w:widowControl/>
                    <w:jc w:val="center"/>
                    <w:rPr>
                      <w:rFonts w:eastAsia="附件"/>
                      <w:szCs w:val="21"/>
                    </w:rPr>
                  </w:pPr>
                  <w:r>
                    <w:rPr>
                      <w:rStyle w:val="384"/>
                      <w:rFonts w:hint="default" w:ascii="Times New Roman" w:hAnsi="Times New Roman" w:cs="Times New Roman"/>
                      <w:color w:val="auto"/>
                      <w:szCs w:val="21"/>
                      <w:lang w:bidi="ar"/>
                    </w:rPr>
                    <w:t>镉</w:t>
                  </w:r>
                </w:p>
              </w:tc>
              <w:tc>
                <w:tcPr>
                  <w:tcW w:w="1030" w:type="dxa"/>
                  <w:tcBorders>
                    <w:tl2br w:val="nil"/>
                    <w:tr2bl w:val="nil"/>
                  </w:tcBorders>
                  <w:shd w:val="clear" w:color="auto" w:fill="auto"/>
                  <w:vAlign w:val="center"/>
                </w:tcPr>
                <w:p w14:paraId="4685B528">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1CA028FB">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26114C52">
                  <w:pPr>
                    <w:widowControl/>
                    <w:adjustRightInd w:val="0"/>
                    <w:snapToGrid w:val="0"/>
                    <w:jc w:val="center"/>
                    <w:textAlignment w:val="center"/>
                    <w:rPr>
                      <w:rFonts w:eastAsia="附件"/>
                      <w:kern w:val="0"/>
                      <w:szCs w:val="21"/>
                    </w:rPr>
                  </w:pPr>
                  <w:r>
                    <w:rPr>
                      <w:bCs/>
                      <w:szCs w:val="21"/>
                      <w:lang w:bidi="ar"/>
                    </w:rPr>
                    <w:t>0.6</w:t>
                  </w:r>
                </w:p>
              </w:tc>
              <w:tc>
                <w:tcPr>
                  <w:tcW w:w="841" w:type="dxa"/>
                  <w:tcBorders>
                    <w:tl2br w:val="nil"/>
                    <w:tr2bl w:val="nil"/>
                  </w:tcBorders>
                  <w:shd w:val="clear" w:color="auto" w:fill="auto"/>
                  <w:vAlign w:val="center"/>
                </w:tcPr>
                <w:p w14:paraId="60DDD68E">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4A232AF1">
                  <w:pPr>
                    <w:widowControl/>
                    <w:jc w:val="center"/>
                    <w:textAlignment w:val="center"/>
                    <w:rPr>
                      <w:sz w:val="22"/>
                      <w:szCs w:val="22"/>
                    </w:rPr>
                  </w:pPr>
                  <w:r>
                    <w:rPr>
                      <w:color w:val="000000"/>
                      <w:kern w:val="0"/>
                      <w:sz w:val="22"/>
                      <w:szCs w:val="22"/>
                      <w:lang w:bidi="ar"/>
                    </w:rPr>
                    <w:t xml:space="preserve">0.002 </w:t>
                  </w:r>
                </w:p>
              </w:tc>
              <w:tc>
                <w:tcPr>
                  <w:tcW w:w="1056" w:type="dxa"/>
                  <w:tcBorders>
                    <w:tl2br w:val="nil"/>
                    <w:tr2bl w:val="nil"/>
                  </w:tcBorders>
                  <w:shd w:val="clear" w:color="auto" w:fill="auto"/>
                  <w:vAlign w:val="center"/>
                </w:tcPr>
                <w:p w14:paraId="03A466B1">
                  <w:pPr>
                    <w:widowControl/>
                    <w:adjustRightInd w:val="0"/>
                    <w:snapToGrid w:val="0"/>
                    <w:jc w:val="center"/>
                    <w:textAlignment w:val="center"/>
                    <w:rPr>
                      <w:rFonts w:eastAsia="附件"/>
                      <w:kern w:val="0"/>
                      <w:szCs w:val="21"/>
                    </w:rPr>
                  </w:pPr>
                  <w:r>
                    <w:rPr>
                      <w:rFonts w:eastAsia="附件"/>
                      <w:kern w:val="0"/>
                      <w:szCs w:val="21"/>
                    </w:rPr>
                    <w:t>0</w:t>
                  </w:r>
                </w:p>
              </w:tc>
            </w:tr>
            <w:tr w14:paraId="2366E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30F66A32">
                  <w:pPr>
                    <w:adjustRightInd w:val="0"/>
                    <w:snapToGrid w:val="0"/>
                    <w:jc w:val="center"/>
                    <w:rPr>
                      <w:rFonts w:eastAsia="附件"/>
                      <w:kern w:val="0"/>
                      <w:szCs w:val="21"/>
                    </w:rPr>
                  </w:pPr>
                  <w:r>
                    <w:rPr>
                      <w:rFonts w:eastAsia="附件"/>
                      <w:kern w:val="0"/>
                      <w:szCs w:val="21"/>
                    </w:rPr>
                    <w:t>10</w:t>
                  </w:r>
                </w:p>
              </w:tc>
              <w:tc>
                <w:tcPr>
                  <w:tcW w:w="1376" w:type="dxa"/>
                  <w:tcBorders>
                    <w:tl2br w:val="nil"/>
                    <w:tr2bl w:val="nil"/>
                  </w:tcBorders>
                  <w:shd w:val="clear" w:color="auto" w:fill="auto"/>
                  <w:vAlign w:val="center"/>
                </w:tcPr>
                <w:p w14:paraId="64E7DD4F">
                  <w:pPr>
                    <w:widowControl/>
                    <w:jc w:val="center"/>
                    <w:rPr>
                      <w:rFonts w:eastAsia="附件"/>
                      <w:szCs w:val="21"/>
                      <w:lang w:bidi="ar"/>
                    </w:rPr>
                  </w:pPr>
                  <w:r>
                    <w:rPr>
                      <w:rStyle w:val="384"/>
                      <w:rFonts w:hint="default" w:ascii="Times New Roman" w:hAnsi="Times New Roman" w:cs="Times New Roman"/>
                      <w:color w:val="auto"/>
                      <w:szCs w:val="21"/>
                      <w:lang w:bidi="ar"/>
                    </w:rPr>
                    <w:t>铅</w:t>
                  </w:r>
                </w:p>
              </w:tc>
              <w:tc>
                <w:tcPr>
                  <w:tcW w:w="1030" w:type="dxa"/>
                  <w:tcBorders>
                    <w:tl2br w:val="nil"/>
                    <w:tr2bl w:val="nil"/>
                  </w:tcBorders>
                  <w:shd w:val="clear" w:color="auto" w:fill="auto"/>
                  <w:vAlign w:val="center"/>
                </w:tcPr>
                <w:p w14:paraId="33FC0DCF">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1F262330">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7199D7FA">
                  <w:pPr>
                    <w:widowControl/>
                    <w:adjustRightInd w:val="0"/>
                    <w:snapToGrid w:val="0"/>
                    <w:jc w:val="center"/>
                    <w:textAlignment w:val="center"/>
                    <w:rPr>
                      <w:rFonts w:eastAsia="附件"/>
                      <w:kern w:val="0"/>
                      <w:szCs w:val="21"/>
                    </w:rPr>
                  </w:pPr>
                  <w:r>
                    <w:rPr>
                      <w:bCs/>
                      <w:szCs w:val="21"/>
                      <w:lang w:bidi="ar"/>
                    </w:rPr>
                    <w:t>170</w:t>
                  </w:r>
                </w:p>
              </w:tc>
              <w:tc>
                <w:tcPr>
                  <w:tcW w:w="841" w:type="dxa"/>
                  <w:tcBorders>
                    <w:tl2br w:val="nil"/>
                    <w:tr2bl w:val="nil"/>
                  </w:tcBorders>
                  <w:shd w:val="clear" w:color="auto" w:fill="auto"/>
                  <w:vAlign w:val="center"/>
                </w:tcPr>
                <w:p w14:paraId="34BD54E8">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30F6D319">
                  <w:pPr>
                    <w:widowControl/>
                    <w:jc w:val="center"/>
                    <w:textAlignment w:val="center"/>
                    <w:rPr>
                      <w:sz w:val="22"/>
                      <w:szCs w:val="22"/>
                    </w:rPr>
                  </w:pPr>
                  <w:r>
                    <w:rPr>
                      <w:color w:val="000000"/>
                      <w:kern w:val="0"/>
                      <w:sz w:val="22"/>
                      <w:szCs w:val="22"/>
                      <w:lang w:bidi="ar"/>
                    </w:rPr>
                    <w:t xml:space="preserve">0.000 </w:t>
                  </w:r>
                </w:p>
              </w:tc>
              <w:tc>
                <w:tcPr>
                  <w:tcW w:w="1056" w:type="dxa"/>
                  <w:tcBorders>
                    <w:tl2br w:val="nil"/>
                    <w:tr2bl w:val="nil"/>
                  </w:tcBorders>
                  <w:shd w:val="clear" w:color="auto" w:fill="auto"/>
                  <w:vAlign w:val="center"/>
                </w:tcPr>
                <w:p w14:paraId="7C9F1A34">
                  <w:pPr>
                    <w:widowControl/>
                    <w:adjustRightInd w:val="0"/>
                    <w:snapToGrid w:val="0"/>
                    <w:jc w:val="center"/>
                    <w:textAlignment w:val="center"/>
                    <w:rPr>
                      <w:rFonts w:eastAsia="附件"/>
                      <w:kern w:val="0"/>
                      <w:szCs w:val="21"/>
                    </w:rPr>
                  </w:pPr>
                  <w:r>
                    <w:rPr>
                      <w:rFonts w:eastAsia="附件"/>
                      <w:kern w:val="0"/>
                      <w:szCs w:val="21"/>
                    </w:rPr>
                    <w:t>0</w:t>
                  </w:r>
                </w:p>
              </w:tc>
            </w:tr>
            <w:tr w14:paraId="4FD6D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10104463">
                  <w:pPr>
                    <w:adjustRightInd w:val="0"/>
                    <w:snapToGrid w:val="0"/>
                    <w:jc w:val="center"/>
                    <w:rPr>
                      <w:rFonts w:eastAsia="附件"/>
                      <w:kern w:val="0"/>
                      <w:szCs w:val="21"/>
                    </w:rPr>
                  </w:pPr>
                  <w:r>
                    <w:rPr>
                      <w:rFonts w:eastAsia="附件"/>
                      <w:kern w:val="0"/>
                      <w:szCs w:val="21"/>
                    </w:rPr>
                    <w:t>11</w:t>
                  </w:r>
                </w:p>
              </w:tc>
              <w:tc>
                <w:tcPr>
                  <w:tcW w:w="1376" w:type="dxa"/>
                  <w:tcBorders>
                    <w:tl2br w:val="nil"/>
                    <w:tr2bl w:val="nil"/>
                  </w:tcBorders>
                  <w:shd w:val="clear" w:color="auto" w:fill="auto"/>
                  <w:vAlign w:val="center"/>
                </w:tcPr>
                <w:p w14:paraId="6001497C">
                  <w:pPr>
                    <w:widowControl/>
                    <w:jc w:val="center"/>
                    <w:rPr>
                      <w:rFonts w:eastAsia="附件"/>
                      <w:szCs w:val="21"/>
                    </w:rPr>
                  </w:pPr>
                  <w:r>
                    <w:rPr>
                      <w:kern w:val="0"/>
                      <w:szCs w:val="21"/>
                      <w:lang w:bidi="ar"/>
                    </w:rPr>
                    <w:t>铬</w:t>
                  </w:r>
                </w:p>
              </w:tc>
              <w:tc>
                <w:tcPr>
                  <w:tcW w:w="1030" w:type="dxa"/>
                  <w:tcBorders>
                    <w:tl2br w:val="nil"/>
                    <w:tr2bl w:val="nil"/>
                  </w:tcBorders>
                  <w:shd w:val="clear" w:color="auto" w:fill="auto"/>
                  <w:vAlign w:val="center"/>
                </w:tcPr>
                <w:p w14:paraId="54BE8182">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1293B770">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180AC45B">
                  <w:pPr>
                    <w:widowControl/>
                    <w:adjustRightInd w:val="0"/>
                    <w:snapToGrid w:val="0"/>
                    <w:jc w:val="center"/>
                    <w:textAlignment w:val="center"/>
                    <w:rPr>
                      <w:rFonts w:eastAsia="附件"/>
                      <w:kern w:val="0"/>
                      <w:szCs w:val="21"/>
                    </w:rPr>
                  </w:pPr>
                  <w:r>
                    <w:rPr>
                      <w:bCs/>
                      <w:szCs w:val="21"/>
                      <w:lang w:bidi="ar"/>
                    </w:rPr>
                    <w:t>250</w:t>
                  </w:r>
                </w:p>
              </w:tc>
              <w:tc>
                <w:tcPr>
                  <w:tcW w:w="841" w:type="dxa"/>
                  <w:tcBorders>
                    <w:tl2br w:val="nil"/>
                    <w:tr2bl w:val="nil"/>
                  </w:tcBorders>
                  <w:shd w:val="clear" w:color="auto" w:fill="auto"/>
                  <w:vAlign w:val="center"/>
                </w:tcPr>
                <w:p w14:paraId="267A299F">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737CFACB">
                  <w:pPr>
                    <w:widowControl/>
                    <w:jc w:val="center"/>
                    <w:textAlignment w:val="center"/>
                    <w:rPr>
                      <w:sz w:val="22"/>
                      <w:szCs w:val="22"/>
                    </w:rPr>
                  </w:pPr>
                  <w:r>
                    <w:rPr>
                      <w:color w:val="000000"/>
                      <w:kern w:val="0"/>
                      <w:sz w:val="22"/>
                      <w:szCs w:val="22"/>
                      <w:lang w:bidi="ar"/>
                    </w:rPr>
                    <w:t xml:space="preserve">0.008 </w:t>
                  </w:r>
                </w:p>
              </w:tc>
              <w:tc>
                <w:tcPr>
                  <w:tcW w:w="1056" w:type="dxa"/>
                  <w:tcBorders>
                    <w:tl2br w:val="nil"/>
                    <w:tr2bl w:val="nil"/>
                  </w:tcBorders>
                  <w:shd w:val="clear" w:color="auto" w:fill="auto"/>
                  <w:vAlign w:val="center"/>
                </w:tcPr>
                <w:p w14:paraId="5E0A5BD6">
                  <w:pPr>
                    <w:widowControl/>
                    <w:adjustRightInd w:val="0"/>
                    <w:snapToGrid w:val="0"/>
                    <w:jc w:val="center"/>
                    <w:textAlignment w:val="center"/>
                    <w:rPr>
                      <w:rFonts w:eastAsia="附件"/>
                      <w:kern w:val="0"/>
                      <w:szCs w:val="21"/>
                    </w:rPr>
                  </w:pPr>
                  <w:r>
                    <w:rPr>
                      <w:rFonts w:eastAsia="附件"/>
                      <w:kern w:val="0"/>
                      <w:szCs w:val="21"/>
                    </w:rPr>
                    <w:t>0</w:t>
                  </w:r>
                </w:p>
              </w:tc>
            </w:tr>
            <w:tr w14:paraId="14221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6DE5E963">
                  <w:pPr>
                    <w:adjustRightInd w:val="0"/>
                    <w:snapToGrid w:val="0"/>
                    <w:jc w:val="center"/>
                    <w:rPr>
                      <w:rFonts w:eastAsia="附件"/>
                      <w:kern w:val="0"/>
                      <w:szCs w:val="21"/>
                    </w:rPr>
                  </w:pPr>
                  <w:r>
                    <w:rPr>
                      <w:rFonts w:eastAsia="附件"/>
                      <w:kern w:val="0"/>
                      <w:szCs w:val="21"/>
                    </w:rPr>
                    <w:t>12</w:t>
                  </w:r>
                </w:p>
              </w:tc>
              <w:tc>
                <w:tcPr>
                  <w:tcW w:w="1376" w:type="dxa"/>
                  <w:tcBorders>
                    <w:tl2br w:val="nil"/>
                    <w:tr2bl w:val="nil"/>
                  </w:tcBorders>
                  <w:shd w:val="clear" w:color="auto" w:fill="auto"/>
                  <w:vAlign w:val="center"/>
                </w:tcPr>
                <w:p w14:paraId="6071B1F6">
                  <w:pPr>
                    <w:widowControl/>
                    <w:jc w:val="center"/>
                    <w:rPr>
                      <w:rFonts w:eastAsia="附件"/>
                      <w:szCs w:val="21"/>
                    </w:rPr>
                  </w:pPr>
                  <w:r>
                    <w:rPr>
                      <w:rStyle w:val="384"/>
                      <w:rFonts w:hint="default" w:ascii="Times New Roman" w:hAnsi="Times New Roman" w:cs="Times New Roman"/>
                      <w:color w:val="auto"/>
                      <w:szCs w:val="21"/>
                      <w:lang w:bidi="ar"/>
                    </w:rPr>
                    <w:t>铜</w:t>
                  </w:r>
                </w:p>
              </w:tc>
              <w:tc>
                <w:tcPr>
                  <w:tcW w:w="1030" w:type="dxa"/>
                  <w:tcBorders>
                    <w:tl2br w:val="nil"/>
                    <w:tr2bl w:val="nil"/>
                  </w:tcBorders>
                  <w:shd w:val="clear" w:color="auto" w:fill="auto"/>
                  <w:vAlign w:val="center"/>
                </w:tcPr>
                <w:p w14:paraId="535D1DD0">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6172DCC5">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6B428E55">
                  <w:pPr>
                    <w:widowControl/>
                    <w:adjustRightInd w:val="0"/>
                    <w:snapToGrid w:val="0"/>
                    <w:jc w:val="center"/>
                    <w:textAlignment w:val="center"/>
                    <w:rPr>
                      <w:rFonts w:eastAsia="附件"/>
                      <w:kern w:val="0"/>
                      <w:szCs w:val="21"/>
                    </w:rPr>
                  </w:pPr>
                  <w:r>
                    <w:rPr>
                      <w:bCs/>
                      <w:szCs w:val="21"/>
                      <w:lang w:bidi="ar"/>
                    </w:rPr>
                    <w:t>100</w:t>
                  </w:r>
                </w:p>
              </w:tc>
              <w:tc>
                <w:tcPr>
                  <w:tcW w:w="841" w:type="dxa"/>
                  <w:tcBorders>
                    <w:tl2br w:val="nil"/>
                    <w:tr2bl w:val="nil"/>
                  </w:tcBorders>
                  <w:shd w:val="clear" w:color="auto" w:fill="auto"/>
                  <w:vAlign w:val="center"/>
                </w:tcPr>
                <w:p w14:paraId="512F4581">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74F6BA48">
                  <w:pPr>
                    <w:widowControl/>
                    <w:jc w:val="center"/>
                    <w:textAlignment w:val="center"/>
                    <w:rPr>
                      <w:sz w:val="22"/>
                      <w:szCs w:val="22"/>
                    </w:rPr>
                  </w:pPr>
                  <w:r>
                    <w:rPr>
                      <w:color w:val="000000"/>
                      <w:kern w:val="0"/>
                      <w:sz w:val="22"/>
                      <w:szCs w:val="22"/>
                      <w:lang w:bidi="ar"/>
                    </w:rPr>
                    <w:t xml:space="preserve">0.004 </w:t>
                  </w:r>
                </w:p>
              </w:tc>
              <w:tc>
                <w:tcPr>
                  <w:tcW w:w="1056" w:type="dxa"/>
                  <w:tcBorders>
                    <w:tl2br w:val="nil"/>
                    <w:tr2bl w:val="nil"/>
                  </w:tcBorders>
                  <w:shd w:val="clear" w:color="auto" w:fill="auto"/>
                  <w:vAlign w:val="center"/>
                </w:tcPr>
                <w:p w14:paraId="4854CF72">
                  <w:pPr>
                    <w:widowControl/>
                    <w:adjustRightInd w:val="0"/>
                    <w:snapToGrid w:val="0"/>
                    <w:jc w:val="center"/>
                    <w:textAlignment w:val="center"/>
                    <w:rPr>
                      <w:rFonts w:eastAsia="附件"/>
                      <w:kern w:val="0"/>
                      <w:szCs w:val="21"/>
                    </w:rPr>
                  </w:pPr>
                  <w:r>
                    <w:rPr>
                      <w:rFonts w:eastAsia="附件"/>
                      <w:kern w:val="0"/>
                      <w:szCs w:val="21"/>
                    </w:rPr>
                    <w:t>0</w:t>
                  </w:r>
                </w:p>
              </w:tc>
            </w:tr>
            <w:tr w14:paraId="75A02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shd w:val="clear" w:color="auto" w:fill="auto"/>
                  <w:vAlign w:val="center"/>
                </w:tcPr>
                <w:p w14:paraId="3C5ED991">
                  <w:pPr>
                    <w:adjustRightInd w:val="0"/>
                    <w:snapToGrid w:val="0"/>
                    <w:jc w:val="center"/>
                    <w:rPr>
                      <w:rFonts w:eastAsia="附件"/>
                      <w:kern w:val="0"/>
                      <w:szCs w:val="21"/>
                    </w:rPr>
                  </w:pPr>
                  <w:r>
                    <w:rPr>
                      <w:rFonts w:hint="eastAsia" w:eastAsia="附件"/>
                      <w:kern w:val="0"/>
                      <w:szCs w:val="21"/>
                    </w:rPr>
                    <w:t>13</w:t>
                  </w:r>
                </w:p>
              </w:tc>
              <w:tc>
                <w:tcPr>
                  <w:tcW w:w="1376" w:type="dxa"/>
                  <w:tcBorders>
                    <w:tl2br w:val="nil"/>
                    <w:tr2bl w:val="nil"/>
                  </w:tcBorders>
                  <w:shd w:val="clear" w:color="auto" w:fill="auto"/>
                  <w:vAlign w:val="center"/>
                </w:tcPr>
                <w:p w14:paraId="3D6E1EE1">
                  <w:pPr>
                    <w:widowControl/>
                    <w:jc w:val="center"/>
                    <w:rPr>
                      <w:rFonts w:eastAsia="附件"/>
                      <w:szCs w:val="21"/>
                    </w:rPr>
                  </w:pPr>
                  <w:r>
                    <w:rPr>
                      <w:szCs w:val="21"/>
                    </w:rPr>
                    <w:t>镍</w:t>
                  </w:r>
                </w:p>
              </w:tc>
              <w:tc>
                <w:tcPr>
                  <w:tcW w:w="1030" w:type="dxa"/>
                  <w:tcBorders>
                    <w:tl2br w:val="nil"/>
                    <w:tr2bl w:val="nil"/>
                  </w:tcBorders>
                  <w:shd w:val="clear" w:color="auto" w:fill="auto"/>
                  <w:vAlign w:val="center"/>
                </w:tcPr>
                <w:p w14:paraId="071C2E31">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0FB6A226">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53971992">
                  <w:pPr>
                    <w:widowControl/>
                    <w:adjustRightInd w:val="0"/>
                    <w:snapToGrid w:val="0"/>
                    <w:jc w:val="center"/>
                    <w:textAlignment w:val="center"/>
                    <w:rPr>
                      <w:rFonts w:eastAsia="附件"/>
                      <w:kern w:val="0"/>
                      <w:szCs w:val="21"/>
                    </w:rPr>
                  </w:pPr>
                  <w:r>
                    <w:rPr>
                      <w:bCs/>
                      <w:szCs w:val="21"/>
                      <w:lang w:bidi="ar"/>
                    </w:rPr>
                    <w:t>190</w:t>
                  </w:r>
                </w:p>
              </w:tc>
              <w:tc>
                <w:tcPr>
                  <w:tcW w:w="841" w:type="dxa"/>
                  <w:tcBorders>
                    <w:tl2br w:val="nil"/>
                    <w:tr2bl w:val="nil"/>
                  </w:tcBorders>
                  <w:shd w:val="clear" w:color="auto" w:fill="auto"/>
                  <w:vAlign w:val="center"/>
                </w:tcPr>
                <w:p w14:paraId="65ED4588">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4E6FDA50">
                  <w:pPr>
                    <w:widowControl/>
                    <w:jc w:val="center"/>
                    <w:textAlignment w:val="center"/>
                    <w:rPr>
                      <w:sz w:val="22"/>
                      <w:szCs w:val="22"/>
                    </w:rPr>
                  </w:pPr>
                  <w:r>
                    <w:rPr>
                      <w:color w:val="000000"/>
                      <w:kern w:val="0"/>
                      <w:sz w:val="22"/>
                      <w:szCs w:val="22"/>
                      <w:lang w:bidi="ar"/>
                    </w:rPr>
                    <w:t xml:space="preserve">0.003 </w:t>
                  </w:r>
                </w:p>
              </w:tc>
              <w:tc>
                <w:tcPr>
                  <w:tcW w:w="1056" w:type="dxa"/>
                  <w:tcBorders>
                    <w:tl2br w:val="nil"/>
                    <w:tr2bl w:val="nil"/>
                  </w:tcBorders>
                  <w:shd w:val="clear" w:color="auto" w:fill="auto"/>
                  <w:vAlign w:val="center"/>
                </w:tcPr>
                <w:p w14:paraId="1F108BC6">
                  <w:pPr>
                    <w:widowControl/>
                    <w:adjustRightInd w:val="0"/>
                    <w:snapToGrid w:val="0"/>
                    <w:jc w:val="center"/>
                    <w:textAlignment w:val="center"/>
                    <w:rPr>
                      <w:rFonts w:eastAsia="附件"/>
                      <w:kern w:val="0"/>
                      <w:szCs w:val="21"/>
                    </w:rPr>
                  </w:pPr>
                  <w:r>
                    <w:rPr>
                      <w:rFonts w:eastAsia="附件"/>
                      <w:kern w:val="0"/>
                      <w:szCs w:val="21"/>
                    </w:rPr>
                    <w:t>0</w:t>
                  </w:r>
                </w:p>
              </w:tc>
            </w:tr>
            <w:tr w14:paraId="2C99C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14:paraId="5FE37EEB">
                  <w:pPr>
                    <w:adjustRightInd w:val="0"/>
                    <w:snapToGrid w:val="0"/>
                    <w:jc w:val="center"/>
                    <w:rPr>
                      <w:rFonts w:eastAsia="附件"/>
                      <w:kern w:val="0"/>
                      <w:szCs w:val="21"/>
                    </w:rPr>
                  </w:pPr>
                  <w:r>
                    <w:rPr>
                      <w:rFonts w:hint="eastAsia" w:eastAsia="附件"/>
                      <w:kern w:val="0"/>
                      <w:szCs w:val="21"/>
                    </w:rPr>
                    <w:t>14</w:t>
                  </w:r>
                </w:p>
              </w:tc>
              <w:tc>
                <w:tcPr>
                  <w:tcW w:w="1376" w:type="dxa"/>
                  <w:tcBorders>
                    <w:tl2br w:val="nil"/>
                    <w:tr2bl w:val="nil"/>
                  </w:tcBorders>
                  <w:shd w:val="clear" w:color="auto" w:fill="auto"/>
                  <w:vAlign w:val="center"/>
                </w:tcPr>
                <w:p w14:paraId="20030D3B">
                  <w:pPr>
                    <w:widowControl/>
                    <w:jc w:val="center"/>
                    <w:rPr>
                      <w:rFonts w:eastAsia="附件"/>
                      <w:szCs w:val="21"/>
                    </w:rPr>
                  </w:pPr>
                  <w:r>
                    <w:rPr>
                      <w:kern w:val="0"/>
                      <w:szCs w:val="21"/>
                      <w:lang w:bidi="ar"/>
                    </w:rPr>
                    <w:t>锌</w:t>
                  </w:r>
                </w:p>
              </w:tc>
              <w:tc>
                <w:tcPr>
                  <w:tcW w:w="1030" w:type="dxa"/>
                  <w:tcBorders>
                    <w:tl2br w:val="nil"/>
                    <w:tr2bl w:val="nil"/>
                  </w:tcBorders>
                  <w:shd w:val="clear" w:color="auto" w:fill="auto"/>
                  <w:vAlign w:val="center"/>
                </w:tcPr>
                <w:p w14:paraId="44BF9C8A">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860" w:type="dxa"/>
                  <w:tcBorders>
                    <w:tl2br w:val="nil"/>
                    <w:tr2bl w:val="nil"/>
                  </w:tcBorders>
                  <w:shd w:val="clear" w:color="auto" w:fill="auto"/>
                  <w:vAlign w:val="center"/>
                </w:tcPr>
                <w:p w14:paraId="46BBD360">
                  <w:pPr>
                    <w:jc w:val="center"/>
                    <w:rPr>
                      <w:rFonts w:eastAsia="附件"/>
                      <w:kern w:val="0"/>
                      <w:szCs w:val="21"/>
                    </w:rPr>
                  </w:pPr>
                  <w:r>
                    <w:rPr>
                      <w:rFonts w:hint="eastAsia"/>
                      <w:bCs/>
                      <w:sz w:val="21"/>
                      <w:szCs w:val="21"/>
                      <w:lang w:val="en-US" w:eastAsia="zh-CN"/>
                    </w:rPr>
                    <w:t>*</w:t>
                  </w:r>
                </w:p>
              </w:tc>
              <w:tc>
                <w:tcPr>
                  <w:tcW w:w="1490" w:type="dxa"/>
                  <w:tcBorders>
                    <w:tl2br w:val="nil"/>
                    <w:tr2bl w:val="nil"/>
                  </w:tcBorders>
                  <w:shd w:val="clear" w:color="auto" w:fill="auto"/>
                  <w:vAlign w:val="center"/>
                </w:tcPr>
                <w:p w14:paraId="06FB93A0">
                  <w:pPr>
                    <w:widowControl/>
                    <w:adjustRightInd w:val="0"/>
                    <w:snapToGrid w:val="0"/>
                    <w:jc w:val="center"/>
                    <w:textAlignment w:val="center"/>
                    <w:rPr>
                      <w:rFonts w:eastAsia="附件"/>
                      <w:kern w:val="0"/>
                      <w:szCs w:val="21"/>
                    </w:rPr>
                  </w:pPr>
                  <w:r>
                    <w:rPr>
                      <w:bCs/>
                      <w:szCs w:val="21"/>
                      <w:lang w:bidi="ar"/>
                    </w:rPr>
                    <w:t>300</w:t>
                  </w:r>
                </w:p>
              </w:tc>
              <w:tc>
                <w:tcPr>
                  <w:tcW w:w="841" w:type="dxa"/>
                  <w:tcBorders>
                    <w:tl2br w:val="nil"/>
                    <w:tr2bl w:val="nil"/>
                  </w:tcBorders>
                  <w:shd w:val="clear" w:color="auto" w:fill="auto"/>
                  <w:vAlign w:val="center"/>
                </w:tcPr>
                <w:p w14:paraId="49598122">
                  <w:pPr>
                    <w:widowControl/>
                    <w:jc w:val="center"/>
                    <w:textAlignment w:val="center"/>
                    <w:rPr>
                      <w:rFonts w:eastAsia="附件"/>
                      <w:kern w:val="0"/>
                      <w:szCs w:val="21"/>
                    </w:rPr>
                  </w:pPr>
                  <w:r>
                    <w:rPr>
                      <w:color w:val="000000"/>
                      <w:kern w:val="0"/>
                      <w:sz w:val="22"/>
                      <w:szCs w:val="22"/>
                      <w:lang w:bidi="ar"/>
                    </w:rPr>
                    <w:t>/</w:t>
                  </w:r>
                </w:p>
              </w:tc>
              <w:tc>
                <w:tcPr>
                  <w:tcW w:w="850" w:type="dxa"/>
                  <w:tcBorders>
                    <w:tl2br w:val="nil"/>
                    <w:tr2bl w:val="nil"/>
                  </w:tcBorders>
                  <w:shd w:val="clear" w:color="auto" w:fill="auto"/>
                  <w:vAlign w:val="center"/>
                </w:tcPr>
                <w:p w14:paraId="6D092892">
                  <w:pPr>
                    <w:widowControl/>
                    <w:jc w:val="center"/>
                    <w:textAlignment w:val="center"/>
                    <w:rPr>
                      <w:sz w:val="22"/>
                      <w:szCs w:val="22"/>
                    </w:rPr>
                  </w:pPr>
                  <w:r>
                    <w:rPr>
                      <w:color w:val="000000"/>
                      <w:kern w:val="0"/>
                      <w:sz w:val="22"/>
                      <w:szCs w:val="22"/>
                      <w:lang w:bidi="ar"/>
                    </w:rPr>
                    <w:t xml:space="preserve">0.008 </w:t>
                  </w:r>
                </w:p>
              </w:tc>
              <w:tc>
                <w:tcPr>
                  <w:tcW w:w="1056" w:type="dxa"/>
                  <w:tcBorders>
                    <w:tl2br w:val="nil"/>
                    <w:tr2bl w:val="nil"/>
                  </w:tcBorders>
                  <w:shd w:val="clear" w:color="auto" w:fill="auto"/>
                  <w:vAlign w:val="center"/>
                </w:tcPr>
                <w:p w14:paraId="664374E3">
                  <w:pPr>
                    <w:widowControl/>
                    <w:adjustRightInd w:val="0"/>
                    <w:snapToGrid w:val="0"/>
                    <w:jc w:val="center"/>
                    <w:textAlignment w:val="center"/>
                    <w:rPr>
                      <w:rFonts w:eastAsia="附件"/>
                      <w:kern w:val="0"/>
                      <w:szCs w:val="21"/>
                    </w:rPr>
                  </w:pPr>
                  <w:r>
                    <w:rPr>
                      <w:rFonts w:eastAsia="附件"/>
                      <w:kern w:val="0"/>
                      <w:szCs w:val="21"/>
                    </w:rPr>
                    <w:t>0</w:t>
                  </w:r>
                </w:p>
              </w:tc>
            </w:tr>
            <w:tr w14:paraId="0D712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8030" w:type="dxa"/>
                  <w:gridSpan w:val="8"/>
                  <w:tcBorders>
                    <w:tl2br w:val="nil"/>
                    <w:tr2bl w:val="nil"/>
                  </w:tcBorders>
                  <w:vAlign w:val="center"/>
                </w:tcPr>
                <w:p w14:paraId="6AB585C9">
                  <w:pPr>
                    <w:widowControl/>
                    <w:adjustRightInd w:val="0"/>
                    <w:snapToGrid w:val="0"/>
                    <w:textAlignment w:val="center"/>
                    <w:rPr>
                      <w:rFonts w:eastAsia="附件"/>
                      <w:kern w:val="0"/>
                      <w:szCs w:val="21"/>
                    </w:rPr>
                  </w:pPr>
                  <w:r>
                    <w:rPr>
                      <w:rFonts w:eastAsia="附件"/>
                      <w:kern w:val="0"/>
                      <w:szCs w:val="21"/>
                    </w:rPr>
                    <w:t>S5、S6执行《土壤环境质量 农用地土壤污染风险管控标准（试行）》（GB15618-2018）。</w:t>
                  </w:r>
                </w:p>
              </w:tc>
            </w:tr>
          </w:tbl>
          <w:p w14:paraId="7F165619">
            <w:pPr>
              <w:pStyle w:val="333"/>
              <w:numPr>
                <w:ilvl w:val="0"/>
                <w:numId w:val="8"/>
              </w:numPr>
              <w:adjustRightInd w:val="0"/>
              <w:snapToGrid w:val="0"/>
              <w:spacing w:line="360" w:lineRule="auto"/>
              <w:ind w:left="0" w:firstLine="0" w:firstLineChars="0"/>
              <w:jc w:val="center"/>
              <w:rPr>
                <w:b/>
                <w:bCs/>
                <w:kern w:val="0"/>
                <w:szCs w:val="21"/>
              </w:rPr>
            </w:pPr>
            <w:r>
              <w:rPr>
                <w:b/>
                <w:bCs/>
                <w:kern w:val="0"/>
                <w:szCs w:val="21"/>
              </w:rPr>
              <w:t>土壤环境现状监测及评价结果（单位：mg/kg，pH无量纲）</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14:paraId="43BFA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1332" w:type="dxa"/>
                  <w:tcBorders>
                    <w:tl2br w:val="nil"/>
                    <w:tr2bl w:val="nil"/>
                  </w:tcBorders>
                  <w:vAlign w:val="center"/>
                </w:tcPr>
                <w:p w14:paraId="16DB3435">
                  <w:pPr>
                    <w:autoSpaceDE w:val="0"/>
                    <w:autoSpaceDN w:val="0"/>
                    <w:adjustRightInd w:val="0"/>
                    <w:snapToGrid w:val="0"/>
                    <w:jc w:val="center"/>
                    <w:rPr>
                      <w:rFonts w:eastAsia="附件"/>
                      <w:kern w:val="0"/>
                      <w:szCs w:val="21"/>
                    </w:rPr>
                  </w:pPr>
                  <w:r>
                    <w:rPr>
                      <w:rFonts w:eastAsia="附件"/>
                      <w:kern w:val="0"/>
                      <w:szCs w:val="21"/>
                    </w:rPr>
                    <w:t>编号</w:t>
                  </w:r>
                </w:p>
              </w:tc>
              <w:tc>
                <w:tcPr>
                  <w:tcW w:w="1335" w:type="dxa"/>
                  <w:tcBorders>
                    <w:tl2br w:val="nil"/>
                    <w:tr2bl w:val="nil"/>
                  </w:tcBorders>
                  <w:vAlign w:val="center"/>
                </w:tcPr>
                <w:p w14:paraId="38814149">
                  <w:pPr>
                    <w:widowControl/>
                    <w:adjustRightInd w:val="0"/>
                    <w:snapToGrid w:val="0"/>
                    <w:jc w:val="center"/>
                    <w:textAlignment w:val="center"/>
                    <w:rPr>
                      <w:rFonts w:eastAsia="附件"/>
                      <w:kern w:val="0"/>
                      <w:szCs w:val="21"/>
                    </w:rPr>
                  </w:pPr>
                  <w:r>
                    <w:rPr>
                      <w:rFonts w:eastAsia="附件"/>
                      <w:kern w:val="0"/>
                      <w:szCs w:val="21"/>
                    </w:rPr>
                    <w:t>因子</w:t>
                  </w:r>
                </w:p>
              </w:tc>
              <w:tc>
                <w:tcPr>
                  <w:tcW w:w="1333" w:type="dxa"/>
                  <w:tcBorders>
                    <w:tl2br w:val="nil"/>
                    <w:tr2bl w:val="nil"/>
                  </w:tcBorders>
                  <w:vAlign w:val="center"/>
                </w:tcPr>
                <w:p w14:paraId="58DE151F">
                  <w:pPr>
                    <w:widowControl/>
                    <w:adjustRightInd w:val="0"/>
                    <w:snapToGrid w:val="0"/>
                    <w:jc w:val="center"/>
                    <w:textAlignment w:val="center"/>
                    <w:rPr>
                      <w:rFonts w:eastAsia="附件"/>
                      <w:kern w:val="0"/>
                      <w:szCs w:val="21"/>
                    </w:rPr>
                  </w:pPr>
                  <w:r>
                    <w:rPr>
                      <w:rFonts w:eastAsia="附件"/>
                      <w:kern w:val="0"/>
                      <w:szCs w:val="21"/>
                    </w:rPr>
                    <w:t>S4</w:t>
                  </w:r>
                </w:p>
              </w:tc>
              <w:tc>
                <w:tcPr>
                  <w:tcW w:w="1335" w:type="dxa"/>
                  <w:tcBorders>
                    <w:tl2br w:val="nil"/>
                    <w:tr2bl w:val="nil"/>
                  </w:tcBorders>
                  <w:vAlign w:val="center"/>
                </w:tcPr>
                <w:p w14:paraId="782BD13E">
                  <w:pPr>
                    <w:widowControl/>
                    <w:adjustRightInd w:val="0"/>
                    <w:snapToGrid w:val="0"/>
                    <w:jc w:val="center"/>
                    <w:textAlignment w:val="center"/>
                    <w:rPr>
                      <w:rFonts w:eastAsia="附件"/>
                      <w:kern w:val="0"/>
                      <w:szCs w:val="21"/>
                    </w:rPr>
                  </w:pPr>
                  <w:r>
                    <w:rPr>
                      <w:rFonts w:eastAsia="附件"/>
                      <w:kern w:val="0"/>
                      <w:szCs w:val="21"/>
                    </w:rPr>
                    <w:t>标准值</w:t>
                  </w:r>
                </w:p>
              </w:tc>
              <w:tc>
                <w:tcPr>
                  <w:tcW w:w="1333" w:type="dxa"/>
                  <w:tcBorders>
                    <w:tl2br w:val="nil"/>
                    <w:tr2bl w:val="nil"/>
                  </w:tcBorders>
                  <w:vAlign w:val="center"/>
                </w:tcPr>
                <w:p w14:paraId="00C91214">
                  <w:pPr>
                    <w:widowControl/>
                    <w:adjustRightInd w:val="0"/>
                    <w:snapToGrid w:val="0"/>
                    <w:jc w:val="center"/>
                    <w:textAlignment w:val="center"/>
                    <w:rPr>
                      <w:rFonts w:eastAsia="附件"/>
                      <w:kern w:val="0"/>
                      <w:szCs w:val="21"/>
                    </w:rPr>
                  </w:pPr>
                  <w:r>
                    <w:rPr>
                      <w:rFonts w:eastAsia="附件"/>
                      <w:kern w:val="0"/>
                      <w:szCs w:val="21"/>
                    </w:rPr>
                    <w:t>最大标准指数值</w:t>
                  </w:r>
                </w:p>
              </w:tc>
              <w:tc>
                <w:tcPr>
                  <w:tcW w:w="1339" w:type="dxa"/>
                  <w:tcBorders>
                    <w:tl2br w:val="nil"/>
                    <w:tr2bl w:val="nil"/>
                  </w:tcBorders>
                  <w:vAlign w:val="center"/>
                </w:tcPr>
                <w:p w14:paraId="6F8611EB">
                  <w:pPr>
                    <w:widowControl/>
                    <w:adjustRightInd w:val="0"/>
                    <w:snapToGrid w:val="0"/>
                    <w:jc w:val="center"/>
                    <w:textAlignment w:val="center"/>
                    <w:rPr>
                      <w:rFonts w:eastAsia="附件"/>
                      <w:kern w:val="0"/>
                      <w:szCs w:val="21"/>
                    </w:rPr>
                  </w:pPr>
                  <w:r>
                    <w:rPr>
                      <w:rFonts w:eastAsia="附件"/>
                      <w:kern w:val="0"/>
                      <w:szCs w:val="21"/>
                    </w:rPr>
                    <w:t>超标率</w:t>
                  </w:r>
                </w:p>
              </w:tc>
            </w:tr>
            <w:tr w14:paraId="6759E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14:paraId="4DE14BFE">
                  <w:pPr>
                    <w:widowControl/>
                    <w:adjustRightInd w:val="0"/>
                    <w:snapToGrid w:val="0"/>
                    <w:jc w:val="center"/>
                    <w:textAlignment w:val="center"/>
                    <w:rPr>
                      <w:rFonts w:eastAsia="附件"/>
                      <w:kern w:val="0"/>
                      <w:szCs w:val="21"/>
                    </w:rPr>
                  </w:pPr>
                  <w:r>
                    <w:rPr>
                      <w:rFonts w:eastAsia="附件"/>
                      <w:kern w:val="0"/>
                      <w:szCs w:val="21"/>
                    </w:rPr>
                    <w:t>1</w:t>
                  </w:r>
                </w:p>
              </w:tc>
              <w:tc>
                <w:tcPr>
                  <w:tcW w:w="1335" w:type="dxa"/>
                  <w:tcBorders>
                    <w:tl2br w:val="nil"/>
                    <w:tr2bl w:val="nil"/>
                  </w:tcBorders>
                  <w:vAlign w:val="center"/>
                </w:tcPr>
                <w:p w14:paraId="4343D8E6">
                  <w:pPr>
                    <w:widowControl/>
                    <w:jc w:val="center"/>
                    <w:rPr>
                      <w:rFonts w:eastAsia="附件"/>
                      <w:szCs w:val="21"/>
                    </w:rPr>
                  </w:pPr>
                  <w:r>
                    <w:rPr>
                      <w:rFonts w:eastAsia="附件"/>
                      <w:szCs w:val="21"/>
                    </w:rPr>
                    <w:t>pH</w:t>
                  </w:r>
                </w:p>
              </w:tc>
              <w:tc>
                <w:tcPr>
                  <w:tcW w:w="1333" w:type="dxa"/>
                  <w:tcBorders>
                    <w:tl2br w:val="nil"/>
                    <w:tr2bl w:val="nil"/>
                  </w:tcBorders>
                  <w:vAlign w:val="center"/>
                </w:tcPr>
                <w:p w14:paraId="38ECD98A">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1335" w:type="dxa"/>
                  <w:tcBorders>
                    <w:tl2br w:val="nil"/>
                    <w:tr2bl w:val="nil"/>
                  </w:tcBorders>
                  <w:vAlign w:val="center"/>
                </w:tcPr>
                <w:p w14:paraId="225BE218">
                  <w:pPr>
                    <w:widowControl/>
                    <w:adjustRightInd w:val="0"/>
                    <w:snapToGrid w:val="0"/>
                    <w:jc w:val="center"/>
                    <w:textAlignment w:val="center"/>
                    <w:rPr>
                      <w:rFonts w:eastAsia="附件"/>
                      <w:kern w:val="0"/>
                      <w:szCs w:val="21"/>
                    </w:rPr>
                  </w:pPr>
                  <w:r>
                    <w:rPr>
                      <w:rFonts w:eastAsia="附件"/>
                      <w:kern w:val="0"/>
                      <w:szCs w:val="21"/>
                    </w:rPr>
                    <w:t>/</w:t>
                  </w:r>
                </w:p>
              </w:tc>
              <w:tc>
                <w:tcPr>
                  <w:tcW w:w="1333" w:type="dxa"/>
                  <w:tcBorders>
                    <w:tl2br w:val="nil"/>
                    <w:tr2bl w:val="nil"/>
                  </w:tcBorders>
                  <w:vAlign w:val="center"/>
                </w:tcPr>
                <w:p w14:paraId="0BD48D74">
                  <w:pPr>
                    <w:jc w:val="center"/>
                    <w:rPr>
                      <w:rFonts w:eastAsia="附件"/>
                      <w:kern w:val="0"/>
                      <w:szCs w:val="21"/>
                    </w:rPr>
                  </w:pPr>
                  <w:r>
                    <w:rPr>
                      <w:rFonts w:eastAsia="附件"/>
                      <w:kern w:val="0"/>
                      <w:szCs w:val="21"/>
                    </w:rPr>
                    <w:t>/</w:t>
                  </w:r>
                </w:p>
              </w:tc>
              <w:tc>
                <w:tcPr>
                  <w:tcW w:w="1339" w:type="dxa"/>
                  <w:tcBorders>
                    <w:tl2br w:val="nil"/>
                    <w:tr2bl w:val="nil"/>
                  </w:tcBorders>
                  <w:vAlign w:val="center"/>
                </w:tcPr>
                <w:p w14:paraId="313BF102">
                  <w:pPr>
                    <w:widowControl/>
                    <w:adjustRightInd w:val="0"/>
                    <w:snapToGrid w:val="0"/>
                    <w:jc w:val="center"/>
                    <w:textAlignment w:val="center"/>
                    <w:rPr>
                      <w:rFonts w:eastAsia="附件"/>
                      <w:kern w:val="0"/>
                      <w:szCs w:val="21"/>
                    </w:rPr>
                  </w:pPr>
                </w:p>
              </w:tc>
            </w:tr>
            <w:tr w14:paraId="08612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1332" w:type="dxa"/>
                  <w:tcBorders>
                    <w:tl2br w:val="nil"/>
                    <w:tr2bl w:val="nil"/>
                  </w:tcBorders>
                  <w:shd w:val="clear" w:color="auto" w:fill="auto"/>
                  <w:vAlign w:val="center"/>
                </w:tcPr>
                <w:p w14:paraId="79A2A259">
                  <w:pPr>
                    <w:widowControl/>
                    <w:adjustRightInd w:val="0"/>
                    <w:snapToGrid w:val="0"/>
                    <w:jc w:val="center"/>
                    <w:textAlignment w:val="center"/>
                    <w:rPr>
                      <w:rFonts w:eastAsia="附件"/>
                      <w:kern w:val="0"/>
                      <w:szCs w:val="21"/>
                    </w:rPr>
                  </w:pPr>
                  <w:r>
                    <w:rPr>
                      <w:rFonts w:eastAsia="附件"/>
                      <w:kern w:val="0"/>
                      <w:szCs w:val="21"/>
                    </w:rPr>
                    <w:t>2</w:t>
                  </w:r>
                </w:p>
              </w:tc>
              <w:tc>
                <w:tcPr>
                  <w:tcW w:w="1335" w:type="dxa"/>
                  <w:tcBorders>
                    <w:tl2br w:val="nil"/>
                    <w:tr2bl w:val="nil"/>
                  </w:tcBorders>
                  <w:shd w:val="clear" w:color="auto" w:fill="auto"/>
                  <w:vAlign w:val="center"/>
                </w:tcPr>
                <w:p w14:paraId="7A4AD466">
                  <w:pPr>
                    <w:widowControl/>
                    <w:jc w:val="center"/>
                    <w:rPr>
                      <w:rFonts w:eastAsia="附件"/>
                      <w:szCs w:val="21"/>
                    </w:rPr>
                  </w:pPr>
                  <w:r>
                    <w:rPr>
                      <w:rFonts w:eastAsia="附件"/>
                      <w:szCs w:val="21"/>
                    </w:rPr>
                    <w:t>镉</w:t>
                  </w:r>
                </w:p>
              </w:tc>
              <w:tc>
                <w:tcPr>
                  <w:tcW w:w="1333" w:type="dxa"/>
                  <w:tcBorders>
                    <w:tl2br w:val="nil"/>
                    <w:tr2bl w:val="nil"/>
                  </w:tcBorders>
                  <w:shd w:val="clear" w:color="auto" w:fill="auto"/>
                  <w:vAlign w:val="center"/>
                </w:tcPr>
                <w:p w14:paraId="02724FD0">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26F38781">
                  <w:pPr>
                    <w:widowControl/>
                    <w:adjustRightInd w:val="0"/>
                    <w:snapToGrid w:val="0"/>
                    <w:jc w:val="center"/>
                    <w:textAlignment w:val="center"/>
                    <w:rPr>
                      <w:rFonts w:eastAsia="附件"/>
                      <w:kern w:val="0"/>
                      <w:szCs w:val="21"/>
                    </w:rPr>
                  </w:pPr>
                  <w:r>
                    <w:rPr>
                      <w:rFonts w:eastAsia="附件"/>
                      <w:kern w:val="0"/>
                      <w:szCs w:val="21"/>
                    </w:rPr>
                    <w:t>150</w:t>
                  </w:r>
                </w:p>
              </w:tc>
              <w:tc>
                <w:tcPr>
                  <w:tcW w:w="1333" w:type="dxa"/>
                  <w:tcBorders>
                    <w:tl2br w:val="nil"/>
                    <w:tr2bl w:val="nil"/>
                  </w:tcBorders>
                  <w:shd w:val="clear" w:color="auto" w:fill="auto"/>
                  <w:vAlign w:val="center"/>
                </w:tcPr>
                <w:p w14:paraId="06EBF4B6">
                  <w:pPr>
                    <w:widowControl/>
                    <w:jc w:val="center"/>
                    <w:textAlignment w:val="center"/>
                    <w:rPr>
                      <w:rFonts w:eastAsia="附件"/>
                      <w:kern w:val="0"/>
                      <w:szCs w:val="21"/>
                    </w:rPr>
                  </w:pPr>
                  <w:r>
                    <w:rPr>
                      <w:rFonts w:eastAsia="附件"/>
                      <w:kern w:val="0"/>
                      <w:szCs w:val="21"/>
                    </w:rPr>
                    <w:t>0.001</w:t>
                  </w:r>
                </w:p>
              </w:tc>
              <w:tc>
                <w:tcPr>
                  <w:tcW w:w="1339" w:type="dxa"/>
                  <w:tcBorders>
                    <w:tl2br w:val="nil"/>
                    <w:tr2bl w:val="nil"/>
                  </w:tcBorders>
                  <w:shd w:val="clear" w:color="auto" w:fill="auto"/>
                  <w:vAlign w:val="center"/>
                </w:tcPr>
                <w:p w14:paraId="485685C4">
                  <w:pPr>
                    <w:widowControl/>
                    <w:adjustRightInd w:val="0"/>
                    <w:snapToGrid w:val="0"/>
                    <w:jc w:val="center"/>
                    <w:textAlignment w:val="center"/>
                    <w:rPr>
                      <w:rFonts w:eastAsia="附件"/>
                      <w:kern w:val="0"/>
                      <w:szCs w:val="21"/>
                    </w:rPr>
                  </w:pPr>
                  <w:r>
                    <w:rPr>
                      <w:rFonts w:eastAsia="附件"/>
                      <w:kern w:val="0"/>
                      <w:szCs w:val="21"/>
                    </w:rPr>
                    <w:t>0</w:t>
                  </w:r>
                </w:p>
              </w:tc>
            </w:tr>
            <w:tr w14:paraId="25DB6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095FDF9C">
                  <w:pPr>
                    <w:widowControl/>
                    <w:adjustRightInd w:val="0"/>
                    <w:snapToGrid w:val="0"/>
                    <w:jc w:val="center"/>
                    <w:textAlignment w:val="center"/>
                    <w:rPr>
                      <w:rFonts w:eastAsia="附件"/>
                      <w:kern w:val="0"/>
                      <w:szCs w:val="21"/>
                    </w:rPr>
                  </w:pPr>
                  <w:r>
                    <w:rPr>
                      <w:rFonts w:eastAsia="附件"/>
                      <w:kern w:val="0"/>
                      <w:szCs w:val="21"/>
                    </w:rPr>
                    <w:t>3</w:t>
                  </w:r>
                </w:p>
              </w:tc>
              <w:tc>
                <w:tcPr>
                  <w:tcW w:w="1335" w:type="dxa"/>
                  <w:tcBorders>
                    <w:tl2br w:val="nil"/>
                    <w:tr2bl w:val="nil"/>
                  </w:tcBorders>
                  <w:shd w:val="clear" w:color="auto" w:fill="auto"/>
                  <w:vAlign w:val="center"/>
                </w:tcPr>
                <w:p w14:paraId="73B114F2">
                  <w:pPr>
                    <w:widowControl/>
                    <w:jc w:val="center"/>
                    <w:rPr>
                      <w:rFonts w:eastAsia="附件"/>
                      <w:szCs w:val="21"/>
                      <w:lang w:bidi="ar"/>
                    </w:rPr>
                  </w:pPr>
                  <w:r>
                    <w:rPr>
                      <w:rFonts w:eastAsia="附件"/>
                      <w:szCs w:val="21"/>
                    </w:rPr>
                    <w:t>砷</w:t>
                  </w:r>
                </w:p>
              </w:tc>
              <w:tc>
                <w:tcPr>
                  <w:tcW w:w="1333" w:type="dxa"/>
                  <w:tcBorders>
                    <w:tl2br w:val="nil"/>
                    <w:tr2bl w:val="nil"/>
                  </w:tcBorders>
                  <w:shd w:val="clear" w:color="auto" w:fill="auto"/>
                  <w:vAlign w:val="center"/>
                </w:tcPr>
                <w:p w14:paraId="1D73A872">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0DBA6AA0">
                  <w:pPr>
                    <w:widowControl/>
                    <w:adjustRightInd w:val="0"/>
                    <w:snapToGrid w:val="0"/>
                    <w:jc w:val="center"/>
                    <w:textAlignment w:val="center"/>
                    <w:rPr>
                      <w:rFonts w:eastAsia="附件"/>
                      <w:kern w:val="0"/>
                      <w:szCs w:val="21"/>
                    </w:rPr>
                  </w:pPr>
                  <w:r>
                    <w:rPr>
                      <w:rFonts w:eastAsia="附件"/>
                      <w:kern w:val="0"/>
                      <w:szCs w:val="21"/>
                    </w:rPr>
                    <w:t>20</w:t>
                  </w:r>
                </w:p>
              </w:tc>
              <w:tc>
                <w:tcPr>
                  <w:tcW w:w="1333" w:type="dxa"/>
                  <w:tcBorders>
                    <w:tl2br w:val="nil"/>
                    <w:tr2bl w:val="nil"/>
                  </w:tcBorders>
                  <w:shd w:val="clear" w:color="auto" w:fill="auto"/>
                  <w:vAlign w:val="center"/>
                </w:tcPr>
                <w:p w14:paraId="11C3EF0D">
                  <w:pPr>
                    <w:widowControl/>
                    <w:jc w:val="center"/>
                    <w:textAlignment w:val="center"/>
                    <w:rPr>
                      <w:rFonts w:eastAsia="附件"/>
                      <w:kern w:val="0"/>
                      <w:szCs w:val="21"/>
                    </w:rPr>
                  </w:pPr>
                  <w:r>
                    <w:rPr>
                      <w:rFonts w:eastAsia="附件"/>
                      <w:kern w:val="0"/>
                      <w:szCs w:val="21"/>
                    </w:rPr>
                    <w:t>0.</w:t>
                  </w:r>
                  <w:r>
                    <w:rPr>
                      <w:rFonts w:hint="eastAsia" w:eastAsia="附件"/>
                      <w:kern w:val="0"/>
                      <w:szCs w:val="21"/>
                    </w:rPr>
                    <w:t>197</w:t>
                  </w:r>
                </w:p>
              </w:tc>
              <w:tc>
                <w:tcPr>
                  <w:tcW w:w="1339" w:type="dxa"/>
                  <w:tcBorders>
                    <w:tl2br w:val="nil"/>
                    <w:tr2bl w:val="nil"/>
                  </w:tcBorders>
                  <w:shd w:val="clear" w:color="auto" w:fill="auto"/>
                  <w:vAlign w:val="center"/>
                </w:tcPr>
                <w:p w14:paraId="6CFC2E16">
                  <w:pPr>
                    <w:widowControl/>
                    <w:adjustRightInd w:val="0"/>
                    <w:snapToGrid w:val="0"/>
                    <w:jc w:val="center"/>
                    <w:textAlignment w:val="center"/>
                    <w:rPr>
                      <w:rFonts w:eastAsia="附件"/>
                      <w:kern w:val="0"/>
                      <w:szCs w:val="21"/>
                    </w:rPr>
                  </w:pPr>
                  <w:r>
                    <w:rPr>
                      <w:rFonts w:eastAsia="附件"/>
                      <w:kern w:val="0"/>
                      <w:szCs w:val="21"/>
                    </w:rPr>
                    <w:t>/</w:t>
                  </w:r>
                </w:p>
              </w:tc>
            </w:tr>
            <w:tr w14:paraId="29A12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4822A8E">
                  <w:pPr>
                    <w:adjustRightInd w:val="0"/>
                    <w:snapToGrid w:val="0"/>
                    <w:jc w:val="center"/>
                    <w:rPr>
                      <w:rFonts w:eastAsia="附件"/>
                      <w:kern w:val="0"/>
                      <w:szCs w:val="21"/>
                    </w:rPr>
                  </w:pPr>
                  <w:r>
                    <w:rPr>
                      <w:rFonts w:eastAsia="附件"/>
                      <w:kern w:val="0"/>
                      <w:szCs w:val="21"/>
                    </w:rPr>
                    <w:t>4</w:t>
                  </w:r>
                </w:p>
              </w:tc>
              <w:tc>
                <w:tcPr>
                  <w:tcW w:w="1335" w:type="dxa"/>
                  <w:tcBorders>
                    <w:tl2br w:val="nil"/>
                    <w:tr2bl w:val="nil"/>
                  </w:tcBorders>
                  <w:shd w:val="clear" w:color="auto" w:fill="auto"/>
                  <w:vAlign w:val="center"/>
                </w:tcPr>
                <w:p w14:paraId="0F96E536">
                  <w:pPr>
                    <w:widowControl/>
                    <w:jc w:val="center"/>
                    <w:rPr>
                      <w:rFonts w:eastAsia="附件"/>
                      <w:szCs w:val="21"/>
                    </w:rPr>
                  </w:pPr>
                  <w:r>
                    <w:rPr>
                      <w:rFonts w:eastAsia="附件"/>
                      <w:szCs w:val="21"/>
                    </w:rPr>
                    <w:t>汞</w:t>
                  </w:r>
                </w:p>
              </w:tc>
              <w:tc>
                <w:tcPr>
                  <w:tcW w:w="1333" w:type="dxa"/>
                  <w:tcBorders>
                    <w:tl2br w:val="nil"/>
                    <w:tr2bl w:val="nil"/>
                  </w:tcBorders>
                  <w:shd w:val="clear" w:color="auto" w:fill="auto"/>
                  <w:vAlign w:val="center"/>
                </w:tcPr>
                <w:p w14:paraId="7EF106EE">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50C03EB6">
                  <w:pPr>
                    <w:widowControl/>
                    <w:adjustRightInd w:val="0"/>
                    <w:snapToGrid w:val="0"/>
                    <w:jc w:val="center"/>
                    <w:textAlignment w:val="center"/>
                    <w:rPr>
                      <w:rFonts w:eastAsia="附件"/>
                      <w:kern w:val="0"/>
                      <w:szCs w:val="21"/>
                    </w:rPr>
                  </w:pPr>
                  <w:r>
                    <w:rPr>
                      <w:rFonts w:eastAsia="附件"/>
                      <w:kern w:val="0"/>
                      <w:szCs w:val="21"/>
                    </w:rPr>
                    <w:t>8</w:t>
                  </w:r>
                </w:p>
              </w:tc>
              <w:tc>
                <w:tcPr>
                  <w:tcW w:w="1333" w:type="dxa"/>
                  <w:tcBorders>
                    <w:tl2br w:val="nil"/>
                    <w:tr2bl w:val="nil"/>
                  </w:tcBorders>
                  <w:shd w:val="clear" w:color="auto" w:fill="auto"/>
                  <w:vAlign w:val="center"/>
                </w:tcPr>
                <w:p w14:paraId="191FDA82">
                  <w:pPr>
                    <w:widowControl/>
                    <w:jc w:val="center"/>
                    <w:textAlignment w:val="center"/>
                    <w:rPr>
                      <w:rFonts w:eastAsia="附件"/>
                      <w:kern w:val="0"/>
                      <w:szCs w:val="21"/>
                    </w:rPr>
                  </w:pPr>
                  <w:r>
                    <w:rPr>
                      <w:rFonts w:eastAsia="附件"/>
                      <w:kern w:val="0"/>
                      <w:szCs w:val="21"/>
                    </w:rPr>
                    <w:t>0.0</w:t>
                  </w:r>
                  <w:r>
                    <w:rPr>
                      <w:rFonts w:hint="eastAsia" w:eastAsia="附件"/>
                      <w:kern w:val="0"/>
                      <w:szCs w:val="21"/>
                    </w:rPr>
                    <w:t>3</w:t>
                  </w:r>
                </w:p>
              </w:tc>
              <w:tc>
                <w:tcPr>
                  <w:tcW w:w="1339" w:type="dxa"/>
                  <w:tcBorders>
                    <w:tl2br w:val="nil"/>
                    <w:tr2bl w:val="nil"/>
                  </w:tcBorders>
                  <w:shd w:val="clear" w:color="auto" w:fill="auto"/>
                  <w:vAlign w:val="center"/>
                </w:tcPr>
                <w:p w14:paraId="3137388D">
                  <w:pPr>
                    <w:widowControl/>
                    <w:adjustRightInd w:val="0"/>
                    <w:snapToGrid w:val="0"/>
                    <w:jc w:val="center"/>
                    <w:textAlignment w:val="center"/>
                    <w:rPr>
                      <w:rFonts w:eastAsia="附件"/>
                      <w:kern w:val="0"/>
                      <w:szCs w:val="21"/>
                    </w:rPr>
                  </w:pPr>
                  <w:r>
                    <w:rPr>
                      <w:rFonts w:eastAsia="附件"/>
                      <w:kern w:val="0"/>
                      <w:szCs w:val="21"/>
                    </w:rPr>
                    <w:t>0</w:t>
                  </w:r>
                </w:p>
              </w:tc>
            </w:tr>
            <w:tr w14:paraId="4D142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85CD55B">
                  <w:pPr>
                    <w:adjustRightInd w:val="0"/>
                    <w:snapToGrid w:val="0"/>
                    <w:jc w:val="center"/>
                    <w:rPr>
                      <w:rFonts w:eastAsia="附件"/>
                      <w:kern w:val="0"/>
                      <w:szCs w:val="21"/>
                    </w:rPr>
                  </w:pPr>
                  <w:r>
                    <w:rPr>
                      <w:rFonts w:eastAsia="附件"/>
                      <w:kern w:val="0"/>
                      <w:szCs w:val="21"/>
                    </w:rPr>
                    <w:t>5</w:t>
                  </w:r>
                </w:p>
              </w:tc>
              <w:tc>
                <w:tcPr>
                  <w:tcW w:w="1335" w:type="dxa"/>
                  <w:tcBorders>
                    <w:tl2br w:val="nil"/>
                    <w:tr2bl w:val="nil"/>
                  </w:tcBorders>
                  <w:shd w:val="clear" w:color="auto" w:fill="auto"/>
                  <w:vAlign w:val="center"/>
                </w:tcPr>
                <w:p w14:paraId="7F161D6B">
                  <w:pPr>
                    <w:widowControl/>
                    <w:jc w:val="center"/>
                    <w:rPr>
                      <w:rFonts w:eastAsia="附件"/>
                      <w:szCs w:val="21"/>
                    </w:rPr>
                  </w:pPr>
                  <w:r>
                    <w:rPr>
                      <w:rFonts w:eastAsia="附件"/>
                      <w:szCs w:val="21"/>
                    </w:rPr>
                    <w:t>六价铬</w:t>
                  </w:r>
                </w:p>
              </w:tc>
              <w:tc>
                <w:tcPr>
                  <w:tcW w:w="1333" w:type="dxa"/>
                  <w:tcBorders>
                    <w:tl2br w:val="nil"/>
                    <w:tr2bl w:val="nil"/>
                  </w:tcBorders>
                  <w:shd w:val="clear" w:color="auto" w:fill="auto"/>
                  <w:vAlign w:val="center"/>
                </w:tcPr>
                <w:p w14:paraId="76A9F80D">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2B383A0C">
                  <w:pPr>
                    <w:widowControl/>
                    <w:adjustRightInd w:val="0"/>
                    <w:snapToGrid w:val="0"/>
                    <w:jc w:val="center"/>
                    <w:textAlignment w:val="center"/>
                    <w:rPr>
                      <w:rFonts w:eastAsia="附件"/>
                      <w:kern w:val="0"/>
                      <w:szCs w:val="21"/>
                    </w:rPr>
                  </w:pPr>
                  <w:r>
                    <w:rPr>
                      <w:rFonts w:eastAsia="附件"/>
                      <w:kern w:val="0"/>
                      <w:szCs w:val="21"/>
                    </w:rPr>
                    <w:t>3.0</w:t>
                  </w:r>
                </w:p>
              </w:tc>
              <w:tc>
                <w:tcPr>
                  <w:tcW w:w="1333" w:type="dxa"/>
                  <w:tcBorders>
                    <w:tl2br w:val="nil"/>
                    <w:tr2bl w:val="nil"/>
                  </w:tcBorders>
                  <w:shd w:val="clear" w:color="auto" w:fill="auto"/>
                  <w:vAlign w:val="center"/>
                </w:tcPr>
                <w:p w14:paraId="02BBF3BA">
                  <w:pPr>
                    <w:widowControl/>
                    <w:jc w:val="center"/>
                    <w:textAlignment w:val="center"/>
                    <w:rPr>
                      <w:rFonts w:eastAsia="附件"/>
                      <w:kern w:val="0"/>
                      <w:szCs w:val="21"/>
                    </w:rPr>
                  </w:pPr>
                  <w:r>
                    <w:rPr>
                      <w:rFonts w:eastAsia="附件"/>
                      <w:kern w:val="0"/>
                      <w:szCs w:val="21"/>
                    </w:rPr>
                    <w:t>/</w:t>
                  </w:r>
                </w:p>
              </w:tc>
              <w:tc>
                <w:tcPr>
                  <w:tcW w:w="1339" w:type="dxa"/>
                  <w:tcBorders>
                    <w:tl2br w:val="nil"/>
                    <w:tr2bl w:val="nil"/>
                  </w:tcBorders>
                  <w:shd w:val="clear" w:color="auto" w:fill="auto"/>
                  <w:vAlign w:val="center"/>
                </w:tcPr>
                <w:p w14:paraId="3830E4F9">
                  <w:pPr>
                    <w:widowControl/>
                    <w:adjustRightInd w:val="0"/>
                    <w:snapToGrid w:val="0"/>
                    <w:jc w:val="center"/>
                    <w:textAlignment w:val="center"/>
                    <w:rPr>
                      <w:rFonts w:eastAsia="附件"/>
                      <w:kern w:val="0"/>
                      <w:szCs w:val="21"/>
                    </w:rPr>
                  </w:pPr>
                  <w:r>
                    <w:rPr>
                      <w:rFonts w:eastAsia="附件"/>
                      <w:kern w:val="0"/>
                      <w:szCs w:val="21"/>
                    </w:rPr>
                    <w:t>0</w:t>
                  </w:r>
                </w:p>
              </w:tc>
            </w:tr>
            <w:tr w14:paraId="14B92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666F5994">
                  <w:pPr>
                    <w:adjustRightInd w:val="0"/>
                    <w:snapToGrid w:val="0"/>
                    <w:jc w:val="center"/>
                    <w:rPr>
                      <w:rFonts w:eastAsia="附件"/>
                      <w:kern w:val="0"/>
                      <w:szCs w:val="21"/>
                    </w:rPr>
                  </w:pPr>
                  <w:r>
                    <w:rPr>
                      <w:rFonts w:eastAsia="附件"/>
                      <w:kern w:val="0"/>
                      <w:szCs w:val="21"/>
                    </w:rPr>
                    <w:t>6</w:t>
                  </w:r>
                </w:p>
              </w:tc>
              <w:tc>
                <w:tcPr>
                  <w:tcW w:w="1335" w:type="dxa"/>
                  <w:tcBorders>
                    <w:tl2br w:val="nil"/>
                    <w:tr2bl w:val="nil"/>
                  </w:tcBorders>
                  <w:shd w:val="clear" w:color="auto" w:fill="auto"/>
                  <w:vAlign w:val="center"/>
                </w:tcPr>
                <w:p w14:paraId="65AB0AA5">
                  <w:pPr>
                    <w:widowControl/>
                    <w:jc w:val="center"/>
                    <w:rPr>
                      <w:rFonts w:eastAsia="附件"/>
                      <w:szCs w:val="21"/>
                    </w:rPr>
                  </w:pPr>
                  <w:r>
                    <w:rPr>
                      <w:rFonts w:eastAsia="附件"/>
                      <w:szCs w:val="21"/>
                    </w:rPr>
                    <w:t>铅</w:t>
                  </w:r>
                </w:p>
              </w:tc>
              <w:tc>
                <w:tcPr>
                  <w:tcW w:w="1333" w:type="dxa"/>
                  <w:tcBorders>
                    <w:tl2br w:val="nil"/>
                    <w:tr2bl w:val="nil"/>
                  </w:tcBorders>
                  <w:shd w:val="clear" w:color="auto" w:fill="auto"/>
                  <w:vAlign w:val="center"/>
                </w:tcPr>
                <w:p w14:paraId="7C7B715B">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0C510945">
                  <w:pPr>
                    <w:widowControl/>
                    <w:adjustRightInd w:val="0"/>
                    <w:snapToGrid w:val="0"/>
                    <w:jc w:val="center"/>
                    <w:textAlignment w:val="center"/>
                    <w:rPr>
                      <w:rFonts w:eastAsia="附件"/>
                      <w:kern w:val="0"/>
                      <w:szCs w:val="21"/>
                    </w:rPr>
                  </w:pPr>
                  <w:r>
                    <w:rPr>
                      <w:rFonts w:eastAsia="附件"/>
                      <w:kern w:val="0"/>
                      <w:szCs w:val="21"/>
                    </w:rPr>
                    <w:t>2000</w:t>
                  </w:r>
                </w:p>
              </w:tc>
              <w:tc>
                <w:tcPr>
                  <w:tcW w:w="1333" w:type="dxa"/>
                  <w:tcBorders>
                    <w:tl2br w:val="nil"/>
                    <w:tr2bl w:val="nil"/>
                  </w:tcBorders>
                  <w:shd w:val="clear" w:color="auto" w:fill="auto"/>
                  <w:vAlign w:val="center"/>
                </w:tcPr>
                <w:p w14:paraId="5B0398DA">
                  <w:pPr>
                    <w:widowControl/>
                    <w:jc w:val="center"/>
                    <w:textAlignment w:val="center"/>
                    <w:rPr>
                      <w:rFonts w:eastAsia="附件"/>
                      <w:kern w:val="0"/>
                      <w:szCs w:val="21"/>
                    </w:rPr>
                  </w:pPr>
                  <w:r>
                    <w:rPr>
                      <w:rFonts w:eastAsia="附件"/>
                      <w:kern w:val="0"/>
                      <w:szCs w:val="21"/>
                    </w:rPr>
                    <w:t>0.0</w:t>
                  </w:r>
                  <w:r>
                    <w:rPr>
                      <w:rFonts w:hint="eastAsia" w:eastAsia="附件"/>
                      <w:kern w:val="0"/>
                      <w:szCs w:val="21"/>
                    </w:rPr>
                    <w:t>1</w:t>
                  </w:r>
                </w:p>
              </w:tc>
              <w:tc>
                <w:tcPr>
                  <w:tcW w:w="1339" w:type="dxa"/>
                  <w:tcBorders>
                    <w:tl2br w:val="nil"/>
                    <w:tr2bl w:val="nil"/>
                  </w:tcBorders>
                  <w:shd w:val="clear" w:color="auto" w:fill="auto"/>
                  <w:vAlign w:val="center"/>
                </w:tcPr>
                <w:p w14:paraId="08DF134B">
                  <w:pPr>
                    <w:widowControl/>
                    <w:adjustRightInd w:val="0"/>
                    <w:snapToGrid w:val="0"/>
                    <w:jc w:val="center"/>
                    <w:textAlignment w:val="center"/>
                    <w:rPr>
                      <w:rFonts w:eastAsia="附件"/>
                      <w:kern w:val="0"/>
                      <w:szCs w:val="21"/>
                    </w:rPr>
                  </w:pPr>
                  <w:r>
                    <w:rPr>
                      <w:rFonts w:eastAsia="附件"/>
                      <w:kern w:val="0"/>
                      <w:szCs w:val="21"/>
                    </w:rPr>
                    <w:t>0</w:t>
                  </w:r>
                </w:p>
              </w:tc>
            </w:tr>
            <w:tr w14:paraId="4DF04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B5EBE8A">
                  <w:pPr>
                    <w:adjustRightInd w:val="0"/>
                    <w:snapToGrid w:val="0"/>
                    <w:jc w:val="center"/>
                    <w:rPr>
                      <w:rFonts w:eastAsia="附件"/>
                      <w:kern w:val="0"/>
                      <w:szCs w:val="21"/>
                    </w:rPr>
                  </w:pPr>
                  <w:r>
                    <w:rPr>
                      <w:rFonts w:eastAsia="附件"/>
                      <w:kern w:val="0"/>
                      <w:szCs w:val="21"/>
                    </w:rPr>
                    <w:t>7</w:t>
                  </w:r>
                </w:p>
              </w:tc>
              <w:tc>
                <w:tcPr>
                  <w:tcW w:w="1335" w:type="dxa"/>
                  <w:tcBorders>
                    <w:tl2br w:val="nil"/>
                    <w:tr2bl w:val="nil"/>
                  </w:tcBorders>
                  <w:shd w:val="clear" w:color="auto" w:fill="auto"/>
                  <w:vAlign w:val="center"/>
                </w:tcPr>
                <w:p w14:paraId="426E6BD6">
                  <w:pPr>
                    <w:widowControl/>
                    <w:jc w:val="center"/>
                    <w:rPr>
                      <w:rFonts w:eastAsia="附件"/>
                      <w:szCs w:val="21"/>
                    </w:rPr>
                  </w:pPr>
                  <w:r>
                    <w:rPr>
                      <w:rFonts w:eastAsia="附件"/>
                      <w:szCs w:val="21"/>
                    </w:rPr>
                    <w:t>铜</w:t>
                  </w:r>
                </w:p>
              </w:tc>
              <w:tc>
                <w:tcPr>
                  <w:tcW w:w="1333" w:type="dxa"/>
                  <w:tcBorders>
                    <w:tl2br w:val="nil"/>
                    <w:tr2bl w:val="nil"/>
                  </w:tcBorders>
                  <w:shd w:val="clear" w:color="auto" w:fill="auto"/>
                  <w:vAlign w:val="center"/>
                </w:tcPr>
                <w:p w14:paraId="4D334E5D">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2EE9D7FD">
                  <w:pPr>
                    <w:widowControl/>
                    <w:adjustRightInd w:val="0"/>
                    <w:snapToGrid w:val="0"/>
                    <w:jc w:val="center"/>
                    <w:textAlignment w:val="center"/>
                    <w:rPr>
                      <w:rFonts w:eastAsia="附件"/>
                      <w:kern w:val="0"/>
                      <w:szCs w:val="21"/>
                    </w:rPr>
                  </w:pPr>
                  <w:r>
                    <w:rPr>
                      <w:rFonts w:eastAsia="附件"/>
                      <w:kern w:val="0"/>
                      <w:szCs w:val="21"/>
                    </w:rPr>
                    <w:t>120</w:t>
                  </w:r>
                </w:p>
              </w:tc>
              <w:tc>
                <w:tcPr>
                  <w:tcW w:w="1333" w:type="dxa"/>
                  <w:tcBorders>
                    <w:tl2br w:val="nil"/>
                    <w:tr2bl w:val="nil"/>
                  </w:tcBorders>
                  <w:shd w:val="clear" w:color="auto" w:fill="auto"/>
                  <w:vAlign w:val="center"/>
                </w:tcPr>
                <w:p w14:paraId="651B6C54">
                  <w:pPr>
                    <w:widowControl/>
                    <w:jc w:val="center"/>
                    <w:textAlignment w:val="center"/>
                    <w:rPr>
                      <w:rFonts w:eastAsia="附件"/>
                      <w:kern w:val="0"/>
                      <w:szCs w:val="21"/>
                    </w:rPr>
                  </w:pPr>
                  <w:r>
                    <w:rPr>
                      <w:rFonts w:eastAsia="附件"/>
                      <w:kern w:val="0"/>
                      <w:szCs w:val="21"/>
                    </w:rPr>
                    <w:t>0.22</w:t>
                  </w:r>
                </w:p>
              </w:tc>
              <w:tc>
                <w:tcPr>
                  <w:tcW w:w="1339" w:type="dxa"/>
                  <w:tcBorders>
                    <w:tl2br w:val="nil"/>
                    <w:tr2bl w:val="nil"/>
                  </w:tcBorders>
                  <w:shd w:val="clear" w:color="auto" w:fill="auto"/>
                  <w:vAlign w:val="center"/>
                </w:tcPr>
                <w:p w14:paraId="71C11500">
                  <w:pPr>
                    <w:widowControl/>
                    <w:adjustRightInd w:val="0"/>
                    <w:snapToGrid w:val="0"/>
                    <w:jc w:val="center"/>
                    <w:textAlignment w:val="center"/>
                    <w:rPr>
                      <w:rFonts w:eastAsia="附件"/>
                      <w:kern w:val="0"/>
                      <w:szCs w:val="21"/>
                    </w:rPr>
                  </w:pPr>
                  <w:r>
                    <w:rPr>
                      <w:rFonts w:eastAsia="附件"/>
                      <w:kern w:val="0"/>
                      <w:szCs w:val="21"/>
                    </w:rPr>
                    <w:t>0</w:t>
                  </w:r>
                </w:p>
              </w:tc>
            </w:tr>
            <w:tr w14:paraId="25F27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D287629">
                  <w:pPr>
                    <w:adjustRightInd w:val="0"/>
                    <w:snapToGrid w:val="0"/>
                    <w:jc w:val="center"/>
                    <w:rPr>
                      <w:rFonts w:eastAsia="附件"/>
                      <w:kern w:val="0"/>
                      <w:szCs w:val="21"/>
                    </w:rPr>
                  </w:pPr>
                  <w:r>
                    <w:rPr>
                      <w:rFonts w:eastAsia="附件"/>
                      <w:kern w:val="0"/>
                      <w:szCs w:val="21"/>
                    </w:rPr>
                    <w:t>8</w:t>
                  </w:r>
                </w:p>
              </w:tc>
              <w:tc>
                <w:tcPr>
                  <w:tcW w:w="1335" w:type="dxa"/>
                  <w:tcBorders>
                    <w:tl2br w:val="nil"/>
                    <w:tr2bl w:val="nil"/>
                  </w:tcBorders>
                  <w:shd w:val="clear" w:color="auto" w:fill="auto"/>
                  <w:vAlign w:val="center"/>
                </w:tcPr>
                <w:p w14:paraId="110E34BF">
                  <w:pPr>
                    <w:widowControl/>
                    <w:jc w:val="center"/>
                    <w:rPr>
                      <w:rFonts w:eastAsia="附件"/>
                      <w:szCs w:val="21"/>
                    </w:rPr>
                  </w:pPr>
                  <w:r>
                    <w:rPr>
                      <w:rFonts w:eastAsia="附件"/>
                      <w:szCs w:val="21"/>
                    </w:rPr>
                    <w:t>镍</w:t>
                  </w:r>
                </w:p>
              </w:tc>
              <w:tc>
                <w:tcPr>
                  <w:tcW w:w="1333" w:type="dxa"/>
                  <w:tcBorders>
                    <w:tl2br w:val="nil"/>
                    <w:tr2bl w:val="nil"/>
                  </w:tcBorders>
                  <w:shd w:val="clear" w:color="auto" w:fill="auto"/>
                  <w:vAlign w:val="center"/>
                </w:tcPr>
                <w:p w14:paraId="56EA6E9E">
                  <w:pPr>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34F52C87">
                  <w:pPr>
                    <w:widowControl/>
                    <w:adjustRightInd w:val="0"/>
                    <w:snapToGrid w:val="0"/>
                    <w:jc w:val="center"/>
                    <w:textAlignment w:val="center"/>
                    <w:rPr>
                      <w:rFonts w:eastAsia="附件"/>
                      <w:kern w:val="0"/>
                      <w:szCs w:val="21"/>
                    </w:rPr>
                  </w:pPr>
                  <w:r>
                    <w:rPr>
                      <w:rFonts w:eastAsia="附件"/>
                      <w:kern w:val="0"/>
                      <w:szCs w:val="21"/>
                    </w:rPr>
                    <w:t>400</w:t>
                  </w:r>
                </w:p>
              </w:tc>
              <w:tc>
                <w:tcPr>
                  <w:tcW w:w="1333" w:type="dxa"/>
                  <w:tcBorders>
                    <w:tl2br w:val="nil"/>
                    <w:tr2bl w:val="nil"/>
                  </w:tcBorders>
                  <w:shd w:val="clear" w:color="auto" w:fill="auto"/>
                  <w:vAlign w:val="center"/>
                </w:tcPr>
                <w:p w14:paraId="215FA505">
                  <w:pPr>
                    <w:widowControl/>
                    <w:jc w:val="center"/>
                    <w:textAlignment w:val="center"/>
                    <w:rPr>
                      <w:rFonts w:eastAsia="附件"/>
                      <w:kern w:val="0"/>
                      <w:szCs w:val="21"/>
                    </w:rPr>
                  </w:pPr>
                  <w:r>
                    <w:rPr>
                      <w:rFonts w:eastAsia="附件"/>
                      <w:kern w:val="0"/>
                      <w:szCs w:val="21"/>
                    </w:rPr>
                    <w:t>0.</w:t>
                  </w:r>
                  <w:r>
                    <w:rPr>
                      <w:rFonts w:hint="eastAsia" w:eastAsia="附件"/>
                      <w:kern w:val="0"/>
                      <w:szCs w:val="21"/>
                    </w:rPr>
                    <w:t>06</w:t>
                  </w:r>
                </w:p>
              </w:tc>
              <w:tc>
                <w:tcPr>
                  <w:tcW w:w="1339" w:type="dxa"/>
                  <w:tcBorders>
                    <w:tl2br w:val="nil"/>
                    <w:tr2bl w:val="nil"/>
                  </w:tcBorders>
                  <w:shd w:val="clear" w:color="auto" w:fill="auto"/>
                  <w:vAlign w:val="center"/>
                </w:tcPr>
                <w:p w14:paraId="77AE104D">
                  <w:pPr>
                    <w:widowControl/>
                    <w:adjustRightInd w:val="0"/>
                    <w:snapToGrid w:val="0"/>
                    <w:jc w:val="center"/>
                    <w:textAlignment w:val="center"/>
                    <w:rPr>
                      <w:rFonts w:eastAsia="附件"/>
                      <w:kern w:val="0"/>
                      <w:szCs w:val="21"/>
                    </w:rPr>
                  </w:pPr>
                  <w:r>
                    <w:rPr>
                      <w:rFonts w:eastAsia="附件"/>
                      <w:kern w:val="0"/>
                      <w:szCs w:val="21"/>
                    </w:rPr>
                    <w:t>0</w:t>
                  </w:r>
                </w:p>
              </w:tc>
            </w:tr>
            <w:tr w14:paraId="6B18C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65F999E6">
                  <w:pPr>
                    <w:adjustRightInd w:val="0"/>
                    <w:snapToGrid w:val="0"/>
                    <w:jc w:val="center"/>
                    <w:rPr>
                      <w:rFonts w:eastAsia="附件"/>
                      <w:kern w:val="0"/>
                      <w:szCs w:val="21"/>
                    </w:rPr>
                  </w:pPr>
                  <w:r>
                    <w:rPr>
                      <w:rFonts w:eastAsia="附件"/>
                      <w:kern w:val="0"/>
                      <w:szCs w:val="21"/>
                    </w:rPr>
                    <w:t>9</w:t>
                  </w:r>
                </w:p>
              </w:tc>
              <w:tc>
                <w:tcPr>
                  <w:tcW w:w="1335" w:type="dxa"/>
                  <w:tcBorders>
                    <w:tl2br w:val="nil"/>
                    <w:tr2bl w:val="nil"/>
                  </w:tcBorders>
                  <w:shd w:val="clear" w:color="auto" w:fill="auto"/>
                  <w:vAlign w:val="center"/>
                </w:tcPr>
                <w:p w14:paraId="35EDADD9">
                  <w:pPr>
                    <w:widowControl/>
                    <w:jc w:val="center"/>
                    <w:rPr>
                      <w:rFonts w:eastAsia="附件"/>
                      <w:szCs w:val="21"/>
                    </w:rPr>
                  </w:pPr>
                  <w:r>
                    <w:rPr>
                      <w:rFonts w:eastAsia="附件"/>
                      <w:szCs w:val="21"/>
                    </w:rPr>
                    <w:t>石油烃（C</w:t>
                  </w:r>
                  <w:r>
                    <w:rPr>
                      <w:rFonts w:eastAsia="附件"/>
                      <w:szCs w:val="21"/>
                      <w:vertAlign w:val="subscript"/>
                    </w:rPr>
                    <w:t>10</w:t>
                  </w:r>
                  <w:r>
                    <w:rPr>
                      <w:rFonts w:eastAsia="附件"/>
                      <w:szCs w:val="21"/>
                    </w:rPr>
                    <w:t>-C</w:t>
                  </w:r>
                  <w:r>
                    <w:rPr>
                      <w:rFonts w:eastAsia="附件"/>
                      <w:szCs w:val="21"/>
                      <w:vertAlign w:val="subscript"/>
                    </w:rPr>
                    <w:t>40</w:t>
                  </w:r>
                  <w:r>
                    <w:rPr>
                      <w:rFonts w:eastAsia="附件"/>
                      <w:szCs w:val="21"/>
                    </w:rPr>
                    <w:t>）</w:t>
                  </w:r>
                </w:p>
              </w:tc>
              <w:tc>
                <w:tcPr>
                  <w:tcW w:w="1333" w:type="dxa"/>
                  <w:tcBorders>
                    <w:tl2br w:val="nil"/>
                    <w:tr2bl w:val="nil"/>
                  </w:tcBorders>
                  <w:shd w:val="clear" w:color="auto" w:fill="auto"/>
                  <w:vAlign w:val="center"/>
                </w:tcPr>
                <w:p w14:paraId="2424870D">
                  <w:pPr>
                    <w:spacing w:line="240" w:lineRule="exact"/>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10B16856">
                  <w:pPr>
                    <w:widowControl/>
                    <w:adjustRightInd w:val="0"/>
                    <w:snapToGrid w:val="0"/>
                    <w:jc w:val="center"/>
                    <w:textAlignment w:val="center"/>
                    <w:rPr>
                      <w:rFonts w:eastAsia="附件"/>
                      <w:kern w:val="0"/>
                      <w:szCs w:val="21"/>
                    </w:rPr>
                  </w:pPr>
                  <w:r>
                    <w:rPr>
                      <w:rFonts w:eastAsia="附件"/>
                      <w:kern w:val="0"/>
                      <w:szCs w:val="21"/>
                    </w:rPr>
                    <w:t>4500</w:t>
                  </w:r>
                </w:p>
              </w:tc>
              <w:tc>
                <w:tcPr>
                  <w:tcW w:w="1333" w:type="dxa"/>
                  <w:tcBorders>
                    <w:tl2br w:val="nil"/>
                    <w:tr2bl w:val="nil"/>
                  </w:tcBorders>
                  <w:shd w:val="clear" w:color="auto" w:fill="auto"/>
                  <w:vAlign w:val="center"/>
                </w:tcPr>
                <w:p w14:paraId="006AB6C5">
                  <w:pPr>
                    <w:jc w:val="center"/>
                    <w:rPr>
                      <w:rFonts w:eastAsia="附件"/>
                      <w:kern w:val="0"/>
                      <w:szCs w:val="21"/>
                    </w:rPr>
                  </w:pPr>
                  <w:r>
                    <w:rPr>
                      <w:rFonts w:hint="eastAsia" w:eastAsia="附件"/>
                      <w:kern w:val="0"/>
                      <w:szCs w:val="21"/>
                    </w:rPr>
                    <w:t>0.002</w:t>
                  </w:r>
                </w:p>
              </w:tc>
              <w:tc>
                <w:tcPr>
                  <w:tcW w:w="1339" w:type="dxa"/>
                  <w:tcBorders>
                    <w:tl2br w:val="nil"/>
                    <w:tr2bl w:val="nil"/>
                  </w:tcBorders>
                  <w:shd w:val="clear" w:color="auto" w:fill="auto"/>
                  <w:vAlign w:val="center"/>
                </w:tcPr>
                <w:p w14:paraId="6E455FE6">
                  <w:pPr>
                    <w:widowControl/>
                    <w:adjustRightInd w:val="0"/>
                    <w:snapToGrid w:val="0"/>
                    <w:jc w:val="center"/>
                    <w:textAlignment w:val="center"/>
                    <w:rPr>
                      <w:rFonts w:eastAsia="附件"/>
                      <w:kern w:val="0"/>
                      <w:szCs w:val="21"/>
                    </w:rPr>
                  </w:pPr>
                  <w:r>
                    <w:rPr>
                      <w:rFonts w:eastAsia="附件"/>
                      <w:kern w:val="0"/>
                      <w:szCs w:val="21"/>
                    </w:rPr>
                    <w:t>/</w:t>
                  </w:r>
                </w:p>
              </w:tc>
            </w:tr>
            <w:tr w14:paraId="05B94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5BFE4B1F">
                  <w:pPr>
                    <w:adjustRightInd w:val="0"/>
                    <w:snapToGrid w:val="0"/>
                    <w:jc w:val="center"/>
                    <w:rPr>
                      <w:rFonts w:eastAsia="附件"/>
                      <w:kern w:val="0"/>
                      <w:szCs w:val="21"/>
                    </w:rPr>
                  </w:pPr>
                  <w:r>
                    <w:rPr>
                      <w:rFonts w:eastAsia="附件"/>
                      <w:kern w:val="0"/>
                      <w:szCs w:val="21"/>
                    </w:rPr>
                    <w:t>10</w:t>
                  </w:r>
                </w:p>
              </w:tc>
              <w:tc>
                <w:tcPr>
                  <w:tcW w:w="1335" w:type="dxa"/>
                  <w:tcBorders>
                    <w:tl2br w:val="nil"/>
                    <w:tr2bl w:val="nil"/>
                  </w:tcBorders>
                  <w:shd w:val="clear" w:color="auto" w:fill="auto"/>
                  <w:vAlign w:val="center"/>
                </w:tcPr>
                <w:p w14:paraId="3507427B">
                  <w:pPr>
                    <w:widowControl/>
                    <w:jc w:val="center"/>
                    <w:rPr>
                      <w:rFonts w:eastAsia="附件"/>
                      <w:szCs w:val="21"/>
                    </w:rPr>
                  </w:pPr>
                  <w:r>
                    <w:rPr>
                      <w:rFonts w:hint="eastAsia" w:eastAsia="附件"/>
                      <w:szCs w:val="21"/>
                    </w:rPr>
                    <w:t>硫化物</w:t>
                  </w:r>
                </w:p>
              </w:tc>
              <w:tc>
                <w:tcPr>
                  <w:tcW w:w="1333" w:type="dxa"/>
                  <w:tcBorders>
                    <w:tl2br w:val="nil"/>
                    <w:tr2bl w:val="nil"/>
                  </w:tcBorders>
                  <w:shd w:val="clear" w:color="auto" w:fill="auto"/>
                  <w:vAlign w:val="center"/>
                </w:tcPr>
                <w:p w14:paraId="7CB204DA">
                  <w:pPr>
                    <w:spacing w:line="240" w:lineRule="exact"/>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3BCD8DA0">
                  <w:pPr>
                    <w:widowControl/>
                    <w:adjustRightInd w:val="0"/>
                    <w:snapToGrid w:val="0"/>
                    <w:jc w:val="center"/>
                    <w:textAlignment w:val="center"/>
                    <w:rPr>
                      <w:rFonts w:eastAsia="附件"/>
                      <w:kern w:val="0"/>
                      <w:szCs w:val="21"/>
                    </w:rPr>
                  </w:pPr>
                  <w:r>
                    <w:rPr>
                      <w:rFonts w:hint="eastAsia" w:eastAsia="附件"/>
                      <w:kern w:val="0"/>
                      <w:szCs w:val="21"/>
                    </w:rPr>
                    <w:t>/</w:t>
                  </w:r>
                </w:p>
              </w:tc>
              <w:tc>
                <w:tcPr>
                  <w:tcW w:w="1333" w:type="dxa"/>
                  <w:tcBorders>
                    <w:tl2br w:val="nil"/>
                    <w:tr2bl w:val="nil"/>
                  </w:tcBorders>
                  <w:shd w:val="clear" w:color="auto" w:fill="auto"/>
                  <w:vAlign w:val="center"/>
                </w:tcPr>
                <w:p w14:paraId="7611620E">
                  <w:pPr>
                    <w:jc w:val="center"/>
                    <w:rPr>
                      <w:rFonts w:eastAsia="附件"/>
                      <w:kern w:val="0"/>
                      <w:szCs w:val="21"/>
                    </w:rPr>
                  </w:pPr>
                  <w:r>
                    <w:rPr>
                      <w:rFonts w:hint="eastAsia" w:eastAsia="附件"/>
                      <w:kern w:val="0"/>
                      <w:szCs w:val="21"/>
                    </w:rPr>
                    <w:t>/</w:t>
                  </w:r>
                </w:p>
              </w:tc>
              <w:tc>
                <w:tcPr>
                  <w:tcW w:w="1339" w:type="dxa"/>
                  <w:tcBorders>
                    <w:tl2br w:val="nil"/>
                    <w:tr2bl w:val="nil"/>
                  </w:tcBorders>
                  <w:shd w:val="clear" w:color="auto" w:fill="auto"/>
                  <w:vAlign w:val="center"/>
                </w:tcPr>
                <w:p w14:paraId="3EC8EFCD">
                  <w:pPr>
                    <w:widowControl/>
                    <w:adjustRightInd w:val="0"/>
                    <w:snapToGrid w:val="0"/>
                    <w:jc w:val="center"/>
                    <w:textAlignment w:val="center"/>
                    <w:rPr>
                      <w:rFonts w:eastAsia="附件"/>
                      <w:kern w:val="0"/>
                      <w:szCs w:val="21"/>
                    </w:rPr>
                  </w:pPr>
                </w:p>
              </w:tc>
            </w:tr>
            <w:tr w14:paraId="280E9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3415FEA">
                  <w:pPr>
                    <w:adjustRightInd w:val="0"/>
                    <w:snapToGrid w:val="0"/>
                    <w:jc w:val="center"/>
                    <w:rPr>
                      <w:rFonts w:eastAsia="附件"/>
                      <w:kern w:val="0"/>
                      <w:szCs w:val="21"/>
                    </w:rPr>
                  </w:pPr>
                  <w:r>
                    <w:rPr>
                      <w:rFonts w:eastAsia="附件"/>
                      <w:kern w:val="0"/>
                      <w:szCs w:val="21"/>
                    </w:rPr>
                    <w:t>11</w:t>
                  </w:r>
                </w:p>
              </w:tc>
              <w:tc>
                <w:tcPr>
                  <w:tcW w:w="1335" w:type="dxa"/>
                  <w:tcBorders>
                    <w:tl2br w:val="nil"/>
                    <w:tr2bl w:val="nil"/>
                  </w:tcBorders>
                  <w:shd w:val="clear" w:color="auto" w:fill="auto"/>
                  <w:vAlign w:val="center"/>
                </w:tcPr>
                <w:p w14:paraId="457EEB28">
                  <w:pPr>
                    <w:widowControl/>
                    <w:jc w:val="center"/>
                    <w:rPr>
                      <w:rFonts w:eastAsia="附件"/>
                      <w:szCs w:val="21"/>
                    </w:rPr>
                  </w:pPr>
                  <w:r>
                    <w:rPr>
                      <w:rFonts w:eastAsia="附件"/>
                      <w:szCs w:val="21"/>
                    </w:rPr>
                    <w:t>钡</w:t>
                  </w:r>
                </w:p>
              </w:tc>
              <w:tc>
                <w:tcPr>
                  <w:tcW w:w="1333" w:type="dxa"/>
                  <w:tcBorders>
                    <w:tl2br w:val="nil"/>
                    <w:tr2bl w:val="nil"/>
                  </w:tcBorders>
                  <w:shd w:val="clear" w:color="auto" w:fill="auto"/>
                  <w:vAlign w:val="center"/>
                </w:tcPr>
                <w:p w14:paraId="1167FF18">
                  <w:pPr>
                    <w:spacing w:line="240" w:lineRule="exact"/>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47889192">
                  <w:pPr>
                    <w:widowControl/>
                    <w:adjustRightInd w:val="0"/>
                    <w:snapToGrid w:val="0"/>
                    <w:jc w:val="center"/>
                    <w:textAlignment w:val="center"/>
                    <w:rPr>
                      <w:rFonts w:eastAsia="附件"/>
                      <w:kern w:val="0"/>
                      <w:szCs w:val="21"/>
                    </w:rPr>
                  </w:pPr>
                  <w:r>
                    <w:rPr>
                      <w:rFonts w:eastAsia="附件"/>
                      <w:kern w:val="0"/>
                      <w:szCs w:val="21"/>
                    </w:rPr>
                    <w:t>/</w:t>
                  </w:r>
                </w:p>
              </w:tc>
              <w:tc>
                <w:tcPr>
                  <w:tcW w:w="1333" w:type="dxa"/>
                  <w:tcBorders>
                    <w:tl2br w:val="nil"/>
                    <w:tr2bl w:val="nil"/>
                  </w:tcBorders>
                  <w:shd w:val="clear" w:color="auto" w:fill="auto"/>
                  <w:vAlign w:val="center"/>
                </w:tcPr>
                <w:p w14:paraId="4E56CD61">
                  <w:pPr>
                    <w:jc w:val="center"/>
                    <w:rPr>
                      <w:rFonts w:eastAsia="附件"/>
                      <w:kern w:val="0"/>
                      <w:szCs w:val="21"/>
                    </w:rPr>
                  </w:pPr>
                  <w:r>
                    <w:rPr>
                      <w:rFonts w:eastAsia="附件"/>
                      <w:kern w:val="0"/>
                      <w:szCs w:val="21"/>
                    </w:rPr>
                    <w:t>/</w:t>
                  </w:r>
                </w:p>
              </w:tc>
              <w:tc>
                <w:tcPr>
                  <w:tcW w:w="1339" w:type="dxa"/>
                  <w:tcBorders>
                    <w:tl2br w:val="nil"/>
                    <w:tr2bl w:val="nil"/>
                  </w:tcBorders>
                  <w:shd w:val="clear" w:color="auto" w:fill="auto"/>
                  <w:vAlign w:val="center"/>
                </w:tcPr>
                <w:p w14:paraId="264283B8">
                  <w:pPr>
                    <w:widowControl/>
                    <w:adjustRightInd w:val="0"/>
                    <w:snapToGrid w:val="0"/>
                    <w:jc w:val="center"/>
                    <w:textAlignment w:val="center"/>
                    <w:rPr>
                      <w:rFonts w:eastAsia="附件"/>
                      <w:kern w:val="0"/>
                      <w:szCs w:val="21"/>
                    </w:rPr>
                  </w:pPr>
                </w:p>
              </w:tc>
            </w:tr>
            <w:tr w14:paraId="24635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54671319">
                  <w:pPr>
                    <w:adjustRightInd w:val="0"/>
                    <w:snapToGrid w:val="0"/>
                    <w:jc w:val="center"/>
                    <w:rPr>
                      <w:rFonts w:eastAsia="附件"/>
                      <w:kern w:val="0"/>
                      <w:szCs w:val="21"/>
                    </w:rPr>
                  </w:pPr>
                  <w:r>
                    <w:rPr>
                      <w:rFonts w:eastAsia="附件"/>
                      <w:kern w:val="0"/>
                      <w:szCs w:val="21"/>
                    </w:rPr>
                    <w:t>12</w:t>
                  </w:r>
                </w:p>
              </w:tc>
              <w:tc>
                <w:tcPr>
                  <w:tcW w:w="1335" w:type="dxa"/>
                  <w:tcBorders>
                    <w:tl2br w:val="nil"/>
                    <w:tr2bl w:val="nil"/>
                  </w:tcBorders>
                  <w:shd w:val="clear" w:color="auto" w:fill="auto"/>
                  <w:vAlign w:val="center"/>
                </w:tcPr>
                <w:p w14:paraId="3BA5E6F9">
                  <w:pPr>
                    <w:widowControl/>
                    <w:jc w:val="center"/>
                    <w:rPr>
                      <w:rFonts w:eastAsia="附件"/>
                      <w:szCs w:val="21"/>
                    </w:rPr>
                  </w:pPr>
                  <w:r>
                    <w:rPr>
                      <w:rFonts w:hint="eastAsia" w:eastAsia="附件"/>
                      <w:szCs w:val="21"/>
                    </w:rPr>
                    <w:t>水溶性盐总量</w:t>
                  </w:r>
                </w:p>
              </w:tc>
              <w:tc>
                <w:tcPr>
                  <w:tcW w:w="1333" w:type="dxa"/>
                  <w:tcBorders>
                    <w:tl2br w:val="nil"/>
                    <w:tr2bl w:val="nil"/>
                  </w:tcBorders>
                  <w:shd w:val="clear" w:color="auto" w:fill="auto"/>
                  <w:vAlign w:val="center"/>
                </w:tcPr>
                <w:p w14:paraId="546561BF">
                  <w:pPr>
                    <w:spacing w:line="240" w:lineRule="exact"/>
                    <w:jc w:val="center"/>
                    <w:rPr>
                      <w:rFonts w:eastAsia="附件"/>
                      <w:kern w:val="0"/>
                      <w:szCs w:val="21"/>
                    </w:rPr>
                  </w:pPr>
                  <w:r>
                    <w:rPr>
                      <w:rFonts w:hint="eastAsia"/>
                      <w:bCs/>
                      <w:sz w:val="21"/>
                      <w:szCs w:val="21"/>
                      <w:lang w:val="en-US" w:eastAsia="zh-CN"/>
                    </w:rPr>
                    <w:t>*</w:t>
                  </w:r>
                </w:p>
              </w:tc>
              <w:tc>
                <w:tcPr>
                  <w:tcW w:w="1335" w:type="dxa"/>
                  <w:tcBorders>
                    <w:tl2br w:val="nil"/>
                    <w:tr2bl w:val="nil"/>
                  </w:tcBorders>
                  <w:shd w:val="clear" w:color="auto" w:fill="auto"/>
                  <w:vAlign w:val="center"/>
                </w:tcPr>
                <w:p w14:paraId="7D44DBC8">
                  <w:pPr>
                    <w:widowControl/>
                    <w:adjustRightInd w:val="0"/>
                    <w:snapToGrid w:val="0"/>
                    <w:jc w:val="center"/>
                    <w:textAlignment w:val="center"/>
                    <w:rPr>
                      <w:rFonts w:eastAsia="附件"/>
                      <w:kern w:val="0"/>
                      <w:szCs w:val="21"/>
                    </w:rPr>
                  </w:pPr>
                  <w:r>
                    <w:rPr>
                      <w:rFonts w:eastAsia="附件"/>
                      <w:kern w:val="0"/>
                      <w:szCs w:val="21"/>
                    </w:rPr>
                    <w:t>/</w:t>
                  </w:r>
                </w:p>
              </w:tc>
              <w:tc>
                <w:tcPr>
                  <w:tcW w:w="1333" w:type="dxa"/>
                  <w:tcBorders>
                    <w:tl2br w:val="nil"/>
                    <w:tr2bl w:val="nil"/>
                  </w:tcBorders>
                  <w:shd w:val="clear" w:color="auto" w:fill="auto"/>
                  <w:vAlign w:val="center"/>
                </w:tcPr>
                <w:p w14:paraId="4EB87EA9">
                  <w:pPr>
                    <w:jc w:val="center"/>
                    <w:rPr>
                      <w:rFonts w:eastAsia="附件"/>
                      <w:kern w:val="0"/>
                      <w:szCs w:val="21"/>
                    </w:rPr>
                  </w:pPr>
                  <w:r>
                    <w:rPr>
                      <w:rFonts w:eastAsia="附件"/>
                      <w:kern w:val="0"/>
                      <w:szCs w:val="21"/>
                    </w:rPr>
                    <w:t>/</w:t>
                  </w:r>
                </w:p>
              </w:tc>
              <w:tc>
                <w:tcPr>
                  <w:tcW w:w="1339" w:type="dxa"/>
                  <w:tcBorders>
                    <w:tl2br w:val="nil"/>
                    <w:tr2bl w:val="nil"/>
                  </w:tcBorders>
                  <w:shd w:val="clear" w:color="auto" w:fill="auto"/>
                  <w:vAlign w:val="center"/>
                </w:tcPr>
                <w:p w14:paraId="64CFB183">
                  <w:pPr>
                    <w:widowControl/>
                    <w:adjustRightInd w:val="0"/>
                    <w:snapToGrid w:val="0"/>
                    <w:jc w:val="center"/>
                    <w:textAlignment w:val="center"/>
                    <w:rPr>
                      <w:rFonts w:eastAsia="附件"/>
                      <w:kern w:val="0"/>
                      <w:szCs w:val="21"/>
                    </w:rPr>
                  </w:pPr>
                  <w:r>
                    <w:rPr>
                      <w:rFonts w:eastAsia="附件"/>
                      <w:kern w:val="0"/>
                      <w:szCs w:val="21"/>
                    </w:rPr>
                    <w:t>0</w:t>
                  </w:r>
                </w:p>
              </w:tc>
            </w:tr>
            <w:tr w14:paraId="0CB10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43961B7">
                  <w:pPr>
                    <w:adjustRightInd w:val="0"/>
                    <w:snapToGrid w:val="0"/>
                    <w:jc w:val="center"/>
                    <w:rPr>
                      <w:rFonts w:eastAsia="附件"/>
                      <w:kern w:val="0"/>
                      <w:szCs w:val="21"/>
                    </w:rPr>
                  </w:pPr>
                  <w:r>
                    <w:rPr>
                      <w:rFonts w:eastAsia="附件"/>
                      <w:kern w:val="0"/>
                      <w:szCs w:val="21"/>
                    </w:rPr>
                    <w:t>13</w:t>
                  </w:r>
                </w:p>
              </w:tc>
              <w:tc>
                <w:tcPr>
                  <w:tcW w:w="1335" w:type="dxa"/>
                  <w:tcBorders>
                    <w:tl2br w:val="nil"/>
                    <w:tr2bl w:val="nil"/>
                  </w:tcBorders>
                  <w:vAlign w:val="center"/>
                </w:tcPr>
                <w:p w14:paraId="33D2AA8C">
                  <w:pPr>
                    <w:widowControl/>
                    <w:jc w:val="center"/>
                    <w:rPr>
                      <w:rFonts w:eastAsia="附件"/>
                      <w:szCs w:val="21"/>
                    </w:rPr>
                  </w:pPr>
                  <w:r>
                    <w:rPr>
                      <w:szCs w:val="21"/>
                    </w:rPr>
                    <w:t>氯甲烷</w:t>
                  </w:r>
                </w:p>
              </w:tc>
              <w:tc>
                <w:tcPr>
                  <w:tcW w:w="1333" w:type="dxa"/>
                  <w:tcBorders>
                    <w:tl2br w:val="nil"/>
                    <w:tr2bl w:val="nil"/>
                  </w:tcBorders>
                  <w:vAlign w:val="center"/>
                </w:tcPr>
                <w:p w14:paraId="546EAC0E">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1335" w:type="dxa"/>
                  <w:tcBorders>
                    <w:tl2br w:val="nil"/>
                    <w:tr2bl w:val="nil"/>
                  </w:tcBorders>
                  <w:vAlign w:val="center"/>
                </w:tcPr>
                <w:p w14:paraId="292A9840">
                  <w:pPr>
                    <w:widowControl/>
                    <w:adjustRightInd w:val="0"/>
                    <w:snapToGrid w:val="0"/>
                    <w:jc w:val="center"/>
                    <w:textAlignment w:val="center"/>
                    <w:rPr>
                      <w:rFonts w:eastAsia="附件"/>
                      <w:kern w:val="0"/>
                      <w:szCs w:val="21"/>
                    </w:rPr>
                  </w:pPr>
                  <w:r>
                    <w:rPr>
                      <w:rFonts w:eastAsia="附件"/>
                      <w:kern w:val="0"/>
                      <w:szCs w:val="21"/>
                    </w:rPr>
                    <w:t>12</w:t>
                  </w:r>
                </w:p>
              </w:tc>
              <w:tc>
                <w:tcPr>
                  <w:tcW w:w="1333" w:type="dxa"/>
                  <w:tcBorders>
                    <w:tl2br w:val="nil"/>
                    <w:tr2bl w:val="nil"/>
                  </w:tcBorders>
                  <w:vAlign w:val="center"/>
                </w:tcPr>
                <w:p w14:paraId="632D6138">
                  <w:pPr>
                    <w:jc w:val="center"/>
                    <w:rPr>
                      <w:rFonts w:eastAsia="附件"/>
                      <w:kern w:val="0"/>
                      <w:szCs w:val="21"/>
                    </w:rPr>
                  </w:pPr>
                  <w:r>
                    <w:rPr>
                      <w:rFonts w:eastAsia="附件"/>
                      <w:kern w:val="0"/>
                      <w:szCs w:val="21"/>
                    </w:rPr>
                    <w:t>/</w:t>
                  </w:r>
                </w:p>
              </w:tc>
              <w:tc>
                <w:tcPr>
                  <w:tcW w:w="1339" w:type="dxa"/>
                  <w:tcBorders>
                    <w:tl2br w:val="nil"/>
                    <w:tr2bl w:val="nil"/>
                  </w:tcBorders>
                  <w:vAlign w:val="center"/>
                </w:tcPr>
                <w:p w14:paraId="773B5F8A">
                  <w:pPr>
                    <w:widowControl/>
                    <w:adjustRightInd w:val="0"/>
                    <w:snapToGrid w:val="0"/>
                    <w:jc w:val="center"/>
                    <w:textAlignment w:val="center"/>
                    <w:rPr>
                      <w:rFonts w:eastAsia="附件"/>
                      <w:kern w:val="0"/>
                      <w:szCs w:val="21"/>
                    </w:rPr>
                  </w:pPr>
                  <w:r>
                    <w:rPr>
                      <w:rFonts w:eastAsia="附件"/>
                      <w:kern w:val="0"/>
                      <w:szCs w:val="21"/>
                    </w:rPr>
                    <w:t>0</w:t>
                  </w:r>
                </w:p>
              </w:tc>
            </w:tr>
            <w:tr w14:paraId="347A6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1FFBEE7">
                  <w:pPr>
                    <w:adjustRightInd w:val="0"/>
                    <w:snapToGrid w:val="0"/>
                    <w:jc w:val="center"/>
                    <w:rPr>
                      <w:rFonts w:eastAsia="附件"/>
                      <w:kern w:val="0"/>
                      <w:szCs w:val="21"/>
                    </w:rPr>
                  </w:pPr>
                  <w:r>
                    <w:rPr>
                      <w:rFonts w:eastAsia="附件"/>
                      <w:kern w:val="0"/>
                      <w:szCs w:val="21"/>
                    </w:rPr>
                    <w:t>14</w:t>
                  </w:r>
                </w:p>
              </w:tc>
              <w:tc>
                <w:tcPr>
                  <w:tcW w:w="1335" w:type="dxa"/>
                  <w:tcBorders>
                    <w:tl2br w:val="nil"/>
                    <w:tr2bl w:val="nil"/>
                  </w:tcBorders>
                  <w:vAlign w:val="center"/>
                </w:tcPr>
                <w:p w14:paraId="30287A8A">
                  <w:pPr>
                    <w:widowControl/>
                    <w:jc w:val="center"/>
                    <w:rPr>
                      <w:rFonts w:eastAsia="附件"/>
                      <w:szCs w:val="21"/>
                    </w:rPr>
                  </w:pPr>
                  <w:r>
                    <w:rPr>
                      <w:szCs w:val="21"/>
                    </w:rPr>
                    <w:t>氯乙烯</w:t>
                  </w:r>
                </w:p>
              </w:tc>
              <w:tc>
                <w:tcPr>
                  <w:tcW w:w="1333" w:type="dxa"/>
                  <w:tcBorders>
                    <w:tl2br w:val="nil"/>
                    <w:tr2bl w:val="nil"/>
                  </w:tcBorders>
                  <w:vAlign w:val="center"/>
                </w:tcPr>
                <w:p w14:paraId="5408D07C">
                  <w:pPr>
                    <w:widowControl/>
                    <w:adjustRightInd w:val="0"/>
                    <w:snapToGrid w:val="0"/>
                    <w:jc w:val="center"/>
                    <w:textAlignment w:val="center"/>
                    <w:rPr>
                      <w:rFonts w:eastAsia="附件"/>
                      <w:kern w:val="0"/>
                      <w:szCs w:val="21"/>
                    </w:rPr>
                  </w:pPr>
                  <w:r>
                    <w:rPr>
                      <w:rFonts w:hint="eastAsia"/>
                      <w:bCs/>
                      <w:sz w:val="21"/>
                      <w:szCs w:val="21"/>
                      <w:lang w:val="en-US" w:eastAsia="zh-CN"/>
                    </w:rPr>
                    <w:t>*</w:t>
                  </w:r>
                </w:p>
              </w:tc>
              <w:tc>
                <w:tcPr>
                  <w:tcW w:w="1335" w:type="dxa"/>
                  <w:tcBorders>
                    <w:tl2br w:val="nil"/>
                    <w:tr2bl w:val="nil"/>
                  </w:tcBorders>
                  <w:vAlign w:val="center"/>
                </w:tcPr>
                <w:p w14:paraId="4C94DBD0">
                  <w:pPr>
                    <w:widowControl/>
                    <w:adjustRightInd w:val="0"/>
                    <w:snapToGrid w:val="0"/>
                    <w:jc w:val="center"/>
                    <w:textAlignment w:val="center"/>
                    <w:rPr>
                      <w:rFonts w:eastAsia="附件"/>
                      <w:kern w:val="0"/>
                      <w:szCs w:val="21"/>
                    </w:rPr>
                  </w:pPr>
                  <w:r>
                    <w:rPr>
                      <w:rFonts w:eastAsia="附件"/>
                      <w:kern w:val="0"/>
                      <w:szCs w:val="21"/>
                    </w:rPr>
                    <w:t>0.12</w:t>
                  </w:r>
                </w:p>
              </w:tc>
              <w:tc>
                <w:tcPr>
                  <w:tcW w:w="1333" w:type="dxa"/>
                  <w:tcBorders>
                    <w:tl2br w:val="nil"/>
                    <w:tr2bl w:val="nil"/>
                  </w:tcBorders>
                  <w:vAlign w:val="center"/>
                </w:tcPr>
                <w:p w14:paraId="771FCF47">
                  <w:pPr>
                    <w:jc w:val="center"/>
                    <w:rPr>
                      <w:rFonts w:eastAsia="附件"/>
                      <w:kern w:val="0"/>
                      <w:szCs w:val="21"/>
                    </w:rPr>
                  </w:pPr>
                  <w:r>
                    <w:rPr>
                      <w:rFonts w:eastAsia="附件"/>
                      <w:kern w:val="0"/>
                      <w:szCs w:val="21"/>
                    </w:rPr>
                    <w:t>/</w:t>
                  </w:r>
                </w:p>
              </w:tc>
              <w:tc>
                <w:tcPr>
                  <w:tcW w:w="1339" w:type="dxa"/>
                  <w:tcBorders>
                    <w:tl2br w:val="nil"/>
                    <w:tr2bl w:val="nil"/>
                  </w:tcBorders>
                  <w:vAlign w:val="center"/>
                </w:tcPr>
                <w:p w14:paraId="2BE512ED">
                  <w:pPr>
                    <w:widowControl/>
                    <w:adjustRightInd w:val="0"/>
                    <w:snapToGrid w:val="0"/>
                    <w:jc w:val="center"/>
                    <w:textAlignment w:val="center"/>
                    <w:rPr>
                      <w:rFonts w:eastAsia="附件"/>
                      <w:kern w:val="0"/>
                      <w:szCs w:val="21"/>
                    </w:rPr>
                  </w:pPr>
                  <w:r>
                    <w:rPr>
                      <w:rFonts w:eastAsia="附件"/>
                      <w:kern w:val="0"/>
                      <w:szCs w:val="21"/>
                    </w:rPr>
                    <w:t>0</w:t>
                  </w:r>
                </w:p>
              </w:tc>
            </w:tr>
            <w:tr w14:paraId="37356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68313DB">
                  <w:pPr>
                    <w:adjustRightInd w:val="0"/>
                    <w:snapToGrid w:val="0"/>
                    <w:jc w:val="center"/>
                    <w:rPr>
                      <w:rFonts w:eastAsia="附件"/>
                      <w:kern w:val="0"/>
                      <w:szCs w:val="21"/>
                    </w:rPr>
                  </w:pPr>
                  <w:r>
                    <w:rPr>
                      <w:rFonts w:eastAsia="附件"/>
                      <w:kern w:val="0"/>
                      <w:szCs w:val="21"/>
                    </w:rPr>
                    <w:t>15</w:t>
                  </w:r>
                </w:p>
              </w:tc>
              <w:tc>
                <w:tcPr>
                  <w:tcW w:w="1335" w:type="dxa"/>
                  <w:tcBorders>
                    <w:tl2br w:val="nil"/>
                    <w:tr2bl w:val="nil"/>
                  </w:tcBorders>
                  <w:vAlign w:val="center"/>
                </w:tcPr>
                <w:p w14:paraId="0D7C3DE5">
                  <w:pPr>
                    <w:widowControl/>
                    <w:jc w:val="center"/>
                    <w:rPr>
                      <w:rFonts w:eastAsia="附件"/>
                      <w:szCs w:val="21"/>
                    </w:rPr>
                  </w:pPr>
                  <w:r>
                    <w:rPr>
                      <w:szCs w:val="21"/>
                    </w:rPr>
                    <w:t>1,1-二氯乙烯</w:t>
                  </w:r>
                </w:p>
              </w:tc>
              <w:tc>
                <w:tcPr>
                  <w:tcW w:w="1333" w:type="dxa"/>
                  <w:tcBorders>
                    <w:tl2br w:val="nil"/>
                    <w:tr2bl w:val="nil"/>
                  </w:tcBorders>
                  <w:vAlign w:val="center"/>
                </w:tcPr>
                <w:p w14:paraId="2E2B3A09">
                  <w:pPr>
                    <w:jc w:val="center"/>
                    <w:rPr>
                      <w:szCs w:val="21"/>
                    </w:rPr>
                  </w:pPr>
                  <w:r>
                    <w:rPr>
                      <w:rFonts w:hint="eastAsia"/>
                      <w:bCs/>
                      <w:sz w:val="21"/>
                      <w:szCs w:val="21"/>
                      <w:lang w:val="en-US" w:eastAsia="zh-CN"/>
                    </w:rPr>
                    <w:t>*</w:t>
                  </w:r>
                </w:p>
              </w:tc>
              <w:tc>
                <w:tcPr>
                  <w:tcW w:w="1335" w:type="dxa"/>
                  <w:tcBorders>
                    <w:tl2br w:val="nil"/>
                    <w:tr2bl w:val="nil"/>
                  </w:tcBorders>
                  <w:vAlign w:val="center"/>
                </w:tcPr>
                <w:p w14:paraId="64C25748">
                  <w:pPr>
                    <w:widowControl/>
                    <w:adjustRightInd w:val="0"/>
                    <w:snapToGrid w:val="0"/>
                    <w:jc w:val="center"/>
                    <w:textAlignment w:val="center"/>
                    <w:rPr>
                      <w:rFonts w:eastAsia="附件"/>
                      <w:kern w:val="0"/>
                      <w:szCs w:val="21"/>
                    </w:rPr>
                  </w:pPr>
                  <w:r>
                    <w:rPr>
                      <w:rFonts w:eastAsia="附件"/>
                      <w:kern w:val="0"/>
                      <w:szCs w:val="21"/>
                    </w:rPr>
                    <w:t>12</w:t>
                  </w:r>
                </w:p>
              </w:tc>
              <w:tc>
                <w:tcPr>
                  <w:tcW w:w="1333" w:type="dxa"/>
                  <w:tcBorders>
                    <w:tl2br w:val="nil"/>
                    <w:tr2bl w:val="nil"/>
                  </w:tcBorders>
                  <w:vAlign w:val="center"/>
                </w:tcPr>
                <w:p w14:paraId="097BC53A">
                  <w:pPr>
                    <w:jc w:val="center"/>
                    <w:rPr>
                      <w:rFonts w:eastAsia="附件"/>
                      <w:kern w:val="0"/>
                      <w:szCs w:val="21"/>
                    </w:rPr>
                  </w:pPr>
                  <w:r>
                    <w:rPr>
                      <w:rFonts w:eastAsia="附件"/>
                      <w:kern w:val="0"/>
                      <w:szCs w:val="21"/>
                    </w:rPr>
                    <w:t>/</w:t>
                  </w:r>
                </w:p>
              </w:tc>
              <w:tc>
                <w:tcPr>
                  <w:tcW w:w="1339" w:type="dxa"/>
                  <w:tcBorders>
                    <w:tl2br w:val="nil"/>
                    <w:tr2bl w:val="nil"/>
                  </w:tcBorders>
                  <w:vAlign w:val="center"/>
                </w:tcPr>
                <w:p w14:paraId="61DBEFA0">
                  <w:pPr>
                    <w:widowControl/>
                    <w:adjustRightInd w:val="0"/>
                    <w:snapToGrid w:val="0"/>
                    <w:jc w:val="center"/>
                    <w:textAlignment w:val="center"/>
                    <w:rPr>
                      <w:rFonts w:eastAsia="附件"/>
                      <w:kern w:val="0"/>
                      <w:szCs w:val="21"/>
                    </w:rPr>
                  </w:pPr>
                  <w:r>
                    <w:rPr>
                      <w:rFonts w:eastAsia="附件"/>
                      <w:kern w:val="0"/>
                      <w:szCs w:val="21"/>
                    </w:rPr>
                    <w:t>0</w:t>
                  </w:r>
                </w:p>
              </w:tc>
            </w:tr>
            <w:tr w14:paraId="2B1D8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4CDF354">
                  <w:pPr>
                    <w:adjustRightInd w:val="0"/>
                    <w:snapToGrid w:val="0"/>
                    <w:jc w:val="center"/>
                    <w:rPr>
                      <w:rFonts w:eastAsia="附件"/>
                      <w:kern w:val="0"/>
                      <w:szCs w:val="21"/>
                    </w:rPr>
                  </w:pPr>
                  <w:r>
                    <w:rPr>
                      <w:rFonts w:eastAsia="附件"/>
                      <w:kern w:val="0"/>
                      <w:szCs w:val="21"/>
                    </w:rPr>
                    <w:t>16</w:t>
                  </w:r>
                </w:p>
              </w:tc>
              <w:tc>
                <w:tcPr>
                  <w:tcW w:w="1335" w:type="dxa"/>
                  <w:tcBorders>
                    <w:tl2br w:val="nil"/>
                    <w:tr2bl w:val="nil"/>
                  </w:tcBorders>
                  <w:vAlign w:val="center"/>
                </w:tcPr>
                <w:p w14:paraId="5F54B2A4">
                  <w:pPr>
                    <w:widowControl/>
                    <w:jc w:val="center"/>
                    <w:rPr>
                      <w:rFonts w:eastAsia="附件"/>
                      <w:szCs w:val="21"/>
                    </w:rPr>
                  </w:pPr>
                  <w:r>
                    <w:rPr>
                      <w:szCs w:val="21"/>
                    </w:rPr>
                    <w:t>二氯甲烷</w:t>
                  </w:r>
                </w:p>
              </w:tc>
              <w:tc>
                <w:tcPr>
                  <w:tcW w:w="1333" w:type="dxa"/>
                  <w:tcBorders>
                    <w:tl2br w:val="nil"/>
                    <w:tr2bl w:val="nil"/>
                  </w:tcBorders>
                  <w:vAlign w:val="center"/>
                </w:tcPr>
                <w:p w14:paraId="14AF822C">
                  <w:pPr>
                    <w:jc w:val="center"/>
                    <w:rPr>
                      <w:szCs w:val="21"/>
                    </w:rPr>
                  </w:pPr>
                  <w:r>
                    <w:rPr>
                      <w:rFonts w:hint="eastAsia"/>
                      <w:bCs/>
                      <w:sz w:val="21"/>
                      <w:szCs w:val="21"/>
                      <w:lang w:val="en-US" w:eastAsia="zh-CN"/>
                    </w:rPr>
                    <w:t>*</w:t>
                  </w:r>
                </w:p>
              </w:tc>
              <w:tc>
                <w:tcPr>
                  <w:tcW w:w="1335" w:type="dxa"/>
                  <w:tcBorders>
                    <w:tl2br w:val="nil"/>
                    <w:tr2bl w:val="nil"/>
                  </w:tcBorders>
                  <w:vAlign w:val="center"/>
                </w:tcPr>
                <w:p w14:paraId="28B5FCBD">
                  <w:pPr>
                    <w:widowControl/>
                    <w:adjustRightInd w:val="0"/>
                    <w:snapToGrid w:val="0"/>
                    <w:jc w:val="center"/>
                    <w:textAlignment w:val="center"/>
                    <w:rPr>
                      <w:rFonts w:eastAsia="附件"/>
                      <w:kern w:val="0"/>
                      <w:szCs w:val="21"/>
                    </w:rPr>
                  </w:pPr>
                  <w:r>
                    <w:rPr>
                      <w:rFonts w:eastAsia="附件"/>
                      <w:kern w:val="0"/>
                      <w:szCs w:val="21"/>
                    </w:rPr>
                    <w:t>94</w:t>
                  </w:r>
                </w:p>
              </w:tc>
              <w:tc>
                <w:tcPr>
                  <w:tcW w:w="1333" w:type="dxa"/>
                  <w:tcBorders>
                    <w:tl2br w:val="nil"/>
                    <w:tr2bl w:val="nil"/>
                  </w:tcBorders>
                  <w:vAlign w:val="center"/>
                </w:tcPr>
                <w:p w14:paraId="7185C9F3">
                  <w:pPr>
                    <w:jc w:val="center"/>
                    <w:rPr>
                      <w:szCs w:val="21"/>
                    </w:rPr>
                  </w:pPr>
                  <w:r>
                    <w:rPr>
                      <w:rFonts w:eastAsia="附件"/>
                      <w:kern w:val="0"/>
                      <w:szCs w:val="21"/>
                    </w:rPr>
                    <w:t>/</w:t>
                  </w:r>
                </w:p>
              </w:tc>
              <w:tc>
                <w:tcPr>
                  <w:tcW w:w="1339" w:type="dxa"/>
                  <w:tcBorders>
                    <w:tl2br w:val="nil"/>
                    <w:tr2bl w:val="nil"/>
                  </w:tcBorders>
                  <w:vAlign w:val="center"/>
                </w:tcPr>
                <w:p w14:paraId="595DF2E8">
                  <w:pPr>
                    <w:widowControl/>
                    <w:adjustRightInd w:val="0"/>
                    <w:snapToGrid w:val="0"/>
                    <w:jc w:val="center"/>
                    <w:textAlignment w:val="center"/>
                    <w:rPr>
                      <w:rFonts w:eastAsia="附件"/>
                      <w:kern w:val="0"/>
                      <w:szCs w:val="21"/>
                    </w:rPr>
                  </w:pPr>
                </w:p>
              </w:tc>
            </w:tr>
            <w:tr w14:paraId="73755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541C7FC">
                  <w:pPr>
                    <w:adjustRightInd w:val="0"/>
                    <w:snapToGrid w:val="0"/>
                    <w:jc w:val="center"/>
                    <w:rPr>
                      <w:rFonts w:eastAsia="附件"/>
                      <w:kern w:val="0"/>
                      <w:szCs w:val="21"/>
                    </w:rPr>
                  </w:pPr>
                  <w:r>
                    <w:rPr>
                      <w:rFonts w:eastAsia="附件"/>
                      <w:kern w:val="0"/>
                      <w:szCs w:val="21"/>
                    </w:rPr>
                    <w:t>17</w:t>
                  </w:r>
                </w:p>
              </w:tc>
              <w:tc>
                <w:tcPr>
                  <w:tcW w:w="1335" w:type="dxa"/>
                  <w:tcBorders>
                    <w:tl2br w:val="nil"/>
                    <w:tr2bl w:val="nil"/>
                  </w:tcBorders>
                  <w:vAlign w:val="center"/>
                </w:tcPr>
                <w:p w14:paraId="567D072C">
                  <w:pPr>
                    <w:widowControl/>
                    <w:jc w:val="center"/>
                    <w:rPr>
                      <w:rFonts w:eastAsia="附件"/>
                      <w:szCs w:val="21"/>
                    </w:rPr>
                  </w:pPr>
                  <w:r>
                    <w:rPr>
                      <w:szCs w:val="21"/>
                    </w:rPr>
                    <w:t>反式-1,2-二氯乙烯</w:t>
                  </w:r>
                </w:p>
              </w:tc>
              <w:tc>
                <w:tcPr>
                  <w:tcW w:w="1333" w:type="dxa"/>
                  <w:tcBorders>
                    <w:tl2br w:val="nil"/>
                    <w:tr2bl w:val="nil"/>
                  </w:tcBorders>
                  <w:vAlign w:val="center"/>
                </w:tcPr>
                <w:p w14:paraId="2686FCA4">
                  <w:pPr>
                    <w:jc w:val="center"/>
                    <w:rPr>
                      <w:szCs w:val="21"/>
                    </w:rPr>
                  </w:pPr>
                  <w:r>
                    <w:rPr>
                      <w:rFonts w:hint="eastAsia"/>
                      <w:bCs/>
                      <w:sz w:val="21"/>
                      <w:szCs w:val="21"/>
                      <w:lang w:val="en-US" w:eastAsia="zh-CN"/>
                    </w:rPr>
                    <w:t>*</w:t>
                  </w:r>
                </w:p>
              </w:tc>
              <w:tc>
                <w:tcPr>
                  <w:tcW w:w="1335" w:type="dxa"/>
                  <w:tcBorders>
                    <w:tl2br w:val="nil"/>
                    <w:tr2bl w:val="nil"/>
                  </w:tcBorders>
                  <w:vAlign w:val="center"/>
                </w:tcPr>
                <w:p w14:paraId="3FB2E01E">
                  <w:pPr>
                    <w:widowControl/>
                    <w:adjustRightInd w:val="0"/>
                    <w:snapToGrid w:val="0"/>
                    <w:jc w:val="center"/>
                    <w:textAlignment w:val="center"/>
                    <w:rPr>
                      <w:rFonts w:eastAsia="附件"/>
                      <w:kern w:val="0"/>
                      <w:szCs w:val="21"/>
                    </w:rPr>
                  </w:pPr>
                  <w:r>
                    <w:rPr>
                      <w:rFonts w:eastAsia="附件"/>
                      <w:kern w:val="0"/>
                      <w:szCs w:val="21"/>
                    </w:rPr>
                    <w:t>10</w:t>
                  </w:r>
                </w:p>
              </w:tc>
              <w:tc>
                <w:tcPr>
                  <w:tcW w:w="1333" w:type="dxa"/>
                  <w:tcBorders>
                    <w:tl2br w:val="nil"/>
                    <w:tr2bl w:val="nil"/>
                  </w:tcBorders>
                  <w:vAlign w:val="center"/>
                </w:tcPr>
                <w:p w14:paraId="38A85B07">
                  <w:pPr>
                    <w:jc w:val="center"/>
                    <w:rPr>
                      <w:szCs w:val="21"/>
                    </w:rPr>
                  </w:pPr>
                  <w:r>
                    <w:rPr>
                      <w:rFonts w:eastAsia="附件"/>
                      <w:kern w:val="0"/>
                      <w:szCs w:val="21"/>
                    </w:rPr>
                    <w:t>/</w:t>
                  </w:r>
                </w:p>
              </w:tc>
              <w:tc>
                <w:tcPr>
                  <w:tcW w:w="1339" w:type="dxa"/>
                  <w:tcBorders>
                    <w:tl2br w:val="nil"/>
                    <w:tr2bl w:val="nil"/>
                  </w:tcBorders>
                  <w:vAlign w:val="center"/>
                </w:tcPr>
                <w:p w14:paraId="6E02105C">
                  <w:pPr>
                    <w:widowControl/>
                    <w:adjustRightInd w:val="0"/>
                    <w:snapToGrid w:val="0"/>
                    <w:jc w:val="center"/>
                    <w:textAlignment w:val="center"/>
                    <w:rPr>
                      <w:rFonts w:eastAsia="附件"/>
                      <w:kern w:val="0"/>
                      <w:szCs w:val="21"/>
                    </w:rPr>
                  </w:pPr>
                  <w:r>
                    <w:rPr>
                      <w:rFonts w:eastAsia="附件"/>
                      <w:kern w:val="0"/>
                      <w:szCs w:val="21"/>
                    </w:rPr>
                    <w:t>0</w:t>
                  </w:r>
                </w:p>
              </w:tc>
            </w:tr>
            <w:tr w14:paraId="21937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067EDDA7">
                  <w:pPr>
                    <w:adjustRightInd w:val="0"/>
                    <w:snapToGrid w:val="0"/>
                    <w:jc w:val="center"/>
                    <w:rPr>
                      <w:rFonts w:eastAsia="附件"/>
                      <w:kern w:val="0"/>
                      <w:szCs w:val="21"/>
                    </w:rPr>
                  </w:pPr>
                  <w:r>
                    <w:rPr>
                      <w:rFonts w:eastAsia="附件"/>
                      <w:kern w:val="0"/>
                      <w:szCs w:val="21"/>
                    </w:rPr>
                    <w:t>18</w:t>
                  </w:r>
                </w:p>
              </w:tc>
              <w:tc>
                <w:tcPr>
                  <w:tcW w:w="1335" w:type="dxa"/>
                  <w:tcBorders>
                    <w:tl2br w:val="nil"/>
                    <w:tr2bl w:val="nil"/>
                  </w:tcBorders>
                  <w:vAlign w:val="center"/>
                </w:tcPr>
                <w:p w14:paraId="6E815BB2">
                  <w:pPr>
                    <w:widowControl/>
                    <w:jc w:val="center"/>
                    <w:rPr>
                      <w:rFonts w:eastAsia="附件"/>
                      <w:szCs w:val="21"/>
                    </w:rPr>
                  </w:pPr>
                  <w:r>
                    <w:rPr>
                      <w:szCs w:val="21"/>
                    </w:rPr>
                    <w:t>1,1-二氯乙烷</w:t>
                  </w:r>
                </w:p>
              </w:tc>
              <w:tc>
                <w:tcPr>
                  <w:tcW w:w="1333" w:type="dxa"/>
                  <w:tcBorders>
                    <w:tl2br w:val="nil"/>
                    <w:tr2bl w:val="nil"/>
                  </w:tcBorders>
                  <w:vAlign w:val="center"/>
                </w:tcPr>
                <w:p w14:paraId="6703DF5B">
                  <w:pPr>
                    <w:jc w:val="center"/>
                    <w:rPr>
                      <w:szCs w:val="21"/>
                    </w:rPr>
                  </w:pPr>
                  <w:r>
                    <w:rPr>
                      <w:rFonts w:hint="eastAsia"/>
                      <w:bCs/>
                      <w:sz w:val="21"/>
                      <w:szCs w:val="21"/>
                      <w:lang w:val="en-US" w:eastAsia="zh-CN"/>
                    </w:rPr>
                    <w:t>*</w:t>
                  </w:r>
                </w:p>
              </w:tc>
              <w:tc>
                <w:tcPr>
                  <w:tcW w:w="1335" w:type="dxa"/>
                  <w:tcBorders>
                    <w:tl2br w:val="nil"/>
                    <w:tr2bl w:val="nil"/>
                  </w:tcBorders>
                  <w:vAlign w:val="center"/>
                </w:tcPr>
                <w:p w14:paraId="00C74D17">
                  <w:pPr>
                    <w:widowControl/>
                    <w:adjustRightInd w:val="0"/>
                    <w:snapToGrid w:val="0"/>
                    <w:jc w:val="center"/>
                    <w:textAlignment w:val="center"/>
                    <w:rPr>
                      <w:rFonts w:eastAsia="附件"/>
                      <w:kern w:val="0"/>
                      <w:szCs w:val="21"/>
                    </w:rPr>
                  </w:pPr>
                  <w:r>
                    <w:rPr>
                      <w:rFonts w:eastAsia="附件"/>
                      <w:kern w:val="0"/>
                      <w:szCs w:val="21"/>
                    </w:rPr>
                    <w:t>3</w:t>
                  </w:r>
                </w:p>
              </w:tc>
              <w:tc>
                <w:tcPr>
                  <w:tcW w:w="1333" w:type="dxa"/>
                  <w:tcBorders>
                    <w:tl2br w:val="nil"/>
                    <w:tr2bl w:val="nil"/>
                  </w:tcBorders>
                  <w:vAlign w:val="center"/>
                </w:tcPr>
                <w:p w14:paraId="47A500D5">
                  <w:pPr>
                    <w:jc w:val="center"/>
                    <w:rPr>
                      <w:szCs w:val="21"/>
                    </w:rPr>
                  </w:pPr>
                  <w:r>
                    <w:rPr>
                      <w:rFonts w:eastAsia="附件"/>
                      <w:kern w:val="0"/>
                      <w:szCs w:val="21"/>
                    </w:rPr>
                    <w:t>/</w:t>
                  </w:r>
                </w:p>
              </w:tc>
              <w:tc>
                <w:tcPr>
                  <w:tcW w:w="1339" w:type="dxa"/>
                  <w:tcBorders>
                    <w:tl2br w:val="nil"/>
                    <w:tr2bl w:val="nil"/>
                  </w:tcBorders>
                  <w:vAlign w:val="center"/>
                </w:tcPr>
                <w:p w14:paraId="6971D497">
                  <w:pPr>
                    <w:widowControl/>
                    <w:adjustRightInd w:val="0"/>
                    <w:snapToGrid w:val="0"/>
                    <w:jc w:val="center"/>
                    <w:textAlignment w:val="center"/>
                    <w:rPr>
                      <w:rFonts w:eastAsia="附件"/>
                      <w:kern w:val="0"/>
                      <w:szCs w:val="21"/>
                    </w:rPr>
                  </w:pPr>
                  <w:r>
                    <w:rPr>
                      <w:rFonts w:eastAsia="附件"/>
                      <w:kern w:val="0"/>
                      <w:szCs w:val="21"/>
                    </w:rPr>
                    <w:t>0</w:t>
                  </w:r>
                </w:p>
              </w:tc>
            </w:tr>
            <w:tr w14:paraId="6CA08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5E7FDC98">
                  <w:pPr>
                    <w:adjustRightInd w:val="0"/>
                    <w:snapToGrid w:val="0"/>
                    <w:jc w:val="center"/>
                    <w:rPr>
                      <w:rFonts w:eastAsia="附件"/>
                      <w:kern w:val="0"/>
                      <w:szCs w:val="21"/>
                    </w:rPr>
                  </w:pPr>
                  <w:r>
                    <w:rPr>
                      <w:rFonts w:eastAsia="附件"/>
                      <w:kern w:val="0"/>
                      <w:szCs w:val="21"/>
                    </w:rPr>
                    <w:t>19</w:t>
                  </w:r>
                </w:p>
              </w:tc>
              <w:tc>
                <w:tcPr>
                  <w:tcW w:w="1335" w:type="dxa"/>
                  <w:tcBorders>
                    <w:tl2br w:val="nil"/>
                    <w:tr2bl w:val="nil"/>
                  </w:tcBorders>
                  <w:vAlign w:val="center"/>
                </w:tcPr>
                <w:p w14:paraId="0D8F9524">
                  <w:pPr>
                    <w:widowControl/>
                    <w:jc w:val="center"/>
                    <w:rPr>
                      <w:rFonts w:eastAsia="附件"/>
                      <w:szCs w:val="21"/>
                    </w:rPr>
                  </w:pPr>
                  <w:r>
                    <w:rPr>
                      <w:szCs w:val="21"/>
                    </w:rPr>
                    <w:t>顺式-1,2-二氯乙烯</w:t>
                  </w:r>
                </w:p>
              </w:tc>
              <w:tc>
                <w:tcPr>
                  <w:tcW w:w="1333" w:type="dxa"/>
                  <w:tcBorders>
                    <w:tl2br w:val="nil"/>
                    <w:tr2bl w:val="nil"/>
                  </w:tcBorders>
                  <w:vAlign w:val="center"/>
                </w:tcPr>
                <w:p w14:paraId="611D0F11">
                  <w:pPr>
                    <w:jc w:val="center"/>
                    <w:rPr>
                      <w:szCs w:val="21"/>
                    </w:rPr>
                  </w:pPr>
                  <w:r>
                    <w:rPr>
                      <w:rFonts w:hint="eastAsia"/>
                      <w:bCs/>
                      <w:sz w:val="21"/>
                      <w:szCs w:val="21"/>
                      <w:lang w:val="en-US" w:eastAsia="zh-CN"/>
                    </w:rPr>
                    <w:t>*</w:t>
                  </w:r>
                </w:p>
              </w:tc>
              <w:tc>
                <w:tcPr>
                  <w:tcW w:w="1335" w:type="dxa"/>
                  <w:tcBorders>
                    <w:tl2br w:val="nil"/>
                    <w:tr2bl w:val="nil"/>
                  </w:tcBorders>
                  <w:vAlign w:val="center"/>
                </w:tcPr>
                <w:p w14:paraId="3EBB995B">
                  <w:pPr>
                    <w:widowControl/>
                    <w:adjustRightInd w:val="0"/>
                    <w:snapToGrid w:val="0"/>
                    <w:jc w:val="center"/>
                    <w:textAlignment w:val="center"/>
                    <w:rPr>
                      <w:rFonts w:eastAsia="附件"/>
                      <w:kern w:val="0"/>
                      <w:szCs w:val="21"/>
                    </w:rPr>
                  </w:pPr>
                  <w:r>
                    <w:rPr>
                      <w:rFonts w:eastAsia="附件"/>
                      <w:kern w:val="0"/>
                      <w:szCs w:val="21"/>
                    </w:rPr>
                    <w:t>66</w:t>
                  </w:r>
                </w:p>
              </w:tc>
              <w:tc>
                <w:tcPr>
                  <w:tcW w:w="1333" w:type="dxa"/>
                  <w:tcBorders>
                    <w:tl2br w:val="nil"/>
                    <w:tr2bl w:val="nil"/>
                  </w:tcBorders>
                  <w:vAlign w:val="center"/>
                </w:tcPr>
                <w:p w14:paraId="2352DAAF">
                  <w:pPr>
                    <w:jc w:val="center"/>
                    <w:rPr>
                      <w:szCs w:val="21"/>
                    </w:rPr>
                  </w:pPr>
                  <w:r>
                    <w:rPr>
                      <w:rFonts w:eastAsia="附件"/>
                      <w:kern w:val="0"/>
                      <w:szCs w:val="21"/>
                    </w:rPr>
                    <w:t>/</w:t>
                  </w:r>
                </w:p>
              </w:tc>
              <w:tc>
                <w:tcPr>
                  <w:tcW w:w="1339" w:type="dxa"/>
                  <w:tcBorders>
                    <w:tl2br w:val="nil"/>
                    <w:tr2bl w:val="nil"/>
                  </w:tcBorders>
                  <w:vAlign w:val="center"/>
                </w:tcPr>
                <w:p w14:paraId="435676FD">
                  <w:pPr>
                    <w:widowControl/>
                    <w:adjustRightInd w:val="0"/>
                    <w:snapToGrid w:val="0"/>
                    <w:jc w:val="center"/>
                    <w:textAlignment w:val="center"/>
                    <w:rPr>
                      <w:rFonts w:eastAsia="附件"/>
                      <w:kern w:val="0"/>
                      <w:szCs w:val="21"/>
                    </w:rPr>
                  </w:pPr>
                  <w:r>
                    <w:rPr>
                      <w:rFonts w:eastAsia="附件"/>
                      <w:kern w:val="0"/>
                      <w:szCs w:val="21"/>
                    </w:rPr>
                    <w:t>0</w:t>
                  </w:r>
                </w:p>
              </w:tc>
            </w:tr>
            <w:tr w14:paraId="64B13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70D3E80">
                  <w:pPr>
                    <w:adjustRightInd w:val="0"/>
                    <w:snapToGrid w:val="0"/>
                    <w:jc w:val="center"/>
                    <w:rPr>
                      <w:rFonts w:eastAsia="附件"/>
                      <w:kern w:val="0"/>
                      <w:szCs w:val="21"/>
                    </w:rPr>
                  </w:pPr>
                  <w:r>
                    <w:rPr>
                      <w:rFonts w:eastAsia="附件"/>
                      <w:kern w:val="0"/>
                      <w:szCs w:val="21"/>
                    </w:rPr>
                    <w:t>20</w:t>
                  </w:r>
                </w:p>
              </w:tc>
              <w:tc>
                <w:tcPr>
                  <w:tcW w:w="1335" w:type="dxa"/>
                  <w:tcBorders>
                    <w:tl2br w:val="nil"/>
                    <w:tr2bl w:val="nil"/>
                  </w:tcBorders>
                  <w:vAlign w:val="center"/>
                </w:tcPr>
                <w:p w14:paraId="4F21A01D">
                  <w:pPr>
                    <w:widowControl/>
                    <w:jc w:val="center"/>
                    <w:rPr>
                      <w:rFonts w:eastAsia="附件"/>
                      <w:szCs w:val="21"/>
                    </w:rPr>
                  </w:pPr>
                  <w:r>
                    <w:rPr>
                      <w:szCs w:val="21"/>
                    </w:rPr>
                    <w:t>氯仿</w:t>
                  </w:r>
                </w:p>
              </w:tc>
              <w:tc>
                <w:tcPr>
                  <w:tcW w:w="1333" w:type="dxa"/>
                  <w:tcBorders>
                    <w:tl2br w:val="nil"/>
                    <w:tr2bl w:val="nil"/>
                  </w:tcBorders>
                  <w:vAlign w:val="center"/>
                </w:tcPr>
                <w:p w14:paraId="0D7459CE">
                  <w:pPr>
                    <w:jc w:val="center"/>
                    <w:rPr>
                      <w:szCs w:val="21"/>
                    </w:rPr>
                  </w:pPr>
                  <w:r>
                    <w:rPr>
                      <w:rFonts w:hint="eastAsia"/>
                      <w:bCs/>
                      <w:sz w:val="21"/>
                      <w:szCs w:val="21"/>
                      <w:lang w:val="en-US" w:eastAsia="zh-CN"/>
                    </w:rPr>
                    <w:t>*</w:t>
                  </w:r>
                </w:p>
              </w:tc>
              <w:tc>
                <w:tcPr>
                  <w:tcW w:w="1335" w:type="dxa"/>
                  <w:tcBorders>
                    <w:tl2br w:val="nil"/>
                    <w:tr2bl w:val="nil"/>
                  </w:tcBorders>
                  <w:vAlign w:val="center"/>
                </w:tcPr>
                <w:p w14:paraId="4C5759A2">
                  <w:pPr>
                    <w:widowControl/>
                    <w:adjustRightInd w:val="0"/>
                    <w:snapToGrid w:val="0"/>
                    <w:jc w:val="center"/>
                    <w:textAlignment w:val="center"/>
                    <w:rPr>
                      <w:rFonts w:eastAsia="附件"/>
                      <w:kern w:val="0"/>
                      <w:szCs w:val="21"/>
                    </w:rPr>
                  </w:pPr>
                  <w:r>
                    <w:rPr>
                      <w:rFonts w:eastAsia="附件"/>
                      <w:kern w:val="0"/>
                      <w:szCs w:val="21"/>
                    </w:rPr>
                    <w:t>0.3</w:t>
                  </w:r>
                </w:p>
              </w:tc>
              <w:tc>
                <w:tcPr>
                  <w:tcW w:w="1333" w:type="dxa"/>
                  <w:tcBorders>
                    <w:tl2br w:val="nil"/>
                    <w:tr2bl w:val="nil"/>
                  </w:tcBorders>
                  <w:vAlign w:val="center"/>
                </w:tcPr>
                <w:p w14:paraId="7347531C">
                  <w:pPr>
                    <w:jc w:val="center"/>
                    <w:rPr>
                      <w:szCs w:val="21"/>
                    </w:rPr>
                  </w:pPr>
                  <w:r>
                    <w:rPr>
                      <w:rFonts w:eastAsia="附件"/>
                      <w:kern w:val="0"/>
                      <w:szCs w:val="21"/>
                    </w:rPr>
                    <w:t>/</w:t>
                  </w:r>
                </w:p>
              </w:tc>
              <w:tc>
                <w:tcPr>
                  <w:tcW w:w="1339" w:type="dxa"/>
                  <w:tcBorders>
                    <w:tl2br w:val="nil"/>
                    <w:tr2bl w:val="nil"/>
                  </w:tcBorders>
                  <w:vAlign w:val="center"/>
                </w:tcPr>
                <w:p w14:paraId="1EA206BD">
                  <w:pPr>
                    <w:widowControl/>
                    <w:adjustRightInd w:val="0"/>
                    <w:snapToGrid w:val="0"/>
                    <w:jc w:val="center"/>
                    <w:textAlignment w:val="center"/>
                    <w:rPr>
                      <w:rFonts w:eastAsia="附件"/>
                      <w:kern w:val="0"/>
                      <w:szCs w:val="21"/>
                    </w:rPr>
                  </w:pPr>
                  <w:r>
                    <w:rPr>
                      <w:rFonts w:eastAsia="附件"/>
                      <w:kern w:val="0"/>
                      <w:szCs w:val="21"/>
                    </w:rPr>
                    <w:t>0</w:t>
                  </w:r>
                </w:p>
              </w:tc>
            </w:tr>
            <w:tr w14:paraId="10AA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049F94A">
                  <w:pPr>
                    <w:adjustRightInd w:val="0"/>
                    <w:snapToGrid w:val="0"/>
                    <w:jc w:val="center"/>
                    <w:rPr>
                      <w:rFonts w:eastAsia="附件"/>
                      <w:kern w:val="0"/>
                      <w:szCs w:val="21"/>
                    </w:rPr>
                  </w:pPr>
                  <w:r>
                    <w:rPr>
                      <w:rFonts w:eastAsia="附件"/>
                      <w:kern w:val="0"/>
                      <w:szCs w:val="21"/>
                    </w:rPr>
                    <w:t>21</w:t>
                  </w:r>
                </w:p>
              </w:tc>
              <w:tc>
                <w:tcPr>
                  <w:tcW w:w="1335" w:type="dxa"/>
                  <w:tcBorders>
                    <w:tl2br w:val="nil"/>
                    <w:tr2bl w:val="nil"/>
                  </w:tcBorders>
                  <w:vAlign w:val="center"/>
                </w:tcPr>
                <w:p w14:paraId="30152D42">
                  <w:pPr>
                    <w:widowControl/>
                    <w:jc w:val="center"/>
                    <w:rPr>
                      <w:rFonts w:eastAsia="附件"/>
                      <w:szCs w:val="21"/>
                    </w:rPr>
                  </w:pPr>
                  <w:r>
                    <w:rPr>
                      <w:szCs w:val="21"/>
                    </w:rPr>
                    <w:t>1,1,1-三氯乙烷</w:t>
                  </w:r>
                </w:p>
              </w:tc>
              <w:tc>
                <w:tcPr>
                  <w:tcW w:w="1333" w:type="dxa"/>
                  <w:tcBorders>
                    <w:tl2br w:val="nil"/>
                    <w:tr2bl w:val="nil"/>
                  </w:tcBorders>
                  <w:vAlign w:val="center"/>
                </w:tcPr>
                <w:p w14:paraId="789571D8">
                  <w:pPr>
                    <w:jc w:val="center"/>
                    <w:rPr>
                      <w:szCs w:val="21"/>
                    </w:rPr>
                  </w:pPr>
                  <w:r>
                    <w:rPr>
                      <w:rFonts w:hint="eastAsia"/>
                      <w:bCs/>
                      <w:sz w:val="21"/>
                      <w:szCs w:val="21"/>
                      <w:lang w:val="en-US" w:eastAsia="zh-CN"/>
                    </w:rPr>
                    <w:t>*</w:t>
                  </w:r>
                </w:p>
              </w:tc>
              <w:tc>
                <w:tcPr>
                  <w:tcW w:w="1335" w:type="dxa"/>
                  <w:tcBorders>
                    <w:tl2br w:val="nil"/>
                    <w:tr2bl w:val="nil"/>
                  </w:tcBorders>
                  <w:vAlign w:val="center"/>
                </w:tcPr>
                <w:p w14:paraId="3EA8E268">
                  <w:pPr>
                    <w:widowControl/>
                    <w:adjustRightInd w:val="0"/>
                    <w:snapToGrid w:val="0"/>
                    <w:jc w:val="center"/>
                    <w:textAlignment w:val="center"/>
                    <w:rPr>
                      <w:rFonts w:eastAsia="附件"/>
                      <w:kern w:val="0"/>
                      <w:szCs w:val="21"/>
                    </w:rPr>
                  </w:pPr>
                  <w:r>
                    <w:rPr>
                      <w:rFonts w:eastAsia="附件"/>
                      <w:kern w:val="0"/>
                      <w:szCs w:val="21"/>
                    </w:rPr>
                    <w:t>701</w:t>
                  </w:r>
                </w:p>
              </w:tc>
              <w:tc>
                <w:tcPr>
                  <w:tcW w:w="1333" w:type="dxa"/>
                  <w:tcBorders>
                    <w:tl2br w:val="nil"/>
                    <w:tr2bl w:val="nil"/>
                  </w:tcBorders>
                  <w:vAlign w:val="center"/>
                </w:tcPr>
                <w:p w14:paraId="2B465BFE">
                  <w:pPr>
                    <w:jc w:val="center"/>
                    <w:rPr>
                      <w:szCs w:val="21"/>
                    </w:rPr>
                  </w:pPr>
                  <w:r>
                    <w:rPr>
                      <w:rFonts w:eastAsia="附件"/>
                      <w:kern w:val="0"/>
                      <w:szCs w:val="21"/>
                    </w:rPr>
                    <w:t>/</w:t>
                  </w:r>
                </w:p>
              </w:tc>
              <w:tc>
                <w:tcPr>
                  <w:tcW w:w="1339" w:type="dxa"/>
                  <w:tcBorders>
                    <w:tl2br w:val="nil"/>
                    <w:tr2bl w:val="nil"/>
                  </w:tcBorders>
                  <w:vAlign w:val="center"/>
                </w:tcPr>
                <w:p w14:paraId="7958C429">
                  <w:pPr>
                    <w:widowControl/>
                    <w:adjustRightInd w:val="0"/>
                    <w:snapToGrid w:val="0"/>
                    <w:jc w:val="center"/>
                    <w:textAlignment w:val="center"/>
                    <w:rPr>
                      <w:rFonts w:eastAsia="附件"/>
                      <w:kern w:val="0"/>
                      <w:szCs w:val="21"/>
                    </w:rPr>
                  </w:pPr>
                  <w:r>
                    <w:rPr>
                      <w:rFonts w:eastAsia="附件"/>
                      <w:kern w:val="0"/>
                      <w:szCs w:val="21"/>
                    </w:rPr>
                    <w:t>0</w:t>
                  </w:r>
                </w:p>
              </w:tc>
            </w:tr>
            <w:tr w14:paraId="76E58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D2BC7DA">
                  <w:pPr>
                    <w:adjustRightInd w:val="0"/>
                    <w:snapToGrid w:val="0"/>
                    <w:jc w:val="center"/>
                    <w:rPr>
                      <w:rFonts w:eastAsia="附件"/>
                      <w:kern w:val="0"/>
                      <w:szCs w:val="21"/>
                    </w:rPr>
                  </w:pPr>
                  <w:r>
                    <w:rPr>
                      <w:rFonts w:eastAsia="附件"/>
                      <w:kern w:val="0"/>
                      <w:szCs w:val="21"/>
                    </w:rPr>
                    <w:t>22</w:t>
                  </w:r>
                </w:p>
              </w:tc>
              <w:tc>
                <w:tcPr>
                  <w:tcW w:w="1335" w:type="dxa"/>
                  <w:tcBorders>
                    <w:tl2br w:val="nil"/>
                    <w:tr2bl w:val="nil"/>
                  </w:tcBorders>
                  <w:vAlign w:val="center"/>
                </w:tcPr>
                <w:p w14:paraId="5E91A715">
                  <w:pPr>
                    <w:widowControl/>
                    <w:jc w:val="center"/>
                    <w:rPr>
                      <w:rFonts w:eastAsia="附件"/>
                      <w:szCs w:val="21"/>
                    </w:rPr>
                  </w:pPr>
                  <w:r>
                    <w:rPr>
                      <w:szCs w:val="21"/>
                    </w:rPr>
                    <w:t>四氯化碳</w:t>
                  </w:r>
                </w:p>
              </w:tc>
              <w:tc>
                <w:tcPr>
                  <w:tcW w:w="1333" w:type="dxa"/>
                  <w:tcBorders>
                    <w:tl2br w:val="nil"/>
                    <w:tr2bl w:val="nil"/>
                  </w:tcBorders>
                  <w:vAlign w:val="center"/>
                </w:tcPr>
                <w:p w14:paraId="79385DFA">
                  <w:pPr>
                    <w:jc w:val="center"/>
                    <w:rPr>
                      <w:szCs w:val="21"/>
                    </w:rPr>
                  </w:pPr>
                  <w:r>
                    <w:rPr>
                      <w:rFonts w:hint="eastAsia"/>
                      <w:bCs/>
                      <w:sz w:val="21"/>
                      <w:szCs w:val="21"/>
                      <w:lang w:val="en-US" w:eastAsia="zh-CN"/>
                    </w:rPr>
                    <w:t>*</w:t>
                  </w:r>
                </w:p>
              </w:tc>
              <w:tc>
                <w:tcPr>
                  <w:tcW w:w="1335" w:type="dxa"/>
                  <w:tcBorders>
                    <w:tl2br w:val="nil"/>
                    <w:tr2bl w:val="nil"/>
                  </w:tcBorders>
                  <w:vAlign w:val="center"/>
                </w:tcPr>
                <w:p w14:paraId="1FD33832">
                  <w:pPr>
                    <w:widowControl/>
                    <w:adjustRightInd w:val="0"/>
                    <w:snapToGrid w:val="0"/>
                    <w:jc w:val="center"/>
                    <w:textAlignment w:val="center"/>
                    <w:rPr>
                      <w:rFonts w:eastAsia="附件"/>
                      <w:kern w:val="0"/>
                      <w:szCs w:val="21"/>
                    </w:rPr>
                  </w:pPr>
                  <w:r>
                    <w:rPr>
                      <w:rFonts w:eastAsia="附件"/>
                      <w:kern w:val="0"/>
                      <w:szCs w:val="21"/>
                    </w:rPr>
                    <w:t>0.9</w:t>
                  </w:r>
                </w:p>
              </w:tc>
              <w:tc>
                <w:tcPr>
                  <w:tcW w:w="1333" w:type="dxa"/>
                  <w:tcBorders>
                    <w:tl2br w:val="nil"/>
                    <w:tr2bl w:val="nil"/>
                  </w:tcBorders>
                  <w:vAlign w:val="center"/>
                </w:tcPr>
                <w:p w14:paraId="535F14FE">
                  <w:pPr>
                    <w:jc w:val="center"/>
                    <w:rPr>
                      <w:szCs w:val="21"/>
                    </w:rPr>
                  </w:pPr>
                  <w:r>
                    <w:rPr>
                      <w:rFonts w:eastAsia="附件"/>
                      <w:kern w:val="0"/>
                      <w:szCs w:val="21"/>
                    </w:rPr>
                    <w:t>/</w:t>
                  </w:r>
                </w:p>
              </w:tc>
              <w:tc>
                <w:tcPr>
                  <w:tcW w:w="1339" w:type="dxa"/>
                  <w:tcBorders>
                    <w:tl2br w:val="nil"/>
                    <w:tr2bl w:val="nil"/>
                  </w:tcBorders>
                  <w:vAlign w:val="center"/>
                </w:tcPr>
                <w:p w14:paraId="2A980AA9">
                  <w:pPr>
                    <w:widowControl/>
                    <w:adjustRightInd w:val="0"/>
                    <w:snapToGrid w:val="0"/>
                    <w:jc w:val="center"/>
                    <w:textAlignment w:val="center"/>
                    <w:rPr>
                      <w:rFonts w:eastAsia="附件"/>
                      <w:kern w:val="0"/>
                      <w:szCs w:val="21"/>
                    </w:rPr>
                  </w:pPr>
                  <w:r>
                    <w:rPr>
                      <w:rFonts w:eastAsia="附件"/>
                      <w:kern w:val="0"/>
                      <w:szCs w:val="21"/>
                    </w:rPr>
                    <w:t>0</w:t>
                  </w:r>
                </w:p>
              </w:tc>
            </w:tr>
            <w:tr w14:paraId="68693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18C4A3F">
                  <w:pPr>
                    <w:adjustRightInd w:val="0"/>
                    <w:snapToGrid w:val="0"/>
                    <w:jc w:val="center"/>
                    <w:rPr>
                      <w:rFonts w:eastAsia="附件"/>
                      <w:kern w:val="0"/>
                      <w:szCs w:val="21"/>
                    </w:rPr>
                  </w:pPr>
                  <w:r>
                    <w:rPr>
                      <w:rFonts w:eastAsia="附件"/>
                      <w:kern w:val="0"/>
                      <w:szCs w:val="21"/>
                    </w:rPr>
                    <w:t>23</w:t>
                  </w:r>
                </w:p>
              </w:tc>
              <w:tc>
                <w:tcPr>
                  <w:tcW w:w="1335" w:type="dxa"/>
                  <w:tcBorders>
                    <w:tl2br w:val="nil"/>
                    <w:tr2bl w:val="nil"/>
                  </w:tcBorders>
                  <w:vAlign w:val="center"/>
                </w:tcPr>
                <w:p w14:paraId="1306BA1D">
                  <w:pPr>
                    <w:widowControl/>
                    <w:jc w:val="center"/>
                    <w:rPr>
                      <w:rFonts w:eastAsia="附件"/>
                      <w:szCs w:val="21"/>
                    </w:rPr>
                  </w:pPr>
                  <w:r>
                    <w:rPr>
                      <w:szCs w:val="21"/>
                    </w:rPr>
                    <w:t>苯</w:t>
                  </w:r>
                </w:p>
              </w:tc>
              <w:tc>
                <w:tcPr>
                  <w:tcW w:w="1333" w:type="dxa"/>
                  <w:tcBorders>
                    <w:tl2br w:val="nil"/>
                    <w:tr2bl w:val="nil"/>
                  </w:tcBorders>
                  <w:vAlign w:val="center"/>
                </w:tcPr>
                <w:p w14:paraId="29C2D8B7">
                  <w:pPr>
                    <w:jc w:val="center"/>
                    <w:rPr>
                      <w:szCs w:val="21"/>
                    </w:rPr>
                  </w:pPr>
                  <w:r>
                    <w:rPr>
                      <w:rFonts w:hint="eastAsia"/>
                      <w:bCs/>
                      <w:sz w:val="21"/>
                      <w:szCs w:val="21"/>
                      <w:lang w:val="en-US" w:eastAsia="zh-CN"/>
                    </w:rPr>
                    <w:t>*</w:t>
                  </w:r>
                </w:p>
              </w:tc>
              <w:tc>
                <w:tcPr>
                  <w:tcW w:w="1335" w:type="dxa"/>
                  <w:tcBorders>
                    <w:tl2br w:val="nil"/>
                    <w:tr2bl w:val="nil"/>
                  </w:tcBorders>
                  <w:vAlign w:val="center"/>
                </w:tcPr>
                <w:p w14:paraId="4A73B64D">
                  <w:pPr>
                    <w:widowControl/>
                    <w:adjustRightInd w:val="0"/>
                    <w:snapToGrid w:val="0"/>
                    <w:jc w:val="center"/>
                    <w:textAlignment w:val="center"/>
                    <w:rPr>
                      <w:rFonts w:eastAsia="附件"/>
                      <w:kern w:val="0"/>
                      <w:szCs w:val="21"/>
                    </w:rPr>
                  </w:pPr>
                  <w:r>
                    <w:rPr>
                      <w:rFonts w:eastAsia="附件"/>
                      <w:kern w:val="0"/>
                      <w:szCs w:val="21"/>
                    </w:rPr>
                    <w:t>1</w:t>
                  </w:r>
                </w:p>
              </w:tc>
              <w:tc>
                <w:tcPr>
                  <w:tcW w:w="1333" w:type="dxa"/>
                  <w:tcBorders>
                    <w:tl2br w:val="nil"/>
                    <w:tr2bl w:val="nil"/>
                  </w:tcBorders>
                  <w:vAlign w:val="center"/>
                </w:tcPr>
                <w:p w14:paraId="12328023">
                  <w:pPr>
                    <w:jc w:val="center"/>
                    <w:rPr>
                      <w:szCs w:val="21"/>
                    </w:rPr>
                  </w:pPr>
                  <w:r>
                    <w:rPr>
                      <w:rFonts w:eastAsia="附件"/>
                      <w:kern w:val="0"/>
                      <w:szCs w:val="21"/>
                    </w:rPr>
                    <w:t>/</w:t>
                  </w:r>
                </w:p>
              </w:tc>
              <w:tc>
                <w:tcPr>
                  <w:tcW w:w="1339" w:type="dxa"/>
                  <w:tcBorders>
                    <w:tl2br w:val="nil"/>
                    <w:tr2bl w:val="nil"/>
                  </w:tcBorders>
                  <w:vAlign w:val="center"/>
                </w:tcPr>
                <w:p w14:paraId="7D8642A3">
                  <w:pPr>
                    <w:widowControl/>
                    <w:adjustRightInd w:val="0"/>
                    <w:snapToGrid w:val="0"/>
                    <w:jc w:val="center"/>
                    <w:textAlignment w:val="center"/>
                    <w:rPr>
                      <w:rFonts w:eastAsia="附件"/>
                      <w:kern w:val="0"/>
                      <w:szCs w:val="21"/>
                    </w:rPr>
                  </w:pPr>
                  <w:r>
                    <w:rPr>
                      <w:rFonts w:eastAsia="附件"/>
                      <w:kern w:val="0"/>
                      <w:szCs w:val="21"/>
                    </w:rPr>
                    <w:t>0</w:t>
                  </w:r>
                </w:p>
              </w:tc>
            </w:tr>
            <w:tr w14:paraId="09F27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A26A61E">
                  <w:pPr>
                    <w:adjustRightInd w:val="0"/>
                    <w:snapToGrid w:val="0"/>
                    <w:jc w:val="center"/>
                    <w:rPr>
                      <w:rFonts w:eastAsia="附件"/>
                      <w:kern w:val="0"/>
                      <w:szCs w:val="21"/>
                    </w:rPr>
                  </w:pPr>
                  <w:r>
                    <w:rPr>
                      <w:rFonts w:eastAsia="附件"/>
                      <w:kern w:val="0"/>
                      <w:szCs w:val="21"/>
                    </w:rPr>
                    <w:t>24</w:t>
                  </w:r>
                </w:p>
              </w:tc>
              <w:tc>
                <w:tcPr>
                  <w:tcW w:w="1335" w:type="dxa"/>
                  <w:tcBorders>
                    <w:tl2br w:val="nil"/>
                    <w:tr2bl w:val="nil"/>
                  </w:tcBorders>
                  <w:vAlign w:val="center"/>
                </w:tcPr>
                <w:p w14:paraId="45857B02">
                  <w:pPr>
                    <w:widowControl/>
                    <w:jc w:val="center"/>
                    <w:rPr>
                      <w:rFonts w:eastAsia="附件"/>
                      <w:szCs w:val="21"/>
                    </w:rPr>
                  </w:pPr>
                  <w:r>
                    <w:rPr>
                      <w:szCs w:val="21"/>
                    </w:rPr>
                    <w:t>1,2-二氯乙烷</w:t>
                  </w:r>
                </w:p>
              </w:tc>
              <w:tc>
                <w:tcPr>
                  <w:tcW w:w="1333" w:type="dxa"/>
                  <w:tcBorders>
                    <w:tl2br w:val="nil"/>
                    <w:tr2bl w:val="nil"/>
                  </w:tcBorders>
                  <w:vAlign w:val="center"/>
                </w:tcPr>
                <w:p w14:paraId="319672B5">
                  <w:pPr>
                    <w:jc w:val="center"/>
                    <w:rPr>
                      <w:szCs w:val="21"/>
                    </w:rPr>
                  </w:pPr>
                  <w:r>
                    <w:rPr>
                      <w:rFonts w:hint="eastAsia"/>
                      <w:bCs/>
                      <w:sz w:val="21"/>
                      <w:szCs w:val="21"/>
                      <w:lang w:val="en-US" w:eastAsia="zh-CN"/>
                    </w:rPr>
                    <w:t>*</w:t>
                  </w:r>
                </w:p>
              </w:tc>
              <w:tc>
                <w:tcPr>
                  <w:tcW w:w="1335" w:type="dxa"/>
                  <w:tcBorders>
                    <w:tl2br w:val="nil"/>
                    <w:tr2bl w:val="nil"/>
                  </w:tcBorders>
                  <w:vAlign w:val="center"/>
                </w:tcPr>
                <w:p w14:paraId="05A72587">
                  <w:pPr>
                    <w:widowControl/>
                    <w:adjustRightInd w:val="0"/>
                    <w:snapToGrid w:val="0"/>
                    <w:jc w:val="center"/>
                    <w:textAlignment w:val="center"/>
                    <w:rPr>
                      <w:rFonts w:eastAsia="附件"/>
                      <w:kern w:val="0"/>
                      <w:szCs w:val="21"/>
                    </w:rPr>
                  </w:pPr>
                  <w:r>
                    <w:rPr>
                      <w:rFonts w:eastAsia="附件"/>
                      <w:kern w:val="0"/>
                      <w:szCs w:val="21"/>
                    </w:rPr>
                    <w:t>0.52</w:t>
                  </w:r>
                </w:p>
              </w:tc>
              <w:tc>
                <w:tcPr>
                  <w:tcW w:w="1333" w:type="dxa"/>
                  <w:tcBorders>
                    <w:tl2br w:val="nil"/>
                    <w:tr2bl w:val="nil"/>
                  </w:tcBorders>
                  <w:vAlign w:val="center"/>
                </w:tcPr>
                <w:p w14:paraId="65DF532D">
                  <w:pPr>
                    <w:jc w:val="center"/>
                    <w:rPr>
                      <w:szCs w:val="21"/>
                    </w:rPr>
                  </w:pPr>
                  <w:r>
                    <w:rPr>
                      <w:rFonts w:eastAsia="附件"/>
                      <w:kern w:val="0"/>
                      <w:szCs w:val="21"/>
                    </w:rPr>
                    <w:t>/</w:t>
                  </w:r>
                </w:p>
              </w:tc>
              <w:tc>
                <w:tcPr>
                  <w:tcW w:w="1339" w:type="dxa"/>
                  <w:tcBorders>
                    <w:tl2br w:val="nil"/>
                    <w:tr2bl w:val="nil"/>
                  </w:tcBorders>
                  <w:vAlign w:val="center"/>
                </w:tcPr>
                <w:p w14:paraId="38C14FFE">
                  <w:pPr>
                    <w:widowControl/>
                    <w:adjustRightInd w:val="0"/>
                    <w:snapToGrid w:val="0"/>
                    <w:jc w:val="center"/>
                    <w:textAlignment w:val="center"/>
                    <w:rPr>
                      <w:rFonts w:eastAsia="附件"/>
                      <w:kern w:val="0"/>
                      <w:szCs w:val="21"/>
                    </w:rPr>
                  </w:pPr>
                  <w:r>
                    <w:rPr>
                      <w:rFonts w:eastAsia="附件"/>
                      <w:kern w:val="0"/>
                      <w:szCs w:val="21"/>
                    </w:rPr>
                    <w:t>0</w:t>
                  </w:r>
                </w:p>
              </w:tc>
            </w:tr>
            <w:tr w14:paraId="3110E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5A66703">
                  <w:pPr>
                    <w:adjustRightInd w:val="0"/>
                    <w:snapToGrid w:val="0"/>
                    <w:jc w:val="center"/>
                    <w:rPr>
                      <w:rFonts w:eastAsia="附件"/>
                      <w:kern w:val="0"/>
                      <w:szCs w:val="21"/>
                    </w:rPr>
                  </w:pPr>
                  <w:r>
                    <w:rPr>
                      <w:rFonts w:eastAsia="附件"/>
                      <w:kern w:val="0"/>
                      <w:szCs w:val="21"/>
                    </w:rPr>
                    <w:t>25</w:t>
                  </w:r>
                </w:p>
              </w:tc>
              <w:tc>
                <w:tcPr>
                  <w:tcW w:w="1335" w:type="dxa"/>
                  <w:tcBorders>
                    <w:tl2br w:val="nil"/>
                    <w:tr2bl w:val="nil"/>
                  </w:tcBorders>
                  <w:vAlign w:val="center"/>
                </w:tcPr>
                <w:p w14:paraId="000F2CDD">
                  <w:pPr>
                    <w:widowControl/>
                    <w:jc w:val="center"/>
                    <w:rPr>
                      <w:rFonts w:eastAsia="附件"/>
                      <w:szCs w:val="21"/>
                    </w:rPr>
                  </w:pPr>
                  <w:r>
                    <w:rPr>
                      <w:szCs w:val="21"/>
                    </w:rPr>
                    <w:t>三氯乙烯</w:t>
                  </w:r>
                </w:p>
              </w:tc>
              <w:tc>
                <w:tcPr>
                  <w:tcW w:w="1333" w:type="dxa"/>
                  <w:tcBorders>
                    <w:tl2br w:val="nil"/>
                    <w:tr2bl w:val="nil"/>
                  </w:tcBorders>
                  <w:vAlign w:val="center"/>
                </w:tcPr>
                <w:p w14:paraId="3EE288EF">
                  <w:pPr>
                    <w:jc w:val="center"/>
                    <w:rPr>
                      <w:szCs w:val="21"/>
                    </w:rPr>
                  </w:pPr>
                  <w:r>
                    <w:rPr>
                      <w:rFonts w:hint="eastAsia"/>
                      <w:bCs/>
                      <w:sz w:val="21"/>
                      <w:szCs w:val="21"/>
                      <w:lang w:val="en-US" w:eastAsia="zh-CN"/>
                    </w:rPr>
                    <w:t>*</w:t>
                  </w:r>
                </w:p>
              </w:tc>
              <w:tc>
                <w:tcPr>
                  <w:tcW w:w="1335" w:type="dxa"/>
                  <w:tcBorders>
                    <w:tl2br w:val="nil"/>
                    <w:tr2bl w:val="nil"/>
                  </w:tcBorders>
                  <w:vAlign w:val="center"/>
                </w:tcPr>
                <w:p w14:paraId="3BAE2339">
                  <w:pPr>
                    <w:widowControl/>
                    <w:adjustRightInd w:val="0"/>
                    <w:snapToGrid w:val="0"/>
                    <w:jc w:val="center"/>
                    <w:textAlignment w:val="center"/>
                    <w:rPr>
                      <w:rFonts w:eastAsia="附件"/>
                      <w:kern w:val="0"/>
                      <w:szCs w:val="21"/>
                    </w:rPr>
                  </w:pPr>
                  <w:r>
                    <w:rPr>
                      <w:rFonts w:eastAsia="附件"/>
                      <w:kern w:val="0"/>
                      <w:szCs w:val="21"/>
                    </w:rPr>
                    <w:t>0.7</w:t>
                  </w:r>
                </w:p>
              </w:tc>
              <w:tc>
                <w:tcPr>
                  <w:tcW w:w="1333" w:type="dxa"/>
                  <w:tcBorders>
                    <w:tl2br w:val="nil"/>
                    <w:tr2bl w:val="nil"/>
                  </w:tcBorders>
                  <w:vAlign w:val="center"/>
                </w:tcPr>
                <w:p w14:paraId="3B8264BB">
                  <w:pPr>
                    <w:jc w:val="center"/>
                    <w:rPr>
                      <w:szCs w:val="21"/>
                    </w:rPr>
                  </w:pPr>
                  <w:r>
                    <w:rPr>
                      <w:rFonts w:eastAsia="附件"/>
                      <w:kern w:val="0"/>
                      <w:szCs w:val="21"/>
                    </w:rPr>
                    <w:t>/</w:t>
                  </w:r>
                </w:p>
              </w:tc>
              <w:tc>
                <w:tcPr>
                  <w:tcW w:w="1339" w:type="dxa"/>
                  <w:tcBorders>
                    <w:tl2br w:val="nil"/>
                    <w:tr2bl w:val="nil"/>
                  </w:tcBorders>
                  <w:vAlign w:val="center"/>
                </w:tcPr>
                <w:p w14:paraId="7E051552">
                  <w:pPr>
                    <w:widowControl/>
                    <w:adjustRightInd w:val="0"/>
                    <w:snapToGrid w:val="0"/>
                    <w:jc w:val="center"/>
                    <w:textAlignment w:val="center"/>
                    <w:rPr>
                      <w:rFonts w:eastAsia="附件"/>
                      <w:kern w:val="0"/>
                      <w:szCs w:val="21"/>
                    </w:rPr>
                  </w:pPr>
                  <w:r>
                    <w:rPr>
                      <w:rFonts w:eastAsia="附件"/>
                      <w:kern w:val="0"/>
                      <w:szCs w:val="21"/>
                    </w:rPr>
                    <w:t>0</w:t>
                  </w:r>
                </w:p>
              </w:tc>
            </w:tr>
            <w:tr w14:paraId="6CACC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0AF74CAB">
                  <w:pPr>
                    <w:adjustRightInd w:val="0"/>
                    <w:snapToGrid w:val="0"/>
                    <w:jc w:val="center"/>
                    <w:rPr>
                      <w:rFonts w:eastAsia="附件"/>
                      <w:kern w:val="0"/>
                      <w:szCs w:val="21"/>
                    </w:rPr>
                  </w:pPr>
                  <w:r>
                    <w:rPr>
                      <w:rFonts w:eastAsia="附件"/>
                      <w:kern w:val="0"/>
                      <w:szCs w:val="21"/>
                    </w:rPr>
                    <w:t>26</w:t>
                  </w:r>
                </w:p>
              </w:tc>
              <w:tc>
                <w:tcPr>
                  <w:tcW w:w="1335" w:type="dxa"/>
                  <w:tcBorders>
                    <w:tl2br w:val="nil"/>
                    <w:tr2bl w:val="nil"/>
                  </w:tcBorders>
                  <w:vAlign w:val="center"/>
                </w:tcPr>
                <w:p w14:paraId="7E1DEA79">
                  <w:pPr>
                    <w:widowControl/>
                    <w:jc w:val="center"/>
                    <w:rPr>
                      <w:rFonts w:eastAsia="附件"/>
                      <w:szCs w:val="21"/>
                    </w:rPr>
                  </w:pPr>
                  <w:r>
                    <w:rPr>
                      <w:szCs w:val="21"/>
                    </w:rPr>
                    <w:t>1,2-二氯丙烷</w:t>
                  </w:r>
                </w:p>
              </w:tc>
              <w:tc>
                <w:tcPr>
                  <w:tcW w:w="1333" w:type="dxa"/>
                  <w:tcBorders>
                    <w:tl2br w:val="nil"/>
                    <w:tr2bl w:val="nil"/>
                  </w:tcBorders>
                  <w:vAlign w:val="center"/>
                </w:tcPr>
                <w:p w14:paraId="344E19EF">
                  <w:pPr>
                    <w:jc w:val="center"/>
                    <w:rPr>
                      <w:szCs w:val="21"/>
                    </w:rPr>
                  </w:pPr>
                  <w:r>
                    <w:rPr>
                      <w:rFonts w:hint="eastAsia"/>
                      <w:bCs/>
                      <w:sz w:val="21"/>
                      <w:szCs w:val="21"/>
                      <w:lang w:val="en-US" w:eastAsia="zh-CN"/>
                    </w:rPr>
                    <w:t>*</w:t>
                  </w:r>
                </w:p>
              </w:tc>
              <w:tc>
                <w:tcPr>
                  <w:tcW w:w="1335" w:type="dxa"/>
                  <w:tcBorders>
                    <w:tl2br w:val="nil"/>
                    <w:tr2bl w:val="nil"/>
                  </w:tcBorders>
                  <w:vAlign w:val="center"/>
                </w:tcPr>
                <w:p w14:paraId="2111F860">
                  <w:pPr>
                    <w:widowControl/>
                    <w:adjustRightInd w:val="0"/>
                    <w:snapToGrid w:val="0"/>
                    <w:jc w:val="center"/>
                    <w:textAlignment w:val="center"/>
                    <w:rPr>
                      <w:rFonts w:eastAsia="附件"/>
                      <w:kern w:val="0"/>
                      <w:szCs w:val="21"/>
                    </w:rPr>
                  </w:pPr>
                  <w:r>
                    <w:rPr>
                      <w:rFonts w:eastAsia="附件"/>
                      <w:kern w:val="0"/>
                      <w:szCs w:val="21"/>
                    </w:rPr>
                    <w:t>1</w:t>
                  </w:r>
                </w:p>
              </w:tc>
              <w:tc>
                <w:tcPr>
                  <w:tcW w:w="1333" w:type="dxa"/>
                  <w:tcBorders>
                    <w:tl2br w:val="nil"/>
                    <w:tr2bl w:val="nil"/>
                  </w:tcBorders>
                  <w:vAlign w:val="center"/>
                </w:tcPr>
                <w:p w14:paraId="40E9A3D5">
                  <w:pPr>
                    <w:jc w:val="center"/>
                    <w:rPr>
                      <w:szCs w:val="21"/>
                    </w:rPr>
                  </w:pPr>
                  <w:r>
                    <w:rPr>
                      <w:rFonts w:eastAsia="附件"/>
                      <w:kern w:val="0"/>
                      <w:szCs w:val="21"/>
                    </w:rPr>
                    <w:t>/</w:t>
                  </w:r>
                </w:p>
              </w:tc>
              <w:tc>
                <w:tcPr>
                  <w:tcW w:w="1339" w:type="dxa"/>
                  <w:tcBorders>
                    <w:tl2br w:val="nil"/>
                    <w:tr2bl w:val="nil"/>
                  </w:tcBorders>
                  <w:vAlign w:val="center"/>
                </w:tcPr>
                <w:p w14:paraId="146C8BAE">
                  <w:pPr>
                    <w:widowControl/>
                    <w:adjustRightInd w:val="0"/>
                    <w:snapToGrid w:val="0"/>
                    <w:jc w:val="center"/>
                    <w:textAlignment w:val="center"/>
                    <w:rPr>
                      <w:rFonts w:eastAsia="附件"/>
                      <w:kern w:val="0"/>
                      <w:szCs w:val="21"/>
                    </w:rPr>
                  </w:pPr>
                  <w:r>
                    <w:rPr>
                      <w:rFonts w:eastAsia="附件"/>
                      <w:kern w:val="0"/>
                      <w:szCs w:val="21"/>
                    </w:rPr>
                    <w:t>0</w:t>
                  </w:r>
                </w:p>
              </w:tc>
            </w:tr>
            <w:tr w14:paraId="1547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CABD9D1">
                  <w:pPr>
                    <w:adjustRightInd w:val="0"/>
                    <w:snapToGrid w:val="0"/>
                    <w:jc w:val="center"/>
                    <w:rPr>
                      <w:rFonts w:eastAsia="附件"/>
                      <w:kern w:val="0"/>
                      <w:szCs w:val="21"/>
                    </w:rPr>
                  </w:pPr>
                  <w:r>
                    <w:rPr>
                      <w:rFonts w:eastAsia="附件"/>
                      <w:kern w:val="0"/>
                      <w:szCs w:val="21"/>
                    </w:rPr>
                    <w:t>27</w:t>
                  </w:r>
                </w:p>
              </w:tc>
              <w:tc>
                <w:tcPr>
                  <w:tcW w:w="1335" w:type="dxa"/>
                  <w:tcBorders>
                    <w:tl2br w:val="nil"/>
                    <w:tr2bl w:val="nil"/>
                  </w:tcBorders>
                  <w:vAlign w:val="center"/>
                </w:tcPr>
                <w:p w14:paraId="75CCCDC1">
                  <w:pPr>
                    <w:widowControl/>
                    <w:jc w:val="center"/>
                    <w:rPr>
                      <w:rFonts w:eastAsia="附件"/>
                      <w:szCs w:val="21"/>
                    </w:rPr>
                  </w:pPr>
                  <w:r>
                    <w:rPr>
                      <w:szCs w:val="21"/>
                    </w:rPr>
                    <w:t>甲苯</w:t>
                  </w:r>
                </w:p>
              </w:tc>
              <w:tc>
                <w:tcPr>
                  <w:tcW w:w="1333" w:type="dxa"/>
                  <w:tcBorders>
                    <w:tl2br w:val="nil"/>
                    <w:tr2bl w:val="nil"/>
                  </w:tcBorders>
                  <w:vAlign w:val="center"/>
                </w:tcPr>
                <w:p w14:paraId="0326A700">
                  <w:pPr>
                    <w:jc w:val="center"/>
                    <w:rPr>
                      <w:szCs w:val="21"/>
                    </w:rPr>
                  </w:pPr>
                  <w:r>
                    <w:rPr>
                      <w:rFonts w:hint="eastAsia"/>
                      <w:bCs/>
                      <w:sz w:val="21"/>
                      <w:szCs w:val="21"/>
                      <w:lang w:val="en-US" w:eastAsia="zh-CN"/>
                    </w:rPr>
                    <w:t>*</w:t>
                  </w:r>
                </w:p>
              </w:tc>
              <w:tc>
                <w:tcPr>
                  <w:tcW w:w="1335" w:type="dxa"/>
                  <w:tcBorders>
                    <w:tl2br w:val="nil"/>
                    <w:tr2bl w:val="nil"/>
                  </w:tcBorders>
                  <w:vAlign w:val="center"/>
                </w:tcPr>
                <w:p w14:paraId="16F65F26">
                  <w:pPr>
                    <w:widowControl/>
                    <w:adjustRightInd w:val="0"/>
                    <w:snapToGrid w:val="0"/>
                    <w:jc w:val="center"/>
                    <w:textAlignment w:val="center"/>
                    <w:rPr>
                      <w:rFonts w:eastAsia="附件"/>
                      <w:kern w:val="0"/>
                      <w:szCs w:val="21"/>
                    </w:rPr>
                  </w:pPr>
                  <w:r>
                    <w:rPr>
                      <w:rFonts w:eastAsia="附件"/>
                      <w:kern w:val="0"/>
                      <w:szCs w:val="21"/>
                    </w:rPr>
                    <w:t>1200</w:t>
                  </w:r>
                </w:p>
              </w:tc>
              <w:tc>
                <w:tcPr>
                  <w:tcW w:w="1333" w:type="dxa"/>
                  <w:tcBorders>
                    <w:tl2br w:val="nil"/>
                    <w:tr2bl w:val="nil"/>
                  </w:tcBorders>
                  <w:vAlign w:val="center"/>
                </w:tcPr>
                <w:p w14:paraId="3DDFD556">
                  <w:pPr>
                    <w:jc w:val="center"/>
                    <w:rPr>
                      <w:szCs w:val="21"/>
                    </w:rPr>
                  </w:pPr>
                  <w:r>
                    <w:rPr>
                      <w:rFonts w:eastAsia="附件"/>
                      <w:kern w:val="0"/>
                      <w:szCs w:val="21"/>
                    </w:rPr>
                    <w:t>/</w:t>
                  </w:r>
                </w:p>
              </w:tc>
              <w:tc>
                <w:tcPr>
                  <w:tcW w:w="1339" w:type="dxa"/>
                  <w:tcBorders>
                    <w:tl2br w:val="nil"/>
                    <w:tr2bl w:val="nil"/>
                  </w:tcBorders>
                  <w:vAlign w:val="center"/>
                </w:tcPr>
                <w:p w14:paraId="2173AD09">
                  <w:pPr>
                    <w:widowControl/>
                    <w:adjustRightInd w:val="0"/>
                    <w:snapToGrid w:val="0"/>
                    <w:jc w:val="center"/>
                    <w:textAlignment w:val="center"/>
                    <w:rPr>
                      <w:rFonts w:eastAsia="附件"/>
                      <w:kern w:val="0"/>
                      <w:szCs w:val="21"/>
                    </w:rPr>
                  </w:pPr>
                  <w:r>
                    <w:rPr>
                      <w:rFonts w:eastAsia="附件"/>
                      <w:kern w:val="0"/>
                      <w:szCs w:val="21"/>
                    </w:rPr>
                    <w:t>0</w:t>
                  </w:r>
                </w:p>
              </w:tc>
            </w:tr>
            <w:tr w14:paraId="7CC7B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5EBF137">
                  <w:pPr>
                    <w:adjustRightInd w:val="0"/>
                    <w:snapToGrid w:val="0"/>
                    <w:jc w:val="center"/>
                    <w:rPr>
                      <w:rFonts w:eastAsia="附件"/>
                      <w:kern w:val="0"/>
                      <w:szCs w:val="21"/>
                    </w:rPr>
                  </w:pPr>
                  <w:r>
                    <w:rPr>
                      <w:rFonts w:eastAsia="附件"/>
                      <w:kern w:val="0"/>
                      <w:szCs w:val="21"/>
                    </w:rPr>
                    <w:t>28</w:t>
                  </w:r>
                </w:p>
              </w:tc>
              <w:tc>
                <w:tcPr>
                  <w:tcW w:w="1335" w:type="dxa"/>
                  <w:tcBorders>
                    <w:tl2br w:val="nil"/>
                    <w:tr2bl w:val="nil"/>
                  </w:tcBorders>
                  <w:vAlign w:val="center"/>
                </w:tcPr>
                <w:p w14:paraId="75AED072">
                  <w:pPr>
                    <w:widowControl/>
                    <w:jc w:val="center"/>
                    <w:rPr>
                      <w:rFonts w:eastAsia="附件"/>
                      <w:szCs w:val="21"/>
                    </w:rPr>
                  </w:pPr>
                  <w:r>
                    <w:rPr>
                      <w:szCs w:val="21"/>
                    </w:rPr>
                    <w:t>1,1,2-三氯乙烷</w:t>
                  </w:r>
                </w:p>
              </w:tc>
              <w:tc>
                <w:tcPr>
                  <w:tcW w:w="1333" w:type="dxa"/>
                  <w:tcBorders>
                    <w:tl2br w:val="nil"/>
                    <w:tr2bl w:val="nil"/>
                  </w:tcBorders>
                  <w:vAlign w:val="center"/>
                </w:tcPr>
                <w:p w14:paraId="59724026">
                  <w:pPr>
                    <w:jc w:val="center"/>
                    <w:rPr>
                      <w:szCs w:val="21"/>
                    </w:rPr>
                  </w:pPr>
                  <w:r>
                    <w:rPr>
                      <w:rFonts w:hint="eastAsia"/>
                      <w:bCs/>
                      <w:sz w:val="21"/>
                      <w:szCs w:val="21"/>
                      <w:lang w:val="en-US" w:eastAsia="zh-CN"/>
                    </w:rPr>
                    <w:t>*</w:t>
                  </w:r>
                </w:p>
              </w:tc>
              <w:tc>
                <w:tcPr>
                  <w:tcW w:w="1335" w:type="dxa"/>
                  <w:tcBorders>
                    <w:tl2br w:val="nil"/>
                    <w:tr2bl w:val="nil"/>
                  </w:tcBorders>
                  <w:vAlign w:val="center"/>
                </w:tcPr>
                <w:p w14:paraId="23ADDC2F">
                  <w:pPr>
                    <w:widowControl/>
                    <w:adjustRightInd w:val="0"/>
                    <w:snapToGrid w:val="0"/>
                    <w:jc w:val="center"/>
                    <w:textAlignment w:val="center"/>
                    <w:rPr>
                      <w:rFonts w:eastAsia="附件"/>
                      <w:kern w:val="0"/>
                      <w:szCs w:val="21"/>
                    </w:rPr>
                  </w:pPr>
                  <w:r>
                    <w:rPr>
                      <w:rFonts w:eastAsia="附件"/>
                      <w:kern w:val="0"/>
                      <w:szCs w:val="21"/>
                    </w:rPr>
                    <w:t>0.6</w:t>
                  </w:r>
                </w:p>
              </w:tc>
              <w:tc>
                <w:tcPr>
                  <w:tcW w:w="1333" w:type="dxa"/>
                  <w:tcBorders>
                    <w:tl2br w:val="nil"/>
                    <w:tr2bl w:val="nil"/>
                  </w:tcBorders>
                  <w:vAlign w:val="center"/>
                </w:tcPr>
                <w:p w14:paraId="318DFC45">
                  <w:pPr>
                    <w:jc w:val="center"/>
                    <w:rPr>
                      <w:szCs w:val="21"/>
                    </w:rPr>
                  </w:pPr>
                  <w:r>
                    <w:rPr>
                      <w:rFonts w:eastAsia="附件"/>
                      <w:kern w:val="0"/>
                      <w:szCs w:val="21"/>
                    </w:rPr>
                    <w:t>/</w:t>
                  </w:r>
                </w:p>
              </w:tc>
              <w:tc>
                <w:tcPr>
                  <w:tcW w:w="1339" w:type="dxa"/>
                  <w:tcBorders>
                    <w:tl2br w:val="nil"/>
                    <w:tr2bl w:val="nil"/>
                  </w:tcBorders>
                  <w:vAlign w:val="center"/>
                </w:tcPr>
                <w:p w14:paraId="6E999491">
                  <w:pPr>
                    <w:widowControl/>
                    <w:adjustRightInd w:val="0"/>
                    <w:snapToGrid w:val="0"/>
                    <w:jc w:val="center"/>
                    <w:textAlignment w:val="center"/>
                    <w:rPr>
                      <w:rFonts w:eastAsia="附件"/>
                      <w:kern w:val="0"/>
                      <w:szCs w:val="21"/>
                    </w:rPr>
                  </w:pPr>
                  <w:r>
                    <w:rPr>
                      <w:rFonts w:eastAsia="附件"/>
                      <w:kern w:val="0"/>
                      <w:szCs w:val="21"/>
                    </w:rPr>
                    <w:t>0</w:t>
                  </w:r>
                </w:p>
              </w:tc>
            </w:tr>
            <w:tr w14:paraId="1A493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516BD1E7">
                  <w:pPr>
                    <w:adjustRightInd w:val="0"/>
                    <w:snapToGrid w:val="0"/>
                    <w:jc w:val="center"/>
                    <w:rPr>
                      <w:rFonts w:eastAsia="附件"/>
                      <w:kern w:val="0"/>
                      <w:szCs w:val="21"/>
                    </w:rPr>
                  </w:pPr>
                  <w:r>
                    <w:rPr>
                      <w:rFonts w:eastAsia="附件"/>
                      <w:kern w:val="0"/>
                      <w:szCs w:val="21"/>
                    </w:rPr>
                    <w:t>29</w:t>
                  </w:r>
                </w:p>
              </w:tc>
              <w:tc>
                <w:tcPr>
                  <w:tcW w:w="1335" w:type="dxa"/>
                  <w:tcBorders>
                    <w:tl2br w:val="nil"/>
                    <w:tr2bl w:val="nil"/>
                  </w:tcBorders>
                  <w:vAlign w:val="center"/>
                </w:tcPr>
                <w:p w14:paraId="7B07590A">
                  <w:pPr>
                    <w:widowControl/>
                    <w:jc w:val="center"/>
                    <w:rPr>
                      <w:rFonts w:eastAsia="附件"/>
                      <w:szCs w:val="21"/>
                    </w:rPr>
                  </w:pPr>
                  <w:r>
                    <w:rPr>
                      <w:szCs w:val="21"/>
                    </w:rPr>
                    <w:t>四氯乙烯</w:t>
                  </w:r>
                </w:p>
              </w:tc>
              <w:tc>
                <w:tcPr>
                  <w:tcW w:w="1333" w:type="dxa"/>
                  <w:tcBorders>
                    <w:tl2br w:val="nil"/>
                    <w:tr2bl w:val="nil"/>
                  </w:tcBorders>
                  <w:vAlign w:val="center"/>
                </w:tcPr>
                <w:p w14:paraId="13A3D7AE">
                  <w:pPr>
                    <w:jc w:val="center"/>
                    <w:rPr>
                      <w:szCs w:val="21"/>
                    </w:rPr>
                  </w:pPr>
                  <w:r>
                    <w:rPr>
                      <w:rFonts w:hint="eastAsia"/>
                      <w:bCs/>
                      <w:sz w:val="21"/>
                      <w:szCs w:val="21"/>
                      <w:lang w:val="en-US" w:eastAsia="zh-CN"/>
                    </w:rPr>
                    <w:t>*</w:t>
                  </w:r>
                </w:p>
              </w:tc>
              <w:tc>
                <w:tcPr>
                  <w:tcW w:w="1335" w:type="dxa"/>
                  <w:tcBorders>
                    <w:tl2br w:val="nil"/>
                    <w:tr2bl w:val="nil"/>
                  </w:tcBorders>
                  <w:vAlign w:val="center"/>
                </w:tcPr>
                <w:p w14:paraId="3F40D357">
                  <w:pPr>
                    <w:widowControl/>
                    <w:adjustRightInd w:val="0"/>
                    <w:snapToGrid w:val="0"/>
                    <w:jc w:val="center"/>
                    <w:textAlignment w:val="center"/>
                    <w:rPr>
                      <w:rFonts w:eastAsia="附件"/>
                      <w:kern w:val="0"/>
                      <w:szCs w:val="21"/>
                    </w:rPr>
                  </w:pPr>
                  <w:r>
                    <w:rPr>
                      <w:rFonts w:eastAsia="附件"/>
                      <w:kern w:val="0"/>
                      <w:szCs w:val="21"/>
                    </w:rPr>
                    <w:t>11</w:t>
                  </w:r>
                </w:p>
              </w:tc>
              <w:tc>
                <w:tcPr>
                  <w:tcW w:w="1333" w:type="dxa"/>
                  <w:tcBorders>
                    <w:tl2br w:val="nil"/>
                    <w:tr2bl w:val="nil"/>
                  </w:tcBorders>
                  <w:vAlign w:val="center"/>
                </w:tcPr>
                <w:p w14:paraId="304F6F6B">
                  <w:pPr>
                    <w:jc w:val="center"/>
                    <w:rPr>
                      <w:szCs w:val="21"/>
                    </w:rPr>
                  </w:pPr>
                  <w:r>
                    <w:rPr>
                      <w:rFonts w:eastAsia="附件"/>
                      <w:kern w:val="0"/>
                      <w:szCs w:val="21"/>
                    </w:rPr>
                    <w:t>/</w:t>
                  </w:r>
                </w:p>
              </w:tc>
              <w:tc>
                <w:tcPr>
                  <w:tcW w:w="1339" w:type="dxa"/>
                  <w:tcBorders>
                    <w:tl2br w:val="nil"/>
                    <w:tr2bl w:val="nil"/>
                  </w:tcBorders>
                  <w:vAlign w:val="center"/>
                </w:tcPr>
                <w:p w14:paraId="5BC4ECF9">
                  <w:pPr>
                    <w:widowControl/>
                    <w:adjustRightInd w:val="0"/>
                    <w:snapToGrid w:val="0"/>
                    <w:jc w:val="center"/>
                    <w:textAlignment w:val="center"/>
                    <w:rPr>
                      <w:rFonts w:eastAsia="附件"/>
                      <w:kern w:val="0"/>
                      <w:szCs w:val="21"/>
                    </w:rPr>
                  </w:pPr>
                  <w:r>
                    <w:rPr>
                      <w:rFonts w:eastAsia="附件"/>
                      <w:kern w:val="0"/>
                      <w:szCs w:val="21"/>
                    </w:rPr>
                    <w:t>0</w:t>
                  </w:r>
                </w:p>
              </w:tc>
            </w:tr>
            <w:tr w14:paraId="7582B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22D1ABF">
                  <w:pPr>
                    <w:adjustRightInd w:val="0"/>
                    <w:snapToGrid w:val="0"/>
                    <w:jc w:val="center"/>
                    <w:rPr>
                      <w:rFonts w:eastAsia="附件"/>
                      <w:kern w:val="0"/>
                      <w:szCs w:val="21"/>
                    </w:rPr>
                  </w:pPr>
                  <w:r>
                    <w:rPr>
                      <w:rFonts w:eastAsia="附件"/>
                      <w:kern w:val="0"/>
                      <w:szCs w:val="21"/>
                    </w:rPr>
                    <w:t>30</w:t>
                  </w:r>
                </w:p>
              </w:tc>
              <w:tc>
                <w:tcPr>
                  <w:tcW w:w="1335" w:type="dxa"/>
                  <w:tcBorders>
                    <w:tl2br w:val="nil"/>
                    <w:tr2bl w:val="nil"/>
                  </w:tcBorders>
                  <w:vAlign w:val="center"/>
                </w:tcPr>
                <w:p w14:paraId="218A7BB8">
                  <w:pPr>
                    <w:widowControl/>
                    <w:jc w:val="center"/>
                    <w:rPr>
                      <w:rFonts w:eastAsia="附件"/>
                      <w:szCs w:val="21"/>
                    </w:rPr>
                  </w:pPr>
                  <w:r>
                    <w:rPr>
                      <w:szCs w:val="21"/>
                    </w:rPr>
                    <w:t>氯苯</w:t>
                  </w:r>
                </w:p>
              </w:tc>
              <w:tc>
                <w:tcPr>
                  <w:tcW w:w="1333" w:type="dxa"/>
                  <w:tcBorders>
                    <w:tl2br w:val="nil"/>
                    <w:tr2bl w:val="nil"/>
                  </w:tcBorders>
                  <w:vAlign w:val="center"/>
                </w:tcPr>
                <w:p w14:paraId="1A2AAA09">
                  <w:pPr>
                    <w:jc w:val="center"/>
                    <w:rPr>
                      <w:szCs w:val="21"/>
                    </w:rPr>
                  </w:pPr>
                  <w:r>
                    <w:rPr>
                      <w:rFonts w:hint="eastAsia"/>
                      <w:bCs/>
                      <w:sz w:val="21"/>
                      <w:szCs w:val="21"/>
                      <w:lang w:val="en-US" w:eastAsia="zh-CN"/>
                    </w:rPr>
                    <w:t>*</w:t>
                  </w:r>
                </w:p>
              </w:tc>
              <w:tc>
                <w:tcPr>
                  <w:tcW w:w="1335" w:type="dxa"/>
                  <w:tcBorders>
                    <w:tl2br w:val="nil"/>
                    <w:tr2bl w:val="nil"/>
                  </w:tcBorders>
                  <w:vAlign w:val="center"/>
                </w:tcPr>
                <w:p w14:paraId="415DD424">
                  <w:pPr>
                    <w:widowControl/>
                    <w:adjustRightInd w:val="0"/>
                    <w:snapToGrid w:val="0"/>
                    <w:jc w:val="center"/>
                    <w:textAlignment w:val="center"/>
                    <w:rPr>
                      <w:rFonts w:eastAsia="附件"/>
                      <w:kern w:val="0"/>
                      <w:szCs w:val="21"/>
                    </w:rPr>
                  </w:pPr>
                  <w:r>
                    <w:rPr>
                      <w:rFonts w:eastAsia="附件"/>
                      <w:kern w:val="0"/>
                      <w:szCs w:val="21"/>
                    </w:rPr>
                    <w:t>68</w:t>
                  </w:r>
                </w:p>
              </w:tc>
              <w:tc>
                <w:tcPr>
                  <w:tcW w:w="1333" w:type="dxa"/>
                  <w:tcBorders>
                    <w:tl2br w:val="nil"/>
                    <w:tr2bl w:val="nil"/>
                  </w:tcBorders>
                  <w:vAlign w:val="center"/>
                </w:tcPr>
                <w:p w14:paraId="2EEFBC9D">
                  <w:pPr>
                    <w:jc w:val="center"/>
                    <w:rPr>
                      <w:szCs w:val="21"/>
                    </w:rPr>
                  </w:pPr>
                </w:p>
              </w:tc>
              <w:tc>
                <w:tcPr>
                  <w:tcW w:w="1339" w:type="dxa"/>
                  <w:tcBorders>
                    <w:tl2br w:val="nil"/>
                    <w:tr2bl w:val="nil"/>
                  </w:tcBorders>
                  <w:vAlign w:val="center"/>
                </w:tcPr>
                <w:p w14:paraId="63A7D5BA">
                  <w:pPr>
                    <w:widowControl/>
                    <w:adjustRightInd w:val="0"/>
                    <w:snapToGrid w:val="0"/>
                    <w:jc w:val="center"/>
                    <w:textAlignment w:val="center"/>
                    <w:rPr>
                      <w:rFonts w:eastAsia="附件"/>
                      <w:kern w:val="0"/>
                      <w:szCs w:val="21"/>
                    </w:rPr>
                  </w:pPr>
                  <w:r>
                    <w:rPr>
                      <w:rFonts w:eastAsia="附件"/>
                      <w:kern w:val="0"/>
                      <w:szCs w:val="21"/>
                    </w:rPr>
                    <w:t>0</w:t>
                  </w:r>
                </w:p>
              </w:tc>
            </w:tr>
            <w:tr w14:paraId="0ED1A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D82BF56">
                  <w:pPr>
                    <w:adjustRightInd w:val="0"/>
                    <w:snapToGrid w:val="0"/>
                    <w:jc w:val="center"/>
                    <w:rPr>
                      <w:rFonts w:eastAsia="附件"/>
                      <w:kern w:val="0"/>
                      <w:szCs w:val="21"/>
                    </w:rPr>
                  </w:pPr>
                  <w:r>
                    <w:rPr>
                      <w:rFonts w:eastAsia="附件"/>
                      <w:kern w:val="0"/>
                      <w:szCs w:val="21"/>
                    </w:rPr>
                    <w:t>31</w:t>
                  </w:r>
                </w:p>
              </w:tc>
              <w:tc>
                <w:tcPr>
                  <w:tcW w:w="1335" w:type="dxa"/>
                  <w:tcBorders>
                    <w:tl2br w:val="nil"/>
                    <w:tr2bl w:val="nil"/>
                  </w:tcBorders>
                  <w:vAlign w:val="center"/>
                </w:tcPr>
                <w:p w14:paraId="4C0A2030">
                  <w:pPr>
                    <w:widowControl/>
                    <w:jc w:val="center"/>
                    <w:rPr>
                      <w:rFonts w:eastAsia="附件"/>
                      <w:szCs w:val="21"/>
                    </w:rPr>
                  </w:pPr>
                  <w:r>
                    <w:rPr>
                      <w:szCs w:val="21"/>
                    </w:rPr>
                    <w:t>乙苯</w:t>
                  </w:r>
                </w:p>
              </w:tc>
              <w:tc>
                <w:tcPr>
                  <w:tcW w:w="1333" w:type="dxa"/>
                  <w:tcBorders>
                    <w:tl2br w:val="nil"/>
                    <w:tr2bl w:val="nil"/>
                  </w:tcBorders>
                  <w:vAlign w:val="center"/>
                </w:tcPr>
                <w:p w14:paraId="0B4E29A6">
                  <w:pPr>
                    <w:jc w:val="center"/>
                    <w:rPr>
                      <w:szCs w:val="21"/>
                    </w:rPr>
                  </w:pPr>
                  <w:r>
                    <w:rPr>
                      <w:rFonts w:hint="eastAsia"/>
                      <w:bCs/>
                      <w:sz w:val="21"/>
                      <w:szCs w:val="21"/>
                      <w:lang w:val="en-US" w:eastAsia="zh-CN"/>
                    </w:rPr>
                    <w:t>*</w:t>
                  </w:r>
                </w:p>
              </w:tc>
              <w:tc>
                <w:tcPr>
                  <w:tcW w:w="1335" w:type="dxa"/>
                  <w:tcBorders>
                    <w:tl2br w:val="nil"/>
                    <w:tr2bl w:val="nil"/>
                  </w:tcBorders>
                  <w:vAlign w:val="center"/>
                </w:tcPr>
                <w:p w14:paraId="1A4F3DED">
                  <w:pPr>
                    <w:widowControl/>
                    <w:adjustRightInd w:val="0"/>
                    <w:snapToGrid w:val="0"/>
                    <w:jc w:val="center"/>
                    <w:textAlignment w:val="center"/>
                    <w:rPr>
                      <w:rFonts w:eastAsia="附件"/>
                      <w:kern w:val="0"/>
                      <w:szCs w:val="21"/>
                    </w:rPr>
                  </w:pPr>
                  <w:r>
                    <w:rPr>
                      <w:rFonts w:eastAsia="附件"/>
                      <w:kern w:val="0"/>
                      <w:szCs w:val="21"/>
                    </w:rPr>
                    <w:t>7.2</w:t>
                  </w:r>
                </w:p>
              </w:tc>
              <w:tc>
                <w:tcPr>
                  <w:tcW w:w="1333" w:type="dxa"/>
                  <w:tcBorders>
                    <w:tl2br w:val="nil"/>
                    <w:tr2bl w:val="nil"/>
                  </w:tcBorders>
                  <w:vAlign w:val="center"/>
                </w:tcPr>
                <w:p w14:paraId="1613B01B">
                  <w:pPr>
                    <w:jc w:val="center"/>
                    <w:rPr>
                      <w:szCs w:val="21"/>
                    </w:rPr>
                  </w:pPr>
                  <w:r>
                    <w:rPr>
                      <w:rFonts w:eastAsia="附件"/>
                      <w:kern w:val="0"/>
                      <w:szCs w:val="21"/>
                    </w:rPr>
                    <w:t>/</w:t>
                  </w:r>
                </w:p>
              </w:tc>
              <w:tc>
                <w:tcPr>
                  <w:tcW w:w="1339" w:type="dxa"/>
                  <w:tcBorders>
                    <w:tl2br w:val="nil"/>
                    <w:tr2bl w:val="nil"/>
                  </w:tcBorders>
                  <w:vAlign w:val="center"/>
                </w:tcPr>
                <w:p w14:paraId="4734045A">
                  <w:pPr>
                    <w:widowControl/>
                    <w:adjustRightInd w:val="0"/>
                    <w:snapToGrid w:val="0"/>
                    <w:jc w:val="center"/>
                    <w:textAlignment w:val="center"/>
                    <w:rPr>
                      <w:rFonts w:eastAsia="附件"/>
                      <w:kern w:val="0"/>
                      <w:szCs w:val="21"/>
                    </w:rPr>
                  </w:pPr>
                  <w:r>
                    <w:rPr>
                      <w:rFonts w:eastAsia="附件"/>
                      <w:kern w:val="0"/>
                      <w:szCs w:val="21"/>
                    </w:rPr>
                    <w:t>0</w:t>
                  </w:r>
                </w:p>
              </w:tc>
            </w:tr>
            <w:tr w14:paraId="378AA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F69605B">
                  <w:pPr>
                    <w:adjustRightInd w:val="0"/>
                    <w:snapToGrid w:val="0"/>
                    <w:jc w:val="center"/>
                    <w:rPr>
                      <w:rFonts w:eastAsia="附件"/>
                      <w:kern w:val="0"/>
                      <w:szCs w:val="21"/>
                    </w:rPr>
                  </w:pPr>
                  <w:r>
                    <w:rPr>
                      <w:rFonts w:eastAsia="附件"/>
                      <w:kern w:val="0"/>
                      <w:szCs w:val="21"/>
                    </w:rPr>
                    <w:t>32</w:t>
                  </w:r>
                </w:p>
              </w:tc>
              <w:tc>
                <w:tcPr>
                  <w:tcW w:w="1335" w:type="dxa"/>
                  <w:tcBorders>
                    <w:tl2br w:val="nil"/>
                    <w:tr2bl w:val="nil"/>
                  </w:tcBorders>
                  <w:vAlign w:val="center"/>
                </w:tcPr>
                <w:p w14:paraId="667760CC">
                  <w:pPr>
                    <w:widowControl/>
                    <w:jc w:val="center"/>
                    <w:rPr>
                      <w:rFonts w:eastAsia="附件"/>
                      <w:szCs w:val="21"/>
                    </w:rPr>
                  </w:pPr>
                  <w:r>
                    <w:rPr>
                      <w:szCs w:val="21"/>
                    </w:rPr>
                    <w:t>1,1,1,2-四氯乙烷</w:t>
                  </w:r>
                </w:p>
              </w:tc>
              <w:tc>
                <w:tcPr>
                  <w:tcW w:w="1333" w:type="dxa"/>
                  <w:tcBorders>
                    <w:tl2br w:val="nil"/>
                    <w:tr2bl w:val="nil"/>
                  </w:tcBorders>
                  <w:vAlign w:val="center"/>
                </w:tcPr>
                <w:p w14:paraId="170C8B1E">
                  <w:pPr>
                    <w:jc w:val="center"/>
                    <w:rPr>
                      <w:szCs w:val="21"/>
                    </w:rPr>
                  </w:pPr>
                  <w:r>
                    <w:rPr>
                      <w:rFonts w:hint="eastAsia"/>
                      <w:bCs/>
                      <w:sz w:val="21"/>
                      <w:szCs w:val="21"/>
                      <w:lang w:val="en-US" w:eastAsia="zh-CN"/>
                    </w:rPr>
                    <w:t>*</w:t>
                  </w:r>
                </w:p>
              </w:tc>
              <w:tc>
                <w:tcPr>
                  <w:tcW w:w="1335" w:type="dxa"/>
                  <w:tcBorders>
                    <w:tl2br w:val="nil"/>
                    <w:tr2bl w:val="nil"/>
                  </w:tcBorders>
                  <w:vAlign w:val="center"/>
                </w:tcPr>
                <w:p w14:paraId="59B636D1">
                  <w:pPr>
                    <w:widowControl/>
                    <w:adjustRightInd w:val="0"/>
                    <w:snapToGrid w:val="0"/>
                    <w:jc w:val="center"/>
                    <w:textAlignment w:val="center"/>
                    <w:rPr>
                      <w:rFonts w:eastAsia="附件"/>
                      <w:kern w:val="0"/>
                      <w:szCs w:val="21"/>
                    </w:rPr>
                  </w:pPr>
                  <w:r>
                    <w:rPr>
                      <w:rFonts w:eastAsia="附件"/>
                      <w:kern w:val="0"/>
                      <w:szCs w:val="21"/>
                    </w:rPr>
                    <w:t>2.6</w:t>
                  </w:r>
                </w:p>
              </w:tc>
              <w:tc>
                <w:tcPr>
                  <w:tcW w:w="1333" w:type="dxa"/>
                  <w:tcBorders>
                    <w:tl2br w:val="nil"/>
                    <w:tr2bl w:val="nil"/>
                  </w:tcBorders>
                  <w:vAlign w:val="center"/>
                </w:tcPr>
                <w:p w14:paraId="385DABCB">
                  <w:pPr>
                    <w:jc w:val="center"/>
                    <w:rPr>
                      <w:szCs w:val="21"/>
                    </w:rPr>
                  </w:pPr>
                  <w:r>
                    <w:rPr>
                      <w:rFonts w:eastAsia="附件"/>
                      <w:kern w:val="0"/>
                      <w:szCs w:val="21"/>
                    </w:rPr>
                    <w:t>/</w:t>
                  </w:r>
                </w:p>
              </w:tc>
              <w:tc>
                <w:tcPr>
                  <w:tcW w:w="1339" w:type="dxa"/>
                  <w:tcBorders>
                    <w:tl2br w:val="nil"/>
                    <w:tr2bl w:val="nil"/>
                  </w:tcBorders>
                  <w:vAlign w:val="center"/>
                </w:tcPr>
                <w:p w14:paraId="3AC1AA65">
                  <w:pPr>
                    <w:widowControl/>
                    <w:adjustRightInd w:val="0"/>
                    <w:snapToGrid w:val="0"/>
                    <w:jc w:val="center"/>
                    <w:textAlignment w:val="center"/>
                    <w:rPr>
                      <w:rFonts w:eastAsia="附件"/>
                      <w:kern w:val="0"/>
                      <w:szCs w:val="21"/>
                    </w:rPr>
                  </w:pPr>
                  <w:r>
                    <w:rPr>
                      <w:rFonts w:eastAsia="附件"/>
                      <w:kern w:val="0"/>
                      <w:szCs w:val="21"/>
                    </w:rPr>
                    <w:t>0</w:t>
                  </w:r>
                </w:p>
              </w:tc>
            </w:tr>
            <w:tr w14:paraId="095DD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9A305C8">
                  <w:pPr>
                    <w:adjustRightInd w:val="0"/>
                    <w:snapToGrid w:val="0"/>
                    <w:jc w:val="center"/>
                    <w:rPr>
                      <w:rFonts w:eastAsia="附件"/>
                      <w:kern w:val="0"/>
                      <w:szCs w:val="21"/>
                    </w:rPr>
                  </w:pPr>
                  <w:r>
                    <w:rPr>
                      <w:rFonts w:eastAsia="附件"/>
                      <w:kern w:val="0"/>
                      <w:szCs w:val="21"/>
                    </w:rPr>
                    <w:t>33</w:t>
                  </w:r>
                </w:p>
              </w:tc>
              <w:tc>
                <w:tcPr>
                  <w:tcW w:w="1335" w:type="dxa"/>
                  <w:tcBorders>
                    <w:tl2br w:val="nil"/>
                    <w:tr2bl w:val="nil"/>
                  </w:tcBorders>
                  <w:vAlign w:val="center"/>
                </w:tcPr>
                <w:p w14:paraId="2216B971">
                  <w:pPr>
                    <w:widowControl/>
                    <w:jc w:val="center"/>
                    <w:rPr>
                      <w:rFonts w:eastAsia="附件"/>
                      <w:szCs w:val="21"/>
                    </w:rPr>
                  </w:pPr>
                  <w:r>
                    <w:rPr>
                      <w:szCs w:val="21"/>
                    </w:rPr>
                    <w:t>间，对-二甲苯</w:t>
                  </w:r>
                </w:p>
              </w:tc>
              <w:tc>
                <w:tcPr>
                  <w:tcW w:w="1333" w:type="dxa"/>
                  <w:tcBorders>
                    <w:tl2br w:val="nil"/>
                    <w:tr2bl w:val="nil"/>
                  </w:tcBorders>
                  <w:vAlign w:val="center"/>
                </w:tcPr>
                <w:p w14:paraId="27C0C72C">
                  <w:pPr>
                    <w:jc w:val="center"/>
                    <w:rPr>
                      <w:szCs w:val="21"/>
                    </w:rPr>
                  </w:pPr>
                  <w:r>
                    <w:rPr>
                      <w:rFonts w:hint="eastAsia"/>
                      <w:bCs/>
                      <w:sz w:val="21"/>
                      <w:szCs w:val="21"/>
                      <w:lang w:val="en-US" w:eastAsia="zh-CN"/>
                    </w:rPr>
                    <w:t>*</w:t>
                  </w:r>
                </w:p>
              </w:tc>
              <w:tc>
                <w:tcPr>
                  <w:tcW w:w="1335" w:type="dxa"/>
                  <w:tcBorders>
                    <w:tl2br w:val="nil"/>
                    <w:tr2bl w:val="nil"/>
                  </w:tcBorders>
                  <w:vAlign w:val="center"/>
                </w:tcPr>
                <w:p w14:paraId="11FA1424">
                  <w:pPr>
                    <w:widowControl/>
                    <w:adjustRightInd w:val="0"/>
                    <w:snapToGrid w:val="0"/>
                    <w:jc w:val="center"/>
                    <w:textAlignment w:val="center"/>
                    <w:rPr>
                      <w:rFonts w:eastAsia="附件"/>
                      <w:kern w:val="0"/>
                      <w:szCs w:val="21"/>
                    </w:rPr>
                  </w:pPr>
                  <w:r>
                    <w:rPr>
                      <w:rFonts w:eastAsia="附件"/>
                      <w:kern w:val="0"/>
                      <w:szCs w:val="21"/>
                    </w:rPr>
                    <w:t>163</w:t>
                  </w:r>
                </w:p>
              </w:tc>
              <w:tc>
                <w:tcPr>
                  <w:tcW w:w="1333" w:type="dxa"/>
                  <w:tcBorders>
                    <w:tl2br w:val="nil"/>
                    <w:tr2bl w:val="nil"/>
                  </w:tcBorders>
                  <w:vAlign w:val="center"/>
                </w:tcPr>
                <w:p w14:paraId="51E22BFD">
                  <w:pPr>
                    <w:jc w:val="center"/>
                    <w:rPr>
                      <w:szCs w:val="21"/>
                    </w:rPr>
                  </w:pPr>
                  <w:r>
                    <w:rPr>
                      <w:rFonts w:eastAsia="附件"/>
                      <w:kern w:val="0"/>
                      <w:szCs w:val="21"/>
                    </w:rPr>
                    <w:t>/</w:t>
                  </w:r>
                </w:p>
              </w:tc>
              <w:tc>
                <w:tcPr>
                  <w:tcW w:w="1339" w:type="dxa"/>
                  <w:tcBorders>
                    <w:tl2br w:val="nil"/>
                    <w:tr2bl w:val="nil"/>
                  </w:tcBorders>
                  <w:vAlign w:val="center"/>
                </w:tcPr>
                <w:p w14:paraId="5B29A190">
                  <w:pPr>
                    <w:widowControl/>
                    <w:adjustRightInd w:val="0"/>
                    <w:snapToGrid w:val="0"/>
                    <w:jc w:val="center"/>
                    <w:textAlignment w:val="center"/>
                    <w:rPr>
                      <w:rFonts w:eastAsia="附件"/>
                      <w:kern w:val="0"/>
                      <w:szCs w:val="21"/>
                    </w:rPr>
                  </w:pPr>
                  <w:r>
                    <w:rPr>
                      <w:rFonts w:eastAsia="附件"/>
                      <w:kern w:val="0"/>
                      <w:szCs w:val="21"/>
                    </w:rPr>
                    <w:t>0</w:t>
                  </w:r>
                </w:p>
              </w:tc>
            </w:tr>
            <w:tr w14:paraId="09B41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AB01CDA">
                  <w:pPr>
                    <w:adjustRightInd w:val="0"/>
                    <w:snapToGrid w:val="0"/>
                    <w:jc w:val="center"/>
                    <w:rPr>
                      <w:rFonts w:eastAsia="附件"/>
                      <w:kern w:val="0"/>
                      <w:szCs w:val="21"/>
                    </w:rPr>
                  </w:pPr>
                  <w:r>
                    <w:rPr>
                      <w:rFonts w:eastAsia="附件"/>
                      <w:kern w:val="0"/>
                      <w:szCs w:val="21"/>
                    </w:rPr>
                    <w:t>34</w:t>
                  </w:r>
                </w:p>
              </w:tc>
              <w:tc>
                <w:tcPr>
                  <w:tcW w:w="1335" w:type="dxa"/>
                  <w:tcBorders>
                    <w:tl2br w:val="nil"/>
                    <w:tr2bl w:val="nil"/>
                  </w:tcBorders>
                  <w:vAlign w:val="center"/>
                </w:tcPr>
                <w:p w14:paraId="6A1FA4C2">
                  <w:pPr>
                    <w:widowControl/>
                    <w:jc w:val="center"/>
                    <w:rPr>
                      <w:rFonts w:eastAsia="附件"/>
                      <w:szCs w:val="21"/>
                    </w:rPr>
                  </w:pPr>
                  <w:r>
                    <w:rPr>
                      <w:szCs w:val="21"/>
                    </w:rPr>
                    <w:t>邻-二甲苯</w:t>
                  </w:r>
                </w:p>
              </w:tc>
              <w:tc>
                <w:tcPr>
                  <w:tcW w:w="1333" w:type="dxa"/>
                  <w:tcBorders>
                    <w:tl2br w:val="nil"/>
                    <w:tr2bl w:val="nil"/>
                  </w:tcBorders>
                  <w:vAlign w:val="center"/>
                </w:tcPr>
                <w:p w14:paraId="264965E4">
                  <w:pPr>
                    <w:jc w:val="center"/>
                    <w:rPr>
                      <w:szCs w:val="21"/>
                    </w:rPr>
                  </w:pPr>
                  <w:r>
                    <w:rPr>
                      <w:rFonts w:hint="eastAsia"/>
                      <w:bCs/>
                      <w:sz w:val="21"/>
                      <w:szCs w:val="21"/>
                      <w:lang w:val="en-US" w:eastAsia="zh-CN"/>
                    </w:rPr>
                    <w:t>*</w:t>
                  </w:r>
                </w:p>
              </w:tc>
              <w:tc>
                <w:tcPr>
                  <w:tcW w:w="1335" w:type="dxa"/>
                  <w:tcBorders>
                    <w:tl2br w:val="nil"/>
                    <w:tr2bl w:val="nil"/>
                  </w:tcBorders>
                  <w:vAlign w:val="center"/>
                </w:tcPr>
                <w:p w14:paraId="0ABDE687">
                  <w:pPr>
                    <w:widowControl/>
                    <w:adjustRightInd w:val="0"/>
                    <w:snapToGrid w:val="0"/>
                    <w:jc w:val="center"/>
                    <w:textAlignment w:val="center"/>
                    <w:rPr>
                      <w:rFonts w:eastAsia="附件"/>
                      <w:kern w:val="0"/>
                      <w:szCs w:val="21"/>
                    </w:rPr>
                  </w:pPr>
                  <w:r>
                    <w:rPr>
                      <w:rFonts w:eastAsia="附件"/>
                      <w:kern w:val="0"/>
                      <w:szCs w:val="21"/>
                    </w:rPr>
                    <w:t>222</w:t>
                  </w:r>
                </w:p>
              </w:tc>
              <w:tc>
                <w:tcPr>
                  <w:tcW w:w="1333" w:type="dxa"/>
                  <w:tcBorders>
                    <w:tl2br w:val="nil"/>
                    <w:tr2bl w:val="nil"/>
                  </w:tcBorders>
                  <w:vAlign w:val="center"/>
                </w:tcPr>
                <w:p w14:paraId="2CEDE814">
                  <w:pPr>
                    <w:jc w:val="center"/>
                    <w:rPr>
                      <w:szCs w:val="21"/>
                    </w:rPr>
                  </w:pPr>
                  <w:r>
                    <w:rPr>
                      <w:rFonts w:eastAsia="附件"/>
                      <w:kern w:val="0"/>
                      <w:szCs w:val="21"/>
                    </w:rPr>
                    <w:t>/</w:t>
                  </w:r>
                </w:p>
              </w:tc>
              <w:tc>
                <w:tcPr>
                  <w:tcW w:w="1339" w:type="dxa"/>
                  <w:tcBorders>
                    <w:tl2br w:val="nil"/>
                    <w:tr2bl w:val="nil"/>
                  </w:tcBorders>
                  <w:vAlign w:val="center"/>
                </w:tcPr>
                <w:p w14:paraId="6E47D8DF">
                  <w:pPr>
                    <w:widowControl/>
                    <w:adjustRightInd w:val="0"/>
                    <w:snapToGrid w:val="0"/>
                    <w:jc w:val="center"/>
                    <w:textAlignment w:val="center"/>
                    <w:rPr>
                      <w:rFonts w:eastAsia="附件"/>
                      <w:kern w:val="0"/>
                      <w:szCs w:val="21"/>
                    </w:rPr>
                  </w:pPr>
                  <w:r>
                    <w:rPr>
                      <w:rFonts w:eastAsia="附件"/>
                      <w:kern w:val="0"/>
                      <w:szCs w:val="21"/>
                    </w:rPr>
                    <w:t>0</w:t>
                  </w:r>
                </w:p>
              </w:tc>
            </w:tr>
            <w:tr w14:paraId="19E93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A90F7FF">
                  <w:pPr>
                    <w:adjustRightInd w:val="0"/>
                    <w:snapToGrid w:val="0"/>
                    <w:jc w:val="center"/>
                    <w:rPr>
                      <w:rFonts w:eastAsia="附件"/>
                      <w:kern w:val="0"/>
                      <w:szCs w:val="21"/>
                    </w:rPr>
                  </w:pPr>
                  <w:r>
                    <w:rPr>
                      <w:rFonts w:eastAsia="附件"/>
                      <w:kern w:val="0"/>
                      <w:szCs w:val="21"/>
                    </w:rPr>
                    <w:t>35</w:t>
                  </w:r>
                </w:p>
              </w:tc>
              <w:tc>
                <w:tcPr>
                  <w:tcW w:w="1335" w:type="dxa"/>
                  <w:tcBorders>
                    <w:tl2br w:val="nil"/>
                    <w:tr2bl w:val="nil"/>
                  </w:tcBorders>
                  <w:vAlign w:val="center"/>
                </w:tcPr>
                <w:p w14:paraId="5944D4EB">
                  <w:pPr>
                    <w:widowControl/>
                    <w:jc w:val="center"/>
                    <w:rPr>
                      <w:rFonts w:eastAsia="附件"/>
                      <w:szCs w:val="21"/>
                    </w:rPr>
                  </w:pPr>
                  <w:r>
                    <w:rPr>
                      <w:szCs w:val="21"/>
                    </w:rPr>
                    <w:t>苯乙烯</w:t>
                  </w:r>
                </w:p>
              </w:tc>
              <w:tc>
                <w:tcPr>
                  <w:tcW w:w="1333" w:type="dxa"/>
                  <w:tcBorders>
                    <w:tl2br w:val="nil"/>
                    <w:tr2bl w:val="nil"/>
                  </w:tcBorders>
                  <w:vAlign w:val="center"/>
                </w:tcPr>
                <w:p w14:paraId="4269D91D">
                  <w:pPr>
                    <w:jc w:val="center"/>
                    <w:rPr>
                      <w:szCs w:val="21"/>
                    </w:rPr>
                  </w:pPr>
                  <w:r>
                    <w:rPr>
                      <w:rFonts w:hint="eastAsia"/>
                      <w:bCs/>
                      <w:sz w:val="21"/>
                      <w:szCs w:val="21"/>
                      <w:lang w:val="en-US" w:eastAsia="zh-CN"/>
                    </w:rPr>
                    <w:t>*</w:t>
                  </w:r>
                </w:p>
              </w:tc>
              <w:tc>
                <w:tcPr>
                  <w:tcW w:w="1335" w:type="dxa"/>
                  <w:tcBorders>
                    <w:tl2br w:val="nil"/>
                    <w:tr2bl w:val="nil"/>
                  </w:tcBorders>
                  <w:vAlign w:val="center"/>
                </w:tcPr>
                <w:p w14:paraId="219A93B8">
                  <w:pPr>
                    <w:widowControl/>
                    <w:adjustRightInd w:val="0"/>
                    <w:snapToGrid w:val="0"/>
                    <w:jc w:val="center"/>
                    <w:textAlignment w:val="center"/>
                    <w:rPr>
                      <w:rFonts w:eastAsia="附件"/>
                      <w:kern w:val="0"/>
                      <w:szCs w:val="21"/>
                    </w:rPr>
                  </w:pPr>
                  <w:r>
                    <w:rPr>
                      <w:rFonts w:eastAsia="附件"/>
                      <w:kern w:val="0"/>
                      <w:szCs w:val="21"/>
                    </w:rPr>
                    <w:t>1290</w:t>
                  </w:r>
                </w:p>
              </w:tc>
              <w:tc>
                <w:tcPr>
                  <w:tcW w:w="1333" w:type="dxa"/>
                  <w:tcBorders>
                    <w:tl2br w:val="nil"/>
                    <w:tr2bl w:val="nil"/>
                  </w:tcBorders>
                  <w:vAlign w:val="center"/>
                </w:tcPr>
                <w:p w14:paraId="0776D83E">
                  <w:pPr>
                    <w:jc w:val="center"/>
                    <w:rPr>
                      <w:szCs w:val="21"/>
                    </w:rPr>
                  </w:pPr>
                  <w:r>
                    <w:rPr>
                      <w:rFonts w:eastAsia="附件"/>
                      <w:kern w:val="0"/>
                      <w:szCs w:val="21"/>
                    </w:rPr>
                    <w:t>/</w:t>
                  </w:r>
                </w:p>
              </w:tc>
              <w:tc>
                <w:tcPr>
                  <w:tcW w:w="1339" w:type="dxa"/>
                  <w:tcBorders>
                    <w:tl2br w:val="nil"/>
                    <w:tr2bl w:val="nil"/>
                  </w:tcBorders>
                  <w:vAlign w:val="center"/>
                </w:tcPr>
                <w:p w14:paraId="11BA9C1E">
                  <w:pPr>
                    <w:widowControl/>
                    <w:adjustRightInd w:val="0"/>
                    <w:snapToGrid w:val="0"/>
                    <w:jc w:val="center"/>
                    <w:textAlignment w:val="center"/>
                    <w:rPr>
                      <w:rFonts w:eastAsia="附件"/>
                      <w:kern w:val="0"/>
                      <w:szCs w:val="21"/>
                    </w:rPr>
                  </w:pPr>
                  <w:r>
                    <w:rPr>
                      <w:rFonts w:eastAsia="附件"/>
                      <w:kern w:val="0"/>
                      <w:szCs w:val="21"/>
                    </w:rPr>
                    <w:t>0</w:t>
                  </w:r>
                </w:p>
              </w:tc>
            </w:tr>
            <w:tr w14:paraId="07579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D32BF2A">
                  <w:pPr>
                    <w:adjustRightInd w:val="0"/>
                    <w:snapToGrid w:val="0"/>
                    <w:jc w:val="center"/>
                    <w:rPr>
                      <w:rFonts w:eastAsia="附件"/>
                      <w:kern w:val="0"/>
                      <w:szCs w:val="21"/>
                    </w:rPr>
                  </w:pPr>
                  <w:r>
                    <w:rPr>
                      <w:rFonts w:eastAsia="附件"/>
                      <w:kern w:val="0"/>
                      <w:szCs w:val="21"/>
                    </w:rPr>
                    <w:t>36</w:t>
                  </w:r>
                </w:p>
              </w:tc>
              <w:tc>
                <w:tcPr>
                  <w:tcW w:w="1335" w:type="dxa"/>
                  <w:tcBorders>
                    <w:tl2br w:val="nil"/>
                    <w:tr2bl w:val="nil"/>
                  </w:tcBorders>
                  <w:vAlign w:val="center"/>
                </w:tcPr>
                <w:p w14:paraId="7A3EAECA">
                  <w:pPr>
                    <w:widowControl/>
                    <w:jc w:val="center"/>
                    <w:rPr>
                      <w:rFonts w:eastAsia="附件"/>
                      <w:szCs w:val="21"/>
                    </w:rPr>
                  </w:pPr>
                  <w:r>
                    <w:rPr>
                      <w:szCs w:val="21"/>
                    </w:rPr>
                    <w:t>1,1,2,2-四氯乙烷</w:t>
                  </w:r>
                </w:p>
              </w:tc>
              <w:tc>
                <w:tcPr>
                  <w:tcW w:w="1333" w:type="dxa"/>
                  <w:tcBorders>
                    <w:tl2br w:val="nil"/>
                    <w:tr2bl w:val="nil"/>
                  </w:tcBorders>
                  <w:vAlign w:val="center"/>
                </w:tcPr>
                <w:p w14:paraId="6D6A970C">
                  <w:pPr>
                    <w:jc w:val="center"/>
                    <w:rPr>
                      <w:szCs w:val="21"/>
                    </w:rPr>
                  </w:pPr>
                  <w:r>
                    <w:rPr>
                      <w:rFonts w:hint="eastAsia"/>
                      <w:bCs/>
                      <w:sz w:val="21"/>
                      <w:szCs w:val="21"/>
                      <w:lang w:val="en-US" w:eastAsia="zh-CN"/>
                    </w:rPr>
                    <w:t>*</w:t>
                  </w:r>
                </w:p>
              </w:tc>
              <w:tc>
                <w:tcPr>
                  <w:tcW w:w="1335" w:type="dxa"/>
                  <w:tcBorders>
                    <w:tl2br w:val="nil"/>
                    <w:tr2bl w:val="nil"/>
                  </w:tcBorders>
                  <w:vAlign w:val="center"/>
                </w:tcPr>
                <w:p w14:paraId="1577DF87">
                  <w:pPr>
                    <w:widowControl/>
                    <w:adjustRightInd w:val="0"/>
                    <w:snapToGrid w:val="0"/>
                    <w:jc w:val="center"/>
                    <w:textAlignment w:val="center"/>
                    <w:rPr>
                      <w:rFonts w:eastAsia="附件"/>
                      <w:kern w:val="0"/>
                      <w:szCs w:val="21"/>
                    </w:rPr>
                  </w:pPr>
                  <w:r>
                    <w:rPr>
                      <w:rFonts w:eastAsia="附件"/>
                      <w:kern w:val="0"/>
                      <w:szCs w:val="21"/>
                    </w:rPr>
                    <w:t>1.6</w:t>
                  </w:r>
                </w:p>
              </w:tc>
              <w:tc>
                <w:tcPr>
                  <w:tcW w:w="1333" w:type="dxa"/>
                  <w:tcBorders>
                    <w:tl2br w:val="nil"/>
                    <w:tr2bl w:val="nil"/>
                  </w:tcBorders>
                  <w:vAlign w:val="center"/>
                </w:tcPr>
                <w:p w14:paraId="79699933">
                  <w:pPr>
                    <w:jc w:val="center"/>
                    <w:rPr>
                      <w:szCs w:val="21"/>
                    </w:rPr>
                  </w:pPr>
                  <w:r>
                    <w:rPr>
                      <w:rFonts w:eastAsia="附件"/>
                      <w:kern w:val="0"/>
                      <w:szCs w:val="21"/>
                    </w:rPr>
                    <w:t>/</w:t>
                  </w:r>
                </w:p>
              </w:tc>
              <w:tc>
                <w:tcPr>
                  <w:tcW w:w="1339" w:type="dxa"/>
                  <w:tcBorders>
                    <w:tl2br w:val="nil"/>
                    <w:tr2bl w:val="nil"/>
                  </w:tcBorders>
                  <w:vAlign w:val="center"/>
                </w:tcPr>
                <w:p w14:paraId="2DB09FC3">
                  <w:pPr>
                    <w:widowControl/>
                    <w:adjustRightInd w:val="0"/>
                    <w:snapToGrid w:val="0"/>
                    <w:jc w:val="center"/>
                    <w:textAlignment w:val="center"/>
                    <w:rPr>
                      <w:rFonts w:eastAsia="附件"/>
                      <w:kern w:val="0"/>
                      <w:szCs w:val="21"/>
                    </w:rPr>
                  </w:pPr>
                  <w:r>
                    <w:rPr>
                      <w:rFonts w:eastAsia="附件"/>
                      <w:kern w:val="0"/>
                      <w:szCs w:val="21"/>
                    </w:rPr>
                    <w:t>0</w:t>
                  </w:r>
                </w:p>
              </w:tc>
            </w:tr>
            <w:tr w14:paraId="3BD10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2A89C227">
                  <w:pPr>
                    <w:adjustRightInd w:val="0"/>
                    <w:snapToGrid w:val="0"/>
                    <w:jc w:val="center"/>
                    <w:rPr>
                      <w:rFonts w:eastAsia="附件"/>
                      <w:kern w:val="0"/>
                      <w:szCs w:val="21"/>
                    </w:rPr>
                  </w:pPr>
                  <w:r>
                    <w:rPr>
                      <w:rFonts w:eastAsia="附件"/>
                      <w:kern w:val="0"/>
                      <w:szCs w:val="21"/>
                    </w:rPr>
                    <w:t>37</w:t>
                  </w:r>
                </w:p>
              </w:tc>
              <w:tc>
                <w:tcPr>
                  <w:tcW w:w="1335" w:type="dxa"/>
                  <w:tcBorders>
                    <w:tl2br w:val="nil"/>
                    <w:tr2bl w:val="nil"/>
                  </w:tcBorders>
                  <w:vAlign w:val="center"/>
                </w:tcPr>
                <w:p w14:paraId="0134BAB1">
                  <w:pPr>
                    <w:widowControl/>
                    <w:jc w:val="center"/>
                    <w:rPr>
                      <w:rFonts w:eastAsia="附件"/>
                      <w:szCs w:val="21"/>
                    </w:rPr>
                  </w:pPr>
                  <w:r>
                    <w:rPr>
                      <w:szCs w:val="21"/>
                    </w:rPr>
                    <w:t>1,2,3-三氯丙烷</w:t>
                  </w:r>
                </w:p>
              </w:tc>
              <w:tc>
                <w:tcPr>
                  <w:tcW w:w="1333" w:type="dxa"/>
                  <w:tcBorders>
                    <w:tl2br w:val="nil"/>
                    <w:tr2bl w:val="nil"/>
                  </w:tcBorders>
                  <w:vAlign w:val="center"/>
                </w:tcPr>
                <w:p w14:paraId="6F0E6895">
                  <w:pPr>
                    <w:jc w:val="center"/>
                    <w:rPr>
                      <w:szCs w:val="21"/>
                    </w:rPr>
                  </w:pPr>
                  <w:r>
                    <w:rPr>
                      <w:rFonts w:hint="eastAsia"/>
                      <w:bCs/>
                      <w:sz w:val="21"/>
                      <w:szCs w:val="21"/>
                      <w:lang w:val="en-US" w:eastAsia="zh-CN"/>
                    </w:rPr>
                    <w:t>*</w:t>
                  </w:r>
                </w:p>
              </w:tc>
              <w:tc>
                <w:tcPr>
                  <w:tcW w:w="1335" w:type="dxa"/>
                  <w:tcBorders>
                    <w:tl2br w:val="nil"/>
                    <w:tr2bl w:val="nil"/>
                  </w:tcBorders>
                  <w:vAlign w:val="center"/>
                </w:tcPr>
                <w:p w14:paraId="75C8F4D6">
                  <w:pPr>
                    <w:widowControl/>
                    <w:adjustRightInd w:val="0"/>
                    <w:snapToGrid w:val="0"/>
                    <w:jc w:val="center"/>
                    <w:textAlignment w:val="center"/>
                    <w:rPr>
                      <w:rFonts w:eastAsia="附件"/>
                      <w:kern w:val="0"/>
                      <w:szCs w:val="21"/>
                    </w:rPr>
                  </w:pPr>
                  <w:r>
                    <w:rPr>
                      <w:rFonts w:eastAsia="附件"/>
                      <w:kern w:val="0"/>
                      <w:szCs w:val="21"/>
                    </w:rPr>
                    <w:t>0.05</w:t>
                  </w:r>
                </w:p>
              </w:tc>
              <w:tc>
                <w:tcPr>
                  <w:tcW w:w="1333" w:type="dxa"/>
                  <w:tcBorders>
                    <w:tl2br w:val="nil"/>
                    <w:tr2bl w:val="nil"/>
                  </w:tcBorders>
                  <w:vAlign w:val="center"/>
                </w:tcPr>
                <w:p w14:paraId="0AFB3CEF">
                  <w:pPr>
                    <w:jc w:val="center"/>
                    <w:rPr>
                      <w:szCs w:val="21"/>
                    </w:rPr>
                  </w:pPr>
                  <w:r>
                    <w:rPr>
                      <w:rFonts w:eastAsia="附件"/>
                      <w:kern w:val="0"/>
                      <w:szCs w:val="21"/>
                    </w:rPr>
                    <w:t>/</w:t>
                  </w:r>
                </w:p>
              </w:tc>
              <w:tc>
                <w:tcPr>
                  <w:tcW w:w="1339" w:type="dxa"/>
                  <w:tcBorders>
                    <w:tl2br w:val="nil"/>
                    <w:tr2bl w:val="nil"/>
                  </w:tcBorders>
                  <w:vAlign w:val="center"/>
                </w:tcPr>
                <w:p w14:paraId="1AF80C64">
                  <w:pPr>
                    <w:widowControl/>
                    <w:adjustRightInd w:val="0"/>
                    <w:snapToGrid w:val="0"/>
                    <w:jc w:val="center"/>
                    <w:textAlignment w:val="center"/>
                    <w:rPr>
                      <w:rFonts w:eastAsia="附件"/>
                      <w:kern w:val="0"/>
                      <w:szCs w:val="21"/>
                    </w:rPr>
                  </w:pPr>
                  <w:r>
                    <w:rPr>
                      <w:rFonts w:eastAsia="附件"/>
                      <w:kern w:val="0"/>
                      <w:szCs w:val="21"/>
                    </w:rPr>
                    <w:t>0</w:t>
                  </w:r>
                </w:p>
              </w:tc>
            </w:tr>
            <w:tr w14:paraId="2E30A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608D6D26">
                  <w:pPr>
                    <w:adjustRightInd w:val="0"/>
                    <w:snapToGrid w:val="0"/>
                    <w:jc w:val="center"/>
                    <w:rPr>
                      <w:rFonts w:eastAsia="附件"/>
                      <w:kern w:val="0"/>
                      <w:szCs w:val="21"/>
                    </w:rPr>
                  </w:pPr>
                  <w:r>
                    <w:rPr>
                      <w:rFonts w:eastAsia="附件"/>
                      <w:kern w:val="0"/>
                      <w:szCs w:val="21"/>
                    </w:rPr>
                    <w:t>38</w:t>
                  </w:r>
                </w:p>
              </w:tc>
              <w:tc>
                <w:tcPr>
                  <w:tcW w:w="1335" w:type="dxa"/>
                  <w:tcBorders>
                    <w:tl2br w:val="nil"/>
                    <w:tr2bl w:val="nil"/>
                  </w:tcBorders>
                  <w:vAlign w:val="center"/>
                </w:tcPr>
                <w:p w14:paraId="6F7AFB0B">
                  <w:pPr>
                    <w:widowControl/>
                    <w:jc w:val="center"/>
                    <w:rPr>
                      <w:rFonts w:eastAsia="附件"/>
                      <w:szCs w:val="21"/>
                    </w:rPr>
                  </w:pPr>
                  <w:r>
                    <w:rPr>
                      <w:szCs w:val="21"/>
                    </w:rPr>
                    <w:t>1,4-二氯苯</w:t>
                  </w:r>
                </w:p>
              </w:tc>
              <w:tc>
                <w:tcPr>
                  <w:tcW w:w="1333" w:type="dxa"/>
                  <w:tcBorders>
                    <w:tl2br w:val="nil"/>
                    <w:tr2bl w:val="nil"/>
                  </w:tcBorders>
                  <w:vAlign w:val="center"/>
                </w:tcPr>
                <w:p w14:paraId="6ABC3B5A">
                  <w:pPr>
                    <w:jc w:val="center"/>
                    <w:rPr>
                      <w:szCs w:val="21"/>
                    </w:rPr>
                  </w:pPr>
                  <w:r>
                    <w:rPr>
                      <w:rFonts w:hint="eastAsia"/>
                      <w:bCs/>
                      <w:sz w:val="21"/>
                      <w:szCs w:val="21"/>
                      <w:lang w:val="en-US" w:eastAsia="zh-CN"/>
                    </w:rPr>
                    <w:t>*</w:t>
                  </w:r>
                </w:p>
              </w:tc>
              <w:tc>
                <w:tcPr>
                  <w:tcW w:w="1335" w:type="dxa"/>
                  <w:tcBorders>
                    <w:tl2br w:val="nil"/>
                    <w:tr2bl w:val="nil"/>
                  </w:tcBorders>
                  <w:vAlign w:val="center"/>
                </w:tcPr>
                <w:p w14:paraId="1FEA9295">
                  <w:pPr>
                    <w:widowControl/>
                    <w:adjustRightInd w:val="0"/>
                    <w:snapToGrid w:val="0"/>
                    <w:jc w:val="center"/>
                    <w:textAlignment w:val="center"/>
                    <w:rPr>
                      <w:rFonts w:eastAsia="附件"/>
                      <w:kern w:val="0"/>
                      <w:szCs w:val="21"/>
                    </w:rPr>
                  </w:pPr>
                  <w:r>
                    <w:rPr>
                      <w:rFonts w:eastAsia="附件"/>
                      <w:kern w:val="0"/>
                      <w:szCs w:val="21"/>
                    </w:rPr>
                    <w:t>5.6</w:t>
                  </w:r>
                </w:p>
              </w:tc>
              <w:tc>
                <w:tcPr>
                  <w:tcW w:w="1333" w:type="dxa"/>
                  <w:tcBorders>
                    <w:tl2br w:val="nil"/>
                    <w:tr2bl w:val="nil"/>
                  </w:tcBorders>
                  <w:vAlign w:val="center"/>
                </w:tcPr>
                <w:p w14:paraId="24DF5FC6">
                  <w:pPr>
                    <w:jc w:val="center"/>
                    <w:rPr>
                      <w:szCs w:val="21"/>
                    </w:rPr>
                  </w:pPr>
                  <w:r>
                    <w:rPr>
                      <w:rFonts w:eastAsia="附件"/>
                      <w:kern w:val="0"/>
                      <w:szCs w:val="21"/>
                    </w:rPr>
                    <w:t>/</w:t>
                  </w:r>
                </w:p>
              </w:tc>
              <w:tc>
                <w:tcPr>
                  <w:tcW w:w="1339" w:type="dxa"/>
                  <w:tcBorders>
                    <w:tl2br w:val="nil"/>
                    <w:tr2bl w:val="nil"/>
                  </w:tcBorders>
                  <w:vAlign w:val="center"/>
                </w:tcPr>
                <w:p w14:paraId="58A6EB91">
                  <w:pPr>
                    <w:widowControl/>
                    <w:adjustRightInd w:val="0"/>
                    <w:snapToGrid w:val="0"/>
                    <w:jc w:val="center"/>
                    <w:textAlignment w:val="center"/>
                    <w:rPr>
                      <w:rFonts w:eastAsia="附件"/>
                      <w:kern w:val="0"/>
                      <w:szCs w:val="21"/>
                    </w:rPr>
                  </w:pPr>
                  <w:r>
                    <w:rPr>
                      <w:rFonts w:eastAsia="附件"/>
                      <w:kern w:val="0"/>
                      <w:szCs w:val="21"/>
                    </w:rPr>
                    <w:t>0</w:t>
                  </w:r>
                </w:p>
              </w:tc>
            </w:tr>
            <w:tr w14:paraId="625DB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8594212">
                  <w:pPr>
                    <w:adjustRightInd w:val="0"/>
                    <w:snapToGrid w:val="0"/>
                    <w:jc w:val="center"/>
                    <w:rPr>
                      <w:rFonts w:eastAsia="附件"/>
                      <w:kern w:val="0"/>
                      <w:szCs w:val="21"/>
                    </w:rPr>
                  </w:pPr>
                  <w:r>
                    <w:rPr>
                      <w:rFonts w:eastAsia="附件"/>
                      <w:kern w:val="0"/>
                      <w:szCs w:val="21"/>
                    </w:rPr>
                    <w:t>39</w:t>
                  </w:r>
                </w:p>
              </w:tc>
              <w:tc>
                <w:tcPr>
                  <w:tcW w:w="1335" w:type="dxa"/>
                  <w:tcBorders>
                    <w:tl2br w:val="nil"/>
                    <w:tr2bl w:val="nil"/>
                  </w:tcBorders>
                  <w:vAlign w:val="center"/>
                </w:tcPr>
                <w:p w14:paraId="2125F553">
                  <w:pPr>
                    <w:widowControl/>
                    <w:jc w:val="center"/>
                    <w:rPr>
                      <w:rFonts w:eastAsia="附件"/>
                      <w:szCs w:val="21"/>
                    </w:rPr>
                  </w:pPr>
                  <w:r>
                    <w:rPr>
                      <w:szCs w:val="21"/>
                    </w:rPr>
                    <w:t>1,2-二氯苯</w:t>
                  </w:r>
                </w:p>
              </w:tc>
              <w:tc>
                <w:tcPr>
                  <w:tcW w:w="1333" w:type="dxa"/>
                  <w:tcBorders>
                    <w:tl2br w:val="nil"/>
                    <w:tr2bl w:val="nil"/>
                  </w:tcBorders>
                  <w:vAlign w:val="center"/>
                </w:tcPr>
                <w:p w14:paraId="4FBE1A44">
                  <w:pPr>
                    <w:jc w:val="center"/>
                    <w:rPr>
                      <w:szCs w:val="21"/>
                    </w:rPr>
                  </w:pPr>
                  <w:r>
                    <w:rPr>
                      <w:rFonts w:hint="eastAsia"/>
                      <w:bCs/>
                      <w:sz w:val="21"/>
                      <w:szCs w:val="21"/>
                      <w:lang w:val="en-US" w:eastAsia="zh-CN"/>
                    </w:rPr>
                    <w:t>*</w:t>
                  </w:r>
                </w:p>
              </w:tc>
              <w:tc>
                <w:tcPr>
                  <w:tcW w:w="1335" w:type="dxa"/>
                  <w:tcBorders>
                    <w:tl2br w:val="nil"/>
                    <w:tr2bl w:val="nil"/>
                  </w:tcBorders>
                  <w:vAlign w:val="center"/>
                </w:tcPr>
                <w:p w14:paraId="269464FB">
                  <w:pPr>
                    <w:widowControl/>
                    <w:adjustRightInd w:val="0"/>
                    <w:snapToGrid w:val="0"/>
                    <w:jc w:val="center"/>
                    <w:textAlignment w:val="center"/>
                    <w:rPr>
                      <w:rFonts w:eastAsia="附件"/>
                      <w:kern w:val="0"/>
                      <w:szCs w:val="21"/>
                    </w:rPr>
                  </w:pPr>
                  <w:r>
                    <w:rPr>
                      <w:rFonts w:eastAsia="附件"/>
                      <w:kern w:val="0"/>
                      <w:szCs w:val="21"/>
                    </w:rPr>
                    <w:t>560</w:t>
                  </w:r>
                </w:p>
              </w:tc>
              <w:tc>
                <w:tcPr>
                  <w:tcW w:w="1333" w:type="dxa"/>
                  <w:tcBorders>
                    <w:tl2br w:val="nil"/>
                    <w:tr2bl w:val="nil"/>
                  </w:tcBorders>
                  <w:vAlign w:val="center"/>
                </w:tcPr>
                <w:p w14:paraId="629E6C23">
                  <w:pPr>
                    <w:jc w:val="center"/>
                    <w:rPr>
                      <w:szCs w:val="21"/>
                    </w:rPr>
                  </w:pPr>
                  <w:r>
                    <w:rPr>
                      <w:rFonts w:eastAsia="附件"/>
                      <w:kern w:val="0"/>
                      <w:szCs w:val="21"/>
                    </w:rPr>
                    <w:t>/</w:t>
                  </w:r>
                </w:p>
              </w:tc>
              <w:tc>
                <w:tcPr>
                  <w:tcW w:w="1339" w:type="dxa"/>
                  <w:tcBorders>
                    <w:tl2br w:val="nil"/>
                    <w:tr2bl w:val="nil"/>
                  </w:tcBorders>
                  <w:vAlign w:val="center"/>
                </w:tcPr>
                <w:p w14:paraId="7F2EB9B1">
                  <w:pPr>
                    <w:widowControl/>
                    <w:adjustRightInd w:val="0"/>
                    <w:snapToGrid w:val="0"/>
                    <w:jc w:val="center"/>
                    <w:textAlignment w:val="center"/>
                    <w:rPr>
                      <w:rFonts w:eastAsia="附件"/>
                      <w:kern w:val="0"/>
                      <w:szCs w:val="21"/>
                    </w:rPr>
                  </w:pPr>
                  <w:r>
                    <w:rPr>
                      <w:rFonts w:eastAsia="附件"/>
                      <w:kern w:val="0"/>
                      <w:szCs w:val="21"/>
                    </w:rPr>
                    <w:t>0</w:t>
                  </w:r>
                </w:p>
              </w:tc>
            </w:tr>
            <w:tr w14:paraId="61B59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31F15F7">
                  <w:pPr>
                    <w:adjustRightInd w:val="0"/>
                    <w:snapToGrid w:val="0"/>
                    <w:jc w:val="center"/>
                    <w:rPr>
                      <w:rFonts w:eastAsia="附件"/>
                      <w:kern w:val="0"/>
                      <w:szCs w:val="21"/>
                    </w:rPr>
                  </w:pPr>
                  <w:r>
                    <w:rPr>
                      <w:rFonts w:eastAsia="附件"/>
                      <w:kern w:val="0"/>
                      <w:szCs w:val="21"/>
                    </w:rPr>
                    <w:t>40</w:t>
                  </w:r>
                </w:p>
              </w:tc>
              <w:tc>
                <w:tcPr>
                  <w:tcW w:w="1335" w:type="dxa"/>
                  <w:tcBorders>
                    <w:tl2br w:val="nil"/>
                    <w:tr2bl w:val="nil"/>
                  </w:tcBorders>
                  <w:vAlign w:val="center"/>
                </w:tcPr>
                <w:p w14:paraId="04A00AB5">
                  <w:pPr>
                    <w:widowControl/>
                    <w:jc w:val="center"/>
                    <w:rPr>
                      <w:rFonts w:eastAsia="附件"/>
                      <w:szCs w:val="21"/>
                    </w:rPr>
                  </w:pPr>
                  <w:r>
                    <w:rPr>
                      <w:kern w:val="0"/>
                      <w:szCs w:val="21"/>
                      <w:lang w:bidi="ar"/>
                    </w:rPr>
                    <w:t>苯胺</w:t>
                  </w:r>
                </w:p>
              </w:tc>
              <w:tc>
                <w:tcPr>
                  <w:tcW w:w="1333" w:type="dxa"/>
                  <w:tcBorders>
                    <w:tl2br w:val="nil"/>
                    <w:tr2bl w:val="nil"/>
                  </w:tcBorders>
                  <w:vAlign w:val="center"/>
                </w:tcPr>
                <w:p w14:paraId="7D53EBB2">
                  <w:pPr>
                    <w:jc w:val="center"/>
                    <w:rPr>
                      <w:szCs w:val="21"/>
                    </w:rPr>
                  </w:pPr>
                  <w:r>
                    <w:rPr>
                      <w:rFonts w:hint="eastAsia"/>
                      <w:bCs/>
                      <w:sz w:val="21"/>
                      <w:szCs w:val="21"/>
                      <w:lang w:val="en-US" w:eastAsia="zh-CN"/>
                    </w:rPr>
                    <w:t>*</w:t>
                  </w:r>
                </w:p>
              </w:tc>
              <w:tc>
                <w:tcPr>
                  <w:tcW w:w="1335" w:type="dxa"/>
                  <w:tcBorders>
                    <w:tl2br w:val="nil"/>
                    <w:tr2bl w:val="nil"/>
                  </w:tcBorders>
                  <w:vAlign w:val="center"/>
                </w:tcPr>
                <w:p w14:paraId="2315FBB2">
                  <w:pPr>
                    <w:widowControl/>
                    <w:adjustRightInd w:val="0"/>
                    <w:snapToGrid w:val="0"/>
                    <w:jc w:val="center"/>
                    <w:textAlignment w:val="center"/>
                    <w:rPr>
                      <w:rFonts w:eastAsia="附件"/>
                      <w:kern w:val="0"/>
                      <w:szCs w:val="21"/>
                    </w:rPr>
                  </w:pPr>
                  <w:r>
                    <w:rPr>
                      <w:rFonts w:eastAsia="附件"/>
                      <w:kern w:val="0"/>
                      <w:szCs w:val="21"/>
                    </w:rPr>
                    <w:t>92</w:t>
                  </w:r>
                </w:p>
              </w:tc>
              <w:tc>
                <w:tcPr>
                  <w:tcW w:w="1333" w:type="dxa"/>
                  <w:tcBorders>
                    <w:tl2br w:val="nil"/>
                    <w:tr2bl w:val="nil"/>
                  </w:tcBorders>
                  <w:vAlign w:val="center"/>
                </w:tcPr>
                <w:p w14:paraId="5324487A">
                  <w:pPr>
                    <w:jc w:val="center"/>
                    <w:rPr>
                      <w:szCs w:val="21"/>
                    </w:rPr>
                  </w:pPr>
                  <w:r>
                    <w:rPr>
                      <w:rFonts w:eastAsia="附件"/>
                      <w:kern w:val="0"/>
                      <w:szCs w:val="21"/>
                    </w:rPr>
                    <w:t>/</w:t>
                  </w:r>
                </w:p>
              </w:tc>
              <w:tc>
                <w:tcPr>
                  <w:tcW w:w="1339" w:type="dxa"/>
                  <w:tcBorders>
                    <w:tl2br w:val="nil"/>
                    <w:tr2bl w:val="nil"/>
                  </w:tcBorders>
                  <w:vAlign w:val="center"/>
                </w:tcPr>
                <w:p w14:paraId="52CF2CB7">
                  <w:pPr>
                    <w:widowControl/>
                    <w:adjustRightInd w:val="0"/>
                    <w:snapToGrid w:val="0"/>
                    <w:jc w:val="center"/>
                    <w:textAlignment w:val="center"/>
                    <w:rPr>
                      <w:rFonts w:eastAsia="附件"/>
                      <w:kern w:val="0"/>
                      <w:szCs w:val="21"/>
                    </w:rPr>
                  </w:pPr>
                  <w:r>
                    <w:rPr>
                      <w:rFonts w:eastAsia="附件"/>
                      <w:kern w:val="0"/>
                      <w:szCs w:val="21"/>
                    </w:rPr>
                    <w:t>0</w:t>
                  </w:r>
                </w:p>
              </w:tc>
            </w:tr>
            <w:tr w14:paraId="4660E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4807E7B">
                  <w:pPr>
                    <w:adjustRightInd w:val="0"/>
                    <w:snapToGrid w:val="0"/>
                    <w:jc w:val="center"/>
                    <w:rPr>
                      <w:rFonts w:eastAsia="附件"/>
                      <w:kern w:val="0"/>
                      <w:szCs w:val="21"/>
                    </w:rPr>
                  </w:pPr>
                  <w:r>
                    <w:rPr>
                      <w:rFonts w:eastAsia="附件"/>
                      <w:kern w:val="0"/>
                      <w:szCs w:val="21"/>
                    </w:rPr>
                    <w:t>41</w:t>
                  </w:r>
                </w:p>
              </w:tc>
              <w:tc>
                <w:tcPr>
                  <w:tcW w:w="1335" w:type="dxa"/>
                  <w:tcBorders>
                    <w:tl2br w:val="nil"/>
                    <w:tr2bl w:val="nil"/>
                  </w:tcBorders>
                  <w:vAlign w:val="center"/>
                </w:tcPr>
                <w:p w14:paraId="32FE8C06">
                  <w:pPr>
                    <w:widowControl/>
                    <w:jc w:val="center"/>
                    <w:rPr>
                      <w:rFonts w:eastAsia="附件"/>
                      <w:szCs w:val="21"/>
                    </w:rPr>
                  </w:pPr>
                  <w:r>
                    <w:rPr>
                      <w:kern w:val="0"/>
                      <w:szCs w:val="21"/>
                      <w:lang w:bidi="ar"/>
                    </w:rPr>
                    <w:t>2-氯酚</w:t>
                  </w:r>
                </w:p>
              </w:tc>
              <w:tc>
                <w:tcPr>
                  <w:tcW w:w="1333" w:type="dxa"/>
                  <w:tcBorders>
                    <w:tl2br w:val="nil"/>
                    <w:tr2bl w:val="nil"/>
                  </w:tcBorders>
                  <w:vAlign w:val="center"/>
                </w:tcPr>
                <w:p w14:paraId="1AA3EA70">
                  <w:pPr>
                    <w:jc w:val="center"/>
                    <w:rPr>
                      <w:szCs w:val="21"/>
                    </w:rPr>
                  </w:pPr>
                  <w:r>
                    <w:rPr>
                      <w:rFonts w:hint="eastAsia"/>
                      <w:bCs/>
                      <w:sz w:val="21"/>
                      <w:szCs w:val="21"/>
                      <w:lang w:val="en-US" w:eastAsia="zh-CN"/>
                    </w:rPr>
                    <w:t>*</w:t>
                  </w:r>
                </w:p>
              </w:tc>
              <w:tc>
                <w:tcPr>
                  <w:tcW w:w="1335" w:type="dxa"/>
                  <w:tcBorders>
                    <w:tl2br w:val="nil"/>
                    <w:tr2bl w:val="nil"/>
                  </w:tcBorders>
                  <w:vAlign w:val="center"/>
                </w:tcPr>
                <w:p w14:paraId="437F9AD7">
                  <w:pPr>
                    <w:widowControl/>
                    <w:adjustRightInd w:val="0"/>
                    <w:snapToGrid w:val="0"/>
                    <w:jc w:val="center"/>
                    <w:textAlignment w:val="center"/>
                    <w:rPr>
                      <w:rFonts w:eastAsia="附件"/>
                      <w:kern w:val="0"/>
                      <w:szCs w:val="21"/>
                    </w:rPr>
                  </w:pPr>
                  <w:r>
                    <w:rPr>
                      <w:rFonts w:eastAsia="附件"/>
                      <w:kern w:val="0"/>
                      <w:szCs w:val="21"/>
                    </w:rPr>
                    <w:t>250</w:t>
                  </w:r>
                </w:p>
              </w:tc>
              <w:tc>
                <w:tcPr>
                  <w:tcW w:w="1333" w:type="dxa"/>
                  <w:tcBorders>
                    <w:tl2br w:val="nil"/>
                    <w:tr2bl w:val="nil"/>
                  </w:tcBorders>
                  <w:vAlign w:val="center"/>
                </w:tcPr>
                <w:p w14:paraId="3BD6F44B">
                  <w:pPr>
                    <w:jc w:val="center"/>
                    <w:rPr>
                      <w:szCs w:val="21"/>
                    </w:rPr>
                  </w:pPr>
                  <w:r>
                    <w:rPr>
                      <w:rFonts w:eastAsia="附件"/>
                      <w:kern w:val="0"/>
                      <w:szCs w:val="21"/>
                    </w:rPr>
                    <w:t>/</w:t>
                  </w:r>
                </w:p>
              </w:tc>
              <w:tc>
                <w:tcPr>
                  <w:tcW w:w="1339" w:type="dxa"/>
                  <w:tcBorders>
                    <w:tl2br w:val="nil"/>
                    <w:tr2bl w:val="nil"/>
                  </w:tcBorders>
                  <w:vAlign w:val="center"/>
                </w:tcPr>
                <w:p w14:paraId="2D124483">
                  <w:pPr>
                    <w:widowControl/>
                    <w:adjustRightInd w:val="0"/>
                    <w:snapToGrid w:val="0"/>
                    <w:jc w:val="center"/>
                    <w:textAlignment w:val="center"/>
                    <w:rPr>
                      <w:rFonts w:eastAsia="附件"/>
                      <w:kern w:val="0"/>
                      <w:szCs w:val="21"/>
                    </w:rPr>
                  </w:pPr>
                  <w:r>
                    <w:rPr>
                      <w:rFonts w:eastAsia="附件"/>
                      <w:kern w:val="0"/>
                      <w:szCs w:val="21"/>
                    </w:rPr>
                    <w:t>0</w:t>
                  </w:r>
                </w:p>
              </w:tc>
            </w:tr>
            <w:tr w14:paraId="46F9C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2452F8B">
                  <w:pPr>
                    <w:adjustRightInd w:val="0"/>
                    <w:snapToGrid w:val="0"/>
                    <w:jc w:val="center"/>
                    <w:rPr>
                      <w:rFonts w:eastAsia="附件"/>
                      <w:kern w:val="0"/>
                      <w:szCs w:val="21"/>
                    </w:rPr>
                  </w:pPr>
                  <w:r>
                    <w:rPr>
                      <w:rFonts w:eastAsia="附件"/>
                      <w:kern w:val="0"/>
                      <w:szCs w:val="21"/>
                    </w:rPr>
                    <w:t>42</w:t>
                  </w:r>
                </w:p>
              </w:tc>
              <w:tc>
                <w:tcPr>
                  <w:tcW w:w="1335" w:type="dxa"/>
                  <w:tcBorders>
                    <w:tl2br w:val="nil"/>
                    <w:tr2bl w:val="nil"/>
                  </w:tcBorders>
                  <w:vAlign w:val="center"/>
                </w:tcPr>
                <w:p w14:paraId="5B36B8DB">
                  <w:pPr>
                    <w:widowControl/>
                    <w:jc w:val="center"/>
                    <w:rPr>
                      <w:rFonts w:eastAsia="附件"/>
                      <w:szCs w:val="21"/>
                    </w:rPr>
                  </w:pPr>
                  <w:r>
                    <w:rPr>
                      <w:kern w:val="0"/>
                      <w:szCs w:val="21"/>
                      <w:lang w:bidi="ar"/>
                    </w:rPr>
                    <w:t>硝基苯</w:t>
                  </w:r>
                </w:p>
              </w:tc>
              <w:tc>
                <w:tcPr>
                  <w:tcW w:w="1333" w:type="dxa"/>
                  <w:tcBorders>
                    <w:tl2br w:val="nil"/>
                    <w:tr2bl w:val="nil"/>
                  </w:tcBorders>
                  <w:vAlign w:val="center"/>
                </w:tcPr>
                <w:p w14:paraId="2F89D05F">
                  <w:pPr>
                    <w:jc w:val="center"/>
                    <w:rPr>
                      <w:szCs w:val="21"/>
                    </w:rPr>
                  </w:pPr>
                  <w:r>
                    <w:rPr>
                      <w:rFonts w:hint="eastAsia"/>
                      <w:bCs/>
                      <w:sz w:val="21"/>
                      <w:szCs w:val="21"/>
                      <w:lang w:val="en-US" w:eastAsia="zh-CN"/>
                    </w:rPr>
                    <w:t>*</w:t>
                  </w:r>
                </w:p>
              </w:tc>
              <w:tc>
                <w:tcPr>
                  <w:tcW w:w="1335" w:type="dxa"/>
                  <w:tcBorders>
                    <w:tl2br w:val="nil"/>
                    <w:tr2bl w:val="nil"/>
                  </w:tcBorders>
                  <w:vAlign w:val="center"/>
                </w:tcPr>
                <w:p w14:paraId="0D198A74">
                  <w:pPr>
                    <w:widowControl/>
                    <w:adjustRightInd w:val="0"/>
                    <w:snapToGrid w:val="0"/>
                    <w:jc w:val="center"/>
                    <w:textAlignment w:val="center"/>
                    <w:rPr>
                      <w:rFonts w:eastAsia="附件"/>
                      <w:kern w:val="0"/>
                      <w:szCs w:val="21"/>
                    </w:rPr>
                  </w:pPr>
                  <w:r>
                    <w:rPr>
                      <w:rFonts w:eastAsia="附件"/>
                      <w:kern w:val="0"/>
                      <w:szCs w:val="21"/>
                    </w:rPr>
                    <w:t>34</w:t>
                  </w:r>
                </w:p>
              </w:tc>
              <w:tc>
                <w:tcPr>
                  <w:tcW w:w="1333" w:type="dxa"/>
                  <w:tcBorders>
                    <w:tl2br w:val="nil"/>
                    <w:tr2bl w:val="nil"/>
                  </w:tcBorders>
                  <w:vAlign w:val="center"/>
                </w:tcPr>
                <w:p w14:paraId="3C7414C6">
                  <w:pPr>
                    <w:jc w:val="center"/>
                    <w:rPr>
                      <w:szCs w:val="21"/>
                    </w:rPr>
                  </w:pPr>
                  <w:r>
                    <w:rPr>
                      <w:rFonts w:eastAsia="附件"/>
                      <w:kern w:val="0"/>
                      <w:szCs w:val="21"/>
                    </w:rPr>
                    <w:t>/</w:t>
                  </w:r>
                </w:p>
              </w:tc>
              <w:tc>
                <w:tcPr>
                  <w:tcW w:w="1339" w:type="dxa"/>
                  <w:tcBorders>
                    <w:tl2br w:val="nil"/>
                    <w:tr2bl w:val="nil"/>
                  </w:tcBorders>
                  <w:vAlign w:val="center"/>
                </w:tcPr>
                <w:p w14:paraId="6BE11BE3">
                  <w:pPr>
                    <w:widowControl/>
                    <w:adjustRightInd w:val="0"/>
                    <w:snapToGrid w:val="0"/>
                    <w:jc w:val="center"/>
                    <w:textAlignment w:val="center"/>
                    <w:rPr>
                      <w:rFonts w:eastAsia="附件"/>
                      <w:kern w:val="0"/>
                      <w:szCs w:val="21"/>
                    </w:rPr>
                  </w:pPr>
                  <w:r>
                    <w:rPr>
                      <w:rFonts w:eastAsia="附件"/>
                      <w:kern w:val="0"/>
                      <w:szCs w:val="21"/>
                    </w:rPr>
                    <w:t>0</w:t>
                  </w:r>
                </w:p>
              </w:tc>
            </w:tr>
            <w:tr w14:paraId="474A4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A059460">
                  <w:pPr>
                    <w:adjustRightInd w:val="0"/>
                    <w:snapToGrid w:val="0"/>
                    <w:jc w:val="center"/>
                    <w:rPr>
                      <w:rFonts w:eastAsia="附件"/>
                      <w:kern w:val="0"/>
                      <w:szCs w:val="21"/>
                    </w:rPr>
                  </w:pPr>
                  <w:r>
                    <w:rPr>
                      <w:rFonts w:eastAsia="附件"/>
                      <w:kern w:val="0"/>
                      <w:szCs w:val="21"/>
                    </w:rPr>
                    <w:t>43</w:t>
                  </w:r>
                </w:p>
              </w:tc>
              <w:tc>
                <w:tcPr>
                  <w:tcW w:w="1335" w:type="dxa"/>
                  <w:tcBorders>
                    <w:tl2br w:val="nil"/>
                    <w:tr2bl w:val="nil"/>
                  </w:tcBorders>
                  <w:vAlign w:val="center"/>
                </w:tcPr>
                <w:p w14:paraId="1D2150D6">
                  <w:pPr>
                    <w:widowControl/>
                    <w:jc w:val="center"/>
                    <w:rPr>
                      <w:rFonts w:eastAsia="附件"/>
                      <w:szCs w:val="21"/>
                    </w:rPr>
                  </w:pPr>
                  <w:r>
                    <w:rPr>
                      <w:kern w:val="0"/>
                      <w:szCs w:val="21"/>
                      <w:lang w:bidi="ar"/>
                    </w:rPr>
                    <w:t>萘</w:t>
                  </w:r>
                </w:p>
              </w:tc>
              <w:tc>
                <w:tcPr>
                  <w:tcW w:w="1333" w:type="dxa"/>
                  <w:tcBorders>
                    <w:tl2br w:val="nil"/>
                    <w:tr2bl w:val="nil"/>
                  </w:tcBorders>
                  <w:vAlign w:val="center"/>
                </w:tcPr>
                <w:p w14:paraId="34E26611">
                  <w:pPr>
                    <w:jc w:val="center"/>
                    <w:rPr>
                      <w:szCs w:val="21"/>
                    </w:rPr>
                  </w:pPr>
                  <w:r>
                    <w:rPr>
                      <w:rFonts w:hint="eastAsia"/>
                      <w:bCs/>
                      <w:sz w:val="21"/>
                      <w:szCs w:val="21"/>
                      <w:lang w:val="en-US" w:eastAsia="zh-CN"/>
                    </w:rPr>
                    <w:t>*</w:t>
                  </w:r>
                </w:p>
              </w:tc>
              <w:tc>
                <w:tcPr>
                  <w:tcW w:w="1335" w:type="dxa"/>
                  <w:tcBorders>
                    <w:tl2br w:val="nil"/>
                    <w:tr2bl w:val="nil"/>
                  </w:tcBorders>
                  <w:vAlign w:val="center"/>
                </w:tcPr>
                <w:p w14:paraId="187794A2">
                  <w:pPr>
                    <w:widowControl/>
                    <w:adjustRightInd w:val="0"/>
                    <w:snapToGrid w:val="0"/>
                    <w:jc w:val="center"/>
                    <w:textAlignment w:val="center"/>
                    <w:rPr>
                      <w:rFonts w:eastAsia="附件"/>
                      <w:kern w:val="0"/>
                      <w:szCs w:val="21"/>
                    </w:rPr>
                  </w:pPr>
                  <w:r>
                    <w:rPr>
                      <w:rFonts w:eastAsia="附件"/>
                      <w:kern w:val="0"/>
                      <w:szCs w:val="21"/>
                    </w:rPr>
                    <w:t>25</w:t>
                  </w:r>
                </w:p>
              </w:tc>
              <w:tc>
                <w:tcPr>
                  <w:tcW w:w="1333" w:type="dxa"/>
                  <w:tcBorders>
                    <w:tl2br w:val="nil"/>
                    <w:tr2bl w:val="nil"/>
                  </w:tcBorders>
                  <w:vAlign w:val="center"/>
                </w:tcPr>
                <w:p w14:paraId="4806DFF1">
                  <w:pPr>
                    <w:jc w:val="center"/>
                    <w:rPr>
                      <w:szCs w:val="21"/>
                    </w:rPr>
                  </w:pPr>
                  <w:r>
                    <w:rPr>
                      <w:rFonts w:eastAsia="附件"/>
                      <w:kern w:val="0"/>
                      <w:szCs w:val="21"/>
                    </w:rPr>
                    <w:t>/</w:t>
                  </w:r>
                </w:p>
              </w:tc>
              <w:tc>
                <w:tcPr>
                  <w:tcW w:w="1339" w:type="dxa"/>
                  <w:tcBorders>
                    <w:tl2br w:val="nil"/>
                    <w:tr2bl w:val="nil"/>
                  </w:tcBorders>
                  <w:vAlign w:val="center"/>
                </w:tcPr>
                <w:p w14:paraId="476A4B42">
                  <w:pPr>
                    <w:widowControl/>
                    <w:adjustRightInd w:val="0"/>
                    <w:snapToGrid w:val="0"/>
                    <w:jc w:val="center"/>
                    <w:textAlignment w:val="center"/>
                    <w:rPr>
                      <w:rFonts w:eastAsia="附件"/>
                      <w:kern w:val="0"/>
                      <w:szCs w:val="21"/>
                    </w:rPr>
                  </w:pPr>
                  <w:r>
                    <w:rPr>
                      <w:rFonts w:eastAsia="附件"/>
                      <w:kern w:val="0"/>
                      <w:szCs w:val="21"/>
                    </w:rPr>
                    <w:t>0</w:t>
                  </w:r>
                </w:p>
              </w:tc>
            </w:tr>
            <w:tr w14:paraId="2BB0C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7DBCCEB0">
                  <w:pPr>
                    <w:adjustRightInd w:val="0"/>
                    <w:snapToGrid w:val="0"/>
                    <w:jc w:val="center"/>
                    <w:rPr>
                      <w:rFonts w:eastAsia="附件"/>
                      <w:kern w:val="0"/>
                      <w:szCs w:val="21"/>
                    </w:rPr>
                  </w:pPr>
                  <w:r>
                    <w:rPr>
                      <w:rFonts w:eastAsia="附件"/>
                      <w:kern w:val="0"/>
                      <w:szCs w:val="21"/>
                    </w:rPr>
                    <w:t>44</w:t>
                  </w:r>
                </w:p>
              </w:tc>
              <w:tc>
                <w:tcPr>
                  <w:tcW w:w="1335" w:type="dxa"/>
                  <w:tcBorders>
                    <w:tl2br w:val="nil"/>
                    <w:tr2bl w:val="nil"/>
                  </w:tcBorders>
                  <w:vAlign w:val="center"/>
                </w:tcPr>
                <w:p w14:paraId="762B6E2A">
                  <w:pPr>
                    <w:widowControl/>
                    <w:jc w:val="center"/>
                    <w:rPr>
                      <w:rFonts w:eastAsia="附件"/>
                      <w:szCs w:val="21"/>
                    </w:rPr>
                  </w:pPr>
                  <w:r>
                    <w:rPr>
                      <w:kern w:val="0"/>
                      <w:szCs w:val="21"/>
                      <w:lang w:bidi="ar"/>
                    </w:rPr>
                    <w:t>苯并[a]蒽</w:t>
                  </w:r>
                </w:p>
              </w:tc>
              <w:tc>
                <w:tcPr>
                  <w:tcW w:w="1333" w:type="dxa"/>
                  <w:tcBorders>
                    <w:tl2br w:val="nil"/>
                    <w:tr2bl w:val="nil"/>
                  </w:tcBorders>
                  <w:vAlign w:val="center"/>
                </w:tcPr>
                <w:p w14:paraId="55A27B16">
                  <w:pPr>
                    <w:jc w:val="center"/>
                    <w:rPr>
                      <w:szCs w:val="21"/>
                    </w:rPr>
                  </w:pPr>
                  <w:r>
                    <w:rPr>
                      <w:rFonts w:hint="eastAsia"/>
                      <w:bCs/>
                      <w:sz w:val="21"/>
                      <w:szCs w:val="21"/>
                      <w:lang w:val="en-US" w:eastAsia="zh-CN"/>
                    </w:rPr>
                    <w:t>*</w:t>
                  </w:r>
                </w:p>
              </w:tc>
              <w:tc>
                <w:tcPr>
                  <w:tcW w:w="1335" w:type="dxa"/>
                  <w:tcBorders>
                    <w:tl2br w:val="nil"/>
                    <w:tr2bl w:val="nil"/>
                  </w:tcBorders>
                  <w:vAlign w:val="center"/>
                </w:tcPr>
                <w:p w14:paraId="09171CFF">
                  <w:pPr>
                    <w:widowControl/>
                    <w:adjustRightInd w:val="0"/>
                    <w:snapToGrid w:val="0"/>
                    <w:jc w:val="center"/>
                    <w:textAlignment w:val="center"/>
                    <w:rPr>
                      <w:rFonts w:eastAsia="附件"/>
                      <w:kern w:val="0"/>
                      <w:szCs w:val="21"/>
                    </w:rPr>
                  </w:pPr>
                  <w:r>
                    <w:rPr>
                      <w:rFonts w:eastAsia="附件"/>
                      <w:kern w:val="0"/>
                      <w:szCs w:val="21"/>
                    </w:rPr>
                    <w:t>5.5</w:t>
                  </w:r>
                </w:p>
              </w:tc>
              <w:tc>
                <w:tcPr>
                  <w:tcW w:w="1333" w:type="dxa"/>
                  <w:tcBorders>
                    <w:tl2br w:val="nil"/>
                    <w:tr2bl w:val="nil"/>
                  </w:tcBorders>
                  <w:vAlign w:val="center"/>
                </w:tcPr>
                <w:p w14:paraId="2E3B2094">
                  <w:pPr>
                    <w:jc w:val="center"/>
                    <w:rPr>
                      <w:szCs w:val="21"/>
                    </w:rPr>
                  </w:pPr>
                  <w:r>
                    <w:rPr>
                      <w:rFonts w:eastAsia="附件"/>
                      <w:kern w:val="0"/>
                      <w:szCs w:val="21"/>
                    </w:rPr>
                    <w:t>/</w:t>
                  </w:r>
                </w:p>
              </w:tc>
              <w:tc>
                <w:tcPr>
                  <w:tcW w:w="1339" w:type="dxa"/>
                  <w:tcBorders>
                    <w:tl2br w:val="nil"/>
                    <w:tr2bl w:val="nil"/>
                  </w:tcBorders>
                  <w:vAlign w:val="center"/>
                </w:tcPr>
                <w:p w14:paraId="7F2E47C2">
                  <w:pPr>
                    <w:widowControl/>
                    <w:adjustRightInd w:val="0"/>
                    <w:snapToGrid w:val="0"/>
                    <w:jc w:val="center"/>
                    <w:textAlignment w:val="center"/>
                    <w:rPr>
                      <w:rFonts w:eastAsia="附件"/>
                      <w:kern w:val="0"/>
                      <w:szCs w:val="21"/>
                    </w:rPr>
                  </w:pPr>
                  <w:r>
                    <w:rPr>
                      <w:rFonts w:eastAsia="附件"/>
                      <w:kern w:val="0"/>
                      <w:szCs w:val="21"/>
                    </w:rPr>
                    <w:t>0</w:t>
                  </w:r>
                </w:p>
              </w:tc>
            </w:tr>
            <w:tr w14:paraId="1577F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0A13FCC">
                  <w:pPr>
                    <w:adjustRightInd w:val="0"/>
                    <w:snapToGrid w:val="0"/>
                    <w:jc w:val="center"/>
                    <w:rPr>
                      <w:rFonts w:eastAsia="附件"/>
                      <w:kern w:val="0"/>
                      <w:szCs w:val="21"/>
                    </w:rPr>
                  </w:pPr>
                  <w:r>
                    <w:rPr>
                      <w:rFonts w:eastAsia="附件"/>
                      <w:kern w:val="0"/>
                      <w:szCs w:val="21"/>
                    </w:rPr>
                    <w:t>45</w:t>
                  </w:r>
                </w:p>
              </w:tc>
              <w:tc>
                <w:tcPr>
                  <w:tcW w:w="1335" w:type="dxa"/>
                  <w:tcBorders>
                    <w:tl2br w:val="nil"/>
                    <w:tr2bl w:val="nil"/>
                  </w:tcBorders>
                  <w:vAlign w:val="center"/>
                </w:tcPr>
                <w:p w14:paraId="763FB753">
                  <w:pPr>
                    <w:widowControl/>
                    <w:jc w:val="center"/>
                    <w:rPr>
                      <w:rFonts w:eastAsia="附件"/>
                      <w:szCs w:val="21"/>
                    </w:rPr>
                  </w:pPr>
                  <w:r>
                    <w:rPr>
                      <w:kern w:val="0"/>
                      <w:szCs w:val="21"/>
                      <w:lang w:bidi="ar"/>
                    </w:rPr>
                    <w:t>䓛</w:t>
                  </w:r>
                </w:p>
              </w:tc>
              <w:tc>
                <w:tcPr>
                  <w:tcW w:w="1333" w:type="dxa"/>
                  <w:tcBorders>
                    <w:tl2br w:val="nil"/>
                    <w:tr2bl w:val="nil"/>
                  </w:tcBorders>
                  <w:vAlign w:val="center"/>
                </w:tcPr>
                <w:p w14:paraId="36DC3845">
                  <w:pPr>
                    <w:jc w:val="center"/>
                    <w:rPr>
                      <w:szCs w:val="21"/>
                    </w:rPr>
                  </w:pPr>
                  <w:r>
                    <w:rPr>
                      <w:rFonts w:hint="eastAsia"/>
                      <w:bCs/>
                      <w:sz w:val="21"/>
                      <w:szCs w:val="21"/>
                      <w:lang w:val="en-US" w:eastAsia="zh-CN"/>
                    </w:rPr>
                    <w:t>*</w:t>
                  </w:r>
                </w:p>
              </w:tc>
              <w:tc>
                <w:tcPr>
                  <w:tcW w:w="1335" w:type="dxa"/>
                  <w:tcBorders>
                    <w:tl2br w:val="nil"/>
                    <w:tr2bl w:val="nil"/>
                  </w:tcBorders>
                  <w:vAlign w:val="center"/>
                </w:tcPr>
                <w:p w14:paraId="4BCB00C8">
                  <w:pPr>
                    <w:widowControl/>
                    <w:adjustRightInd w:val="0"/>
                    <w:snapToGrid w:val="0"/>
                    <w:jc w:val="center"/>
                    <w:textAlignment w:val="center"/>
                    <w:rPr>
                      <w:rFonts w:eastAsia="附件"/>
                      <w:kern w:val="0"/>
                      <w:szCs w:val="21"/>
                    </w:rPr>
                  </w:pPr>
                  <w:r>
                    <w:rPr>
                      <w:rFonts w:eastAsia="附件"/>
                      <w:kern w:val="0"/>
                      <w:szCs w:val="21"/>
                    </w:rPr>
                    <w:t>490</w:t>
                  </w:r>
                </w:p>
              </w:tc>
              <w:tc>
                <w:tcPr>
                  <w:tcW w:w="1333" w:type="dxa"/>
                  <w:tcBorders>
                    <w:tl2br w:val="nil"/>
                    <w:tr2bl w:val="nil"/>
                  </w:tcBorders>
                  <w:vAlign w:val="center"/>
                </w:tcPr>
                <w:p w14:paraId="5D49C635">
                  <w:pPr>
                    <w:jc w:val="center"/>
                    <w:rPr>
                      <w:szCs w:val="21"/>
                    </w:rPr>
                  </w:pPr>
                  <w:r>
                    <w:rPr>
                      <w:rFonts w:eastAsia="附件"/>
                      <w:kern w:val="0"/>
                      <w:szCs w:val="21"/>
                    </w:rPr>
                    <w:t>/</w:t>
                  </w:r>
                </w:p>
              </w:tc>
              <w:tc>
                <w:tcPr>
                  <w:tcW w:w="1339" w:type="dxa"/>
                  <w:tcBorders>
                    <w:tl2br w:val="nil"/>
                    <w:tr2bl w:val="nil"/>
                  </w:tcBorders>
                  <w:vAlign w:val="center"/>
                </w:tcPr>
                <w:p w14:paraId="15C54E87">
                  <w:pPr>
                    <w:widowControl/>
                    <w:adjustRightInd w:val="0"/>
                    <w:snapToGrid w:val="0"/>
                    <w:jc w:val="center"/>
                    <w:textAlignment w:val="center"/>
                    <w:rPr>
                      <w:rFonts w:eastAsia="附件"/>
                      <w:kern w:val="0"/>
                      <w:szCs w:val="21"/>
                    </w:rPr>
                  </w:pPr>
                  <w:r>
                    <w:rPr>
                      <w:rFonts w:eastAsia="附件"/>
                      <w:kern w:val="0"/>
                      <w:szCs w:val="21"/>
                    </w:rPr>
                    <w:t>0</w:t>
                  </w:r>
                </w:p>
              </w:tc>
            </w:tr>
            <w:tr w14:paraId="6584B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4DF6558">
                  <w:pPr>
                    <w:adjustRightInd w:val="0"/>
                    <w:snapToGrid w:val="0"/>
                    <w:jc w:val="center"/>
                    <w:rPr>
                      <w:rFonts w:eastAsia="附件"/>
                      <w:kern w:val="0"/>
                      <w:szCs w:val="21"/>
                    </w:rPr>
                  </w:pPr>
                  <w:r>
                    <w:rPr>
                      <w:rFonts w:eastAsia="附件"/>
                      <w:kern w:val="0"/>
                      <w:szCs w:val="21"/>
                    </w:rPr>
                    <w:t>46</w:t>
                  </w:r>
                </w:p>
              </w:tc>
              <w:tc>
                <w:tcPr>
                  <w:tcW w:w="1335" w:type="dxa"/>
                  <w:tcBorders>
                    <w:tl2br w:val="nil"/>
                    <w:tr2bl w:val="nil"/>
                  </w:tcBorders>
                  <w:vAlign w:val="center"/>
                </w:tcPr>
                <w:p w14:paraId="654FC971">
                  <w:pPr>
                    <w:widowControl/>
                    <w:jc w:val="center"/>
                    <w:rPr>
                      <w:rFonts w:eastAsia="附件"/>
                      <w:szCs w:val="21"/>
                    </w:rPr>
                  </w:pPr>
                  <w:r>
                    <w:rPr>
                      <w:kern w:val="0"/>
                      <w:szCs w:val="21"/>
                      <w:lang w:bidi="ar"/>
                    </w:rPr>
                    <w:t>苯并[b]荧蒽</w:t>
                  </w:r>
                </w:p>
              </w:tc>
              <w:tc>
                <w:tcPr>
                  <w:tcW w:w="1333" w:type="dxa"/>
                  <w:tcBorders>
                    <w:tl2br w:val="nil"/>
                    <w:tr2bl w:val="nil"/>
                  </w:tcBorders>
                  <w:vAlign w:val="center"/>
                </w:tcPr>
                <w:p w14:paraId="6C1BC738">
                  <w:pPr>
                    <w:jc w:val="center"/>
                    <w:rPr>
                      <w:szCs w:val="21"/>
                    </w:rPr>
                  </w:pPr>
                  <w:r>
                    <w:rPr>
                      <w:rFonts w:hint="eastAsia"/>
                      <w:bCs/>
                      <w:sz w:val="21"/>
                      <w:szCs w:val="21"/>
                      <w:lang w:val="en-US" w:eastAsia="zh-CN"/>
                    </w:rPr>
                    <w:t>*</w:t>
                  </w:r>
                </w:p>
              </w:tc>
              <w:tc>
                <w:tcPr>
                  <w:tcW w:w="1335" w:type="dxa"/>
                  <w:tcBorders>
                    <w:tl2br w:val="nil"/>
                    <w:tr2bl w:val="nil"/>
                  </w:tcBorders>
                  <w:vAlign w:val="center"/>
                </w:tcPr>
                <w:p w14:paraId="0B6FB6DF">
                  <w:pPr>
                    <w:widowControl/>
                    <w:adjustRightInd w:val="0"/>
                    <w:snapToGrid w:val="0"/>
                    <w:jc w:val="center"/>
                    <w:textAlignment w:val="center"/>
                    <w:rPr>
                      <w:rFonts w:eastAsia="附件"/>
                      <w:kern w:val="0"/>
                      <w:szCs w:val="21"/>
                    </w:rPr>
                  </w:pPr>
                  <w:r>
                    <w:rPr>
                      <w:rFonts w:eastAsia="附件"/>
                      <w:kern w:val="0"/>
                      <w:szCs w:val="21"/>
                    </w:rPr>
                    <w:t>5.5</w:t>
                  </w:r>
                </w:p>
              </w:tc>
              <w:tc>
                <w:tcPr>
                  <w:tcW w:w="1333" w:type="dxa"/>
                  <w:tcBorders>
                    <w:tl2br w:val="nil"/>
                    <w:tr2bl w:val="nil"/>
                  </w:tcBorders>
                  <w:vAlign w:val="center"/>
                </w:tcPr>
                <w:p w14:paraId="4B173F16">
                  <w:pPr>
                    <w:jc w:val="center"/>
                    <w:rPr>
                      <w:szCs w:val="21"/>
                    </w:rPr>
                  </w:pPr>
                  <w:r>
                    <w:rPr>
                      <w:rFonts w:eastAsia="附件"/>
                      <w:kern w:val="0"/>
                      <w:szCs w:val="21"/>
                    </w:rPr>
                    <w:t>/</w:t>
                  </w:r>
                </w:p>
              </w:tc>
              <w:tc>
                <w:tcPr>
                  <w:tcW w:w="1339" w:type="dxa"/>
                  <w:tcBorders>
                    <w:tl2br w:val="nil"/>
                    <w:tr2bl w:val="nil"/>
                  </w:tcBorders>
                  <w:vAlign w:val="center"/>
                </w:tcPr>
                <w:p w14:paraId="43AA0855">
                  <w:pPr>
                    <w:widowControl/>
                    <w:adjustRightInd w:val="0"/>
                    <w:snapToGrid w:val="0"/>
                    <w:jc w:val="center"/>
                    <w:textAlignment w:val="center"/>
                    <w:rPr>
                      <w:rFonts w:eastAsia="附件"/>
                      <w:kern w:val="0"/>
                      <w:szCs w:val="21"/>
                    </w:rPr>
                  </w:pPr>
                  <w:r>
                    <w:rPr>
                      <w:rFonts w:eastAsia="附件"/>
                      <w:kern w:val="0"/>
                      <w:szCs w:val="21"/>
                    </w:rPr>
                    <w:t>0</w:t>
                  </w:r>
                </w:p>
              </w:tc>
            </w:tr>
            <w:tr w14:paraId="5756E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4699BBA2">
                  <w:pPr>
                    <w:adjustRightInd w:val="0"/>
                    <w:snapToGrid w:val="0"/>
                    <w:jc w:val="center"/>
                    <w:rPr>
                      <w:rFonts w:eastAsia="附件"/>
                      <w:kern w:val="0"/>
                      <w:szCs w:val="21"/>
                    </w:rPr>
                  </w:pPr>
                  <w:r>
                    <w:rPr>
                      <w:rFonts w:eastAsia="附件"/>
                      <w:kern w:val="0"/>
                      <w:szCs w:val="21"/>
                    </w:rPr>
                    <w:t>47</w:t>
                  </w:r>
                </w:p>
              </w:tc>
              <w:tc>
                <w:tcPr>
                  <w:tcW w:w="1335" w:type="dxa"/>
                  <w:tcBorders>
                    <w:tl2br w:val="nil"/>
                    <w:tr2bl w:val="nil"/>
                  </w:tcBorders>
                  <w:vAlign w:val="center"/>
                </w:tcPr>
                <w:p w14:paraId="0971245B">
                  <w:pPr>
                    <w:widowControl/>
                    <w:jc w:val="center"/>
                    <w:rPr>
                      <w:rFonts w:eastAsia="附件"/>
                      <w:szCs w:val="21"/>
                    </w:rPr>
                  </w:pPr>
                  <w:r>
                    <w:rPr>
                      <w:kern w:val="0"/>
                      <w:szCs w:val="21"/>
                      <w:lang w:bidi="ar"/>
                    </w:rPr>
                    <w:t>苯并[k]荧蒽</w:t>
                  </w:r>
                </w:p>
              </w:tc>
              <w:tc>
                <w:tcPr>
                  <w:tcW w:w="1333" w:type="dxa"/>
                  <w:tcBorders>
                    <w:tl2br w:val="nil"/>
                    <w:tr2bl w:val="nil"/>
                  </w:tcBorders>
                  <w:vAlign w:val="center"/>
                </w:tcPr>
                <w:p w14:paraId="0C4163D7">
                  <w:pPr>
                    <w:jc w:val="center"/>
                    <w:rPr>
                      <w:szCs w:val="21"/>
                    </w:rPr>
                  </w:pPr>
                  <w:r>
                    <w:rPr>
                      <w:rFonts w:hint="eastAsia"/>
                      <w:bCs/>
                      <w:sz w:val="21"/>
                      <w:szCs w:val="21"/>
                      <w:lang w:val="en-US" w:eastAsia="zh-CN"/>
                    </w:rPr>
                    <w:t>*</w:t>
                  </w:r>
                </w:p>
              </w:tc>
              <w:tc>
                <w:tcPr>
                  <w:tcW w:w="1335" w:type="dxa"/>
                  <w:tcBorders>
                    <w:tl2br w:val="nil"/>
                    <w:tr2bl w:val="nil"/>
                  </w:tcBorders>
                  <w:vAlign w:val="center"/>
                </w:tcPr>
                <w:p w14:paraId="0125C0CA">
                  <w:pPr>
                    <w:widowControl/>
                    <w:adjustRightInd w:val="0"/>
                    <w:snapToGrid w:val="0"/>
                    <w:jc w:val="center"/>
                    <w:textAlignment w:val="center"/>
                    <w:rPr>
                      <w:rFonts w:eastAsia="附件"/>
                      <w:kern w:val="0"/>
                      <w:szCs w:val="21"/>
                    </w:rPr>
                  </w:pPr>
                  <w:r>
                    <w:rPr>
                      <w:rFonts w:eastAsia="附件"/>
                      <w:kern w:val="0"/>
                      <w:szCs w:val="21"/>
                    </w:rPr>
                    <w:t>55</w:t>
                  </w:r>
                </w:p>
              </w:tc>
              <w:tc>
                <w:tcPr>
                  <w:tcW w:w="1333" w:type="dxa"/>
                  <w:tcBorders>
                    <w:tl2br w:val="nil"/>
                    <w:tr2bl w:val="nil"/>
                  </w:tcBorders>
                  <w:vAlign w:val="center"/>
                </w:tcPr>
                <w:p w14:paraId="7D7C50C6">
                  <w:pPr>
                    <w:jc w:val="center"/>
                    <w:rPr>
                      <w:szCs w:val="21"/>
                    </w:rPr>
                  </w:pPr>
                  <w:r>
                    <w:rPr>
                      <w:rFonts w:eastAsia="附件"/>
                      <w:kern w:val="0"/>
                      <w:szCs w:val="21"/>
                    </w:rPr>
                    <w:t>/</w:t>
                  </w:r>
                </w:p>
              </w:tc>
              <w:tc>
                <w:tcPr>
                  <w:tcW w:w="1339" w:type="dxa"/>
                  <w:tcBorders>
                    <w:tl2br w:val="nil"/>
                    <w:tr2bl w:val="nil"/>
                  </w:tcBorders>
                  <w:vAlign w:val="center"/>
                </w:tcPr>
                <w:p w14:paraId="4B3056CF">
                  <w:pPr>
                    <w:widowControl/>
                    <w:adjustRightInd w:val="0"/>
                    <w:snapToGrid w:val="0"/>
                    <w:jc w:val="center"/>
                    <w:textAlignment w:val="center"/>
                    <w:rPr>
                      <w:rFonts w:eastAsia="附件"/>
                      <w:kern w:val="0"/>
                      <w:szCs w:val="21"/>
                    </w:rPr>
                  </w:pPr>
                  <w:r>
                    <w:rPr>
                      <w:rFonts w:eastAsia="附件"/>
                      <w:kern w:val="0"/>
                      <w:szCs w:val="21"/>
                    </w:rPr>
                    <w:t>0</w:t>
                  </w:r>
                </w:p>
              </w:tc>
            </w:tr>
            <w:tr w14:paraId="2A2CD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3C49A8E2">
                  <w:pPr>
                    <w:adjustRightInd w:val="0"/>
                    <w:snapToGrid w:val="0"/>
                    <w:jc w:val="center"/>
                    <w:rPr>
                      <w:rFonts w:eastAsia="附件"/>
                      <w:kern w:val="0"/>
                      <w:szCs w:val="21"/>
                    </w:rPr>
                  </w:pPr>
                  <w:r>
                    <w:rPr>
                      <w:rFonts w:eastAsia="附件"/>
                      <w:kern w:val="0"/>
                      <w:szCs w:val="21"/>
                    </w:rPr>
                    <w:t>48</w:t>
                  </w:r>
                </w:p>
              </w:tc>
              <w:tc>
                <w:tcPr>
                  <w:tcW w:w="1335" w:type="dxa"/>
                  <w:tcBorders>
                    <w:tl2br w:val="nil"/>
                    <w:tr2bl w:val="nil"/>
                  </w:tcBorders>
                  <w:vAlign w:val="center"/>
                </w:tcPr>
                <w:p w14:paraId="75B7DF5D">
                  <w:pPr>
                    <w:widowControl/>
                    <w:jc w:val="center"/>
                    <w:rPr>
                      <w:rFonts w:eastAsia="附件"/>
                      <w:szCs w:val="21"/>
                    </w:rPr>
                  </w:pPr>
                  <w:r>
                    <w:rPr>
                      <w:kern w:val="0"/>
                      <w:szCs w:val="21"/>
                      <w:lang w:bidi="ar"/>
                    </w:rPr>
                    <w:t>苯并[a]芘</w:t>
                  </w:r>
                </w:p>
              </w:tc>
              <w:tc>
                <w:tcPr>
                  <w:tcW w:w="1333" w:type="dxa"/>
                  <w:tcBorders>
                    <w:tl2br w:val="nil"/>
                    <w:tr2bl w:val="nil"/>
                  </w:tcBorders>
                  <w:vAlign w:val="center"/>
                </w:tcPr>
                <w:p w14:paraId="544233A7">
                  <w:pPr>
                    <w:jc w:val="center"/>
                    <w:rPr>
                      <w:szCs w:val="21"/>
                    </w:rPr>
                  </w:pPr>
                  <w:r>
                    <w:rPr>
                      <w:rFonts w:hint="eastAsia"/>
                      <w:bCs/>
                      <w:sz w:val="21"/>
                      <w:szCs w:val="21"/>
                      <w:lang w:val="en-US" w:eastAsia="zh-CN"/>
                    </w:rPr>
                    <w:t>*</w:t>
                  </w:r>
                </w:p>
              </w:tc>
              <w:tc>
                <w:tcPr>
                  <w:tcW w:w="1335" w:type="dxa"/>
                  <w:tcBorders>
                    <w:tl2br w:val="nil"/>
                    <w:tr2bl w:val="nil"/>
                  </w:tcBorders>
                  <w:vAlign w:val="center"/>
                </w:tcPr>
                <w:p w14:paraId="2EC5BB93">
                  <w:pPr>
                    <w:widowControl/>
                    <w:adjustRightInd w:val="0"/>
                    <w:snapToGrid w:val="0"/>
                    <w:jc w:val="center"/>
                    <w:textAlignment w:val="center"/>
                    <w:rPr>
                      <w:rFonts w:eastAsia="附件"/>
                      <w:kern w:val="0"/>
                      <w:szCs w:val="21"/>
                    </w:rPr>
                  </w:pPr>
                  <w:r>
                    <w:rPr>
                      <w:rFonts w:eastAsia="附件"/>
                      <w:kern w:val="0"/>
                      <w:szCs w:val="21"/>
                    </w:rPr>
                    <w:t>0.55</w:t>
                  </w:r>
                </w:p>
              </w:tc>
              <w:tc>
                <w:tcPr>
                  <w:tcW w:w="1333" w:type="dxa"/>
                  <w:tcBorders>
                    <w:tl2br w:val="nil"/>
                    <w:tr2bl w:val="nil"/>
                  </w:tcBorders>
                  <w:vAlign w:val="center"/>
                </w:tcPr>
                <w:p w14:paraId="35CF0262">
                  <w:pPr>
                    <w:jc w:val="center"/>
                    <w:rPr>
                      <w:szCs w:val="21"/>
                    </w:rPr>
                  </w:pPr>
                  <w:r>
                    <w:rPr>
                      <w:rFonts w:eastAsia="附件"/>
                      <w:kern w:val="0"/>
                      <w:szCs w:val="21"/>
                    </w:rPr>
                    <w:t>/</w:t>
                  </w:r>
                </w:p>
              </w:tc>
              <w:tc>
                <w:tcPr>
                  <w:tcW w:w="1339" w:type="dxa"/>
                  <w:tcBorders>
                    <w:tl2br w:val="nil"/>
                    <w:tr2bl w:val="nil"/>
                  </w:tcBorders>
                  <w:vAlign w:val="center"/>
                </w:tcPr>
                <w:p w14:paraId="3EE045CD">
                  <w:pPr>
                    <w:widowControl/>
                    <w:adjustRightInd w:val="0"/>
                    <w:snapToGrid w:val="0"/>
                    <w:jc w:val="center"/>
                    <w:textAlignment w:val="center"/>
                    <w:rPr>
                      <w:rFonts w:eastAsia="附件"/>
                      <w:kern w:val="0"/>
                      <w:szCs w:val="21"/>
                    </w:rPr>
                  </w:pPr>
                  <w:r>
                    <w:rPr>
                      <w:rFonts w:eastAsia="附件"/>
                      <w:kern w:val="0"/>
                      <w:szCs w:val="21"/>
                    </w:rPr>
                    <w:t>0</w:t>
                  </w:r>
                </w:p>
              </w:tc>
            </w:tr>
            <w:tr w14:paraId="5B57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14:paraId="1AEA2B54">
                  <w:pPr>
                    <w:adjustRightInd w:val="0"/>
                    <w:snapToGrid w:val="0"/>
                    <w:jc w:val="center"/>
                    <w:rPr>
                      <w:rFonts w:eastAsia="附件"/>
                      <w:kern w:val="0"/>
                      <w:szCs w:val="21"/>
                    </w:rPr>
                  </w:pPr>
                  <w:r>
                    <w:rPr>
                      <w:rFonts w:eastAsia="附件"/>
                      <w:kern w:val="0"/>
                      <w:szCs w:val="21"/>
                    </w:rPr>
                    <w:t>49</w:t>
                  </w:r>
                </w:p>
              </w:tc>
              <w:tc>
                <w:tcPr>
                  <w:tcW w:w="1335" w:type="dxa"/>
                  <w:tcBorders>
                    <w:tl2br w:val="nil"/>
                    <w:tr2bl w:val="nil"/>
                  </w:tcBorders>
                  <w:vAlign w:val="center"/>
                </w:tcPr>
                <w:p w14:paraId="643702DA">
                  <w:pPr>
                    <w:widowControl/>
                    <w:jc w:val="center"/>
                    <w:rPr>
                      <w:rFonts w:eastAsia="附件"/>
                      <w:szCs w:val="21"/>
                    </w:rPr>
                  </w:pPr>
                  <w:r>
                    <w:rPr>
                      <w:kern w:val="0"/>
                      <w:szCs w:val="21"/>
                      <w:lang w:bidi="ar"/>
                    </w:rPr>
                    <w:t>茚并[1,2,3-cd]芘</w:t>
                  </w:r>
                </w:p>
              </w:tc>
              <w:tc>
                <w:tcPr>
                  <w:tcW w:w="1333" w:type="dxa"/>
                  <w:tcBorders>
                    <w:tl2br w:val="nil"/>
                    <w:tr2bl w:val="nil"/>
                  </w:tcBorders>
                  <w:vAlign w:val="center"/>
                </w:tcPr>
                <w:p w14:paraId="15B89A5C">
                  <w:pPr>
                    <w:jc w:val="center"/>
                    <w:rPr>
                      <w:szCs w:val="21"/>
                    </w:rPr>
                  </w:pPr>
                  <w:r>
                    <w:rPr>
                      <w:rFonts w:hint="eastAsia"/>
                      <w:bCs/>
                      <w:sz w:val="21"/>
                      <w:szCs w:val="21"/>
                      <w:lang w:val="en-US" w:eastAsia="zh-CN"/>
                    </w:rPr>
                    <w:t>*</w:t>
                  </w:r>
                </w:p>
              </w:tc>
              <w:tc>
                <w:tcPr>
                  <w:tcW w:w="1335" w:type="dxa"/>
                  <w:tcBorders>
                    <w:tl2br w:val="nil"/>
                    <w:tr2bl w:val="nil"/>
                  </w:tcBorders>
                  <w:vAlign w:val="center"/>
                </w:tcPr>
                <w:p w14:paraId="1B04B71D">
                  <w:pPr>
                    <w:widowControl/>
                    <w:adjustRightInd w:val="0"/>
                    <w:snapToGrid w:val="0"/>
                    <w:jc w:val="center"/>
                    <w:textAlignment w:val="center"/>
                    <w:rPr>
                      <w:rFonts w:eastAsia="附件"/>
                      <w:kern w:val="0"/>
                      <w:szCs w:val="21"/>
                    </w:rPr>
                  </w:pPr>
                  <w:r>
                    <w:rPr>
                      <w:rFonts w:eastAsia="附件"/>
                      <w:kern w:val="0"/>
                      <w:szCs w:val="21"/>
                    </w:rPr>
                    <w:t>5.5</w:t>
                  </w:r>
                </w:p>
              </w:tc>
              <w:tc>
                <w:tcPr>
                  <w:tcW w:w="1333" w:type="dxa"/>
                  <w:tcBorders>
                    <w:tl2br w:val="nil"/>
                    <w:tr2bl w:val="nil"/>
                  </w:tcBorders>
                  <w:vAlign w:val="center"/>
                </w:tcPr>
                <w:p w14:paraId="729DEE55">
                  <w:pPr>
                    <w:jc w:val="center"/>
                    <w:rPr>
                      <w:szCs w:val="21"/>
                    </w:rPr>
                  </w:pPr>
                  <w:r>
                    <w:rPr>
                      <w:rFonts w:eastAsia="附件"/>
                      <w:kern w:val="0"/>
                      <w:szCs w:val="21"/>
                    </w:rPr>
                    <w:t>/</w:t>
                  </w:r>
                </w:p>
              </w:tc>
              <w:tc>
                <w:tcPr>
                  <w:tcW w:w="1339" w:type="dxa"/>
                  <w:tcBorders>
                    <w:tl2br w:val="nil"/>
                    <w:tr2bl w:val="nil"/>
                  </w:tcBorders>
                  <w:vAlign w:val="center"/>
                </w:tcPr>
                <w:p w14:paraId="418FF8B4">
                  <w:pPr>
                    <w:widowControl/>
                    <w:adjustRightInd w:val="0"/>
                    <w:snapToGrid w:val="0"/>
                    <w:jc w:val="center"/>
                    <w:textAlignment w:val="center"/>
                    <w:rPr>
                      <w:rFonts w:eastAsia="附件"/>
                      <w:kern w:val="0"/>
                      <w:szCs w:val="21"/>
                    </w:rPr>
                  </w:pPr>
                  <w:r>
                    <w:rPr>
                      <w:rFonts w:eastAsia="附件"/>
                      <w:kern w:val="0"/>
                      <w:szCs w:val="21"/>
                    </w:rPr>
                    <w:t>0</w:t>
                  </w:r>
                </w:p>
              </w:tc>
            </w:tr>
            <w:tr w14:paraId="3A351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14:paraId="137839BB">
                  <w:pPr>
                    <w:adjustRightInd w:val="0"/>
                    <w:snapToGrid w:val="0"/>
                    <w:jc w:val="center"/>
                    <w:rPr>
                      <w:rFonts w:eastAsia="附件"/>
                      <w:kern w:val="0"/>
                      <w:szCs w:val="21"/>
                    </w:rPr>
                  </w:pPr>
                  <w:r>
                    <w:rPr>
                      <w:rFonts w:hint="eastAsia" w:eastAsia="附件"/>
                      <w:kern w:val="0"/>
                      <w:szCs w:val="21"/>
                    </w:rPr>
                    <w:t>50</w:t>
                  </w:r>
                </w:p>
              </w:tc>
              <w:tc>
                <w:tcPr>
                  <w:tcW w:w="1335" w:type="dxa"/>
                  <w:tcBorders>
                    <w:tl2br w:val="nil"/>
                    <w:tr2bl w:val="nil"/>
                  </w:tcBorders>
                  <w:vAlign w:val="center"/>
                </w:tcPr>
                <w:p w14:paraId="2EC43523">
                  <w:pPr>
                    <w:widowControl/>
                    <w:jc w:val="center"/>
                    <w:rPr>
                      <w:rFonts w:eastAsia="附件"/>
                      <w:szCs w:val="21"/>
                    </w:rPr>
                  </w:pPr>
                  <w:r>
                    <w:rPr>
                      <w:kern w:val="0"/>
                      <w:szCs w:val="21"/>
                      <w:lang w:bidi="ar"/>
                    </w:rPr>
                    <w:t>二苯并[a,h]蒽</w:t>
                  </w:r>
                </w:p>
              </w:tc>
              <w:tc>
                <w:tcPr>
                  <w:tcW w:w="1333" w:type="dxa"/>
                  <w:tcBorders>
                    <w:tl2br w:val="nil"/>
                    <w:tr2bl w:val="nil"/>
                  </w:tcBorders>
                  <w:vAlign w:val="center"/>
                </w:tcPr>
                <w:p w14:paraId="65D8E982">
                  <w:pPr>
                    <w:jc w:val="center"/>
                    <w:rPr>
                      <w:szCs w:val="21"/>
                    </w:rPr>
                  </w:pPr>
                  <w:r>
                    <w:rPr>
                      <w:rFonts w:hint="eastAsia"/>
                      <w:bCs/>
                      <w:sz w:val="21"/>
                      <w:szCs w:val="21"/>
                      <w:lang w:val="en-US" w:eastAsia="zh-CN"/>
                    </w:rPr>
                    <w:t>*</w:t>
                  </w:r>
                </w:p>
              </w:tc>
              <w:tc>
                <w:tcPr>
                  <w:tcW w:w="1335" w:type="dxa"/>
                  <w:tcBorders>
                    <w:tl2br w:val="nil"/>
                    <w:tr2bl w:val="nil"/>
                  </w:tcBorders>
                  <w:vAlign w:val="center"/>
                </w:tcPr>
                <w:p w14:paraId="5ABD587B">
                  <w:pPr>
                    <w:widowControl/>
                    <w:adjustRightInd w:val="0"/>
                    <w:snapToGrid w:val="0"/>
                    <w:jc w:val="center"/>
                    <w:textAlignment w:val="center"/>
                    <w:rPr>
                      <w:rFonts w:eastAsia="附件"/>
                      <w:kern w:val="0"/>
                      <w:szCs w:val="21"/>
                    </w:rPr>
                  </w:pPr>
                  <w:r>
                    <w:rPr>
                      <w:rFonts w:eastAsia="附件"/>
                      <w:kern w:val="0"/>
                      <w:szCs w:val="21"/>
                    </w:rPr>
                    <w:t>0.55</w:t>
                  </w:r>
                </w:p>
              </w:tc>
              <w:tc>
                <w:tcPr>
                  <w:tcW w:w="1333" w:type="dxa"/>
                  <w:tcBorders>
                    <w:tl2br w:val="nil"/>
                    <w:tr2bl w:val="nil"/>
                  </w:tcBorders>
                  <w:vAlign w:val="center"/>
                </w:tcPr>
                <w:p w14:paraId="2C24A9BF">
                  <w:pPr>
                    <w:jc w:val="center"/>
                    <w:rPr>
                      <w:szCs w:val="21"/>
                    </w:rPr>
                  </w:pPr>
                  <w:r>
                    <w:rPr>
                      <w:rFonts w:eastAsia="附件"/>
                      <w:kern w:val="0"/>
                      <w:szCs w:val="21"/>
                    </w:rPr>
                    <w:t>/</w:t>
                  </w:r>
                </w:p>
              </w:tc>
              <w:tc>
                <w:tcPr>
                  <w:tcW w:w="1339" w:type="dxa"/>
                  <w:tcBorders>
                    <w:tl2br w:val="nil"/>
                    <w:tr2bl w:val="nil"/>
                  </w:tcBorders>
                  <w:vAlign w:val="center"/>
                </w:tcPr>
                <w:p w14:paraId="62B7CC39">
                  <w:pPr>
                    <w:widowControl/>
                    <w:adjustRightInd w:val="0"/>
                    <w:snapToGrid w:val="0"/>
                    <w:jc w:val="center"/>
                    <w:textAlignment w:val="center"/>
                    <w:rPr>
                      <w:rFonts w:eastAsia="附件"/>
                      <w:kern w:val="0"/>
                      <w:szCs w:val="21"/>
                    </w:rPr>
                  </w:pPr>
                  <w:r>
                    <w:rPr>
                      <w:rFonts w:eastAsia="附件"/>
                      <w:kern w:val="0"/>
                      <w:szCs w:val="21"/>
                    </w:rPr>
                    <w:t>0</w:t>
                  </w:r>
                </w:p>
              </w:tc>
            </w:tr>
            <w:tr w14:paraId="1FDBE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007" w:type="dxa"/>
                  <w:gridSpan w:val="6"/>
                  <w:tcBorders>
                    <w:tl2br w:val="nil"/>
                    <w:tr2bl w:val="nil"/>
                  </w:tcBorders>
                  <w:vAlign w:val="center"/>
                </w:tcPr>
                <w:p w14:paraId="1479A592">
                  <w:pPr>
                    <w:widowControl/>
                    <w:adjustRightInd w:val="0"/>
                    <w:snapToGrid w:val="0"/>
                    <w:textAlignment w:val="center"/>
                    <w:rPr>
                      <w:rFonts w:eastAsia="附件"/>
                      <w:kern w:val="0"/>
                      <w:szCs w:val="21"/>
                    </w:rPr>
                  </w:pPr>
                  <w:r>
                    <w:rPr>
                      <w:rFonts w:eastAsia="附件"/>
                      <w:kern w:val="0"/>
                      <w:szCs w:val="21"/>
                    </w:rPr>
                    <w:t>S4执行《土壤环境质量 建设用地土壤污染风险管控标准（试行）》（GB36600-2018）第二类用地筛选值。</w:t>
                  </w:r>
                </w:p>
              </w:tc>
            </w:tr>
          </w:tbl>
          <w:p w14:paraId="5DEC9DE3">
            <w:pPr>
              <w:spacing w:line="360" w:lineRule="auto"/>
              <w:ind w:firstLine="480" w:firstLineChars="200"/>
              <w:rPr>
                <w:kern w:val="0"/>
                <w:szCs w:val="21"/>
              </w:rPr>
            </w:pPr>
            <w:r>
              <w:rPr>
                <w:rFonts w:eastAsia="附件"/>
                <w:sz w:val="24"/>
              </w:rPr>
              <w:t>从监测结果分析，各样点土壤环境质量良好，</w:t>
            </w:r>
            <w:r>
              <w:rPr>
                <w:rFonts w:hint="eastAsia" w:eastAsia="附件"/>
                <w:sz w:val="24"/>
              </w:rPr>
              <w:t>S5、S6</w:t>
            </w:r>
            <w:r>
              <w:rPr>
                <w:rFonts w:eastAsia="附件"/>
                <w:sz w:val="24"/>
              </w:rPr>
              <w:t>各项监测指标均可达到《土壤环境质量</w:t>
            </w:r>
            <w:r>
              <w:rPr>
                <w:rFonts w:hint="eastAsia" w:eastAsia="附件"/>
                <w:sz w:val="24"/>
              </w:rPr>
              <w:t xml:space="preserve"> </w:t>
            </w:r>
            <w:r>
              <w:rPr>
                <w:rFonts w:eastAsia="附件"/>
                <w:sz w:val="24"/>
              </w:rPr>
              <w:t>农用地土壤污染风险管控标准（试行）》（GB15618-2018）筛选值，</w:t>
            </w:r>
            <w:r>
              <w:rPr>
                <w:rFonts w:hint="eastAsia" w:eastAsia="附件"/>
                <w:sz w:val="24"/>
              </w:rPr>
              <w:t>S1、S2、S3、S4各项监测指标均可满足</w:t>
            </w:r>
            <w:r>
              <w:rPr>
                <w:rFonts w:eastAsia="附件"/>
                <w:sz w:val="24"/>
              </w:rPr>
              <w:t>《土壤环境质量建设用地土壤污染风险管控标准（试行）》（GB36600-2018）第二类用地筛选值。</w:t>
            </w:r>
          </w:p>
        </w:tc>
      </w:tr>
      <w:tr w14:paraId="59A3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0206AB9E">
            <w:pPr>
              <w:adjustRightInd w:val="0"/>
              <w:snapToGrid w:val="0"/>
              <w:jc w:val="center"/>
              <w:rPr>
                <w:kern w:val="0"/>
                <w:szCs w:val="21"/>
              </w:rPr>
            </w:pPr>
            <w:r>
              <w:rPr>
                <w:bCs/>
                <w:szCs w:val="21"/>
              </w:rPr>
              <w:t>与项目有关的原有环境污染和生态破坏问题</w:t>
            </w:r>
          </w:p>
        </w:tc>
        <w:tc>
          <w:tcPr>
            <w:tcW w:w="8253" w:type="dxa"/>
            <w:vAlign w:val="center"/>
          </w:tcPr>
          <w:p w14:paraId="777FF789">
            <w:pPr>
              <w:spacing w:line="360" w:lineRule="auto"/>
              <w:ind w:firstLine="480" w:firstLineChars="200"/>
              <w:rPr>
                <w:kern w:val="0"/>
                <w:sz w:val="24"/>
              </w:rPr>
            </w:pPr>
            <w:r>
              <w:rPr>
                <w:kern w:val="0"/>
                <w:sz w:val="24"/>
              </w:rPr>
              <w:t>无</w:t>
            </w:r>
          </w:p>
        </w:tc>
      </w:tr>
      <w:tr w14:paraId="11F16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1511576B">
            <w:pPr>
              <w:adjustRightInd w:val="0"/>
              <w:snapToGrid w:val="0"/>
              <w:jc w:val="center"/>
              <w:rPr>
                <w:kern w:val="0"/>
                <w:szCs w:val="21"/>
              </w:rPr>
            </w:pPr>
            <w:r>
              <w:rPr>
                <w:kern w:val="0"/>
                <w:szCs w:val="21"/>
              </w:rPr>
              <w:t>生态环境保护目标</w:t>
            </w:r>
          </w:p>
        </w:tc>
        <w:tc>
          <w:tcPr>
            <w:tcW w:w="8253" w:type="dxa"/>
            <w:vAlign w:val="center"/>
          </w:tcPr>
          <w:p w14:paraId="156FB051">
            <w:pPr>
              <w:adjustRightInd w:val="0"/>
              <w:snapToGrid w:val="0"/>
              <w:spacing w:line="360" w:lineRule="auto"/>
              <w:rPr>
                <w:b/>
                <w:bCs/>
                <w:kern w:val="0"/>
                <w:sz w:val="24"/>
              </w:rPr>
            </w:pPr>
            <w:r>
              <w:rPr>
                <w:b/>
                <w:bCs/>
                <w:kern w:val="0"/>
                <w:sz w:val="24"/>
              </w:rPr>
              <w:t>3.4项目外环境关系</w:t>
            </w:r>
          </w:p>
          <w:p w14:paraId="7485AA8C">
            <w:pPr>
              <w:spacing w:line="360" w:lineRule="auto"/>
              <w:rPr>
                <w:b/>
                <w:sz w:val="24"/>
              </w:rPr>
            </w:pPr>
            <w:bookmarkStart w:id="26" w:name="_Hlk69131030"/>
            <w:r>
              <w:rPr>
                <w:b/>
                <w:sz w:val="24"/>
              </w:rPr>
              <w:t>3.4.1外环境关系</w:t>
            </w:r>
          </w:p>
          <w:p w14:paraId="47CE74AC">
            <w:pPr>
              <w:spacing w:line="360" w:lineRule="auto"/>
              <w:ind w:firstLine="480" w:firstLineChars="200"/>
              <w:rPr>
                <w:bCs/>
                <w:sz w:val="24"/>
              </w:rPr>
            </w:pPr>
            <w:bookmarkStart w:id="27" w:name="_Hlk80691296"/>
            <w:r>
              <w:rPr>
                <w:bCs/>
                <w:sz w:val="24"/>
              </w:rPr>
              <w:t>1、项目井场周边外环境简况</w:t>
            </w:r>
          </w:p>
          <w:p w14:paraId="3FD17E53">
            <w:pPr>
              <w:spacing w:line="360" w:lineRule="auto"/>
              <w:ind w:firstLine="480" w:firstLineChars="200"/>
              <w:rPr>
                <w:bCs/>
                <w:sz w:val="24"/>
              </w:rPr>
            </w:pPr>
            <w:bookmarkStart w:id="28" w:name="_Hlk86168389"/>
            <w:r>
              <w:rPr>
                <w:rFonts w:hint="eastAsia"/>
                <w:bCs/>
                <w:sz w:val="24"/>
              </w:rPr>
              <w:t>双庙页1HF井</w:t>
            </w:r>
            <w:r>
              <w:rPr>
                <w:bCs/>
                <w:sz w:val="24"/>
              </w:rPr>
              <w:t>位于</w:t>
            </w:r>
            <w:r>
              <w:rPr>
                <w:rFonts w:hint="eastAsia"/>
                <w:bCs/>
                <w:sz w:val="24"/>
              </w:rPr>
              <w:t>达州市宣汉县君塘镇界湾村</w:t>
            </w:r>
            <w:r>
              <w:rPr>
                <w:bCs/>
                <w:sz w:val="24"/>
              </w:rPr>
              <w:t>，井场区域地貌为丘陵，井场沿</w:t>
            </w:r>
            <w:r>
              <w:rPr>
                <w:rFonts w:hint="eastAsia"/>
                <w:bCs/>
                <w:sz w:val="24"/>
              </w:rPr>
              <w:t>北</w:t>
            </w:r>
            <w:r>
              <w:rPr>
                <w:bCs/>
                <w:sz w:val="24"/>
              </w:rPr>
              <w:t>－</w:t>
            </w:r>
            <w:r>
              <w:rPr>
                <w:rFonts w:hint="eastAsia"/>
                <w:bCs/>
                <w:sz w:val="24"/>
              </w:rPr>
              <w:t>南</w:t>
            </w:r>
            <w:r>
              <w:rPr>
                <w:bCs/>
                <w:sz w:val="24"/>
              </w:rPr>
              <w:t>向摆放。</w:t>
            </w:r>
          </w:p>
          <w:p w14:paraId="0300C2C5">
            <w:pPr>
              <w:spacing w:line="360" w:lineRule="auto"/>
              <w:ind w:firstLine="480" w:firstLineChars="200"/>
              <w:rPr>
                <w:sz w:val="24"/>
              </w:rPr>
            </w:pPr>
            <w:r>
              <w:rPr>
                <w:bCs/>
                <w:sz w:val="24"/>
              </w:rPr>
              <w:t>根据现场调查可知：</w:t>
            </w:r>
            <w:r>
              <w:rPr>
                <w:sz w:val="24"/>
              </w:rPr>
              <w:t>井口500m范围内无铁路、无建制学校、高速公路、场镇、医院，煤矿；无大型厂矿、油库以及风景名胜区等。</w:t>
            </w:r>
            <w:bookmarkEnd w:id="28"/>
          </w:p>
          <w:p w14:paraId="09F817F6">
            <w:pPr>
              <w:spacing w:line="360" w:lineRule="auto"/>
              <w:ind w:firstLine="480" w:firstLineChars="200"/>
              <w:rPr>
                <w:sz w:val="24"/>
              </w:rPr>
            </w:pPr>
            <w:r>
              <w:rPr>
                <w:sz w:val="24"/>
              </w:rPr>
              <w:t>2、井场周边人居现状</w:t>
            </w:r>
          </w:p>
          <w:p w14:paraId="648FD7F7">
            <w:pPr>
              <w:pStyle w:val="215"/>
              <w:rPr>
                <w:rFonts w:ascii="Times New Roman" w:hAnsi="Times New Roman" w:cs="Times New Roman"/>
                <w:szCs w:val="24"/>
              </w:rPr>
            </w:pPr>
            <w:bookmarkStart w:id="29" w:name="_Hlk86168401"/>
            <w:r>
              <w:rPr>
                <w:rFonts w:ascii="Times New Roman" w:hAnsi="Times New Roman" w:cs="Times New Roman"/>
                <w:szCs w:val="24"/>
              </w:rPr>
              <w:t>井口方圆500m范围内共计人口</w:t>
            </w:r>
            <w:r>
              <w:rPr>
                <w:rFonts w:hint="eastAsia" w:ascii="Times New Roman" w:hAnsi="Times New Roman" w:cs="Times New Roman"/>
                <w:szCs w:val="24"/>
              </w:rPr>
              <w:t>82</w:t>
            </w:r>
            <w:r>
              <w:rPr>
                <w:rFonts w:ascii="Times New Roman" w:hAnsi="Times New Roman" w:cs="Times New Roman"/>
                <w:szCs w:val="24"/>
              </w:rPr>
              <w:t>人。</w:t>
            </w:r>
            <w:r>
              <w:rPr>
                <w:rFonts w:hint="eastAsia" w:ascii="Times New Roman" w:hAnsi="Times New Roman" w:cs="Times New Roman"/>
                <w:szCs w:val="24"/>
              </w:rPr>
              <w:t>井口100m范围内无居民分布，</w:t>
            </w:r>
            <w:r>
              <w:rPr>
                <w:rFonts w:ascii="Times New Roman" w:hAnsi="Times New Roman" w:cs="Times New Roman"/>
                <w:szCs w:val="24"/>
              </w:rPr>
              <w:t>井口200m范围内共</w:t>
            </w:r>
            <w:r>
              <w:rPr>
                <w:rFonts w:hint="eastAsia" w:ascii="Times New Roman" w:hAnsi="Times New Roman" w:cs="Times New Roman"/>
                <w:szCs w:val="24"/>
              </w:rPr>
              <w:t>1处</w:t>
            </w:r>
            <w:r>
              <w:rPr>
                <w:rFonts w:ascii="Times New Roman" w:hAnsi="Times New Roman" w:cs="Times New Roman"/>
                <w:szCs w:val="24"/>
              </w:rPr>
              <w:t>居民</w:t>
            </w:r>
            <w:bookmarkEnd w:id="29"/>
            <w:r>
              <w:rPr>
                <w:rFonts w:ascii="Times New Roman" w:hAnsi="Times New Roman" w:cs="Times New Roman"/>
                <w:szCs w:val="24"/>
              </w:rPr>
              <w:t>，共计</w:t>
            </w:r>
            <w:r>
              <w:rPr>
                <w:rFonts w:hint="eastAsia" w:ascii="Times New Roman" w:hAnsi="Times New Roman" w:cs="Times New Roman"/>
                <w:szCs w:val="24"/>
              </w:rPr>
              <w:t>4</w:t>
            </w:r>
            <w:r>
              <w:rPr>
                <w:rFonts w:ascii="Times New Roman" w:hAnsi="Times New Roman" w:cs="Times New Roman"/>
                <w:szCs w:val="24"/>
              </w:rPr>
              <w:t>人，井口200～300m范围内居民人数约</w:t>
            </w:r>
            <w:r>
              <w:rPr>
                <w:rFonts w:hint="eastAsia" w:ascii="Times New Roman" w:hAnsi="Times New Roman" w:cs="Times New Roman"/>
                <w:szCs w:val="24"/>
              </w:rPr>
              <w:t>3</w:t>
            </w:r>
            <w:r>
              <w:rPr>
                <w:rFonts w:ascii="Times New Roman" w:hAnsi="Times New Roman" w:cs="Times New Roman"/>
                <w:szCs w:val="24"/>
              </w:rPr>
              <w:t>人，300～500m范围内居民人数约</w:t>
            </w:r>
            <w:r>
              <w:rPr>
                <w:rFonts w:hint="eastAsia" w:ascii="Times New Roman" w:hAnsi="Times New Roman" w:cs="Times New Roman"/>
                <w:szCs w:val="24"/>
              </w:rPr>
              <w:t>75</w:t>
            </w:r>
            <w:r>
              <w:rPr>
                <w:rFonts w:ascii="Times New Roman" w:hAnsi="Times New Roman" w:cs="Times New Roman"/>
                <w:szCs w:val="24"/>
              </w:rPr>
              <w:t>人。</w:t>
            </w:r>
          </w:p>
          <w:p w14:paraId="441C28B0">
            <w:pPr>
              <w:spacing w:line="360" w:lineRule="auto"/>
              <w:ind w:firstLine="480" w:firstLineChars="200"/>
              <w:rPr>
                <w:sz w:val="24"/>
              </w:rPr>
            </w:pPr>
            <w:r>
              <w:rPr>
                <w:sz w:val="24"/>
              </w:rPr>
              <w:t>3、井场周边地表水现状</w:t>
            </w:r>
          </w:p>
          <w:p w14:paraId="0341E9D2">
            <w:pPr>
              <w:spacing w:line="360" w:lineRule="auto"/>
              <w:ind w:firstLine="480" w:firstLineChars="200"/>
              <w:rPr>
                <w:sz w:val="24"/>
              </w:rPr>
            </w:pPr>
            <w:r>
              <w:rPr>
                <w:sz w:val="24"/>
              </w:rPr>
              <w:t>井场所在地及周边地貌主要为旱地、水田，通过现场调查</w:t>
            </w:r>
            <w:bookmarkStart w:id="30" w:name="_Hlk103759370"/>
            <w:r>
              <w:rPr>
                <w:sz w:val="24"/>
              </w:rPr>
              <w:t>。井场</w:t>
            </w:r>
            <w:r>
              <w:rPr>
                <w:rFonts w:hint="eastAsia"/>
                <w:sz w:val="24"/>
              </w:rPr>
              <w:t>西侧</w:t>
            </w:r>
            <w:r>
              <w:rPr>
                <w:sz w:val="24"/>
              </w:rPr>
              <w:t>约</w:t>
            </w:r>
            <w:r>
              <w:rPr>
                <w:rFonts w:hint="eastAsia"/>
                <w:sz w:val="24"/>
              </w:rPr>
              <w:t>2.7</w:t>
            </w:r>
            <w:r>
              <w:rPr>
                <w:sz w:val="24"/>
              </w:rPr>
              <w:t>km为</w:t>
            </w:r>
            <w:r>
              <w:rPr>
                <w:rFonts w:hint="eastAsia"/>
                <w:sz w:val="24"/>
              </w:rPr>
              <w:t>魏家河</w:t>
            </w:r>
            <w:r>
              <w:rPr>
                <w:sz w:val="24"/>
              </w:rPr>
              <w:t>，本项目与</w:t>
            </w:r>
            <w:r>
              <w:rPr>
                <w:rFonts w:hint="eastAsia"/>
                <w:sz w:val="24"/>
              </w:rPr>
              <w:t>魏家河</w:t>
            </w:r>
            <w:r>
              <w:rPr>
                <w:rFonts w:hint="eastAsia"/>
                <w:sz w:val="24"/>
                <w:lang w:val="en-US" w:eastAsia="zh-CN"/>
              </w:rPr>
              <w:t>无</w:t>
            </w:r>
            <w:r>
              <w:rPr>
                <w:rFonts w:hint="eastAsia"/>
                <w:sz w:val="24"/>
              </w:rPr>
              <w:t>直接</w:t>
            </w:r>
            <w:r>
              <w:rPr>
                <w:sz w:val="24"/>
              </w:rPr>
              <w:t>无水力联系</w:t>
            </w:r>
            <w:r>
              <w:rPr>
                <w:rFonts w:hint="eastAsia"/>
                <w:sz w:val="24"/>
              </w:rPr>
              <w:t>，井场南侧存在一无名溪沟，从东向西流入魏家河，最终汇入州河</w:t>
            </w:r>
            <w:r>
              <w:rPr>
                <w:sz w:val="24"/>
              </w:rPr>
              <w:t>，井口500m范围内无大型河流、水库等。经调查核实，项目</w:t>
            </w:r>
            <w:r>
              <w:rPr>
                <w:rFonts w:hint="eastAsia"/>
                <w:sz w:val="24"/>
              </w:rPr>
              <w:t>占地范围</w:t>
            </w:r>
            <w:bookmarkEnd w:id="30"/>
            <w:r>
              <w:rPr>
                <w:rFonts w:hint="eastAsia"/>
                <w:sz w:val="24"/>
                <w:lang w:val="en-US" w:eastAsia="zh-CN"/>
              </w:rPr>
              <w:t>距离罗江饮用水源保护一级保护区陆域范围约2.5km，距离罗江饮用水源保护二级保护区陆域范围约2.2km，距离罗江饮用水源保护区准保护区约1.5km，且本项目汇水方向为西南侧，最终汇入点位于罗江饮用水源保护区下游，因此本项目不涉及集中式饮用水源保护区</w:t>
            </w:r>
            <w:r>
              <w:rPr>
                <w:sz w:val="24"/>
              </w:rPr>
              <w:t>。</w:t>
            </w:r>
          </w:p>
          <w:p w14:paraId="7774471B">
            <w:pPr>
              <w:spacing w:line="360" w:lineRule="auto"/>
              <w:ind w:firstLine="480" w:firstLineChars="200"/>
              <w:rPr>
                <w:sz w:val="24"/>
              </w:rPr>
            </w:pPr>
            <w:r>
              <w:rPr>
                <w:sz w:val="24"/>
              </w:rPr>
              <w:t>4、项目周边农户饮用水源现状</w:t>
            </w:r>
          </w:p>
          <w:p w14:paraId="217202C7">
            <w:pPr>
              <w:spacing w:line="360" w:lineRule="auto"/>
              <w:ind w:firstLine="480" w:firstLineChars="200"/>
              <w:textAlignment w:val="baseline"/>
              <w:rPr>
                <w:sz w:val="24"/>
              </w:rPr>
            </w:pPr>
            <w:bookmarkStart w:id="31" w:name="_Hlk103759510"/>
            <w:r>
              <w:rPr>
                <w:sz w:val="24"/>
              </w:rPr>
              <w:t>本项目地处农村环境，经</w:t>
            </w:r>
            <w:r>
              <w:rPr>
                <w:kern w:val="0"/>
                <w:sz w:val="24"/>
              </w:rPr>
              <w:t>调查，</w:t>
            </w:r>
            <w:r>
              <w:rPr>
                <w:sz w:val="24"/>
              </w:rPr>
              <w:t>当地农户主要以自来水作为生活饮用水和生产用水，周边遗留部分自打水井，作为生活辅助用水，取水层位为潜水含水层，地下水类型为基岩裂隙水</w:t>
            </w:r>
            <w:bookmarkEnd w:id="31"/>
            <w:r>
              <w:rPr>
                <w:sz w:val="24"/>
              </w:rPr>
              <w:t>，含水层厚度一般为15～30m，因此本项目地下水环境保护目标为井场周边存在的分散式饮用水水源。</w:t>
            </w:r>
          </w:p>
          <w:p w14:paraId="278A8E36">
            <w:pPr>
              <w:spacing w:line="360" w:lineRule="auto"/>
              <w:ind w:firstLine="480" w:firstLineChars="200"/>
              <w:rPr>
                <w:sz w:val="24"/>
              </w:rPr>
            </w:pPr>
            <w:r>
              <w:rPr>
                <w:sz w:val="24"/>
              </w:rPr>
              <w:t>5、项目放喷池周边环境现状</w:t>
            </w:r>
          </w:p>
          <w:p w14:paraId="6110ED72">
            <w:pPr>
              <w:spacing w:line="360" w:lineRule="auto"/>
              <w:ind w:firstLine="480" w:firstLineChars="200"/>
              <w:rPr>
                <w:sz w:val="24"/>
              </w:rPr>
            </w:pPr>
            <w:bookmarkStart w:id="32" w:name="_Hlk86168415"/>
            <w:r>
              <w:rPr>
                <w:sz w:val="24"/>
              </w:rPr>
              <w:t>放喷池位于井场</w:t>
            </w:r>
            <w:r>
              <w:rPr>
                <w:rFonts w:hint="eastAsia"/>
                <w:sz w:val="24"/>
              </w:rPr>
              <w:t>西</w:t>
            </w:r>
            <w:r>
              <w:rPr>
                <w:sz w:val="24"/>
              </w:rPr>
              <w:t>侧；根据现场踏勘结果。目前放喷池周边有少量杂草分布，放喷池作业前应进行低矮杂草清除</w:t>
            </w:r>
            <w:bookmarkEnd w:id="26"/>
            <w:bookmarkEnd w:id="27"/>
            <w:bookmarkEnd w:id="32"/>
            <w:r>
              <w:rPr>
                <w:sz w:val="24"/>
              </w:rPr>
              <w:t>。</w:t>
            </w:r>
          </w:p>
          <w:p w14:paraId="79B1A923">
            <w:pPr>
              <w:adjustRightInd w:val="0"/>
              <w:snapToGrid w:val="0"/>
              <w:spacing w:line="360" w:lineRule="auto"/>
              <w:rPr>
                <w:b/>
                <w:bCs/>
                <w:kern w:val="0"/>
                <w:sz w:val="24"/>
              </w:rPr>
            </w:pPr>
            <w:r>
              <w:rPr>
                <w:b/>
                <w:bCs/>
                <w:kern w:val="0"/>
                <w:sz w:val="24"/>
              </w:rPr>
              <w:t>3.4.2敏感目标分布情况</w:t>
            </w:r>
          </w:p>
          <w:p w14:paraId="114C1FB9">
            <w:pPr>
              <w:adjustRightInd w:val="0"/>
              <w:snapToGrid w:val="0"/>
              <w:spacing w:line="360" w:lineRule="auto"/>
              <w:ind w:firstLine="480" w:firstLineChars="200"/>
              <w:rPr>
                <w:kern w:val="0"/>
                <w:sz w:val="24"/>
              </w:rPr>
            </w:pPr>
            <w:r>
              <w:rPr>
                <w:kern w:val="0"/>
                <w:sz w:val="24"/>
              </w:rPr>
              <w:t>1、生态环境敏感目标</w:t>
            </w:r>
          </w:p>
          <w:p w14:paraId="04407E15">
            <w:pPr>
              <w:adjustRightInd w:val="0"/>
              <w:snapToGrid w:val="0"/>
              <w:spacing w:line="360" w:lineRule="auto"/>
              <w:ind w:firstLine="480" w:firstLineChars="200"/>
              <w:rPr>
                <w:kern w:val="0"/>
                <w:sz w:val="24"/>
                <w:lang w:bidi="ar"/>
              </w:rPr>
            </w:pPr>
            <w:r>
              <w:rPr>
                <w:kern w:val="0"/>
                <w:sz w:val="24"/>
                <w:lang w:bidi="ar"/>
              </w:rPr>
              <w:t>本次生态影响评价范围为项目占地及周边500m。项目临时占地及周边主要为</w:t>
            </w:r>
            <w:r>
              <w:rPr>
                <w:rFonts w:hint="eastAsia"/>
                <w:kern w:val="0"/>
                <w:sz w:val="24"/>
                <w:lang w:bidi="ar"/>
              </w:rPr>
              <w:t>永久</w:t>
            </w:r>
            <w:r>
              <w:rPr>
                <w:kern w:val="0"/>
                <w:sz w:val="24"/>
                <w:lang w:bidi="ar"/>
              </w:rPr>
              <w:t>基本农田、林地。根据叠图分析和现场调查，评价区域无国家公园、自然保护区、世界自然遗产、生态保护红线等</w:t>
            </w:r>
            <w:r>
              <w:rPr>
                <w:rFonts w:hint="eastAsia"/>
                <w:kern w:val="0"/>
                <w:sz w:val="24"/>
                <w:lang w:bidi="ar"/>
              </w:rPr>
              <w:t>法定生态敏感区</w:t>
            </w:r>
            <w:r>
              <w:rPr>
                <w:kern w:val="0"/>
                <w:sz w:val="24"/>
                <w:lang w:bidi="ar"/>
              </w:rPr>
              <w:t>，不涉及重要生境，</w:t>
            </w:r>
            <w:r>
              <w:rPr>
                <w:rFonts w:hint="eastAsia"/>
                <w:kern w:val="0"/>
                <w:sz w:val="24"/>
                <w:lang w:bidi="ar"/>
              </w:rPr>
              <w:t>项目</w:t>
            </w:r>
            <w:r>
              <w:rPr>
                <w:kern w:val="0"/>
                <w:sz w:val="24"/>
                <w:lang w:bidi="ar"/>
              </w:rPr>
              <w:t>占地</w:t>
            </w:r>
            <w:r>
              <w:rPr>
                <w:rFonts w:hint="eastAsia"/>
                <w:kern w:val="0"/>
                <w:sz w:val="24"/>
                <w:lang w:bidi="ar"/>
              </w:rPr>
              <w:t>范围内</w:t>
            </w:r>
            <w:r>
              <w:rPr>
                <w:kern w:val="0"/>
                <w:sz w:val="24"/>
                <w:lang w:bidi="ar"/>
              </w:rPr>
              <w:t>不涉及公益林、天然林。</w:t>
            </w:r>
          </w:p>
          <w:p w14:paraId="44C14A79">
            <w:pPr>
              <w:adjustRightInd w:val="0"/>
              <w:snapToGrid w:val="0"/>
              <w:spacing w:line="360" w:lineRule="auto"/>
              <w:ind w:firstLine="480" w:firstLineChars="200"/>
              <w:rPr>
                <w:kern w:val="0"/>
                <w:sz w:val="24"/>
                <w:lang w:bidi="ar"/>
              </w:rPr>
            </w:pPr>
            <w:r>
              <w:rPr>
                <w:kern w:val="0"/>
                <w:sz w:val="24"/>
                <w:lang w:bidi="ar"/>
              </w:rPr>
              <w:t>拟根据《宣汉县人民政府发布宣汉县水土流失防治分区的公告》，评价所在区域属于水土流失重点治理区。</w:t>
            </w:r>
          </w:p>
          <w:p w14:paraId="7F515A62">
            <w:pPr>
              <w:adjustRightInd w:val="0"/>
              <w:snapToGrid w:val="0"/>
              <w:spacing w:line="360" w:lineRule="auto"/>
              <w:ind w:firstLine="480" w:firstLineChars="200"/>
              <w:rPr>
                <w:kern w:val="0"/>
                <w:sz w:val="24"/>
              </w:rPr>
            </w:pPr>
            <w:r>
              <w:rPr>
                <w:kern w:val="0"/>
                <w:sz w:val="24"/>
              </w:rPr>
              <w:t>2、环境空气敏感目标</w:t>
            </w:r>
          </w:p>
          <w:p w14:paraId="1B79C171">
            <w:pPr>
              <w:adjustRightInd w:val="0"/>
              <w:snapToGrid w:val="0"/>
              <w:spacing w:line="360" w:lineRule="auto"/>
              <w:ind w:firstLine="464" w:firstLineChars="200"/>
              <w:rPr>
                <w:spacing w:val="-4"/>
                <w:kern w:val="0"/>
                <w:sz w:val="24"/>
              </w:rPr>
            </w:pPr>
            <w:r>
              <w:rPr>
                <w:rFonts w:hint="eastAsia"/>
                <w:spacing w:val="-4"/>
                <w:kern w:val="0"/>
                <w:sz w:val="24"/>
              </w:rPr>
              <w:t>本</w:t>
            </w:r>
            <w:r>
              <w:rPr>
                <w:spacing w:val="-4"/>
                <w:kern w:val="0"/>
                <w:sz w:val="24"/>
              </w:rPr>
              <w:t>项目</w:t>
            </w:r>
            <w:r>
              <w:rPr>
                <w:rFonts w:hint="eastAsia"/>
                <w:spacing w:val="-4"/>
                <w:kern w:val="0"/>
                <w:sz w:val="24"/>
              </w:rPr>
              <w:t>无运营期施工，因此</w:t>
            </w:r>
            <w:r>
              <w:rPr>
                <w:spacing w:val="-4"/>
                <w:kern w:val="0"/>
                <w:sz w:val="24"/>
              </w:rPr>
              <w:t>无需调查大气环境敏感目标。但鉴于项目特点，本次</w:t>
            </w:r>
            <w:r>
              <w:rPr>
                <w:rFonts w:hint="eastAsia"/>
                <w:spacing w:val="-4"/>
                <w:kern w:val="0"/>
                <w:sz w:val="24"/>
              </w:rPr>
              <w:t>评价</w:t>
            </w:r>
            <w:r>
              <w:rPr>
                <w:spacing w:val="-4"/>
                <w:kern w:val="0"/>
                <w:sz w:val="24"/>
              </w:rPr>
              <w:t>统计井口500m范围内敏感点分布情况。</w:t>
            </w:r>
          </w:p>
          <w:p w14:paraId="4CE87065">
            <w:pPr>
              <w:pStyle w:val="333"/>
              <w:numPr>
                <w:ilvl w:val="0"/>
                <w:numId w:val="8"/>
              </w:numPr>
              <w:adjustRightInd w:val="0"/>
              <w:snapToGrid w:val="0"/>
              <w:spacing w:line="360" w:lineRule="auto"/>
              <w:ind w:left="0" w:firstLine="0" w:firstLineChars="0"/>
              <w:jc w:val="center"/>
              <w:rPr>
                <w:b/>
                <w:bCs/>
                <w:kern w:val="0"/>
                <w:szCs w:val="21"/>
              </w:rPr>
            </w:pPr>
            <w:r>
              <w:rPr>
                <w:b/>
                <w:bCs/>
                <w:kern w:val="0"/>
                <w:sz w:val="24"/>
              </w:rPr>
              <w:t>项目主要环境保护目标</w:t>
            </w:r>
          </w:p>
          <w:tbl>
            <w:tblPr>
              <w:tblStyle w:val="45"/>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833"/>
              <w:gridCol w:w="1179"/>
              <w:gridCol w:w="796"/>
              <w:gridCol w:w="796"/>
              <w:gridCol w:w="796"/>
              <w:gridCol w:w="796"/>
              <w:gridCol w:w="796"/>
            </w:tblGrid>
            <w:tr w14:paraId="6CD43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1D41EC6F">
                  <w:pPr>
                    <w:pStyle w:val="254"/>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555" w:type="dxa"/>
                  <w:tcBorders>
                    <w:tl2br w:val="nil"/>
                    <w:tr2bl w:val="nil"/>
                  </w:tcBorders>
                  <w:vAlign w:val="center"/>
                </w:tcPr>
                <w:p w14:paraId="4C7FED72">
                  <w:pPr>
                    <w:pStyle w:val="254"/>
                    <w:jc w:val="center"/>
                    <w:rPr>
                      <w:rFonts w:ascii="Times New Roman" w:hAnsi="Times New Roman" w:eastAsia="宋体" w:cs="Times New Roman"/>
                      <w:szCs w:val="21"/>
                    </w:rPr>
                  </w:pPr>
                  <w:r>
                    <w:rPr>
                      <w:rFonts w:ascii="Times New Roman" w:hAnsi="Times New Roman" w:eastAsia="宋体" w:cs="Times New Roman"/>
                      <w:szCs w:val="21"/>
                    </w:rPr>
                    <w:t>X</w:t>
                  </w:r>
                </w:p>
              </w:tc>
              <w:tc>
                <w:tcPr>
                  <w:tcW w:w="616" w:type="dxa"/>
                  <w:tcBorders>
                    <w:tl2br w:val="nil"/>
                    <w:tr2bl w:val="nil"/>
                  </w:tcBorders>
                  <w:vAlign w:val="center"/>
                </w:tcPr>
                <w:p w14:paraId="67B81D64">
                  <w:pPr>
                    <w:pStyle w:val="254"/>
                    <w:jc w:val="center"/>
                    <w:rPr>
                      <w:rFonts w:ascii="Times New Roman" w:hAnsi="Times New Roman" w:eastAsia="宋体" w:cs="Times New Roman"/>
                      <w:szCs w:val="21"/>
                    </w:rPr>
                  </w:pPr>
                  <w:r>
                    <w:rPr>
                      <w:rFonts w:ascii="Times New Roman" w:hAnsi="Times New Roman" w:eastAsia="宋体" w:cs="Times New Roman"/>
                      <w:szCs w:val="21"/>
                    </w:rPr>
                    <w:t>Y</w:t>
                  </w:r>
                </w:p>
              </w:tc>
              <w:tc>
                <w:tcPr>
                  <w:tcW w:w="833" w:type="dxa"/>
                  <w:tcBorders>
                    <w:tl2br w:val="nil"/>
                    <w:tr2bl w:val="nil"/>
                  </w:tcBorders>
                  <w:vAlign w:val="center"/>
                </w:tcPr>
                <w:p w14:paraId="6C7849F7">
                  <w:pPr>
                    <w:pStyle w:val="254"/>
                    <w:jc w:val="center"/>
                    <w:rPr>
                      <w:rFonts w:ascii="Times New Roman" w:hAnsi="Times New Roman" w:eastAsia="宋体" w:cs="Times New Roman"/>
                      <w:szCs w:val="21"/>
                    </w:rPr>
                  </w:pPr>
                  <w:r>
                    <w:rPr>
                      <w:rFonts w:ascii="Times New Roman" w:hAnsi="Times New Roman" w:eastAsia="宋体" w:cs="Times New Roman"/>
                      <w:szCs w:val="21"/>
                    </w:rPr>
                    <w:t>保护对象</w:t>
                  </w:r>
                </w:p>
              </w:tc>
              <w:tc>
                <w:tcPr>
                  <w:tcW w:w="1179" w:type="dxa"/>
                  <w:tcBorders>
                    <w:tl2br w:val="nil"/>
                    <w:tr2bl w:val="nil"/>
                  </w:tcBorders>
                  <w:vAlign w:val="center"/>
                </w:tcPr>
                <w:p w14:paraId="6AA9A0DD">
                  <w:pPr>
                    <w:pStyle w:val="254"/>
                    <w:jc w:val="center"/>
                    <w:rPr>
                      <w:rFonts w:ascii="Times New Roman" w:hAnsi="Times New Roman" w:eastAsia="宋体" w:cs="Times New Roman"/>
                      <w:szCs w:val="21"/>
                    </w:rPr>
                  </w:pPr>
                  <w:r>
                    <w:rPr>
                      <w:rFonts w:ascii="Times New Roman" w:hAnsi="Times New Roman" w:eastAsia="宋体" w:cs="Times New Roman"/>
                      <w:szCs w:val="21"/>
                    </w:rPr>
                    <w:t>保护内容</w:t>
                  </w:r>
                </w:p>
              </w:tc>
              <w:tc>
                <w:tcPr>
                  <w:tcW w:w="796" w:type="dxa"/>
                  <w:tcBorders>
                    <w:tl2br w:val="nil"/>
                    <w:tr2bl w:val="nil"/>
                  </w:tcBorders>
                  <w:vAlign w:val="center"/>
                </w:tcPr>
                <w:p w14:paraId="06D00329">
                  <w:pPr>
                    <w:pStyle w:val="254"/>
                    <w:jc w:val="center"/>
                    <w:rPr>
                      <w:rFonts w:ascii="Times New Roman" w:hAnsi="Times New Roman" w:eastAsia="宋体" w:cs="Times New Roman"/>
                      <w:szCs w:val="21"/>
                    </w:rPr>
                  </w:pPr>
                  <w:r>
                    <w:rPr>
                      <w:rFonts w:ascii="Times New Roman" w:hAnsi="Times New Roman" w:eastAsia="宋体" w:cs="Times New Roman"/>
                      <w:szCs w:val="21"/>
                    </w:rPr>
                    <w:t>相对厂址方位</w:t>
                  </w:r>
                </w:p>
              </w:tc>
              <w:tc>
                <w:tcPr>
                  <w:tcW w:w="796" w:type="dxa"/>
                  <w:tcBorders>
                    <w:tl2br w:val="nil"/>
                    <w:tr2bl w:val="nil"/>
                  </w:tcBorders>
                  <w:vAlign w:val="center"/>
                </w:tcPr>
                <w:p w14:paraId="6CA4BA95">
                  <w:pPr>
                    <w:pStyle w:val="254"/>
                    <w:jc w:val="center"/>
                    <w:rPr>
                      <w:rFonts w:ascii="Times New Roman" w:hAnsi="Times New Roman" w:eastAsia="宋体" w:cs="Times New Roman"/>
                      <w:szCs w:val="21"/>
                    </w:rPr>
                  </w:pPr>
                  <w:r>
                    <w:rPr>
                      <w:rFonts w:ascii="Times New Roman" w:hAnsi="Times New Roman" w:eastAsia="宋体" w:cs="Times New Roman"/>
                      <w:szCs w:val="21"/>
                    </w:rPr>
                    <w:t>与井口最近距离/m</w:t>
                  </w:r>
                </w:p>
              </w:tc>
              <w:tc>
                <w:tcPr>
                  <w:tcW w:w="796" w:type="dxa"/>
                  <w:tcBorders>
                    <w:tl2br w:val="nil"/>
                    <w:tr2bl w:val="nil"/>
                  </w:tcBorders>
                  <w:vAlign w:val="center"/>
                </w:tcPr>
                <w:p w14:paraId="3F073E61">
                  <w:pPr>
                    <w:pStyle w:val="254"/>
                    <w:jc w:val="center"/>
                    <w:rPr>
                      <w:rFonts w:ascii="Times New Roman" w:hAnsi="Times New Roman" w:eastAsia="宋体" w:cs="Times New Roman"/>
                      <w:szCs w:val="21"/>
                    </w:rPr>
                  </w:pPr>
                  <w:r>
                    <w:rPr>
                      <w:rFonts w:ascii="Times New Roman" w:hAnsi="Times New Roman" w:eastAsia="宋体" w:cs="Times New Roman"/>
                      <w:szCs w:val="21"/>
                    </w:rPr>
                    <w:t>与井场场界距离/m</w:t>
                  </w:r>
                </w:p>
              </w:tc>
              <w:tc>
                <w:tcPr>
                  <w:tcW w:w="796" w:type="dxa"/>
                  <w:tcBorders>
                    <w:tl2br w:val="nil"/>
                    <w:tr2bl w:val="nil"/>
                  </w:tcBorders>
                  <w:vAlign w:val="center"/>
                </w:tcPr>
                <w:p w14:paraId="578479FB">
                  <w:pPr>
                    <w:pStyle w:val="254"/>
                    <w:jc w:val="center"/>
                    <w:rPr>
                      <w:rFonts w:ascii="Times New Roman" w:hAnsi="Times New Roman" w:eastAsia="宋体" w:cs="Times New Roman"/>
                      <w:szCs w:val="21"/>
                    </w:rPr>
                  </w:pPr>
                  <w:r>
                    <w:rPr>
                      <w:rFonts w:ascii="Times New Roman" w:hAnsi="Times New Roman" w:eastAsia="宋体" w:cs="Times New Roman"/>
                      <w:szCs w:val="21"/>
                    </w:rPr>
                    <w:t>与井场高差</w:t>
                  </w:r>
                </w:p>
              </w:tc>
              <w:tc>
                <w:tcPr>
                  <w:tcW w:w="796" w:type="dxa"/>
                  <w:tcBorders>
                    <w:tl2br w:val="nil"/>
                    <w:tr2bl w:val="nil"/>
                  </w:tcBorders>
                  <w:vAlign w:val="center"/>
                </w:tcPr>
                <w:p w14:paraId="111EFB26">
                  <w:pPr>
                    <w:pStyle w:val="254"/>
                    <w:jc w:val="center"/>
                    <w:rPr>
                      <w:rFonts w:ascii="Times New Roman" w:hAnsi="Times New Roman" w:eastAsia="宋体" w:cs="Times New Roman"/>
                      <w:szCs w:val="21"/>
                    </w:rPr>
                  </w:pPr>
                  <w:r>
                    <w:rPr>
                      <w:rFonts w:hint="eastAsia" w:ascii="Times New Roman" w:hAnsi="Times New Roman" w:eastAsia="宋体" w:cs="Times New Roman"/>
                      <w:szCs w:val="21"/>
                      <w:lang w:val="en-US"/>
                    </w:rPr>
                    <w:t>主</w:t>
                  </w:r>
                  <w:r>
                    <w:rPr>
                      <w:rFonts w:ascii="Times New Roman" w:hAnsi="Times New Roman" w:eastAsia="宋体" w:cs="Times New Roman"/>
                      <w:szCs w:val="21"/>
                    </w:rPr>
                    <w:t>放喷池最近距离</w:t>
                  </w:r>
                </w:p>
              </w:tc>
            </w:tr>
            <w:tr w14:paraId="7BEB6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04B7DE81">
                  <w:pPr>
                    <w:widowControl/>
                    <w:jc w:val="center"/>
                    <w:textAlignment w:val="center"/>
                    <w:rPr>
                      <w:kern w:val="0"/>
                      <w:szCs w:val="21"/>
                      <w:lang w:bidi="ar"/>
                    </w:rPr>
                  </w:pPr>
                  <w:r>
                    <w:rPr>
                      <w:kern w:val="0"/>
                      <w:szCs w:val="21"/>
                      <w:lang w:bidi="ar"/>
                    </w:rPr>
                    <w:t>1#散户居民</w:t>
                  </w:r>
                </w:p>
              </w:tc>
              <w:tc>
                <w:tcPr>
                  <w:tcW w:w="555" w:type="dxa"/>
                  <w:tcBorders>
                    <w:tl2br w:val="nil"/>
                    <w:tr2bl w:val="nil"/>
                  </w:tcBorders>
                  <w:vAlign w:val="center"/>
                </w:tcPr>
                <w:p w14:paraId="528ECB77">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3B85DCD4">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53D551C6">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3235D085">
                  <w:pPr>
                    <w:widowControl/>
                    <w:jc w:val="center"/>
                    <w:textAlignment w:val="center"/>
                    <w:rPr>
                      <w:kern w:val="0"/>
                      <w:szCs w:val="21"/>
                      <w:lang w:bidi="ar"/>
                    </w:rPr>
                  </w:pPr>
                  <w:r>
                    <w:rPr>
                      <w:rFonts w:hint="eastAsia"/>
                      <w:kern w:val="0"/>
                      <w:szCs w:val="21"/>
                      <w:lang w:bidi="ar"/>
                    </w:rPr>
                    <w:t>共1户，4口人</w:t>
                  </w:r>
                </w:p>
              </w:tc>
              <w:tc>
                <w:tcPr>
                  <w:tcW w:w="796" w:type="dxa"/>
                  <w:tcBorders>
                    <w:tl2br w:val="nil"/>
                    <w:tr2bl w:val="nil"/>
                  </w:tcBorders>
                  <w:vAlign w:val="center"/>
                </w:tcPr>
                <w:p w14:paraId="2DB142C1">
                  <w:pPr>
                    <w:widowControl/>
                    <w:jc w:val="center"/>
                    <w:textAlignment w:val="center"/>
                    <w:rPr>
                      <w:kern w:val="0"/>
                      <w:szCs w:val="21"/>
                      <w:lang w:bidi="ar"/>
                    </w:rPr>
                  </w:pPr>
                  <w:r>
                    <w:rPr>
                      <w:rFonts w:hint="eastAsia"/>
                      <w:kern w:val="0"/>
                      <w:szCs w:val="21"/>
                      <w:lang w:bidi="ar"/>
                    </w:rPr>
                    <w:t>SW</w:t>
                  </w:r>
                </w:p>
              </w:tc>
              <w:tc>
                <w:tcPr>
                  <w:tcW w:w="796" w:type="dxa"/>
                  <w:tcBorders>
                    <w:tl2br w:val="nil"/>
                    <w:tr2bl w:val="nil"/>
                  </w:tcBorders>
                  <w:vAlign w:val="center"/>
                </w:tcPr>
                <w:p w14:paraId="6D15C0B9">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4CC13A0">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6873AE6A">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5612066">
                  <w:pPr>
                    <w:widowControl/>
                    <w:jc w:val="center"/>
                    <w:textAlignment w:val="center"/>
                    <w:rPr>
                      <w:kern w:val="0"/>
                      <w:szCs w:val="21"/>
                      <w:lang w:bidi="ar"/>
                    </w:rPr>
                  </w:pPr>
                  <w:r>
                    <w:rPr>
                      <w:rFonts w:hint="eastAsia"/>
                      <w:bCs/>
                      <w:sz w:val="21"/>
                      <w:szCs w:val="21"/>
                      <w:lang w:val="en-US" w:eastAsia="zh-CN"/>
                    </w:rPr>
                    <w:t>*</w:t>
                  </w:r>
                </w:p>
              </w:tc>
            </w:tr>
            <w:tr w14:paraId="7C7B1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2FE119FB">
                  <w:pPr>
                    <w:widowControl/>
                    <w:jc w:val="center"/>
                    <w:textAlignment w:val="center"/>
                    <w:rPr>
                      <w:kern w:val="0"/>
                      <w:szCs w:val="21"/>
                      <w:lang w:bidi="ar"/>
                    </w:rPr>
                  </w:pPr>
                  <w:r>
                    <w:rPr>
                      <w:kern w:val="0"/>
                      <w:szCs w:val="21"/>
                      <w:lang w:bidi="ar"/>
                    </w:rPr>
                    <w:t>2#散户居民</w:t>
                  </w:r>
                </w:p>
              </w:tc>
              <w:tc>
                <w:tcPr>
                  <w:tcW w:w="555" w:type="dxa"/>
                  <w:tcBorders>
                    <w:tl2br w:val="nil"/>
                    <w:tr2bl w:val="nil"/>
                  </w:tcBorders>
                  <w:vAlign w:val="center"/>
                </w:tcPr>
                <w:p w14:paraId="4904D5CB">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0115CCCB">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77BF2228">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3DA56E3F">
                  <w:pPr>
                    <w:widowControl/>
                    <w:jc w:val="center"/>
                    <w:textAlignment w:val="center"/>
                    <w:rPr>
                      <w:kern w:val="0"/>
                      <w:szCs w:val="21"/>
                      <w:lang w:bidi="ar"/>
                    </w:rPr>
                  </w:pPr>
                  <w:r>
                    <w:rPr>
                      <w:rFonts w:hint="eastAsia"/>
                      <w:kern w:val="0"/>
                      <w:szCs w:val="21"/>
                      <w:lang w:bidi="ar"/>
                    </w:rPr>
                    <w:t>共1户，3口人</w:t>
                  </w:r>
                </w:p>
              </w:tc>
              <w:tc>
                <w:tcPr>
                  <w:tcW w:w="796" w:type="dxa"/>
                  <w:tcBorders>
                    <w:tl2br w:val="nil"/>
                    <w:tr2bl w:val="nil"/>
                  </w:tcBorders>
                  <w:vAlign w:val="center"/>
                </w:tcPr>
                <w:p w14:paraId="02C497D9">
                  <w:pPr>
                    <w:widowControl/>
                    <w:jc w:val="center"/>
                    <w:textAlignment w:val="center"/>
                    <w:rPr>
                      <w:kern w:val="0"/>
                      <w:szCs w:val="21"/>
                      <w:lang w:bidi="ar"/>
                    </w:rPr>
                  </w:pPr>
                  <w:r>
                    <w:rPr>
                      <w:rFonts w:hint="eastAsia"/>
                      <w:kern w:val="0"/>
                      <w:szCs w:val="21"/>
                      <w:lang w:bidi="ar"/>
                    </w:rPr>
                    <w:t>NW</w:t>
                  </w:r>
                </w:p>
              </w:tc>
              <w:tc>
                <w:tcPr>
                  <w:tcW w:w="796" w:type="dxa"/>
                  <w:tcBorders>
                    <w:tl2br w:val="nil"/>
                    <w:tr2bl w:val="nil"/>
                  </w:tcBorders>
                  <w:vAlign w:val="center"/>
                </w:tcPr>
                <w:p w14:paraId="0D10C55D">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7F9C0C89">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35D8EA9E">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7A55122F">
                  <w:pPr>
                    <w:widowControl/>
                    <w:jc w:val="center"/>
                    <w:textAlignment w:val="center"/>
                    <w:rPr>
                      <w:kern w:val="0"/>
                      <w:szCs w:val="21"/>
                      <w:lang w:bidi="ar"/>
                    </w:rPr>
                  </w:pPr>
                  <w:r>
                    <w:rPr>
                      <w:rFonts w:hint="eastAsia"/>
                      <w:bCs/>
                      <w:sz w:val="21"/>
                      <w:szCs w:val="21"/>
                      <w:lang w:val="en-US" w:eastAsia="zh-CN"/>
                    </w:rPr>
                    <w:t>*</w:t>
                  </w:r>
                </w:p>
              </w:tc>
            </w:tr>
            <w:tr w14:paraId="614D4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7A4B15A0">
                  <w:pPr>
                    <w:widowControl/>
                    <w:jc w:val="center"/>
                    <w:textAlignment w:val="center"/>
                    <w:rPr>
                      <w:kern w:val="0"/>
                      <w:szCs w:val="21"/>
                      <w:lang w:bidi="ar"/>
                    </w:rPr>
                  </w:pPr>
                  <w:r>
                    <w:rPr>
                      <w:kern w:val="0"/>
                      <w:szCs w:val="21"/>
                      <w:lang w:bidi="ar"/>
                    </w:rPr>
                    <w:t>3#散户居民</w:t>
                  </w:r>
                </w:p>
              </w:tc>
              <w:tc>
                <w:tcPr>
                  <w:tcW w:w="555" w:type="dxa"/>
                  <w:tcBorders>
                    <w:tl2br w:val="nil"/>
                    <w:tr2bl w:val="nil"/>
                  </w:tcBorders>
                  <w:vAlign w:val="center"/>
                </w:tcPr>
                <w:p w14:paraId="5E00568A">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78F8FF69">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2CAC060E">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1B7EECA7">
                  <w:pPr>
                    <w:widowControl/>
                    <w:jc w:val="center"/>
                    <w:textAlignment w:val="center"/>
                    <w:rPr>
                      <w:kern w:val="0"/>
                      <w:szCs w:val="21"/>
                      <w:lang w:bidi="ar"/>
                    </w:rPr>
                  </w:pPr>
                  <w:r>
                    <w:rPr>
                      <w:rFonts w:hint="eastAsia"/>
                      <w:kern w:val="0"/>
                      <w:szCs w:val="21"/>
                      <w:lang w:bidi="ar"/>
                    </w:rPr>
                    <w:t>共3户，14口人</w:t>
                  </w:r>
                </w:p>
              </w:tc>
              <w:tc>
                <w:tcPr>
                  <w:tcW w:w="796" w:type="dxa"/>
                  <w:tcBorders>
                    <w:tl2br w:val="nil"/>
                    <w:tr2bl w:val="nil"/>
                  </w:tcBorders>
                  <w:vAlign w:val="center"/>
                </w:tcPr>
                <w:p w14:paraId="70E91713">
                  <w:pPr>
                    <w:widowControl/>
                    <w:jc w:val="center"/>
                    <w:textAlignment w:val="center"/>
                    <w:rPr>
                      <w:kern w:val="0"/>
                      <w:szCs w:val="21"/>
                      <w:lang w:bidi="ar"/>
                    </w:rPr>
                  </w:pPr>
                  <w:r>
                    <w:rPr>
                      <w:rFonts w:hint="eastAsia"/>
                      <w:kern w:val="0"/>
                      <w:szCs w:val="21"/>
                      <w:lang w:bidi="ar"/>
                    </w:rPr>
                    <w:t>NE</w:t>
                  </w:r>
                </w:p>
              </w:tc>
              <w:tc>
                <w:tcPr>
                  <w:tcW w:w="796" w:type="dxa"/>
                  <w:tcBorders>
                    <w:tl2br w:val="nil"/>
                    <w:tr2bl w:val="nil"/>
                  </w:tcBorders>
                  <w:vAlign w:val="center"/>
                </w:tcPr>
                <w:p w14:paraId="387BCDCC">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77E49B88">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4F50A20C">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04348BFF">
                  <w:pPr>
                    <w:widowControl/>
                    <w:jc w:val="center"/>
                    <w:textAlignment w:val="center"/>
                    <w:rPr>
                      <w:kern w:val="0"/>
                      <w:szCs w:val="21"/>
                      <w:lang w:bidi="ar"/>
                    </w:rPr>
                  </w:pPr>
                  <w:r>
                    <w:rPr>
                      <w:rFonts w:hint="eastAsia"/>
                      <w:bCs/>
                      <w:sz w:val="21"/>
                      <w:szCs w:val="21"/>
                      <w:lang w:val="en-US" w:eastAsia="zh-CN"/>
                    </w:rPr>
                    <w:t>*</w:t>
                  </w:r>
                </w:p>
              </w:tc>
            </w:tr>
            <w:tr w14:paraId="3A253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59DCBCED">
                  <w:pPr>
                    <w:widowControl/>
                    <w:jc w:val="center"/>
                    <w:textAlignment w:val="center"/>
                    <w:rPr>
                      <w:kern w:val="0"/>
                      <w:szCs w:val="21"/>
                      <w:lang w:bidi="ar"/>
                    </w:rPr>
                  </w:pPr>
                  <w:r>
                    <w:rPr>
                      <w:kern w:val="0"/>
                      <w:szCs w:val="21"/>
                      <w:lang w:bidi="ar"/>
                    </w:rPr>
                    <w:t>4#散户居民</w:t>
                  </w:r>
                </w:p>
              </w:tc>
              <w:tc>
                <w:tcPr>
                  <w:tcW w:w="555" w:type="dxa"/>
                  <w:tcBorders>
                    <w:tl2br w:val="nil"/>
                    <w:tr2bl w:val="nil"/>
                  </w:tcBorders>
                  <w:vAlign w:val="center"/>
                </w:tcPr>
                <w:p w14:paraId="3924C3CA">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68F42CBB">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0E75150E">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6A3CE50D">
                  <w:pPr>
                    <w:widowControl/>
                    <w:jc w:val="center"/>
                    <w:textAlignment w:val="center"/>
                    <w:rPr>
                      <w:kern w:val="0"/>
                      <w:szCs w:val="21"/>
                      <w:lang w:bidi="ar"/>
                    </w:rPr>
                  </w:pPr>
                  <w:r>
                    <w:rPr>
                      <w:rFonts w:hint="eastAsia"/>
                      <w:kern w:val="0"/>
                      <w:szCs w:val="21"/>
                      <w:lang w:bidi="ar"/>
                    </w:rPr>
                    <w:t>共1户，3口人</w:t>
                  </w:r>
                </w:p>
              </w:tc>
              <w:tc>
                <w:tcPr>
                  <w:tcW w:w="796" w:type="dxa"/>
                  <w:tcBorders>
                    <w:tl2br w:val="nil"/>
                    <w:tr2bl w:val="nil"/>
                  </w:tcBorders>
                  <w:vAlign w:val="center"/>
                </w:tcPr>
                <w:p w14:paraId="01F470F6">
                  <w:pPr>
                    <w:widowControl/>
                    <w:jc w:val="center"/>
                    <w:textAlignment w:val="center"/>
                    <w:rPr>
                      <w:kern w:val="0"/>
                      <w:szCs w:val="21"/>
                      <w:lang w:bidi="ar"/>
                    </w:rPr>
                  </w:pPr>
                  <w:r>
                    <w:rPr>
                      <w:rFonts w:hint="eastAsia"/>
                      <w:kern w:val="0"/>
                      <w:szCs w:val="21"/>
                      <w:lang w:bidi="ar"/>
                    </w:rPr>
                    <w:t>SW</w:t>
                  </w:r>
                </w:p>
              </w:tc>
              <w:tc>
                <w:tcPr>
                  <w:tcW w:w="796" w:type="dxa"/>
                  <w:tcBorders>
                    <w:tl2br w:val="nil"/>
                    <w:tr2bl w:val="nil"/>
                  </w:tcBorders>
                  <w:vAlign w:val="center"/>
                </w:tcPr>
                <w:p w14:paraId="0676DF96">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2A8D72AC">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69A9D113">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4759847">
                  <w:pPr>
                    <w:widowControl/>
                    <w:jc w:val="center"/>
                    <w:textAlignment w:val="center"/>
                    <w:rPr>
                      <w:kern w:val="0"/>
                      <w:szCs w:val="21"/>
                      <w:lang w:bidi="ar"/>
                    </w:rPr>
                  </w:pPr>
                  <w:r>
                    <w:rPr>
                      <w:rFonts w:hint="eastAsia"/>
                      <w:bCs/>
                      <w:sz w:val="21"/>
                      <w:szCs w:val="21"/>
                      <w:lang w:val="en-US" w:eastAsia="zh-CN"/>
                    </w:rPr>
                    <w:t>*</w:t>
                  </w:r>
                </w:p>
              </w:tc>
            </w:tr>
            <w:tr w14:paraId="5CD06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4F61D574">
                  <w:pPr>
                    <w:widowControl/>
                    <w:jc w:val="center"/>
                    <w:textAlignment w:val="center"/>
                    <w:rPr>
                      <w:kern w:val="0"/>
                      <w:szCs w:val="21"/>
                      <w:lang w:bidi="ar"/>
                    </w:rPr>
                  </w:pPr>
                  <w:r>
                    <w:rPr>
                      <w:rFonts w:hint="eastAsia"/>
                      <w:kern w:val="0"/>
                      <w:szCs w:val="21"/>
                      <w:lang w:bidi="ar"/>
                    </w:rPr>
                    <w:t>5</w:t>
                  </w:r>
                  <w:r>
                    <w:rPr>
                      <w:kern w:val="0"/>
                      <w:szCs w:val="21"/>
                      <w:lang w:bidi="ar"/>
                    </w:rPr>
                    <w:t>#散户居民</w:t>
                  </w:r>
                </w:p>
              </w:tc>
              <w:tc>
                <w:tcPr>
                  <w:tcW w:w="555" w:type="dxa"/>
                  <w:tcBorders>
                    <w:tl2br w:val="nil"/>
                    <w:tr2bl w:val="nil"/>
                  </w:tcBorders>
                  <w:vAlign w:val="center"/>
                </w:tcPr>
                <w:p w14:paraId="4AFEB558">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15D6C0A3">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04A8FA58">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51F16348">
                  <w:pPr>
                    <w:widowControl/>
                    <w:jc w:val="center"/>
                    <w:textAlignment w:val="center"/>
                    <w:rPr>
                      <w:kern w:val="0"/>
                      <w:szCs w:val="21"/>
                      <w:lang w:bidi="ar"/>
                    </w:rPr>
                  </w:pPr>
                  <w:r>
                    <w:rPr>
                      <w:rFonts w:hint="eastAsia"/>
                      <w:kern w:val="0"/>
                      <w:szCs w:val="21"/>
                      <w:lang w:bidi="ar"/>
                    </w:rPr>
                    <w:t>共10户，34口人</w:t>
                  </w:r>
                </w:p>
              </w:tc>
              <w:tc>
                <w:tcPr>
                  <w:tcW w:w="796" w:type="dxa"/>
                  <w:tcBorders>
                    <w:tl2br w:val="nil"/>
                    <w:tr2bl w:val="nil"/>
                  </w:tcBorders>
                  <w:vAlign w:val="center"/>
                </w:tcPr>
                <w:p w14:paraId="6C46C65A">
                  <w:pPr>
                    <w:widowControl/>
                    <w:jc w:val="center"/>
                    <w:textAlignment w:val="center"/>
                    <w:rPr>
                      <w:kern w:val="0"/>
                      <w:szCs w:val="21"/>
                      <w:lang w:bidi="ar"/>
                    </w:rPr>
                  </w:pPr>
                  <w:r>
                    <w:rPr>
                      <w:rFonts w:hint="eastAsia"/>
                      <w:kern w:val="0"/>
                      <w:szCs w:val="21"/>
                      <w:lang w:bidi="ar"/>
                    </w:rPr>
                    <w:t>W</w:t>
                  </w:r>
                </w:p>
              </w:tc>
              <w:tc>
                <w:tcPr>
                  <w:tcW w:w="796" w:type="dxa"/>
                  <w:tcBorders>
                    <w:tl2br w:val="nil"/>
                    <w:tr2bl w:val="nil"/>
                  </w:tcBorders>
                  <w:vAlign w:val="center"/>
                </w:tcPr>
                <w:p w14:paraId="7C392C6E">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7EB38FE">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4003B93B">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B52E424">
                  <w:pPr>
                    <w:widowControl/>
                    <w:jc w:val="center"/>
                    <w:textAlignment w:val="center"/>
                    <w:rPr>
                      <w:kern w:val="0"/>
                      <w:szCs w:val="21"/>
                      <w:lang w:bidi="ar"/>
                    </w:rPr>
                  </w:pPr>
                  <w:r>
                    <w:rPr>
                      <w:rFonts w:hint="eastAsia"/>
                      <w:bCs/>
                      <w:sz w:val="21"/>
                      <w:szCs w:val="21"/>
                      <w:lang w:val="en-US" w:eastAsia="zh-CN"/>
                    </w:rPr>
                    <w:t>*</w:t>
                  </w:r>
                </w:p>
              </w:tc>
            </w:tr>
            <w:tr w14:paraId="70B4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768582E2">
                  <w:pPr>
                    <w:widowControl/>
                    <w:jc w:val="center"/>
                    <w:textAlignment w:val="center"/>
                    <w:rPr>
                      <w:kern w:val="0"/>
                      <w:szCs w:val="21"/>
                      <w:lang w:bidi="ar"/>
                    </w:rPr>
                  </w:pPr>
                  <w:r>
                    <w:rPr>
                      <w:rFonts w:hint="eastAsia"/>
                      <w:kern w:val="0"/>
                      <w:szCs w:val="21"/>
                      <w:lang w:bidi="ar"/>
                    </w:rPr>
                    <w:t>6</w:t>
                  </w:r>
                  <w:r>
                    <w:rPr>
                      <w:kern w:val="0"/>
                      <w:szCs w:val="21"/>
                      <w:lang w:bidi="ar"/>
                    </w:rPr>
                    <w:t>#散户居民</w:t>
                  </w:r>
                </w:p>
              </w:tc>
              <w:tc>
                <w:tcPr>
                  <w:tcW w:w="555" w:type="dxa"/>
                  <w:tcBorders>
                    <w:tl2br w:val="nil"/>
                    <w:tr2bl w:val="nil"/>
                  </w:tcBorders>
                  <w:vAlign w:val="center"/>
                </w:tcPr>
                <w:p w14:paraId="19F68A8E">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496B676D">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0F939574">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2BACBC16">
                  <w:pPr>
                    <w:widowControl/>
                    <w:jc w:val="center"/>
                    <w:textAlignment w:val="center"/>
                    <w:rPr>
                      <w:kern w:val="0"/>
                      <w:szCs w:val="21"/>
                      <w:lang w:bidi="ar"/>
                    </w:rPr>
                  </w:pPr>
                  <w:r>
                    <w:rPr>
                      <w:rFonts w:hint="eastAsia"/>
                      <w:kern w:val="0"/>
                      <w:szCs w:val="21"/>
                      <w:lang w:bidi="ar"/>
                    </w:rPr>
                    <w:t>共2户，7口人</w:t>
                  </w:r>
                </w:p>
              </w:tc>
              <w:tc>
                <w:tcPr>
                  <w:tcW w:w="796" w:type="dxa"/>
                  <w:tcBorders>
                    <w:tl2br w:val="nil"/>
                    <w:tr2bl w:val="nil"/>
                  </w:tcBorders>
                  <w:vAlign w:val="center"/>
                </w:tcPr>
                <w:p w14:paraId="22A9E734">
                  <w:pPr>
                    <w:widowControl/>
                    <w:jc w:val="center"/>
                    <w:textAlignment w:val="center"/>
                    <w:rPr>
                      <w:kern w:val="0"/>
                      <w:szCs w:val="21"/>
                      <w:lang w:bidi="ar"/>
                    </w:rPr>
                  </w:pPr>
                  <w:r>
                    <w:rPr>
                      <w:rFonts w:hint="eastAsia"/>
                      <w:kern w:val="0"/>
                      <w:szCs w:val="21"/>
                      <w:lang w:bidi="ar"/>
                    </w:rPr>
                    <w:t>N</w:t>
                  </w:r>
                </w:p>
              </w:tc>
              <w:tc>
                <w:tcPr>
                  <w:tcW w:w="796" w:type="dxa"/>
                  <w:tcBorders>
                    <w:tl2br w:val="nil"/>
                    <w:tr2bl w:val="nil"/>
                  </w:tcBorders>
                  <w:vAlign w:val="center"/>
                </w:tcPr>
                <w:p w14:paraId="68FE9383">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73920461">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68D7E380">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4DB7C8D6">
                  <w:pPr>
                    <w:widowControl/>
                    <w:jc w:val="center"/>
                    <w:textAlignment w:val="center"/>
                    <w:rPr>
                      <w:kern w:val="0"/>
                      <w:szCs w:val="21"/>
                      <w:lang w:bidi="ar"/>
                    </w:rPr>
                  </w:pPr>
                  <w:r>
                    <w:rPr>
                      <w:rFonts w:hint="eastAsia"/>
                      <w:bCs/>
                      <w:sz w:val="21"/>
                      <w:szCs w:val="21"/>
                      <w:lang w:val="en-US" w:eastAsia="zh-CN"/>
                    </w:rPr>
                    <w:t>*</w:t>
                  </w:r>
                </w:p>
              </w:tc>
            </w:tr>
            <w:tr w14:paraId="7AC24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1C36306C">
                  <w:pPr>
                    <w:widowControl/>
                    <w:jc w:val="center"/>
                    <w:textAlignment w:val="center"/>
                    <w:rPr>
                      <w:kern w:val="0"/>
                      <w:szCs w:val="21"/>
                      <w:lang w:bidi="ar"/>
                    </w:rPr>
                  </w:pPr>
                  <w:r>
                    <w:rPr>
                      <w:rFonts w:hint="eastAsia"/>
                      <w:kern w:val="0"/>
                      <w:szCs w:val="21"/>
                      <w:lang w:bidi="ar"/>
                    </w:rPr>
                    <w:t>7</w:t>
                  </w:r>
                  <w:r>
                    <w:rPr>
                      <w:kern w:val="0"/>
                      <w:szCs w:val="21"/>
                      <w:lang w:bidi="ar"/>
                    </w:rPr>
                    <w:t>#散户居民</w:t>
                  </w:r>
                </w:p>
              </w:tc>
              <w:tc>
                <w:tcPr>
                  <w:tcW w:w="555" w:type="dxa"/>
                  <w:tcBorders>
                    <w:tl2br w:val="nil"/>
                    <w:tr2bl w:val="nil"/>
                  </w:tcBorders>
                  <w:vAlign w:val="center"/>
                </w:tcPr>
                <w:p w14:paraId="73B84751">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70F04356">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14D188BF">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6F0413B1">
                  <w:pPr>
                    <w:widowControl/>
                    <w:jc w:val="center"/>
                    <w:textAlignment w:val="center"/>
                    <w:rPr>
                      <w:kern w:val="0"/>
                      <w:szCs w:val="21"/>
                      <w:lang w:bidi="ar"/>
                    </w:rPr>
                  </w:pPr>
                  <w:r>
                    <w:rPr>
                      <w:rFonts w:hint="eastAsia"/>
                      <w:kern w:val="0"/>
                      <w:szCs w:val="21"/>
                      <w:lang w:bidi="ar"/>
                    </w:rPr>
                    <w:t>共4户，14口人</w:t>
                  </w:r>
                </w:p>
              </w:tc>
              <w:tc>
                <w:tcPr>
                  <w:tcW w:w="796" w:type="dxa"/>
                  <w:tcBorders>
                    <w:tl2br w:val="nil"/>
                    <w:tr2bl w:val="nil"/>
                  </w:tcBorders>
                  <w:vAlign w:val="center"/>
                </w:tcPr>
                <w:p w14:paraId="7F23CD6D">
                  <w:pPr>
                    <w:widowControl/>
                    <w:jc w:val="center"/>
                    <w:textAlignment w:val="center"/>
                    <w:rPr>
                      <w:kern w:val="0"/>
                      <w:szCs w:val="21"/>
                      <w:lang w:bidi="ar"/>
                    </w:rPr>
                  </w:pPr>
                  <w:r>
                    <w:rPr>
                      <w:rFonts w:hint="eastAsia"/>
                      <w:kern w:val="0"/>
                      <w:szCs w:val="21"/>
                      <w:lang w:bidi="ar"/>
                    </w:rPr>
                    <w:t>N</w:t>
                  </w:r>
                </w:p>
              </w:tc>
              <w:tc>
                <w:tcPr>
                  <w:tcW w:w="796" w:type="dxa"/>
                  <w:tcBorders>
                    <w:tl2br w:val="nil"/>
                    <w:tr2bl w:val="nil"/>
                  </w:tcBorders>
                  <w:vAlign w:val="center"/>
                </w:tcPr>
                <w:p w14:paraId="1DAE6494">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426EDAEC">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7B10E979">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3A00B0BD">
                  <w:pPr>
                    <w:widowControl/>
                    <w:jc w:val="center"/>
                    <w:textAlignment w:val="center"/>
                    <w:rPr>
                      <w:kern w:val="0"/>
                      <w:szCs w:val="21"/>
                      <w:lang w:bidi="ar"/>
                    </w:rPr>
                  </w:pPr>
                  <w:r>
                    <w:rPr>
                      <w:rFonts w:hint="eastAsia"/>
                      <w:bCs/>
                      <w:sz w:val="21"/>
                      <w:szCs w:val="21"/>
                      <w:lang w:val="en-US" w:eastAsia="zh-CN"/>
                    </w:rPr>
                    <w:t>*</w:t>
                  </w:r>
                </w:p>
              </w:tc>
            </w:tr>
            <w:tr w14:paraId="2622F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72F188F5">
                  <w:pPr>
                    <w:widowControl/>
                    <w:jc w:val="center"/>
                    <w:textAlignment w:val="center"/>
                    <w:rPr>
                      <w:kern w:val="0"/>
                      <w:szCs w:val="21"/>
                      <w:lang w:bidi="ar"/>
                    </w:rPr>
                  </w:pPr>
                  <w:r>
                    <w:rPr>
                      <w:rFonts w:hint="eastAsia"/>
                      <w:kern w:val="0"/>
                      <w:szCs w:val="21"/>
                      <w:lang w:bidi="ar"/>
                    </w:rPr>
                    <w:t>8</w:t>
                  </w:r>
                  <w:r>
                    <w:rPr>
                      <w:kern w:val="0"/>
                      <w:szCs w:val="21"/>
                      <w:lang w:bidi="ar"/>
                    </w:rPr>
                    <w:t>#散户居民</w:t>
                  </w:r>
                </w:p>
              </w:tc>
              <w:tc>
                <w:tcPr>
                  <w:tcW w:w="555" w:type="dxa"/>
                  <w:tcBorders>
                    <w:tl2br w:val="nil"/>
                    <w:tr2bl w:val="nil"/>
                  </w:tcBorders>
                  <w:vAlign w:val="center"/>
                </w:tcPr>
                <w:p w14:paraId="3E90AD9E">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4CE34706">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0349F11A">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13E4A814">
                  <w:pPr>
                    <w:widowControl/>
                    <w:jc w:val="center"/>
                    <w:textAlignment w:val="center"/>
                    <w:rPr>
                      <w:kern w:val="0"/>
                      <w:szCs w:val="21"/>
                      <w:lang w:bidi="ar"/>
                    </w:rPr>
                  </w:pPr>
                  <w:r>
                    <w:rPr>
                      <w:rFonts w:hint="eastAsia"/>
                      <w:kern w:val="0"/>
                      <w:szCs w:val="21"/>
                      <w:lang w:bidi="ar"/>
                    </w:rPr>
                    <w:t>共1户，3口人</w:t>
                  </w:r>
                </w:p>
              </w:tc>
              <w:tc>
                <w:tcPr>
                  <w:tcW w:w="796" w:type="dxa"/>
                  <w:tcBorders>
                    <w:tl2br w:val="nil"/>
                    <w:tr2bl w:val="nil"/>
                  </w:tcBorders>
                  <w:vAlign w:val="center"/>
                </w:tcPr>
                <w:p w14:paraId="19F0BFCD">
                  <w:pPr>
                    <w:widowControl/>
                    <w:jc w:val="center"/>
                    <w:textAlignment w:val="center"/>
                    <w:rPr>
                      <w:kern w:val="0"/>
                      <w:szCs w:val="21"/>
                      <w:lang w:bidi="ar"/>
                    </w:rPr>
                  </w:pPr>
                  <w:r>
                    <w:rPr>
                      <w:rFonts w:hint="eastAsia"/>
                      <w:kern w:val="0"/>
                      <w:szCs w:val="21"/>
                      <w:lang w:bidi="ar"/>
                    </w:rPr>
                    <w:t>N</w:t>
                  </w:r>
                </w:p>
              </w:tc>
              <w:tc>
                <w:tcPr>
                  <w:tcW w:w="796" w:type="dxa"/>
                  <w:tcBorders>
                    <w:tl2br w:val="nil"/>
                    <w:tr2bl w:val="nil"/>
                  </w:tcBorders>
                  <w:vAlign w:val="center"/>
                </w:tcPr>
                <w:p w14:paraId="7FDE2A21">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614CDD3B">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23F53EF3">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5F988E42">
                  <w:pPr>
                    <w:widowControl/>
                    <w:jc w:val="center"/>
                    <w:textAlignment w:val="center"/>
                    <w:rPr>
                      <w:kern w:val="0"/>
                      <w:szCs w:val="21"/>
                      <w:lang w:bidi="ar"/>
                    </w:rPr>
                  </w:pPr>
                  <w:r>
                    <w:rPr>
                      <w:rFonts w:hint="eastAsia"/>
                      <w:bCs/>
                      <w:sz w:val="21"/>
                      <w:szCs w:val="21"/>
                      <w:lang w:val="en-US" w:eastAsia="zh-CN"/>
                    </w:rPr>
                    <w:t>*</w:t>
                  </w:r>
                </w:p>
              </w:tc>
            </w:tr>
            <w:tr w14:paraId="3B54E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313A6002">
                  <w:pPr>
                    <w:widowControl/>
                    <w:jc w:val="center"/>
                    <w:textAlignment w:val="center"/>
                    <w:rPr>
                      <w:kern w:val="0"/>
                      <w:szCs w:val="21"/>
                      <w:lang w:bidi="ar"/>
                    </w:rPr>
                  </w:pPr>
                  <w:r>
                    <w:rPr>
                      <w:rFonts w:hint="eastAsia"/>
                      <w:kern w:val="0"/>
                      <w:szCs w:val="21"/>
                      <w:lang w:bidi="ar"/>
                    </w:rPr>
                    <w:t>9</w:t>
                  </w:r>
                  <w:r>
                    <w:rPr>
                      <w:kern w:val="0"/>
                      <w:szCs w:val="21"/>
                      <w:lang w:bidi="ar"/>
                    </w:rPr>
                    <w:t>#散户居民</w:t>
                  </w:r>
                </w:p>
              </w:tc>
              <w:tc>
                <w:tcPr>
                  <w:tcW w:w="555" w:type="dxa"/>
                  <w:tcBorders>
                    <w:tl2br w:val="nil"/>
                    <w:tr2bl w:val="nil"/>
                  </w:tcBorders>
                  <w:vAlign w:val="center"/>
                </w:tcPr>
                <w:p w14:paraId="5FE59CEE">
                  <w:pPr>
                    <w:widowControl/>
                    <w:jc w:val="center"/>
                    <w:textAlignment w:val="center"/>
                    <w:rPr>
                      <w:kern w:val="0"/>
                      <w:szCs w:val="21"/>
                      <w:lang w:bidi="ar"/>
                    </w:rPr>
                  </w:pPr>
                  <w:r>
                    <w:rPr>
                      <w:rFonts w:hint="eastAsia"/>
                      <w:bCs/>
                      <w:sz w:val="21"/>
                      <w:szCs w:val="21"/>
                      <w:lang w:val="en-US" w:eastAsia="zh-CN"/>
                    </w:rPr>
                    <w:t>*</w:t>
                  </w:r>
                </w:p>
              </w:tc>
              <w:tc>
                <w:tcPr>
                  <w:tcW w:w="616" w:type="dxa"/>
                  <w:tcBorders>
                    <w:tl2br w:val="nil"/>
                    <w:tr2bl w:val="nil"/>
                  </w:tcBorders>
                  <w:vAlign w:val="center"/>
                </w:tcPr>
                <w:p w14:paraId="3B7B1051">
                  <w:pPr>
                    <w:widowControl/>
                    <w:jc w:val="center"/>
                    <w:textAlignment w:val="center"/>
                    <w:rPr>
                      <w:kern w:val="0"/>
                      <w:szCs w:val="21"/>
                      <w:lang w:bidi="ar"/>
                    </w:rPr>
                  </w:pPr>
                  <w:r>
                    <w:rPr>
                      <w:rFonts w:hint="eastAsia"/>
                      <w:bCs/>
                      <w:sz w:val="21"/>
                      <w:szCs w:val="21"/>
                      <w:lang w:val="en-US" w:eastAsia="zh-CN"/>
                    </w:rPr>
                    <w:t>*</w:t>
                  </w:r>
                </w:p>
              </w:tc>
              <w:tc>
                <w:tcPr>
                  <w:tcW w:w="833" w:type="dxa"/>
                  <w:tcBorders>
                    <w:tl2br w:val="nil"/>
                    <w:tr2bl w:val="nil"/>
                  </w:tcBorders>
                  <w:vAlign w:val="center"/>
                </w:tcPr>
                <w:p w14:paraId="792E1AC4">
                  <w:pPr>
                    <w:widowControl/>
                    <w:jc w:val="center"/>
                    <w:textAlignment w:val="center"/>
                    <w:rPr>
                      <w:kern w:val="0"/>
                      <w:szCs w:val="21"/>
                      <w:lang w:bidi="ar"/>
                    </w:rPr>
                  </w:pPr>
                  <w:r>
                    <w:rPr>
                      <w:rFonts w:hint="eastAsia"/>
                      <w:kern w:val="0"/>
                      <w:szCs w:val="21"/>
                      <w:lang w:bidi="ar"/>
                    </w:rPr>
                    <w:t>居民</w:t>
                  </w:r>
                </w:p>
              </w:tc>
              <w:tc>
                <w:tcPr>
                  <w:tcW w:w="1179" w:type="dxa"/>
                  <w:tcBorders>
                    <w:tl2br w:val="nil"/>
                    <w:tr2bl w:val="nil"/>
                  </w:tcBorders>
                  <w:vAlign w:val="center"/>
                </w:tcPr>
                <w:p w14:paraId="2B6524C5">
                  <w:pPr>
                    <w:widowControl/>
                    <w:jc w:val="center"/>
                    <w:textAlignment w:val="center"/>
                    <w:rPr>
                      <w:kern w:val="0"/>
                      <w:szCs w:val="21"/>
                      <w:lang w:bidi="ar"/>
                    </w:rPr>
                  </w:pPr>
                  <w:r>
                    <w:rPr>
                      <w:rFonts w:hint="eastAsia"/>
                      <w:kern w:val="0"/>
                      <w:szCs w:val="21"/>
                      <w:lang w:bidi="ar"/>
                    </w:rPr>
                    <w:t>共3户，10口人</w:t>
                  </w:r>
                </w:p>
              </w:tc>
              <w:tc>
                <w:tcPr>
                  <w:tcW w:w="796" w:type="dxa"/>
                  <w:tcBorders>
                    <w:tl2br w:val="nil"/>
                    <w:tr2bl w:val="nil"/>
                  </w:tcBorders>
                  <w:vAlign w:val="center"/>
                </w:tcPr>
                <w:p w14:paraId="6A5652DB">
                  <w:pPr>
                    <w:widowControl/>
                    <w:jc w:val="center"/>
                    <w:textAlignment w:val="center"/>
                    <w:rPr>
                      <w:kern w:val="0"/>
                      <w:szCs w:val="21"/>
                      <w:lang w:bidi="ar"/>
                    </w:rPr>
                  </w:pPr>
                  <w:r>
                    <w:rPr>
                      <w:rFonts w:hint="eastAsia"/>
                      <w:kern w:val="0"/>
                      <w:szCs w:val="21"/>
                      <w:lang w:bidi="ar"/>
                    </w:rPr>
                    <w:t>NE</w:t>
                  </w:r>
                </w:p>
              </w:tc>
              <w:tc>
                <w:tcPr>
                  <w:tcW w:w="796" w:type="dxa"/>
                  <w:tcBorders>
                    <w:tl2br w:val="nil"/>
                    <w:tr2bl w:val="nil"/>
                  </w:tcBorders>
                  <w:vAlign w:val="center"/>
                </w:tcPr>
                <w:p w14:paraId="515D00C6">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2C4E6633">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24B6B676">
                  <w:pPr>
                    <w:widowControl/>
                    <w:jc w:val="center"/>
                    <w:textAlignment w:val="center"/>
                    <w:rPr>
                      <w:kern w:val="0"/>
                      <w:szCs w:val="21"/>
                      <w:lang w:bidi="ar"/>
                    </w:rPr>
                  </w:pPr>
                  <w:r>
                    <w:rPr>
                      <w:rFonts w:hint="eastAsia"/>
                      <w:bCs/>
                      <w:sz w:val="21"/>
                      <w:szCs w:val="21"/>
                      <w:lang w:val="en-US" w:eastAsia="zh-CN"/>
                    </w:rPr>
                    <w:t>*</w:t>
                  </w:r>
                </w:p>
              </w:tc>
              <w:tc>
                <w:tcPr>
                  <w:tcW w:w="796" w:type="dxa"/>
                  <w:tcBorders>
                    <w:tl2br w:val="nil"/>
                    <w:tr2bl w:val="nil"/>
                  </w:tcBorders>
                  <w:vAlign w:val="center"/>
                </w:tcPr>
                <w:p w14:paraId="69B8085B">
                  <w:pPr>
                    <w:widowControl/>
                    <w:jc w:val="center"/>
                    <w:textAlignment w:val="center"/>
                    <w:rPr>
                      <w:kern w:val="0"/>
                      <w:szCs w:val="21"/>
                      <w:lang w:bidi="ar"/>
                    </w:rPr>
                  </w:pPr>
                  <w:r>
                    <w:rPr>
                      <w:rFonts w:hint="eastAsia"/>
                      <w:bCs/>
                      <w:sz w:val="21"/>
                      <w:szCs w:val="21"/>
                      <w:lang w:val="en-US" w:eastAsia="zh-CN"/>
                    </w:rPr>
                    <w:t>*</w:t>
                  </w:r>
                </w:p>
              </w:tc>
            </w:tr>
            <w:tr w14:paraId="57548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14:paraId="0A31CB9E">
                  <w:pPr>
                    <w:pStyle w:val="254"/>
                    <w:jc w:val="center"/>
                    <w:rPr>
                      <w:rFonts w:ascii="Times New Roman" w:hAnsi="Times New Roman" w:eastAsia="宋体" w:cs="Times New Roman"/>
                      <w:sz w:val="20"/>
                      <w:szCs w:val="20"/>
                      <w:lang w:val="en-US"/>
                    </w:rPr>
                  </w:pPr>
                  <w:r>
                    <w:rPr>
                      <w:rFonts w:ascii="Times New Roman" w:hAnsi="Times New Roman" w:eastAsia="宋体" w:cs="Times New Roman"/>
                      <w:sz w:val="20"/>
                      <w:szCs w:val="20"/>
                    </w:rPr>
                    <w:t>零散居民点</w:t>
                  </w:r>
                </w:p>
              </w:tc>
              <w:tc>
                <w:tcPr>
                  <w:tcW w:w="555" w:type="dxa"/>
                  <w:tcBorders>
                    <w:tl2br w:val="nil"/>
                    <w:tr2bl w:val="nil"/>
                  </w:tcBorders>
                  <w:vAlign w:val="center"/>
                </w:tcPr>
                <w:p w14:paraId="6BF08234">
                  <w:pPr>
                    <w:pStyle w:val="254"/>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616" w:type="dxa"/>
                  <w:tcBorders>
                    <w:tl2br w:val="nil"/>
                    <w:tr2bl w:val="nil"/>
                  </w:tcBorders>
                  <w:vAlign w:val="center"/>
                </w:tcPr>
                <w:p w14:paraId="71F0F5E4">
                  <w:pPr>
                    <w:pStyle w:val="254"/>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833" w:type="dxa"/>
                  <w:tcBorders>
                    <w:tl2br w:val="nil"/>
                    <w:tr2bl w:val="nil"/>
                  </w:tcBorders>
                  <w:vAlign w:val="center"/>
                </w:tcPr>
                <w:p w14:paraId="60056735">
                  <w:pPr>
                    <w:pStyle w:val="254"/>
                    <w:jc w:val="center"/>
                    <w:rPr>
                      <w:rFonts w:ascii="Times New Roman" w:hAnsi="Times New Roman" w:eastAsia="宋体" w:cs="Times New Roman"/>
                      <w:spacing w:val="-7"/>
                      <w:szCs w:val="21"/>
                      <w:lang w:val="en-US"/>
                    </w:rPr>
                  </w:pPr>
                  <w:r>
                    <w:rPr>
                      <w:rFonts w:ascii="Times New Roman" w:hAnsi="Times New Roman" w:eastAsia="宋体" w:cs="Times New Roman"/>
                      <w:szCs w:val="21"/>
                    </w:rPr>
                    <w:t>居民</w:t>
                  </w:r>
                </w:p>
              </w:tc>
              <w:tc>
                <w:tcPr>
                  <w:tcW w:w="5159" w:type="dxa"/>
                  <w:gridSpan w:val="6"/>
                  <w:tcBorders>
                    <w:tl2br w:val="nil"/>
                    <w:tr2bl w:val="nil"/>
                  </w:tcBorders>
                  <w:vAlign w:val="center"/>
                </w:tcPr>
                <w:p w14:paraId="3820045A">
                  <w:pPr>
                    <w:widowControl/>
                    <w:jc w:val="center"/>
                    <w:textAlignment w:val="center"/>
                    <w:rPr>
                      <w:kern w:val="0"/>
                      <w:szCs w:val="21"/>
                      <w:lang w:bidi="ar"/>
                    </w:rPr>
                  </w:pPr>
                  <w:r>
                    <w:rPr>
                      <w:szCs w:val="21"/>
                    </w:rPr>
                    <w:t>分散居民，约200人，1～2F砖、瓦房</w:t>
                  </w:r>
                </w:p>
              </w:tc>
            </w:tr>
            <w:tr w14:paraId="31D2F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8" w:type="dxa"/>
                  <w:gridSpan w:val="10"/>
                  <w:tcBorders>
                    <w:tl2br w:val="nil"/>
                    <w:tr2bl w:val="nil"/>
                  </w:tcBorders>
                  <w:vAlign w:val="center"/>
                </w:tcPr>
                <w:p w14:paraId="30B7B6BE">
                  <w:pPr>
                    <w:adjustRightInd w:val="0"/>
                    <w:snapToGrid w:val="0"/>
                    <w:jc w:val="left"/>
                    <w:rPr>
                      <w:b/>
                      <w:bCs/>
                      <w:kern w:val="0"/>
                      <w:szCs w:val="21"/>
                    </w:rPr>
                  </w:pPr>
                  <w:r>
                    <w:rPr>
                      <w:b/>
                      <w:bCs/>
                      <w:kern w:val="0"/>
                      <w:szCs w:val="21"/>
                    </w:rPr>
                    <w:t>注：以井口为坐标原点</w:t>
                  </w:r>
                  <w:r>
                    <w:rPr>
                      <w:rFonts w:hint="eastAsia"/>
                      <w:b/>
                      <w:bCs/>
                      <w:kern w:val="0"/>
                      <w:szCs w:val="21"/>
                    </w:rPr>
                    <w:t>，各敏感点均位于环境2类功能区</w:t>
                  </w:r>
                  <w:r>
                    <w:rPr>
                      <w:b/>
                      <w:bCs/>
                      <w:kern w:val="0"/>
                      <w:szCs w:val="21"/>
                    </w:rPr>
                    <w:t>。</w:t>
                  </w:r>
                </w:p>
              </w:tc>
            </w:tr>
          </w:tbl>
          <w:p w14:paraId="7851A429">
            <w:pPr>
              <w:adjustRightInd w:val="0"/>
              <w:snapToGrid w:val="0"/>
              <w:spacing w:line="360" w:lineRule="auto"/>
              <w:ind w:firstLine="480" w:firstLineChars="200"/>
              <w:rPr>
                <w:kern w:val="0"/>
                <w:sz w:val="24"/>
              </w:rPr>
            </w:pPr>
            <w:r>
              <w:rPr>
                <w:kern w:val="0"/>
                <w:sz w:val="24"/>
              </w:rPr>
              <w:t>3、水环境敏感目标</w:t>
            </w:r>
          </w:p>
          <w:p w14:paraId="29048AC7">
            <w:pPr>
              <w:adjustRightInd w:val="0"/>
              <w:snapToGrid w:val="0"/>
              <w:spacing w:line="360" w:lineRule="auto"/>
              <w:ind w:firstLine="480" w:firstLineChars="200"/>
              <w:rPr>
                <w:color w:val="0000FF"/>
              </w:rPr>
            </w:pPr>
            <w:r>
              <w:rPr>
                <w:color w:val="0000FF"/>
                <w:kern w:val="0"/>
                <w:sz w:val="24"/>
              </w:rPr>
              <w:t>地表水：井口500m范围内无大型河流、水库分布，周边水体敏感目标如下所示。</w:t>
            </w:r>
          </w:p>
          <w:p w14:paraId="7537D8A4">
            <w:pPr>
              <w:pStyle w:val="333"/>
              <w:numPr>
                <w:ilvl w:val="0"/>
                <w:numId w:val="8"/>
              </w:numPr>
              <w:adjustRightInd w:val="0"/>
              <w:snapToGrid w:val="0"/>
              <w:spacing w:line="360" w:lineRule="auto"/>
              <w:ind w:left="0" w:firstLine="0" w:firstLineChars="0"/>
              <w:jc w:val="center"/>
              <w:rPr>
                <w:b/>
                <w:bCs/>
                <w:color w:val="0000FF"/>
                <w:kern w:val="0"/>
                <w:sz w:val="24"/>
              </w:rPr>
            </w:pPr>
            <w:r>
              <w:rPr>
                <w:b/>
                <w:bCs/>
                <w:color w:val="0000FF"/>
                <w:kern w:val="0"/>
                <w:sz w:val="24"/>
              </w:rPr>
              <w:t>地表水主要环境保护目标</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495"/>
              <w:gridCol w:w="3254"/>
              <w:gridCol w:w="1558"/>
              <w:gridCol w:w="1095"/>
            </w:tblGrid>
            <w:tr w14:paraId="22F56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14:paraId="01A38761">
                  <w:pPr>
                    <w:jc w:val="center"/>
                    <w:rPr>
                      <w:color w:val="0000FF"/>
                      <w:szCs w:val="21"/>
                    </w:rPr>
                  </w:pPr>
                  <w:r>
                    <w:rPr>
                      <w:color w:val="0000FF"/>
                      <w:szCs w:val="21"/>
                    </w:rPr>
                    <w:t>序号</w:t>
                  </w:r>
                </w:p>
              </w:tc>
              <w:tc>
                <w:tcPr>
                  <w:tcW w:w="1495" w:type="dxa"/>
                  <w:vAlign w:val="center"/>
                </w:tcPr>
                <w:p w14:paraId="4E5A76B0">
                  <w:pPr>
                    <w:jc w:val="center"/>
                    <w:rPr>
                      <w:color w:val="0000FF"/>
                      <w:szCs w:val="21"/>
                    </w:rPr>
                  </w:pPr>
                  <w:r>
                    <w:rPr>
                      <w:color w:val="0000FF"/>
                      <w:szCs w:val="21"/>
                    </w:rPr>
                    <w:t>保护目标</w:t>
                  </w:r>
                </w:p>
              </w:tc>
              <w:tc>
                <w:tcPr>
                  <w:tcW w:w="3254" w:type="dxa"/>
                  <w:vAlign w:val="center"/>
                </w:tcPr>
                <w:p w14:paraId="145DF216">
                  <w:pPr>
                    <w:jc w:val="center"/>
                    <w:rPr>
                      <w:color w:val="0000FF"/>
                      <w:szCs w:val="21"/>
                    </w:rPr>
                  </w:pPr>
                  <w:r>
                    <w:rPr>
                      <w:color w:val="0000FF"/>
                      <w:szCs w:val="21"/>
                    </w:rPr>
                    <w:t>与项目位置关系、高差、水力联系</w:t>
                  </w:r>
                </w:p>
              </w:tc>
              <w:tc>
                <w:tcPr>
                  <w:tcW w:w="1558" w:type="dxa"/>
                  <w:vAlign w:val="center"/>
                </w:tcPr>
                <w:p w14:paraId="04836C98">
                  <w:pPr>
                    <w:jc w:val="center"/>
                    <w:rPr>
                      <w:color w:val="0000FF"/>
                      <w:szCs w:val="21"/>
                    </w:rPr>
                  </w:pPr>
                  <w:r>
                    <w:rPr>
                      <w:color w:val="0000FF"/>
                      <w:szCs w:val="21"/>
                    </w:rPr>
                    <w:t>保护对象及保护要求</w:t>
                  </w:r>
                </w:p>
              </w:tc>
              <w:tc>
                <w:tcPr>
                  <w:tcW w:w="1095" w:type="dxa"/>
                  <w:vAlign w:val="center"/>
                </w:tcPr>
                <w:p w14:paraId="74631F2F">
                  <w:pPr>
                    <w:jc w:val="center"/>
                    <w:rPr>
                      <w:color w:val="0000FF"/>
                      <w:szCs w:val="21"/>
                    </w:rPr>
                  </w:pPr>
                  <w:r>
                    <w:rPr>
                      <w:color w:val="0000FF"/>
                      <w:szCs w:val="21"/>
                    </w:rPr>
                    <w:t>环境要素</w:t>
                  </w:r>
                </w:p>
              </w:tc>
            </w:tr>
            <w:tr w14:paraId="4521D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14:paraId="62A5609B">
                  <w:pPr>
                    <w:jc w:val="center"/>
                    <w:rPr>
                      <w:color w:val="0000FF"/>
                      <w:szCs w:val="21"/>
                    </w:rPr>
                  </w:pPr>
                  <w:r>
                    <w:rPr>
                      <w:rFonts w:hint="eastAsia"/>
                      <w:color w:val="0000FF"/>
                      <w:szCs w:val="21"/>
                    </w:rPr>
                    <w:t>1</w:t>
                  </w:r>
                </w:p>
              </w:tc>
              <w:tc>
                <w:tcPr>
                  <w:tcW w:w="1495" w:type="dxa"/>
                  <w:vAlign w:val="center"/>
                </w:tcPr>
                <w:p w14:paraId="4474EEA3">
                  <w:pPr>
                    <w:jc w:val="center"/>
                    <w:rPr>
                      <w:color w:val="0000FF"/>
                      <w:szCs w:val="21"/>
                    </w:rPr>
                  </w:pPr>
                  <w:r>
                    <w:rPr>
                      <w:rFonts w:hint="eastAsia"/>
                      <w:color w:val="0000FF"/>
                      <w:szCs w:val="21"/>
                    </w:rPr>
                    <w:t>魏家河</w:t>
                  </w:r>
                </w:p>
              </w:tc>
              <w:tc>
                <w:tcPr>
                  <w:tcW w:w="3254" w:type="dxa"/>
                  <w:vAlign w:val="center"/>
                </w:tcPr>
                <w:p w14:paraId="171EF88B">
                  <w:pPr>
                    <w:jc w:val="center"/>
                    <w:rPr>
                      <w:color w:val="0000FF"/>
                      <w:szCs w:val="21"/>
                    </w:rPr>
                  </w:pPr>
                  <w:r>
                    <w:rPr>
                      <w:rFonts w:hint="eastAsia"/>
                      <w:color w:val="0000FF"/>
                      <w:szCs w:val="21"/>
                    </w:rPr>
                    <w:t>井口西侧约2.7km，无水力联系</w:t>
                  </w:r>
                </w:p>
              </w:tc>
              <w:tc>
                <w:tcPr>
                  <w:tcW w:w="1558" w:type="dxa"/>
                  <w:vAlign w:val="center"/>
                </w:tcPr>
                <w:p w14:paraId="63AB2E7B">
                  <w:pPr>
                    <w:jc w:val="center"/>
                    <w:rPr>
                      <w:color w:val="0000FF"/>
                      <w:szCs w:val="21"/>
                    </w:rPr>
                  </w:pPr>
                  <w:r>
                    <w:rPr>
                      <w:rFonts w:hint="eastAsia"/>
                      <w:color w:val="0000FF"/>
                      <w:szCs w:val="21"/>
                    </w:rPr>
                    <w:t>无水域功能</w:t>
                  </w:r>
                </w:p>
              </w:tc>
              <w:tc>
                <w:tcPr>
                  <w:tcW w:w="1095" w:type="dxa"/>
                  <w:vAlign w:val="center"/>
                </w:tcPr>
                <w:p w14:paraId="3CD58523">
                  <w:pPr>
                    <w:jc w:val="center"/>
                    <w:rPr>
                      <w:color w:val="0000FF"/>
                      <w:szCs w:val="21"/>
                    </w:rPr>
                  </w:pPr>
                  <w:r>
                    <w:rPr>
                      <w:color w:val="0000FF"/>
                      <w:szCs w:val="21"/>
                    </w:rPr>
                    <w:t>保护水体不被污染</w:t>
                  </w:r>
                </w:p>
              </w:tc>
            </w:tr>
            <w:tr w14:paraId="7F880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14:paraId="5C22753C">
                  <w:pPr>
                    <w:jc w:val="center"/>
                    <w:rPr>
                      <w:color w:val="0000FF"/>
                      <w:szCs w:val="21"/>
                    </w:rPr>
                  </w:pPr>
                  <w:r>
                    <w:rPr>
                      <w:rFonts w:hint="eastAsia"/>
                      <w:color w:val="0000FF"/>
                      <w:szCs w:val="21"/>
                    </w:rPr>
                    <w:t>2</w:t>
                  </w:r>
                </w:p>
              </w:tc>
              <w:tc>
                <w:tcPr>
                  <w:tcW w:w="1495" w:type="dxa"/>
                  <w:vAlign w:val="center"/>
                </w:tcPr>
                <w:p w14:paraId="217F0D26">
                  <w:pPr>
                    <w:jc w:val="center"/>
                    <w:rPr>
                      <w:color w:val="0000FF"/>
                      <w:szCs w:val="21"/>
                    </w:rPr>
                  </w:pPr>
                  <w:r>
                    <w:rPr>
                      <w:rFonts w:hint="eastAsia"/>
                      <w:color w:val="0000FF"/>
                      <w:szCs w:val="21"/>
                    </w:rPr>
                    <w:t>州</w:t>
                  </w:r>
                  <w:r>
                    <w:rPr>
                      <w:color w:val="0000FF"/>
                      <w:szCs w:val="21"/>
                    </w:rPr>
                    <w:t>河</w:t>
                  </w:r>
                </w:p>
              </w:tc>
              <w:tc>
                <w:tcPr>
                  <w:tcW w:w="3254" w:type="dxa"/>
                  <w:vAlign w:val="center"/>
                </w:tcPr>
                <w:p w14:paraId="0D4EEDFE">
                  <w:pPr>
                    <w:jc w:val="center"/>
                    <w:rPr>
                      <w:color w:val="0000FF"/>
                      <w:szCs w:val="21"/>
                    </w:rPr>
                  </w:pPr>
                  <w:r>
                    <w:rPr>
                      <w:color w:val="0000FF"/>
                      <w:szCs w:val="21"/>
                    </w:rPr>
                    <w:t>井口</w:t>
                  </w:r>
                  <w:r>
                    <w:rPr>
                      <w:rFonts w:hint="eastAsia"/>
                      <w:color w:val="0000FF"/>
                      <w:szCs w:val="21"/>
                    </w:rPr>
                    <w:t>南</w:t>
                  </w:r>
                  <w:r>
                    <w:rPr>
                      <w:color w:val="0000FF"/>
                      <w:szCs w:val="21"/>
                    </w:rPr>
                    <w:t>侧约</w:t>
                  </w:r>
                  <w:r>
                    <w:rPr>
                      <w:rFonts w:hint="eastAsia"/>
                      <w:color w:val="0000FF"/>
                      <w:szCs w:val="21"/>
                    </w:rPr>
                    <w:t>2.8</w:t>
                  </w:r>
                  <w:r>
                    <w:rPr>
                      <w:color w:val="0000FF"/>
                      <w:szCs w:val="21"/>
                    </w:rPr>
                    <w:t>km，无水力联系。</w:t>
                  </w:r>
                </w:p>
              </w:tc>
              <w:tc>
                <w:tcPr>
                  <w:tcW w:w="1558" w:type="dxa"/>
                  <w:vAlign w:val="center"/>
                </w:tcPr>
                <w:p w14:paraId="5DEA55E3">
                  <w:pPr>
                    <w:jc w:val="center"/>
                    <w:rPr>
                      <w:rFonts w:eastAsia="微软雅黑"/>
                      <w:color w:val="0000FF"/>
                      <w:szCs w:val="21"/>
                    </w:rPr>
                  </w:pPr>
                  <w:r>
                    <w:rPr>
                      <w:color w:val="0000FF"/>
                      <w:szCs w:val="21"/>
                    </w:rPr>
                    <w:t>Ⅲ类水域功能</w:t>
                  </w:r>
                </w:p>
              </w:tc>
              <w:tc>
                <w:tcPr>
                  <w:tcW w:w="1095" w:type="dxa"/>
                  <w:vAlign w:val="center"/>
                </w:tcPr>
                <w:p w14:paraId="6ED2B0A7">
                  <w:pPr>
                    <w:jc w:val="center"/>
                    <w:rPr>
                      <w:color w:val="0000FF"/>
                      <w:szCs w:val="21"/>
                    </w:rPr>
                  </w:pPr>
                  <w:r>
                    <w:rPr>
                      <w:color w:val="0000FF"/>
                      <w:szCs w:val="21"/>
                    </w:rPr>
                    <w:t>保护水体不被污染</w:t>
                  </w:r>
                </w:p>
              </w:tc>
            </w:tr>
          </w:tbl>
          <w:p w14:paraId="717AD2B7">
            <w:pPr>
              <w:adjustRightInd w:val="0"/>
              <w:snapToGrid w:val="0"/>
              <w:spacing w:line="360" w:lineRule="auto"/>
              <w:ind w:firstLine="480" w:firstLineChars="200"/>
              <w:rPr>
                <w:kern w:val="0"/>
                <w:sz w:val="24"/>
              </w:rPr>
            </w:pPr>
            <w:r>
              <w:rPr>
                <w:kern w:val="0"/>
                <w:sz w:val="24"/>
              </w:rPr>
              <w:t>地下水：评价范围内无地下水集中式饮用水水源保护区，区域内居民以自来水作为生活用水，以井水为生活辅助用水。根据现场调查，水井深度一般为</w:t>
            </w:r>
            <w:r>
              <w:rPr>
                <w:rFonts w:hint="eastAsia"/>
                <w:kern w:val="0"/>
                <w:sz w:val="24"/>
              </w:rPr>
              <w:t>20</w:t>
            </w:r>
            <w:r>
              <w:rPr>
                <w:kern w:val="0"/>
                <w:sz w:val="24"/>
              </w:rPr>
              <w:t>m以内，水位埋深一般为3m以内，取水层位为潜水含水层及微承压水，地下水类型为</w:t>
            </w:r>
            <w:r>
              <w:rPr>
                <w:rFonts w:hint="eastAsia"/>
                <w:kern w:val="0"/>
                <w:sz w:val="24"/>
              </w:rPr>
              <w:t>基岩</w:t>
            </w:r>
            <w:r>
              <w:rPr>
                <w:kern w:val="0"/>
                <w:sz w:val="24"/>
              </w:rPr>
              <w:t>裂隙水。因此，本项目地下水环境保护目标为评价范围内的分散式饮用水水源</w:t>
            </w:r>
            <w:r>
              <w:rPr>
                <w:rFonts w:hint="eastAsia"/>
                <w:kern w:val="0"/>
                <w:sz w:val="24"/>
              </w:rPr>
              <w:t>，</w:t>
            </w:r>
            <w:r>
              <w:rPr>
                <w:rFonts w:hint="eastAsia"/>
                <w:b/>
                <w:bCs/>
                <w:kern w:val="0"/>
                <w:sz w:val="24"/>
              </w:rPr>
              <w:t>其分布情况详见地下水专项评价</w:t>
            </w:r>
            <w:r>
              <w:rPr>
                <w:kern w:val="0"/>
                <w:sz w:val="24"/>
              </w:rPr>
              <w:t>。</w:t>
            </w:r>
          </w:p>
          <w:p w14:paraId="15F32A21">
            <w:pPr>
              <w:adjustRightInd w:val="0"/>
              <w:snapToGrid w:val="0"/>
              <w:spacing w:line="360" w:lineRule="auto"/>
              <w:ind w:firstLine="480" w:firstLineChars="200"/>
              <w:rPr>
                <w:kern w:val="0"/>
                <w:sz w:val="24"/>
              </w:rPr>
            </w:pPr>
            <w:r>
              <w:rPr>
                <w:kern w:val="0"/>
                <w:sz w:val="24"/>
              </w:rPr>
              <w:t>4、土壤环境敏感目标</w:t>
            </w:r>
          </w:p>
          <w:p w14:paraId="0CEB6681">
            <w:pPr>
              <w:adjustRightInd w:val="0"/>
              <w:snapToGrid w:val="0"/>
              <w:spacing w:line="360" w:lineRule="auto"/>
              <w:ind w:firstLine="480" w:firstLineChars="200"/>
              <w:rPr>
                <w:kern w:val="0"/>
                <w:sz w:val="24"/>
              </w:rPr>
            </w:pPr>
            <w:r>
              <w:rPr>
                <w:kern w:val="0"/>
                <w:sz w:val="24"/>
              </w:rPr>
              <w:t>井口周边200m范围内分布的耕地。</w:t>
            </w:r>
          </w:p>
          <w:p w14:paraId="18866405">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土壤环境保护目标表</w:t>
            </w:r>
          </w:p>
          <w:tbl>
            <w:tblPr>
              <w:tblStyle w:val="44"/>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14:paraId="459B7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14:paraId="642645D7">
                  <w:pPr>
                    <w:pStyle w:val="96"/>
                    <w:spacing w:line="240" w:lineRule="auto"/>
                    <w:rPr>
                      <w:kern w:val="0"/>
                      <w:szCs w:val="21"/>
                    </w:rPr>
                  </w:pPr>
                  <w:r>
                    <w:rPr>
                      <w:szCs w:val="21"/>
                    </w:rPr>
                    <w:t>序号</w:t>
                  </w:r>
                </w:p>
              </w:tc>
              <w:tc>
                <w:tcPr>
                  <w:tcW w:w="706" w:type="pct"/>
                  <w:tcBorders>
                    <w:tl2br w:val="nil"/>
                    <w:tr2bl w:val="nil"/>
                  </w:tcBorders>
                  <w:vAlign w:val="center"/>
                </w:tcPr>
                <w:p w14:paraId="60B62362">
                  <w:pPr>
                    <w:pStyle w:val="96"/>
                    <w:spacing w:line="240" w:lineRule="auto"/>
                    <w:rPr>
                      <w:szCs w:val="21"/>
                    </w:rPr>
                  </w:pPr>
                  <w:r>
                    <w:rPr>
                      <w:szCs w:val="21"/>
                    </w:rPr>
                    <w:t>保护目标</w:t>
                  </w:r>
                </w:p>
              </w:tc>
              <w:tc>
                <w:tcPr>
                  <w:tcW w:w="2135" w:type="pct"/>
                  <w:tcBorders>
                    <w:tl2br w:val="nil"/>
                    <w:tr2bl w:val="nil"/>
                  </w:tcBorders>
                  <w:vAlign w:val="center"/>
                </w:tcPr>
                <w:p w14:paraId="60C52740">
                  <w:pPr>
                    <w:pStyle w:val="96"/>
                    <w:spacing w:line="240" w:lineRule="auto"/>
                    <w:rPr>
                      <w:szCs w:val="21"/>
                    </w:rPr>
                  </w:pPr>
                  <w:r>
                    <w:rPr>
                      <w:szCs w:val="21"/>
                    </w:rPr>
                    <w:t>位置关系</w:t>
                  </w:r>
                </w:p>
              </w:tc>
              <w:tc>
                <w:tcPr>
                  <w:tcW w:w="1760" w:type="pct"/>
                  <w:tcBorders>
                    <w:tl2br w:val="nil"/>
                    <w:tr2bl w:val="nil"/>
                  </w:tcBorders>
                  <w:vAlign w:val="center"/>
                </w:tcPr>
                <w:p w14:paraId="46AFA8F9">
                  <w:pPr>
                    <w:pStyle w:val="96"/>
                    <w:spacing w:line="240" w:lineRule="auto"/>
                    <w:rPr>
                      <w:szCs w:val="21"/>
                    </w:rPr>
                  </w:pPr>
                  <w:r>
                    <w:rPr>
                      <w:szCs w:val="21"/>
                    </w:rPr>
                    <w:t>环境敏感特性</w:t>
                  </w:r>
                </w:p>
              </w:tc>
            </w:tr>
            <w:tr w14:paraId="5B527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14:paraId="771CCF87">
                  <w:pPr>
                    <w:pStyle w:val="96"/>
                    <w:spacing w:line="240" w:lineRule="auto"/>
                    <w:rPr>
                      <w:szCs w:val="21"/>
                    </w:rPr>
                  </w:pPr>
                  <w:r>
                    <w:rPr>
                      <w:szCs w:val="21"/>
                    </w:rPr>
                    <w:t>1</w:t>
                  </w:r>
                </w:p>
              </w:tc>
              <w:tc>
                <w:tcPr>
                  <w:tcW w:w="706" w:type="pct"/>
                  <w:tcBorders>
                    <w:tl2br w:val="nil"/>
                    <w:tr2bl w:val="nil"/>
                  </w:tcBorders>
                  <w:vAlign w:val="center"/>
                </w:tcPr>
                <w:p w14:paraId="5E0BB6EB">
                  <w:pPr>
                    <w:pStyle w:val="96"/>
                    <w:spacing w:line="240" w:lineRule="auto"/>
                    <w:rPr>
                      <w:szCs w:val="21"/>
                    </w:rPr>
                  </w:pPr>
                  <w:r>
                    <w:rPr>
                      <w:rFonts w:hint="eastAsia"/>
                      <w:szCs w:val="21"/>
                    </w:rPr>
                    <w:t>永久</w:t>
                  </w:r>
                  <w:r>
                    <w:rPr>
                      <w:szCs w:val="21"/>
                    </w:rPr>
                    <w:t>基本农田、耕地</w:t>
                  </w:r>
                </w:p>
              </w:tc>
              <w:tc>
                <w:tcPr>
                  <w:tcW w:w="2135" w:type="pct"/>
                  <w:tcBorders>
                    <w:tl2br w:val="nil"/>
                    <w:tr2bl w:val="nil"/>
                  </w:tcBorders>
                  <w:vAlign w:val="center"/>
                </w:tcPr>
                <w:p w14:paraId="4DA177C2">
                  <w:pPr>
                    <w:pStyle w:val="96"/>
                    <w:spacing w:line="240" w:lineRule="auto"/>
                    <w:rPr>
                      <w:szCs w:val="21"/>
                    </w:rPr>
                  </w:pPr>
                  <w:r>
                    <w:rPr>
                      <w:szCs w:val="21"/>
                    </w:rPr>
                    <w:t>占地范围及占地范围外200m范围内的耕地。</w:t>
                  </w:r>
                </w:p>
              </w:tc>
              <w:tc>
                <w:tcPr>
                  <w:tcW w:w="1760" w:type="pct"/>
                  <w:tcBorders>
                    <w:tl2br w:val="nil"/>
                    <w:tr2bl w:val="nil"/>
                  </w:tcBorders>
                  <w:vAlign w:val="center"/>
                </w:tcPr>
                <w:p w14:paraId="7502C9F1">
                  <w:pPr>
                    <w:pStyle w:val="96"/>
                    <w:spacing w:line="240" w:lineRule="auto"/>
                    <w:rPr>
                      <w:szCs w:val="21"/>
                    </w:rPr>
                  </w:pPr>
                  <w:r>
                    <w:rPr>
                      <w:szCs w:val="21"/>
                    </w:rPr>
                    <w:t>土壤类型为中性紫色土</w:t>
                  </w:r>
                </w:p>
              </w:tc>
            </w:tr>
          </w:tbl>
          <w:p w14:paraId="04643D7A">
            <w:pPr>
              <w:adjustRightInd w:val="0"/>
              <w:snapToGrid w:val="0"/>
              <w:spacing w:line="360" w:lineRule="auto"/>
              <w:ind w:firstLine="480" w:firstLineChars="200"/>
              <w:rPr>
                <w:kern w:val="0"/>
                <w:sz w:val="24"/>
              </w:rPr>
            </w:pPr>
            <w:r>
              <w:rPr>
                <w:kern w:val="0"/>
                <w:sz w:val="24"/>
              </w:rPr>
              <w:t>5、声环境敏感目标</w:t>
            </w:r>
          </w:p>
          <w:p w14:paraId="6B280931">
            <w:pPr>
              <w:adjustRightInd w:val="0"/>
              <w:snapToGrid w:val="0"/>
              <w:spacing w:line="360" w:lineRule="auto"/>
              <w:ind w:firstLine="480" w:firstLineChars="200"/>
              <w:rPr>
                <w:kern w:val="0"/>
                <w:sz w:val="24"/>
              </w:rPr>
            </w:pPr>
            <w:r>
              <w:rPr>
                <w:kern w:val="0"/>
                <w:sz w:val="24"/>
              </w:rPr>
              <w:t>本次主要调查井口及放喷池周边200m范围内居民情况，本项目主放喷池</w:t>
            </w:r>
            <w:r>
              <w:rPr>
                <w:rFonts w:hint="eastAsia"/>
                <w:kern w:val="0"/>
                <w:sz w:val="24"/>
              </w:rPr>
              <w:t>及</w:t>
            </w:r>
            <w:r>
              <w:rPr>
                <w:kern w:val="0"/>
                <w:sz w:val="24"/>
              </w:rPr>
              <w:t>井口200m范围内存在</w:t>
            </w:r>
            <w:r>
              <w:rPr>
                <w:rFonts w:hint="eastAsia"/>
                <w:kern w:val="0"/>
                <w:sz w:val="24"/>
              </w:rPr>
              <w:t>1处</w:t>
            </w:r>
            <w:r>
              <w:rPr>
                <w:kern w:val="0"/>
                <w:sz w:val="24"/>
              </w:rPr>
              <w:t>居民，如下表所示。</w:t>
            </w:r>
          </w:p>
          <w:p w14:paraId="60E567B2">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声环境主要保护目标一览表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1354"/>
              <w:gridCol w:w="829"/>
              <w:gridCol w:w="829"/>
              <w:gridCol w:w="840"/>
              <w:gridCol w:w="831"/>
              <w:gridCol w:w="831"/>
              <w:gridCol w:w="1220"/>
              <w:gridCol w:w="1273"/>
            </w:tblGrid>
            <w:tr w14:paraId="11590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844" w:type="pct"/>
                  <w:vMerge w:val="restart"/>
                  <w:tcBorders>
                    <w:tl2br w:val="nil"/>
                    <w:tr2bl w:val="nil"/>
                  </w:tcBorders>
                  <w:vAlign w:val="center"/>
                </w:tcPr>
                <w:p w14:paraId="3DB3718C">
                  <w:pPr>
                    <w:pStyle w:val="96"/>
                    <w:spacing w:line="240" w:lineRule="auto"/>
                    <w:rPr>
                      <w:szCs w:val="18"/>
                    </w:rPr>
                  </w:pPr>
                  <w:r>
                    <w:rPr>
                      <w:szCs w:val="18"/>
                    </w:rPr>
                    <w:t>声环境保护目标名称</w:t>
                  </w:r>
                </w:p>
              </w:tc>
              <w:tc>
                <w:tcPr>
                  <w:tcW w:w="1558" w:type="pct"/>
                  <w:gridSpan w:val="3"/>
                  <w:tcBorders>
                    <w:tl2br w:val="nil"/>
                    <w:tr2bl w:val="nil"/>
                  </w:tcBorders>
                  <w:vAlign w:val="center"/>
                </w:tcPr>
                <w:p w14:paraId="01FCD601">
                  <w:pPr>
                    <w:pStyle w:val="96"/>
                    <w:spacing w:line="240" w:lineRule="auto"/>
                    <w:rPr>
                      <w:szCs w:val="18"/>
                    </w:rPr>
                  </w:pPr>
                  <w:r>
                    <w:rPr>
                      <w:szCs w:val="18"/>
                    </w:rPr>
                    <w:t>空间相对位置</w:t>
                  </w:r>
                </w:p>
              </w:tc>
              <w:tc>
                <w:tcPr>
                  <w:tcW w:w="519" w:type="pct"/>
                  <w:vMerge w:val="restart"/>
                  <w:tcBorders>
                    <w:tl2br w:val="nil"/>
                    <w:tr2bl w:val="nil"/>
                  </w:tcBorders>
                  <w:vAlign w:val="center"/>
                </w:tcPr>
                <w:p w14:paraId="7D47C75F">
                  <w:pPr>
                    <w:pStyle w:val="96"/>
                    <w:spacing w:line="240" w:lineRule="auto"/>
                    <w:rPr>
                      <w:szCs w:val="18"/>
                    </w:rPr>
                  </w:pPr>
                  <w:r>
                    <w:rPr>
                      <w:szCs w:val="18"/>
                    </w:rPr>
                    <w:t>距离井口/m</w:t>
                  </w:r>
                </w:p>
              </w:tc>
              <w:tc>
                <w:tcPr>
                  <w:tcW w:w="519" w:type="pct"/>
                  <w:vMerge w:val="restart"/>
                  <w:tcBorders>
                    <w:tl2br w:val="nil"/>
                    <w:tr2bl w:val="nil"/>
                  </w:tcBorders>
                  <w:vAlign w:val="center"/>
                </w:tcPr>
                <w:p w14:paraId="3CBE4DC6">
                  <w:pPr>
                    <w:pStyle w:val="96"/>
                    <w:spacing w:line="240" w:lineRule="auto"/>
                    <w:rPr>
                      <w:szCs w:val="18"/>
                    </w:rPr>
                  </w:pPr>
                  <w:r>
                    <w:rPr>
                      <w:szCs w:val="18"/>
                    </w:rPr>
                    <w:t>方位</w:t>
                  </w:r>
                </w:p>
              </w:tc>
              <w:tc>
                <w:tcPr>
                  <w:tcW w:w="762" w:type="pct"/>
                  <w:vMerge w:val="restart"/>
                  <w:tcBorders>
                    <w:tl2br w:val="nil"/>
                    <w:tr2bl w:val="nil"/>
                  </w:tcBorders>
                  <w:vAlign w:val="center"/>
                </w:tcPr>
                <w:p w14:paraId="7711C525">
                  <w:pPr>
                    <w:pStyle w:val="96"/>
                    <w:spacing w:line="240" w:lineRule="auto"/>
                    <w:rPr>
                      <w:szCs w:val="18"/>
                    </w:rPr>
                  </w:pPr>
                  <w:r>
                    <w:rPr>
                      <w:szCs w:val="18"/>
                    </w:rPr>
                    <w:t>执行标准/功能类别</w:t>
                  </w:r>
                </w:p>
              </w:tc>
              <w:tc>
                <w:tcPr>
                  <w:tcW w:w="795" w:type="pct"/>
                  <w:vMerge w:val="restart"/>
                  <w:tcBorders>
                    <w:tl2br w:val="nil"/>
                    <w:tr2bl w:val="nil"/>
                  </w:tcBorders>
                  <w:vAlign w:val="center"/>
                </w:tcPr>
                <w:p w14:paraId="15042E70">
                  <w:pPr>
                    <w:pStyle w:val="96"/>
                    <w:spacing w:line="240" w:lineRule="auto"/>
                    <w:rPr>
                      <w:szCs w:val="18"/>
                    </w:rPr>
                  </w:pPr>
                  <w:r>
                    <w:rPr>
                      <w:szCs w:val="18"/>
                    </w:rPr>
                    <w:t>声环境保护目标情况说明</w:t>
                  </w:r>
                </w:p>
              </w:tc>
            </w:tr>
            <w:tr w14:paraId="4C256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844" w:type="pct"/>
                  <w:vMerge w:val="continue"/>
                  <w:tcBorders>
                    <w:tl2br w:val="nil"/>
                    <w:tr2bl w:val="nil"/>
                  </w:tcBorders>
                  <w:vAlign w:val="center"/>
                </w:tcPr>
                <w:p w14:paraId="68AE1EDD">
                  <w:pPr>
                    <w:pStyle w:val="96"/>
                    <w:spacing w:line="240" w:lineRule="auto"/>
                    <w:rPr>
                      <w:szCs w:val="18"/>
                    </w:rPr>
                  </w:pPr>
                </w:p>
              </w:tc>
              <w:tc>
                <w:tcPr>
                  <w:tcW w:w="517" w:type="pct"/>
                  <w:tcBorders>
                    <w:tl2br w:val="nil"/>
                    <w:tr2bl w:val="nil"/>
                  </w:tcBorders>
                  <w:vAlign w:val="center"/>
                </w:tcPr>
                <w:p w14:paraId="478EA0D0">
                  <w:pPr>
                    <w:pStyle w:val="96"/>
                    <w:spacing w:line="240" w:lineRule="auto"/>
                    <w:rPr>
                      <w:szCs w:val="18"/>
                    </w:rPr>
                  </w:pPr>
                  <w:r>
                    <w:rPr>
                      <w:szCs w:val="18"/>
                    </w:rPr>
                    <w:t>X</w:t>
                  </w:r>
                </w:p>
              </w:tc>
              <w:tc>
                <w:tcPr>
                  <w:tcW w:w="517" w:type="pct"/>
                  <w:tcBorders>
                    <w:tl2br w:val="nil"/>
                    <w:tr2bl w:val="nil"/>
                  </w:tcBorders>
                  <w:vAlign w:val="center"/>
                </w:tcPr>
                <w:p w14:paraId="1E898D45">
                  <w:pPr>
                    <w:pStyle w:val="96"/>
                    <w:spacing w:line="240" w:lineRule="auto"/>
                    <w:rPr>
                      <w:szCs w:val="18"/>
                    </w:rPr>
                  </w:pPr>
                  <w:r>
                    <w:rPr>
                      <w:szCs w:val="18"/>
                    </w:rPr>
                    <w:t>Y</w:t>
                  </w:r>
                </w:p>
              </w:tc>
              <w:tc>
                <w:tcPr>
                  <w:tcW w:w="524" w:type="pct"/>
                  <w:tcBorders>
                    <w:tl2br w:val="nil"/>
                    <w:tr2bl w:val="nil"/>
                  </w:tcBorders>
                  <w:vAlign w:val="center"/>
                </w:tcPr>
                <w:p w14:paraId="27BAE83F">
                  <w:pPr>
                    <w:pStyle w:val="96"/>
                    <w:spacing w:line="240" w:lineRule="auto"/>
                    <w:rPr>
                      <w:szCs w:val="18"/>
                    </w:rPr>
                  </w:pPr>
                  <w:r>
                    <w:rPr>
                      <w:szCs w:val="18"/>
                    </w:rPr>
                    <w:t>Z</w:t>
                  </w:r>
                </w:p>
              </w:tc>
              <w:tc>
                <w:tcPr>
                  <w:tcW w:w="519" w:type="pct"/>
                  <w:vMerge w:val="continue"/>
                  <w:tcBorders>
                    <w:tl2br w:val="nil"/>
                    <w:tr2bl w:val="nil"/>
                  </w:tcBorders>
                  <w:vAlign w:val="center"/>
                </w:tcPr>
                <w:p w14:paraId="3BD714F8">
                  <w:pPr>
                    <w:pStyle w:val="96"/>
                    <w:spacing w:line="240" w:lineRule="auto"/>
                    <w:rPr>
                      <w:szCs w:val="18"/>
                    </w:rPr>
                  </w:pPr>
                </w:p>
              </w:tc>
              <w:tc>
                <w:tcPr>
                  <w:tcW w:w="519" w:type="pct"/>
                  <w:vMerge w:val="continue"/>
                  <w:tcBorders>
                    <w:tl2br w:val="nil"/>
                    <w:tr2bl w:val="nil"/>
                  </w:tcBorders>
                  <w:vAlign w:val="center"/>
                </w:tcPr>
                <w:p w14:paraId="36B7E9BC">
                  <w:pPr>
                    <w:pStyle w:val="96"/>
                    <w:spacing w:line="240" w:lineRule="auto"/>
                    <w:rPr>
                      <w:szCs w:val="18"/>
                    </w:rPr>
                  </w:pPr>
                </w:p>
              </w:tc>
              <w:tc>
                <w:tcPr>
                  <w:tcW w:w="762" w:type="pct"/>
                  <w:vMerge w:val="continue"/>
                  <w:tcBorders>
                    <w:tl2br w:val="nil"/>
                    <w:tr2bl w:val="nil"/>
                  </w:tcBorders>
                  <w:vAlign w:val="center"/>
                </w:tcPr>
                <w:p w14:paraId="479917F8">
                  <w:pPr>
                    <w:pStyle w:val="96"/>
                    <w:spacing w:line="240" w:lineRule="auto"/>
                    <w:rPr>
                      <w:szCs w:val="18"/>
                    </w:rPr>
                  </w:pPr>
                </w:p>
              </w:tc>
              <w:tc>
                <w:tcPr>
                  <w:tcW w:w="795" w:type="pct"/>
                  <w:vMerge w:val="continue"/>
                  <w:tcBorders>
                    <w:tl2br w:val="nil"/>
                    <w:tr2bl w:val="nil"/>
                  </w:tcBorders>
                  <w:vAlign w:val="center"/>
                </w:tcPr>
                <w:p w14:paraId="1C1C708E">
                  <w:pPr>
                    <w:pStyle w:val="96"/>
                    <w:spacing w:line="240" w:lineRule="auto"/>
                    <w:rPr>
                      <w:szCs w:val="18"/>
                    </w:rPr>
                  </w:pPr>
                </w:p>
              </w:tc>
            </w:tr>
            <w:tr w14:paraId="4B42D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844" w:type="pct"/>
                  <w:tcBorders>
                    <w:tl2br w:val="nil"/>
                    <w:tr2bl w:val="nil"/>
                  </w:tcBorders>
                  <w:shd w:val="clear" w:color="auto" w:fill="auto"/>
                  <w:vAlign w:val="center"/>
                </w:tcPr>
                <w:p w14:paraId="3DA81BC8">
                  <w:pPr>
                    <w:widowControl/>
                    <w:jc w:val="left"/>
                    <w:textAlignment w:val="center"/>
                    <w:rPr>
                      <w:szCs w:val="21"/>
                    </w:rPr>
                  </w:pPr>
                  <w:r>
                    <w:rPr>
                      <w:rFonts w:hint="eastAsia"/>
                      <w:kern w:val="0"/>
                      <w:szCs w:val="21"/>
                      <w:lang w:bidi="ar"/>
                    </w:rPr>
                    <w:t>1#</w:t>
                  </w:r>
                  <w:r>
                    <w:rPr>
                      <w:kern w:val="0"/>
                      <w:szCs w:val="21"/>
                      <w:lang w:bidi="ar"/>
                    </w:rPr>
                    <w:t>散户居民</w:t>
                  </w:r>
                </w:p>
              </w:tc>
              <w:tc>
                <w:tcPr>
                  <w:tcW w:w="828" w:type="dxa"/>
                  <w:tcBorders>
                    <w:tl2br w:val="nil"/>
                    <w:tr2bl w:val="nil"/>
                  </w:tcBorders>
                  <w:vAlign w:val="center"/>
                </w:tcPr>
                <w:p w14:paraId="7105CF24">
                  <w:pPr>
                    <w:widowControl/>
                    <w:jc w:val="center"/>
                    <w:textAlignment w:val="center"/>
                    <w:rPr>
                      <w:szCs w:val="18"/>
                    </w:rPr>
                  </w:pPr>
                  <w:r>
                    <w:rPr>
                      <w:rFonts w:hint="eastAsia"/>
                      <w:bCs/>
                      <w:sz w:val="21"/>
                      <w:szCs w:val="21"/>
                      <w:lang w:val="en-US" w:eastAsia="zh-CN"/>
                    </w:rPr>
                    <w:t>*</w:t>
                  </w:r>
                </w:p>
              </w:tc>
              <w:tc>
                <w:tcPr>
                  <w:tcW w:w="828" w:type="dxa"/>
                  <w:tcBorders>
                    <w:tl2br w:val="nil"/>
                    <w:tr2bl w:val="nil"/>
                  </w:tcBorders>
                  <w:vAlign w:val="center"/>
                </w:tcPr>
                <w:p w14:paraId="199DB16B">
                  <w:pPr>
                    <w:widowControl/>
                    <w:jc w:val="center"/>
                    <w:textAlignment w:val="center"/>
                    <w:rPr>
                      <w:szCs w:val="18"/>
                    </w:rPr>
                  </w:pPr>
                  <w:r>
                    <w:rPr>
                      <w:rFonts w:hint="eastAsia"/>
                      <w:bCs/>
                      <w:sz w:val="21"/>
                      <w:szCs w:val="21"/>
                      <w:lang w:val="en-US" w:eastAsia="zh-CN"/>
                    </w:rPr>
                    <w:t>*</w:t>
                  </w:r>
                </w:p>
              </w:tc>
              <w:tc>
                <w:tcPr>
                  <w:tcW w:w="524" w:type="pct"/>
                  <w:tcBorders>
                    <w:tl2br w:val="nil"/>
                    <w:tr2bl w:val="nil"/>
                  </w:tcBorders>
                  <w:vAlign w:val="center"/>
                </w:tcPr>
                <w:p w14:paraId="24D9DA04">
                  <w:pPr>
                    <w:widowControl/>
                    <w:jc w:val="center"/>
                    <w:textAlignment w:val="center"/>
                    <w:rPr>
                      <w:szCs w:val="18"/>
                    </w:rPr>
                  </w:pPr>
                  <w:r>
                    <w:rPr>
                      <w:rFonts w:hint="eastAsia"/>
                      <w:bCs/>
                      <w:sz w:val="21"/>
                      <w:szCs w:val="21"/>
                      <w:lang w:val="en-US" w:eastAsia="zh-CN"/>
                    </w:rPr>
                    <w:t>*</w:t>
                  </w:r>
                </w:p>
              </w:tc>
              <w:tc>
                <w:tcPr>
                  <w:tcW w:w="519" w:type="pct"/>
                  <w:tcBorders>
                    <w:tl2br w:val="nil"/>
                    <w:tr2bl w:val="nil"/>
                  </w:tcBorders>
                  <w:vAlign w:val="center"/>
                </w:tcPr>
                <w:p w14:paraId="653F53DF">
                  <w:pPr>
                    <w:widowControl/>
                    <w:jc w:val="center"/>
                    <w:textAlignment w:val="center"/>
                  </w:pPr>
                  <w:r>
                    <w:rPr>
                      <w:rFonts w:hint="eastAsia"/>
                      <w:bCs/>
                      <w:sz w:val="21"/>
                      <w:szCs w:val="21"/>
                      <w:lang w:val="en-US" w:eastAsia="zh-CN"/>
                    </w:rPr>
                    <w:t>*</w:t>
                  </w:r>
                </w:p>
              </w:tc>
              <w:tc>
                <w:tcPr>
                  <w:tcW w:w="519" w:type="pct"/>
                  <w:tcBorders>
                    <w:tl2br w:val="nil"/>
                    <w:tr2bl w:val="nil"/>
                  </w:tcBorders>
                  <w:vAlign w:val="center"/>
                </w:tcPr>
                <w:p w14:paraId="70756C1D">
                  <w:pPr>
                    <w:widowControl/>
                    <w:jc w:val="center"/>
                    <w:textAlignment w:val="center"/>
                    <w:rPr>
                      <w:szCs w:val="21"/>
                    </w:rPr>
                  </w:pPr>
                  <w:r>
                    <w:rPr>
                      <w:rFonts w:hint="eastAsia"/>
                      <w:bCs/>
                      <w:sz w:val="21"/>
                      <w:szCs w:val="21"/>
                      <w:lang w:val="en-US" w:eastAsia="zh-CN"/>
                    </w:rPr>
                    <w:t>*</w:t>
                  </w:r>
                </w:p>
              </w:tc>
              <w:tc>
                <w:tcPr>
                  <w:tcW w:w="762" w:type="pct"/>
                  <w:tcBorders>
                    <w:tl2br w:val="nil"/>
                    <w:tr2bl w:val="nil"/>
                  </w:tcBorders>
                  <w:vAlign w:val="center"/>
                </w:tcPr>
                <w:p w14:paraId="4A4761B6">
                  <w:pPr>
                    <w:pStyle w:val="96"/>
                    <w:spacing w:line="240" w:lineRule="auto"/>
                    <w:rPr>
                      <w:szCs w:val="18"/>
                    </w:rPr>
                  </w:pPr>
                  <w:r>
                    <w:rPr>
                      <w:szCs w:val="18"/>
                    </w:rPr>
                    <w:t>《声环境质量标准》（GB3096-2008）规定的2类地区</w:t>
                  </w:r>
                </w:p>
              </w:tc>
              <w:tc>
                <w:tcPr>
                  <w:tcW w:w="795" w:type="pct"/>
                  <w:tcBorders>
                    <w:tl2br w:val="nil"/>
                    <w:tr2bl w:val="nil"/>
                  </w:tcBorders>
                  <w:vAlign w:val="center"/>
                </w:tcPr>
                <w:p w14:paraId="7BB662FC">
                  <w:pPr>
                    <w:pStyle w:val="254"/>
                    <w:jc w:val="center"/>
                    <w:rPr>
                      <w:rFonts w:ascii="Times New Roman" w:hAnsi="Times New Roman" w:cs="Times New Roman"/>
                      <w:szCs w:val="21"/>
                    </w:rPr>
                  </w:pPr>
                  <w:r>
                    <w:rPr>
                      <w:rFonts w:ascii="Times New Roman" w:hAnsi="Times New Roman" w:eastAsia="等线" w:cs="Times New Roman"/>
                      <w:szCs w:val="21"/>
                      <w:lang w:val="en-US"/>
                    </w:rPr>
                    <w:t>共</w:t>
                  </w:r>
                  <w:r>
                    <w:rPr>
                      <w:rFonts w:hint="eastAsia" w:ascii="Times New Roman" w:hAnsi="Times New Roman" w:eastAsia="等线" w:cs="Times New Roman"/>
                      <w:szCs w:val="21"/>
                      <w:lang w:val="en-US"/>
                    </w:rPr>
                    <w:t>1</w:t>
                  </w:r>
                  <w:r>
                    <w:rPr>
                      <w:rFonts w:ascii="Times New Roman" w:hAnsi="Times New Roman" w:eastAsia="宋体" w:cs="Times New Roman"/>
                      <w:szCs w:val="21"/>
                    </w:rPr>
                    <w:t>户，</w:t>
                  </w:r>
                  <w:r>
                    <w:rPr>
                      <w:rFonts w:hint="eastAsia" w:ascii="Times New Roman" w:hAnsi="Times New Roman" w:eastAsia="宋体" w:cs="Times New Roman"/>
                      <w:szCs w:val="21"/>
                      <w:lang w:val="en-US"/>
                    </w:rPr>
                    <w:t>4</w:t>
                  </w:r>
                  <w:r>
                    <w:rPr>
                      <w:rFonts w:ascii="Times New Roman" w:hAnsi="Times New Roman" w:eastAsia="宋体" w:cs="Times New Roman"/>
                      <w:szCs w:val="21"/>
                    </w:rPr>
                    <w:t>口人</w:t>
                  </w:r>
                </w:p>
              </w:tc>
            </w:tr>
          </w:tbl>
          <w:p w14:paraId="257E67AE">
            <w:pPr>
              <w:adjustRightInd w:val="0"/>
              <w:snapToGrid w:val="0"/>
              <w:spacing w:line="360" w:lineRule="auto"/>
              <w:ind w:firstLine="480" w:firstLineChars="200"/>
              <w:rPr>
                <w:kern w:val="0"/>
                <w:sz w:val="24"/>
              </w:rPr>
            </w:pPr>
            <w:r>
              <w:rPr>
                <w:kern w:val="0"/>
                <w:sz w:val="24"/>
              </w:rPr>
              <w:t>6、环境风险敏感目标</w:t>
            </w:r>
          </w:p>
          <w:p w14:paraId="3AAE2C5E">
            <w:pPr>
              <w:adjustRightInd w:val="0"/>
              <w:snapToGrid w:val="0"/>
              <w:spacing w:line="360" w:lineRule="auto"/>
              <w:ind w:firstLine="480" w:firstLineChars="200"/>
              <w:rPr>
                <w:kern w:val="0"/>
                <w:sz w:val="24"/>
              </w:rPr>
            </w:pPr>
            <w:r>
              <w:rPr>
                <w:kern w:val="0"/>
                <w:sz w:val="24"/>
              </w:rPr>
              <w:t>井场环境风险敏感目标分布情况。</w:t>
            </w:r>
          </w:p>
          <w:p w14:paraId="750C8FC8">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环境风险保护目标表</w:t>
            </w:r>
          </w:p>
          <w:tbl>
            <w:tblPr>
              <w:tblStyle w:val="44"/>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2056"/>
              <w:gridCol w:w="2594"/>
              <w:gridCol w:w="2830"/>
            </w:tblGrid>
            <w:tr w14:paraId="3A078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14:paraId="788EA9F5">
                  <w:pPr>
                    <w:pStyle w:val="96"/>
                    <w:spacing w:line="240" w:lineRule="auto"/>
                    <w:rPr>
                      <w:kern w:val="0"/>
                      <w:szCs w:val="21"/>
                    </w:rPr>
                  </w:pPr>
                  <w:r>
                    <w:rPr>
                      <w:szCs w:val="21"/>
                    </w:rPr>
                    <w:t>序号</w:t>
                  </w:r>
                </w:p>
              </w:tc>
              <w:tc>
                <w:tcPr>
                  <w:tcW w:w="1283" w:type="pct"/>
                  <w:tcBorders>
                    <w:tl2br w:val="nil"/>
                    <w:tr2bl w:val="nil"/>
                  </w:tcBorders>
                  <w:vAlign w:val="center"/>
                </w:tcPr>
                <w:p w14:paraId="079E75B4">
                  <w:pPr>
                    <w:pStyle w:val="96"/>
                    <w:spacing w:line="240" w:lineRule="auto"/>
                    <w:rPr>
                      <w:szCs w:val="21"/>
                    </w:rPr>
                  </w:pPr>
                  <w:r>
                    <w:rPr>
                      <w:szCs w:val="21"/>
                    </w:rPr>
                    <w:t>名称</w:t>
                  </w:r>
                </w:p>
              </w:tc>
              <w:tc>
                <w:tcPr>
                  <w:tcW w:w="1619" w:type="pct"/>
                  <w:tcBorders>
                    <w:tl2br w:val="nil"/>
                    <w:tr2bl w:val="nil"/>
                  </w:tcBorders>
                  <w:vAlign w:val="center"/>
                </w:tcPr>
                <w:p w14:paraId="47C4C713">
                  <w:pPr>
                    <w:pStyle w:val="96"/>
                    <w:spacing w:line="240" w:lineRule="auto"/>
                    <w:rPr>
                      <w:szCs w:val="21"/>
                    </w:rPr>
                  </w:pPr>
                  <w:r>
                    <w:rPr>
                      <w:szCs w:val="21"/>
                    </w:rPr>
                    <w:t>位置关系</w:t>
                  </w:r>
                </w:p>
              </w:tc>
              <w:tc>
                <w:tcPr>
                  <w:tcW w:w="1766" w:type="pct"/>
                  <w:tcBorders>
                    <w:tl2br w:val="nil"/>
                    <w:tr2bl w:val="nil"/>
                  </w:tcBorders>
                  <w:vAlign w:val="center"/>
                </w:tcPr>
                <w:p w14:paraId="6902CF5B">
                  <w:pPr>
                    <w:pStyle w:val="96"/>
                    <w:spacing w:line="240" w:lineRule="auto"/>
                    <w:rPr>
                      <w:szCs w:val="21"/>
                    </w:rPr>
                  </w:pPr>
                  <w:r>
                    <w:rPr>
                      <w:szCs w:val="21"/>
                    </w:rPr>
                    <w:t>环境敏感特性</w:t>
                  </w:r>
                </w:p>
              </w:tc>
            </w:tr>
            <w:tr w14:paraId="728EA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14:paraId="508C4DE4">
                  <w:pPr>
                    <w:pStyle w:val="96"/>
                    <w:spacing w:line="240" w:lineRule="auto"/>
                    <w:rPr>
                      <w:szCs w:val="21"/>
                    </w:rPr>
                  </w:pPr>
                  <w:r>
                    <w:rPr>
                      <w:szCs w:val="21"/>
                    </w:rPr>
                    <w:t>1</w:t>
                  </w:r>
                </w:p>
              </w:tc>
              <w:tc>
                <w:tcPr>
                  <w:tcW w:w="1283" w:type="pct"/>
                  <w:tcBorders>
                    <w:tl2br w:val="nil"/>
                    <w:tr2bl w:val="nil"/>
                  </w:tcBorders>
                  <w:vAlign w:val="center"/>
                </w:tcPr>
                <w:p w14:paraId="6BA7B4CD">
                  <w:pPr>
                    <w:pStyle w:val="96"/>
                    <w:spacing w:line="240" w:lineRule="auto"/>
                    <w:rPr>
                      <w:szCs w:val="21"/>
                    </w:rPr>
                  </w:pPr>
                  <w:r>
                    <w:rPr>
                      <w:szCs w:val="21"/>
                    </w:rPr>
                    <w:t>农村散户居民</w:t>
                  </w:r>
                </w:p>
              </w:tc>
              <w:tc>
                <w:tcPr>
                  <w:tcW w:w="1619" w:type="pct"/>
                  <w:tcBorders>
                    <w:tl2br w:val="nil"/>
                    <w:tr2bl w:val="nil"/>
                  </w:tcBorders>
                  <w:vAlign w:val="center"/>
                </w:tcPr>
                <w:p w14:paraId="504A5ED0">
                  <w:pPr>
                    <w:pStyle w:val="96"/>
                    <w:spacing w:line="240" w:lineRule="auto"/>
                    <w:rPr>
                      <w:szCs w:val="21"/>
                    </w:rPr>
                  </w:pPr>
                  <w:r>
                    <w:rPr>
                      <w:szCs w:val="21"/>
                    </w:rPr>
                    <w:t>井口500m范围内分布</w:t>
                  </w:r>
                </w:p>
              </w:tc>
              <w:tc>
                <w:tcPr>
                  <w:tcW w:w="1766" w:type="pct"/>
                  <w:tcBorders>
                    <w:tl2br w:val="nil"/>
                    <w:tr2bl w:val="nil"/>
                  </w:tcBorders>
                  <w:vAlign w:val="center"/>
                </w:tcPr>
                <w:p w14:paraId="75CB84B6">
                  <w:pPr>
                    <w:pStyle w:val="96"/>
                    <w:spacing w:line="240" w:lineRule="auto"/>
                    <w:rPr>
                      <w:szCs w:val="21"/>
                    </w:rPr>
                  </w:pPr>
                  <w:r>
                    <w:rPr>
                      <w:szCs w:val="21"/>
                    </w:rPr>
                    <w:t>分散居民，约</w:t>
                  </w:r>
                  <w:r>
                    <w:rPr>
                      <w:rFonts w:hint="eastAsia"/>
                      <w:szCs w:val="21"/>
                    </w:rPr>
                    <w:t>82</w:t>
                  </w:r>
                  <w:r>
                    <w:rPr>
                      <w:szCs w:val="21"/>
                    </w:rPr>
                    <w:t>人</w:t>
                  </w:r>
                </w:p>
              </w:tc>
            </w:tr>
            <w:tr w14:paraId="6F39A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14:paraId="1BF8F19C">
                  <w:pPr>
                    <w:pStyle w:val="96"/>
                    <w:spacing w:line="240" w:lineRule="auto"/>
                    <w:rPr>
                      <w:szCs w:val="21"/>
                    </w:rPr>
                  </w:pPr>
                  <w:r>
                    <w:rPr>
                      <w:szCs w:val="21"/>
                    </w:rPr>
                    <w:t>2</w:t>
                  </w:r>
                </w:p>
              </w:tc>
              <w:tc>
                <w:tcPr>
                  <w:tcW w:w="1283" w:type="pct"/>
                  <w:tcBorders>
                    <w:tl2br w:val="nil"/>
                    <w:tr2bl w:val="nil"/>
                  </w:tcBorders>
                  <w:vAlign w:val="center"/>
                </w:tcPr>
                <w:p w14:paraId="107A3EC9">
                  <w:pPr>
                    <w:pStyle w:val="96"/>
                    <w:spacing w:line="240" w:lineRule="auto"/>
                    <w:rPr>
                      <w:szCs w:val="21"/>
                    </w:rPr>
                  </w:pPr>
                  <w:r>
                    <w:rPr>
                      <w:szCs w:val="21"/>
                    </w:rPr>
                    <w:t>1000m范围内居民</w:t>
                  </w:r>
                </w:p>
              </w:tc>
              <w:tc>
                <w:tcPr>
                  <w:tcW w:w="1619" w:type="pct"/>
                  <w:tcBorders>
                    <w:tl2br w:val="nil"/>
                    <w:tr2bl w:val="nil"/>
                  </w:tcBorders>
                  <w:vAlign w:val="center"/>
                </w:tcPr>
                <w:p w14:paraId="6EEB46EC">
                  <w:pPr>
                    <w:rPr>
                      <w:szCs w:val="21"/>
                    </w:rPr>
                  </w:pPr>
                  <w:r>
                    <w:rPr>
                      <w:szCs w:val="21"/>
                    </w:rPr>
                    <w:t>井口1000m范围内分布</w:t>
                  </w:r>
                </w:p>
              </w:tc>
              <w:tc>
                <w:tcPr>
                  <w:tcW w:w="1766" w:type="pct"/>
                  <w:tcBorders>
                    <w:tl2br w:val="nil"/>
                    <w:tr2bl w:val="nil"/>
                  </w:tcBorders>
                  <w:vAlign w:val="center"/>
                </w:tcPr>
                <w:p w14:paraId="21DA6D19">
                  <w:pPr>
                    <w:pStyle w:val="96"/>
                    <w:spacing w:line="240" w:lineRule="auto"/>
                    <w:rPr>
                      <w:szCs w:val="21"/>
                    </w:rPr>
                  </w:pPr>
                  <w:r>
                    <w:rPr>
                      <w:szCs w:val="21"/>
                    </w:rPr>
                    <w:t>约1000人</w:t>
                  </w:r>
                </w:p>
              </w:tc>
            </w:tr>
            <w:tr w14:paraId="0C431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14:paraId="1584D63A">
                  <w:pPr>
                    <w:pStyle w:val="96"/>
                    <w:spacing w:line="240" w:lineRule="auto"/>
                    <w:rPr>
                      <w:szCs w:val="21"/>
                    </w:rPr>
                  </w:pPr>
                  <w:r>
                    <w:rPr>
                      <w:szCs w:val="21"/>
                    </w:rPr>
                    <w:t>3</w:t>
                  </w:r>
                </w:p>
              </w:tc>
              <w:tc>
                <w:tcPr>
                  <w:tcW w:w="1283" w:type="pct"/>
                  <w:tcBorders>
                    <w:tl2br w:val="nil"/>
                    <w:tr2bl w:val="nil"/>
                  </w:tcBorders>
                  <w:vAlign w:val="center"/>
                </w:tcPr>
                <w:p w14:paraId="4DF1240E">
                  <w:pPr>
                    <w:pStyle w:val="96"/>
                    <w:spacing w:line="240" w:lineRule="auto"/>
                    <w:rPr>
                      <w:szCs w:val="21"/>
                    </w:rPr>
                  </w:pPr>
                  <w:r>
                    <w:rPr>
                      <w:szCs w:val="21"/>
                    </w:rPr>
                    <w:t>3000m范围内居民</w:t>
                  </w:r>
                </w:p>
              </w:tc>
              <w:tc>
                <w:tcPr>
                  <w:tcW w:w="1619" w:type="pct"/>
                  <w:tcBorders>
                    <w:tl2br w:val="nil"/>
                    <w:tr2bl w:val="nil"/>
                  </w:tcBorders>
                  <w:vAlign w:val="center"/>
                </w:tcPr>
                <w:p w14:paraId="5E0D7295">
                  <w:pPr>
                    <w:rPr>
                      <w:szCs w:val="21"/>
                    </w:rPr>
                  </w:pPr>
                  <w:r>
                    <w:rPr>
                      <w:szCs w:val="21"/>
                    </w:rPr>
                    <w:t>井口3000m范围内分布</w:t>
                  </w:r>
                </w:p>
              </w:tc>
              <w:tc>
                <w:tcPr>
                  <w:tcW w:w="1766" w:type="pct"/>
                  <w:tcBorders>
                    <w:tl2br w:val="nil"/>
                    <w:tr2bl w:val="nil"/>
                  </w:tcBorders>
                  <w:vAlign w:val="center"/>
                </w:tcPr>
                <w:p w14:paraId="6642B958">
                  <w:pPr>
                    <w:pStyle w:val="96"/>
                    <w:spacing w:line="240" w:lineRule="auto"/>
                    <w:rPr>
                      <w:szCs w:val="21"/>
                    </w:rPr>
                  </w:pPr>
                  <w:r>
                    <w:rPr>
                      <w:szCs w:val="21"/>
                    </w:rPr>
                    <w:t>约5000人</w:t>
                  </w:r>
                </w:p>
              </w:tc>
            </w:tr>
          </w:tbl>
          <w:p w14:paraId="36DB5ACE">
            <w:pPr>
              <w:adjustRightInd w:val="0"/>
              <w:snapToGrid w:val="0"/>
              <w:spacing w:line="360" w:lineRule="auto"/>
              <w:ind w:firstLine="420" w:firstLineChars="200"/>
              <w:rPr>
                <w:kern w:val="0"/>
                <w:szCs w:val="21"/>
              </w:rPr>
            </w:pPr>
          </w:p>
        </w:tc>
      </w:tr>
      <w:tr w14:paraId="6E1B9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3485DDD9">
            <w:pPr>
              <w:adjustRightInd w:val="0"/>
              <w:snapToGrid w:val="0"/>
              <w:jc w:val="center"/>
              <w:rPr>
                <w:kern w:val="0"/>
                <w:szCs w:val="21"/>
              </w:rPr>
            </w:pPr>
            <w:r>
              <w:rPr>
                <w:kern w:val="0"/>
                <w:szCs w:val="21"/>
              </w:rPr>
              <w:t>评价</w:t>
            </w:r>
          </w:p>
          <w:p w14:paraId="49E4121D">
            <w:pPr>
              <w:adjustRightInd w:val="0"/>
              <w:snapToGrid w:val="0"/>
              <w:jc w:val="center"/>
              <w:rPr>
                <w:kern w:val="0"/>
                <w:szCs w:val="21"/>
              </w:rPr>
            </w:pPr>
            <w:r>
              <w:rPr>
                <w:kern w:val="0"/>
                <w:szCs w:val="21"/>
              </w:rPr>
              <w:t>标准</w:t>
            </w:r>
          </w:p>
        </w:tc>
        <w:tc>
          <w:tcPr>
            <w:tcW w:w="8253" w:type="dxa"/>
          </w:tcPr>
          <w:p w14:paraId="0BC1A5CC">
            <w:pPr>
              <w:spacing w:line="360" w:lineRule="auto"/>
              <w:rPr>
                <w:b/>
                <w:bCs/>
                <w:sz w:val="24"/>
              </w:rPr>
            </w:pPr>
            <w:r>
              <w:rPr>
                <w:b/>
                <w:bCs/>
                <w:sz w:val="24"/>
              </w:rPr>
              <w:t>3.5环境质量标准</w:t>
            </w:r>
          </w:p>
          <w:p w14:paraId="5EFF9BFF">
            <w:pPr>
              <w:spacing w:line="360" w:lineRule="auto"/>
              <w:ind w:firstLine="480" w:firstLineChars="200"/>
              <w:rPr>
                <w:sz w:val="24"/>
              </w:rPr>
            </w:pPr>
            <w:r>
              <w:rPr>
                <w:sz w:val="24"/>
              </w:rPr>
              <w:t>1、环境空气</w:t>
            </w:r>
          </w:p>
          <w:p w14:paraId="0AE01F89">
            <w:pPr>
              <w:spacing w:line="360" w:lineRule="auto"/>
              <w:ind w:firstLine="480" w:firstLineChars="200"/>
              <w:jc w:val="left"/>
              <w:rPr>
                <w:sz w:val="24"/>
              </w:rPr>
            </w:pPr>
            <w:bookmarkStart w:id="33" w:name="OLE_LINK67"/>
            <w:r>
              <w:rPr>
                <w:sz w:val="24"/>
              </w:rPr>
              <w:t>项目所在区域环境空气质量功能区划为二类区，相关的主要标准值见下表。</w:t>
            </w:r>
          </w:p>
          <w:p w14:paraId="28D69100">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环境空气质量标准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14:paraId="07310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14:paraId="1F9504EA">
                  <w:pPr>
                    <w:jc w:val="center"/>
                    <w:rPr>
                      <w:b/>
                      <w:bCs/>
                      <w:szCs w:val="21"/>
                    </w:rPr>
                  </w:pPr>
                  <w:r>
                    <w:rPr>
                      <w:b/>
                      <w:bCs/>
                      <w:szCs w:val="21"/>
                    </w:rPr>
                    <w:t>污染物</w:t>
                  </w:r>
                </w:p>
              </w:tc>
              <w:tc>
                <w:tcPr>
                  <w:tcW w:w="1897" w:type="dxa"/>
                  <w:tcBorders>
                    <w:tl2br w:val="nil"/>
                    <w:tr2bl w:val="nil"/>
                  </w:tcBorders>
                  <w:vAlign w:val="center"/>
                </w:tcPr>
                <w:p w14:paraId="0E0A4818">
                  <w:pPr>
                    <w:jc w:val="center"/>
                    <w:rPr>
                      <w:b/>
                      <w:bCs/>
                      <w:szCs w:val="21"/>
                    </w:rPr>
                  </w:pPr>
                  <w:r>
                    <w:rPr>
                      <w:b/>
                      <w:bCs/>
                      <w:szCs w:val="21"/>
                    </w:rPr>
                    <w:t>平均时间</w:t>
                  </w:r>
                </w:p>
              </w:tc>
              <w:tc>
                <w:tcPr>
                  <w:tcW w:w="1524" w:type="dxa"/>
                  <w:tcBorders>
                    <w:tl2br w:val="nil"/>
                    <w:tr2bl w:val="nil"/>
                  </w:tcBorders>
                  <w:vAlign w:val="center"/>
                </w:tcPr>
                <w:p w14:paraId="3EA93579">
                  <w:pPr>
                    <w:jc w:val="center"/>
                    <w:rPr>
                      <w:b/>
                      <w:bCs/>
                      <w:szCs w:val="21"/>
                    </w:rPr>
                  </w:pPr>
                  <w:r>
                    <w:rPr>
                      <w:b/>
                      <w:bCs/>
                      <w:szCs w:val="21"/>
                    </w:rPr>
                    <w:t>浓度限值</w:t>
                  </w:r>
                </w:p>
              </w:tc>
              <w:tc>
                <w:tcPr>
                  <w:tcW w:w="3163" w:type="dxa"/>
                  <w:tcBorders>
                    <w:tl2br w:val="nil"/>
                    <w:tr2bl w:val="nil"/>
                  </w:tcBorders>
                  <w:vAlign w:val="center"/>
                </w:tcPr>
                <w:p w14:paraId="70692BFE">
                  <w:pPr>
                    <w:jc w:val="center"/>
                    <w:rPr>
                      <w:b/>
                      <w:bCs/>
                      <w:szCs w:val="21"/>
                    </w:rPr>
                  </w:pPr>
                  <w:r>
                    <w:rPr>
                      <w:b/>
                      <w:bCs/>
                      <w:szCs w:val="21"/>
                    </w:rPr>
                    <w:t>选用标准</w:t>
                  </w:r>
                </w:p>
              </w:tc>
            </w:tr>
            <w:tr w14:paraId="2AEB5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33C61DD9">
                  <w:pPr>
                    <w:jc w:val="center"/>
                    <w:rPr>
                      <w:szCs w:val="21"/>
                    </w:rPr>
                  </w:pPr>
                  <w:r>
                    <w:rPr>
                      <w:szCs w:val="21"/>
                    </w:rPr>
                    <w:t>SO</w:t>
                  </w:r>
                  <w:r>
                    <w:rPr>
                      <w:szCs w:val="21"/>
                      <w:vertAlign w:val="subscript"/>
                    </w:rPr>
                    <w:t>2</w:t>
                  </w:r>
                </w:p>
              </w:tc>
              <w:tc>
                <w:tcPr>
                  <w:tcW w:w="1897" w:type="dxa"/>
                  <w:tcBorders>
                    <w:tl2br w:val="nil"/>
                    <w:tr2bl w:val="nil"/>
                  </w:tcBorders>
                  <w:vAlign w:val="center"/>
                </w:tcPr>
                <w:p w14:paraId="1BFD60A8">
                  <w:pPr>
                    <w:jc w:val="center"/>
                    <w:rPr>
                      <w:szCs w:val="21"/>
                    </w:rPr>
                  </w:pPr>
                  <w:r>
                    <w:rPr>
                      <w:szCs w:val="21"/>
                    </w:rPr>
                    <w:t>年平均</w:t>
                  </w:r>
                </w:p>
              </w:tc>
              <w:tc>
                <w:tcPr>
                  <w:tcW w:w="1524" w:type="dxa"/>
                  <w:tcBorders>
                    <w:tl2br w:val="nil"/>
                    <w:tr2bl w:val="nil"/>
                  </w:tcBorders>
                  <w:vAlign w:val="center"/>
                </w:tcPr>
                <w:p w14:paraId="6C3DC99F">
                  <w:pPr>
                    <w:jc w:val="center"/>
                    <w:rPr>
                      <w:szCs w:val="21"/>
                    </w:rPr>
                  </w:pPr>
                  <w:r>
                    <w:rPr>
                      <w:szCs w:val="21"/>
                    </w:rPr>
                    <w:t>60µg/m</w:t>
                  </w:r>
                  <w:r>
                    <w:rPr>
                      <w:szCs w:val="21"/>
                      <w:vertAlign w:val="superscript"/>
                    </w:rPr>
                    <w:t>3</w:t>
                  </w:r>
                </w:p>
              </w:tc>
              <w:tc>
                <w:tcPr>
                  <w:tcW w:w="3163" w:type="dxa"/>
                  <w:vMerge w:val="restart"/>
                  <w:tcBorders>
                    <w:tl2br w:val="nil"/>
                    <w:tr2bl w:val="nil"/>
                  </w:tcBorders>
                  <w:vAlign w:val="center"/>
                </w:tcPr>
                <w:p w14:paraId="07BCB916">
                  <w:pPr>
                    <w:jc w:val="center"/>
                    <w:rPr>
                      <w:szCs w:val="21"/>
                    </w:rPr>
                  </w:pPr>
                  <w:r>
                    <w:rPr>
                      <w:szCs w:val="21"/>
                    </w:rPr>
                    <w:t>《环境空气质量标准》（GB3095-2012）二级标准</w:t>
                  </w:r>
                </w:p>
              </w:tc>
            </w:tr>
            <w:tr w14:paraId="5ED9F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2F6E9B16">
                  <w:pPr>
                    <w:jc w:val="center"/>
                    <w:rPr>
                      <w:szCs w:val="21"/>
                    </w:rPr>
                  </w:pPr>
                </w:p>
              </w:tc>
              <w:tc>
                <w:tcPr>
                  <w:tcW w:w="1897" w:type="dxa"/>
                  <w:tcBorders>
                    <w:tl2br w:val="nil"/>
                    <w:tr2bl w:val="nil"/>
                  </w:tcBorders>
                  <w:vAlign w:val="center"/>
                </w:tcPr>
                <w:p w14:paraId="0D6F668C">
                  <w:pPr>
                    <w:jc w:val="center"/>
                    <w:rPr>
                      <w:szCs w:val="21"/>
                    </w:rPr>
                  </w:pPr>
                  <w:r>
                    <w:rPr>
                      <w:szCs w:val="21"/>
                    </w:rPr>
                    <w:t>24小时平均</w:t>
                  </w:r>
                </w:p>
              </w:tc>
              <w:tc>
                <w:tcPr>
                  <w:tcW w:w="1524" w:type="dxa"/>
                  <w:tcBorders>
                    <w:tl2br w:val="nil"/>
                    <w:tr2bl w:val="nil"/>
                  </w:tcBorders>
                  <w:vAlign w:val="center"/>
                </w:tcPr>
                <w:p w14:paraId="618E60D3">
                  <w:pPr>
                    <w:jc w:val="center"/>
                    <w:rPr>
                      <w:szCs w:val="21"/>
                    </w:rPr>
                  </w:pPr>
                  <w:r>
                    <w:rPr>
                      <w:szCs w:val="21"/>
                    </w:rPr>
                    <w:t>150µg/m</w:t>
                  </w:r>
                  <w:r>
                    <w:rPr>
                      <w:szCs w:val="21"/>
                      <w:vertAlign w:val="superscript"/>
                    </w:rPr>
                    <w:t>3</w:t>
                  </w:r>
                </w:p>
              </w:tc>
              <w:tc>
                <w:tcPr>
                  <w:tcW w:w="3163" w:type="dxa"/>
                  <w:vMerge w:val="continue"/>
                  <w:tcBorders>
                    <w:tl2br w:val="nil"/>
                    <w:tr2bl w:val="nil"/>
                  </w:tcBorders>
                  <w:vAlign w:val="center"/>
                </w:tcPr>
                <w:p w14:paraId="5658D19C">
                  <w:pPr>
                    <w:jc w:val="center"/>
                    <w:rPr>
                      <w:szCs w:val="21"/>
                    </w:rPr>
                  </w:pPr>
                </w:p>
              </w:tc>
            </w:tr>
            <w:tr w14:paraId="669D3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72CCD7D5">
                  <w:pPr>
                    <w:jc w:val="center"/>
                    <w:rPr>
                      <w:szCs w:val="21"/>
                    </w:rPr>
                  </w:pPr>
                </w:p>
              </w:tc>
              <w:tc>
                <w:tcPr>
                  <w:tcW w:w="1897" w:type="dxa"/>
                  <w:tcBorders>
                    <w:tl2br w:val="nil"/>
                    <w:tr2bl w:val="nil"/>
                  </w:tcBorders>
                  <w:vAlign w:val="center"/>
                </w:tcPr>
                <w:p w14:paraId="5D91801A">
                  <w:pPr>
                    <w:jc w:val="center"/>
                    <w:rPr>
                      <w:szCs w:val="21"/>
                    </w:rPr>
                  </w:pPr>
                  <w:r>
                    <w:rPr>
                      <w:szCs w:val="21"/>
                    </w:rPr>
                    <w:t>1小时平均</w:t>
                  </w:r>
                </w:p>
              </w:tc>
              <w:tc>
                <w:tcPr>
                  <w:tcW w:w="1524" w:type="dxa"/>
                  <w:tcBorders>
                    <w:tl2br w:val="nil"/>
                    <w:tr2bl w:val="nil"/>
                  </w:tcBorders>
                  <w:vAlign w:val="center"/>
                </w:tcPr>
                <w:p w14:paraId="7949F8E6">
                  <w:pPr>
                    <w:jc w:val="center"/>
                    <w:rPr>
                      <w:szCs w:val="21"/>
                    </w:rPr>
                  </w:pPr>
                  <w:r>
                    <w:rPr>
                      <w:szCs w:val="21"/>
                    </w:rPr>
                    <w:t>500µg/m</w:t>
                  </w:r>
                  <w:r>
                    <w:rPr>
                      <w:szCs w:val="21"/>
                      <w:vertAlign w:val="superscript"/>
                    </w:rPr>
                    <w:t>3</w:t>
                  </w:r>
                </w:p>
              </w:tc>
              <w:tc>
                <w:tcPr>
                  <w:tcW w:w="3163" w:type="dxa"/>
                  <w:vMerge w:val="continue"/>
                  <w:tcBorders>
                    <w:tl2br w:val="nil"/>
                    <w:tr2bl w:val="nil"/>
                  </w:tcBorders>
                  <w:vAlign w:val="center"/>
                </w:tcPr>
                <w:p w14:paraId="6575E4B7">
                  <w:pPr>
                    <w:jc w:val="center"/>
                    <w:rPr>
                      <w:szCs w:val="21"/>
                    </w:rPr>
                  </w:pPr>
                </w:p>
              </w:tc>
            </w:tr>
            <w:tr w14:paraId="5BB50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67B09086">
                  <w:pPr>
                    <w:jc w:val="center"/>
                    <w:rPr>
                      <w:szCs w:val="21"/>
                    </w:rPr>
                  </w:pPr>
                  <w:r>
                    <w:rPr>
                      <w:szCs w:val="21"/>
                    </w:rPr>
                    <w:t>NO</w:t>
                  </w:r>
                  <w:r>
                    <w:rPr>
                      <w:szCs w:val="21"/>
                      <w:vertAlign w:val="subscript"/>
                    </w:rPr>
                    <w:t>2</w:t>
                  </w:r>
                </w:p>
              </w:tc>
              <w:tc>
                <w:tcPr>
                  <w:tcW w:w="1897" w:type="dxa"/>
                  <w:tcBorders>
                    <w:tl2br w:val="nil"/>
                    <w:tr2bl w:val="nil"/>
                  </w:tcBorders>
                  <w:vAlign w:val="center"/>
                </w:tcPr>
                <w:p w14:paraId="2423E3BA">
                  <w:pPr>
                    <w:jc w:val="center"/>
                    <w:rPr>
                      <w:szCs w:val="21"/>
                    </w:rPr>
                  </w:pPr>
                  <w:r>
                    <w:rPr>
                      <w:szCs w:val="21"/>
                    </w:rPr>
                    <w:t>年平均</w:t>
                  </w:r>
                </w:p>
              </w:tc>
              <w:tc>
                <w:tcPr>
                  <w:tcW w:w="1524" w:type="dxa"/>
                  <w:tcBorders>
                    <w:tl2br w:val="nil"/>
                    <w:tr2bl w:val="nil"/>
                  </w:tcBorders>
                  <w:vAlign w:val="center"/>
                </w:tcPr>
                <w:p w14:paraId="46C0986F">
                  <w:pPr>
                    <w:jc w:val="center"/>
                    <w:rPr>
                      <w:szCs w:val="21"/>
                    </w:rPr>
                  </w:pPr>
                  <w:r>
                    <w:rPr>
                      <w:szCs w:val="21"/>
                    </w:rPr>
                    <w:t>40µg/m</w:t>
                  </w:r>
                  <w:r>
                    <w:rPr>
                      <w:szCs w:val="21"/>
                      <w:vertAlign w:val="superscript"/>
                    </w:rPr>
                    <w:t>3</w:t>
                  </w:r>
                </w:p>
              </w:tc>
              <w:tc>
                <w:tcPr>
                  <w:tcW w:w="3163" w:type="dxa"/>
                  <w:vMerge w:val="continue"/>
                  <w:tcBorders>
                    <w:tl2br w:val="nil"/>
                    <w:tr2bl w:val="nil"/>
                  </w:tcBorders>
                  <w:vAlign w:val="center"/>
                </w:tcPr>
                <w:p w14:paraId="7709AAA3">
                  <w:pPr>
                    <w:jc w:val="center"/>
                    <w:rPr>
                      <w:szCs w:val="21"/>
                    </w:rPr>
                  </w:pPr>
                </w:p>
              </w:tc>
            </w:tr>
            <w:tr w14:paraId="31C65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45AE30C5">
                  <w:pPr>
                    <w:jc w:val="center"/>
                    <w:rPr>
                      <w:szCs w:val="21"/>
                    </w:rPr>
                  </w:pPr>
                </w:p>
              </w:tc>
              <w:tc>
                <w:tcPr>
                  <w:tcW w:w="1897" w:type="dxa"/>
                  <w:tcBorders>
                    <w:tl2br w:val="nil"/>
                    <w:tr2bl w:val="nil"/>
                  </w:tcBorders>
                  <w:vAlign w:val="center"/>
                </w:tcPr>
                <w:p w14:paraId="594C0845">
                  <w:pPr>
                    <w:jc w:val="center"/>
                    <w:rPr>
                      <w:szCs w:val="21"/>
                    </w:rPr>
                  </w:pPr>
                  <w:r>
                    <w:rPr>
                      <w:szCs w:val="21"/>
                    </w:rPr>
                    <w:t>24小时平均</w:t>
                  </w:r>
                </w:p>
              </w:tc>
              <w:tc>
                <w:tcPr>
                  <w:tcW w:w="1524" w:type="dxa"/>
                  <w:tcBorders>
                    <w:tl2br w:val="nil"/>
                    <w:tr2bl w:val="nil"/>
                  </w:tcBorders>
                  <w:vAlign w:val="center"/>
                </w:tcPr>
                <w:p w14:paraId="0F909654">
                  <w:pPr>
                    <w:jc w:val="center"/>
                    <w:rPr>
                      <w:szCs w:val="21"/>
                    </w:rPr>
                  </w:pPr>
                  <w:r>
                    <w:rPr>
                      <w:szCs w:val="21"/>
                    </w:rPr>
                    <w:t>80µg/m</w:t>
                  </w:r>
                  <w:r>
                    <w:rPr>
                      <w:szCs w:val="21"/>
                      <w:vertAlign w:val="superscript"/>
                    </w:rPr>
                    <w:t>3</w:t>
                  </w:r>
                </w:p>
              </w:tc>
              <w:tc>
                <w:tcPr>
                  <w:tcW w:w="3163" w:type="dxa"/>
                  <w:vMerge w:val="continue"/>
                  <w:tcBorders>
                    <w:tl2br w:val="nil"/>
                    <w:tr2bl w:val="nil"/>
                  </w:tcBorders>
                  <w:vAlign w:val="center"/>
                </w:tcPr>
                <w:p w14:paraId="3EC48FE6">
                  <w:pPr>
                    <w:jc w:val="center"/>
                    <w:rPr>
                      <w:szCs w:val="21"/>
                    </w:rPr>
                  </w:pPr>
                </w:p>
              </w:tc>
            </w:tr>
            <w:tr w14:paraId="4E3B5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2FB694A7">
                  <w:pPr>
                    <w:jc w:val="center"/>
                    <w:rPr>
                      <w:szCs w:val="21"/>
                    </w:rPr>
                  </w:pPr>
                </w:p>
              </w:tc>
              <w:tc>
                <w:tcPr>
                  <w:tcW w:w="1897" w:type="dxa"/>
                  <w:tcBorders>
                    <w:tl2br w:val="nil"/>
                    <w:tr2bl w:val="nil"/>
                  </w:tcBorders>
                  <w:vAlign w:val="center"/>
                </w:tcPr>
                <w:p w14:paraId="176634F9">
                  <w:pPr>
                    <w:jc w:val="center"/>
                    <w:rPr>
                      <w:szCs w:val="21"/>
                    </w:rPr>
                  </w:pPr>
                  <w:r>
                    <w:rPr>
                      <w:szCs w:val="21"/>
                    </w:rPr>
                    <w:t>1小时平均</w:t>
                  </w:r>
                </w:p>
              </w:tc>
              <w:tc>
                <w:tcPr>
                  <w:tcW w:w="1524" w:type="dxa"/>
                  <w:tcBorders>
                    <w:tl2br w:val="nil"/>
                    <w:tr2bl w:val="nil"/>
                  </w:tcBorders>
                  <w:vAlign w:val="center"/>
                </w:tcPr>
                <w:p w14:paraId="2DA8D4FC">
                  <w:pPr>
                    <w:jc w:val="center"/>
                    <w:rPr>
                      <w:szCs w:val="21"/>
                    </w:rPr>
                  </w:pPr>
                  <w:r>
                    <w:rPr>
                      <w:szCs w:val="21"/>
                    </w:rPr>
                    <w:t>200µg/m</w:t>
                  </w:r>
                  <w:r>
                    <w:rPr>
                      <w:szCs w:val="21"/>
                      <w:vertAlign w:val="superscript"/>
                    </w:rPr>
                    <w:t>3</w:t>
                  </w:r>
                </w:p>
              </w:tc>
              <w:tc>
                <w:tcPr>
                  <w:tcW w:w="3163" w:type="dxa"/>
                  <w:vMerge w:val="continue"/>
                  <w:tcBorders>
                    <w:tl2br w:val="nil"/>
                    <w:tr2bl w:val="nil"/>
                  </w:tcBorders>
                  <w:vAlign w:val="center"/>
                </w:tcPr>
                <w:p w14:paraId="1D1B38AF">
                  <w:pPr>
                    <w:jc w:val="center"/>
                    <w:rPr>
                      <w:szCs w:val="21"/>
                    </w:rPr>
                  </w:pPr>
                </w:p>
              </w:tc>
            </w:tr>
            <w:tr w14:paraId="3137C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558C2EC0">
                  <w:pPr>
                    <w:jc w:val="center"/>
                    <w:rPr>
                      <w:szCs w:val="21"/>
                    </w:rPr>
                  </w:pPr>
                  <w:r>
                    <w:rPr>
                      <w:szCs w:val="21"/>
                    </w:rPr>
                    <w:t>CO</w:t>
                  </w:r>
                </w:p>
              </w:tc>
              <w:tc>
                <w:tcPr>
                  <w:tcW w:w="1897" w:type="dxa"/>
                  <w:tcBorders>
                    <w:tl2br w:val="nil"/>
                    <w:tr2bl w:val="nil"/>
                  </w:tcBorders>
                  <w:vAlign w:val="center"/>
                </w:tcPr>
                <w:p w14:paraId="4A4FD94A">
                  <w:pPr>
                    <w:jc w:val="center"/>
                    <w:rPr>
                      <w:szCs w:val="21"/>
                    </w:rPr>
                  </w:pPr>
                  <w:r>
                    <w:rPr>
                      <w:szCs w:val="21"/>
                    </w:rPr>
                    <w:t>24小时平均</w:t>
                  </w:r>
                </w:p>
              </w:tc>
              <w:tc>
                <w:tcPr>
                  <w:tcW w:w="1524" w:type="dxa"/>
                  <w:tcBorders>
                    <w:tl2br w:val="nil"/>
                    <w:tr2bl w:val="nil"/>
                  </w:tcBorders>
                  <w:vAlign w:val="center"/>
                </w:tcPr>
                <w:p w14:paraId="78EE7E92">
                  <w:pPr>
                    <w:jc w:val="center"/>
                    <w:rPr>
                      <w:szCs w:val="21"/>
                    </w:rPr>
                  </w:pPr>
                  <w:r>
                    <w:rPr>
                      <w:szCs w:val="21"/>
                    </w:rPr>
                    <w:t>4mg/m</w:t>
                  </w:r>
                  <w:r>
                    <w:rPr>
                      <w:szCs w:val="21"/>
                      <w:vertAlign w:val="superscript"/>
                    </w:rPr>
                    <w:t>3</w:t>
                  </w:r>
                </w:p>
              </w:tc>
              <w:tc>
                <w:tcPr>
                  <w:tcW w:w="3163" w:type="dxa"/>
                  <w:vMerge w:val="continue"/>
                  <w:tcBorders>
                    <w:tl2br w:val="nil"/>
                    <w:tr2bl w:val="nil"/>
                  </w:tcBorders>
                  <w:vAlign w:val="center"/>
                </w:tcPr>
                <w:p w14:paraId="63ADA624">
                  <w:pPr>
                    <w:jc w:val="center"/>
                    <w:rPr>
                      <w:szCs w:val="21"/>
                    </w:rPr>
                  </w:pPr>
                </w:p>
              </w:tc>
            </w:tr>
            <w:tr w14:paraId="42145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4704C6A4">
                  <w:pPr>
                    <w:jc w:val="center"/>
                    <w:rPr>
                      <w:szCs w:val="21"/>
                    </w:rPr>
                  </w:pPr>
                </w:p>
              </w:tc>
              <w:tc>
                <w:tcPr>
                  <w:tcW w:w="1897" w:type="dxa"/>
                  <w:tcBorders>
                    <w:tl2br w:val="nil"/>
                    <w:tr2bl w:val="nil"/>
                  </w:tcBorders>
                  <w:vAlign w:val="center"/>
                </w:tcPr>
                <w:p w14:paraId="60D85118">
                  <w:pPr>
                    <w:jc w:val="center"/>
                    <w:rPr>
                      <w:szCs w:val="21"/>
                    </w:rPr>
                  </w:pPr>
                  <w:r>
                    <w:rPr>
                      <w:szCs w:val="21"/>
                    </w:rPr>
                    <w:t>1小时平均</w:t>
                  </w:r>
                </w:p>
              </w:tc>
              <w:tc>
                <w:tcPr>
                  <w:tcW w:w="1524" w:type="dxa"/>
                  <w:tcBorders>
                    <w:tl2br w:val="nil"/>
                    <w:tr2bl w:val="nil"/>
                  </w:tcBorders>
                  <w:vAlign w:val="center"/>
                </w:tcPr>
                <w:p w14:paraId="3E5165E5">
                  <w:pPr>
                    <w:jc w:val="center"/>
                    <w:rPr>
                      <w:szCs w:val="21"/>
                    </w:rPr>
                  </w:pPr>
                  <w:r>
                    <w:rPr>
                      <w:szCs w:val="21"/>
                    </w:rPr>
                    <w:t>10mg/m</w:t>
                  </w:r>
                  <w:r>
                    <w:rPr>
                      <w:szCs w:val="21"/>
                      <w:vertAlign w:val="superscript"/>
                    </w:rPr>
                    <w:t>3</w:t>
                  </w:r>
                </w:p>
              </w:tc>
              <w:tc>
                <w:tcPr>
                  <w:tcW w:w="3163" w:type="dxa"/>
                  <w:vMerge w:val="continue"/>
                  <w:tcBorders>
                    <w:tl2br w:val="nil"/>
                    <w:tr2bl w:val="nil"/>
                  </w:tcBorders>
                  <w:vAlign w:val="center"/>
                </w:tcPr>
                <w:p w14:paraId="5D2C7098">
                  <w:pPr>
                    <w:jc w:val="center"/>
                    <w:rPr>
                      <w:szCs w:val="21"/>
                    </w:rPr>
                  </w:pPr>
                </w:p>
              </w:tc>
            </w:tr>
            <w:tr w14:paraId="423F1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00E4F480">
                  <w:pPr>
                    <w:jc w:val="center"/>
                    <w:rPr>
                      <w:szCs w:val="21"/>
                    </w:rPr>
                  </w:pPr>
                  <w:r>
                    <w:rPr>
                      <w:szCs w:val="21"/>
                    </w:rPr>
                    <w:t>O</w:t>
                  </w:r>
                  <w:r>
                    <w:rPr>
                      <w:szCs w:val="21"/>
                      <w:vertAlign w:val="subscript"/>
                    </w:rPr>
                    <w:t>3</w:t>
                  </w:r>
                </w:p>
              </w:tc>
              <w:tc>
                <w:tcPr>
                  <w:tcW w:w="1897" w:type="dxa"/>
                  <w:tcBorders>
                    <w:tl2br w:val="nil"/>
                    <w:tr2bl w:val="nil"/>
                  </w:tcBorders>
                  <w:vAlign w:val="center"/>
                </w:tcPr>
                <w:p w14:paraId="1E34F5EC">
                  <w:pPr>
                    <w:jc w:val="center"/>
                    <w:rPr>
                      <w:szCs w:val="21"/>
                    </w:rPr>
                  </w:pPr>
                  <w:r>
                    <w:rPr>
                      <w:szCs w:val="21"/>
                    </w:rPr>
                    <w:t>日最大8小时平均</w:t>
                  </w:r>
                </w:p>
              </w:tc>
              <w:tc>
                <w:tcPr>
                  <w:tcW w:w="1524" w:type="dxa"/>
                  <w:tcBorders>
                    <w:tl2br w:val="nil"/>
                    <w:tr2bl w:val="nil"/>
                  </w:tcBorders>
                  <w:vAlign w:val="center"/>
                </w:tcPr>
                <w:p w14:paraId="5B369732">
                  <w:pPr>
                    <w:jc w:val="center"/>
                    <w:rPr>
                      <w:szCs w:val="21"/>
                    </w:rPr>
                  </w:pPr>
                  <w:r>
                    <w:rPr>
                      <w:szCs w:val="21"/>
                    </w:rPr>
                    <w:t>160µg/m</w:t>
                  </w:r>
                  <w:r>
                    <w:rPr>
                      <w:szCs w:val="21"/>
                      <w:vertAlign w:val="superscript"/>
                    </w:rPr>
                    <w:t>3</w:t>
                  </w:r>
                </w:p>
              </w:tc>
              <w:tc>
                <w:tcPr>
                  <w:tcW w:w="3163" w:type="dxa"/>
                  <w:vMerge w:val="continue"/>
                  <w:tcBorders>
                    <w:tl2br w:val="nil"/>
                    <w:tr2bl w:val="nil"/>
                  </w:tcBorders>
                  <w:vAlign w:val="center"/>
                </w:tcPr>
                <w:p w14:paraId="39D7CB03">
                  <w:pPr>
                    <w:jc w:val="center"/>
                    <w:rPr>
                      <w:szCs w:val="21"/>
                    </w:rPr>
                  </w:pPr>
                </w:p>
              </w:tc>
            </w:tr>
            <w:tr w14:paraId="5BA82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2266B6D4">
                  <w:pPr>
                    <w:jc w:val="center"/>
                    <w:rPr>
                      <w:szCs w:val="21"/>
                    </w:rPr>
                  </w:pPr>
                </w:p>
              </w:tc>
              <w:tc>
                <w:tcPr>
                  <w:tcW w:w="1897" w:type="dxa"/>
                  <w:tcBorders>
                    <w:tl2br w:val="nil"/>
                    <w:tr2bl w:val="nil"/>
                  </w:tcBorders>
                  <w:vAlign w:val="center"/>
                </w:tcPr>
                <w:p w14:paraId="3F335E25">
                  <w:pPr>
                    <w:jc w:val="center"/>
                    <w:rPr>
                      <w:szCs w:val="21"/>
                    </w:rPr>
                  </w:pPr>
                  <w:r>
                    <w:rPr>
                      <w:szCs w:val="21"/>
                    </w:rPr>
                    <w:t>1小时平均</w:t>
                  </w:r>
                </w:p>
              </w:tc>
              <w:tc>
                <w:tcPr>
                  <w:tcW w:w="1524" w:type="dxa"/>
                  <w:tcBorders>
                    <w:tl2br w:val="nil"/>
                    <w:tr2bl w:val="nil"/>
                  </w:tcBorders>
                  <w:vAlign w:val="center"/>
                </w:tcPr>
                <w:p w14:paraId="551AF107">
                  <w:pPr>
                    <w:jc w:val="center"/>
                    <w:rPr>
                      <w:szCs w:val="21"/>
                    </w:rPr>
                  </w:pPr>
                  <w:r>
                    <w:rPr>
                      <w:szCs w:val="21"/>
                    </w:rPr>
                    <w:t>200µg/m</w:t>
                  </w:r>
                  <w:r>
                    <w:rPr>
                      <w:szCs w:val="21"/>
                      <w:vertAlign w:val="superscript"/>
                    </w:rPr>
                    <w:t>3</w:t>
                  </w:r>
                </w:p>
              </w:tc>
              <w:tc>
                <w:tcPr>
                  <w:tcW w:w="3163" w:type="dxa"/>
                  <w:vMerge w:val="continue"/>
                  <w:tcBorders>
                    <w:tl2br w:val="nil"/>
                    <w:tr2bl w:val="nil"/>
                  </w:tcBorders>
                  <w:vAlign w:val="center"/>
                </w:tcPr>
                <w:p w14:paraId="048C7E73">
                  <w:pPr>
                    <w:jc w:val="center"/>
                    <w:rPr>
                      <w:szCs w:val="21"/>
                    </w:rPr>
                  </w:pPr>
                </w:p>
              </w:tc>
            </w:tr>
            <w:tr w14:paraId="73D2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731C408C">
                  <w:pPr>
                    <w:jc w:val="center"/>
                    <w:rPr>
                      <w:szCs w:val="21"/>
                    </w:rPr>
                  </w:pPr>
                  <w:r>
                    <w:rPr>
                      <w:szCs w:val="21"/>
                    </w:rPr>
                    <w:t>PM</w:t>
                  </w:r>
                  <w:r>
                    <w:rPr>
                      <w:szCs w:val="21"/>
                      <w:vertAlign w:val="subscript"/>
                    </w:rPr>
                    <w:t>10</w:t>
                  </w:r>
                </w:p>
              </w:tc>
              <w:tc>
                <w:tcPr>
                  <w:tcW w:w="1897" w:type="dxa"/>
                  <w:tcBorders>
                    <w:tl2br w:val="nil"/>
                    <w:tr2bl w:val="nil"/>
                  </w:tcBorders>
                  <w:vAlign w:val="center"/>
                </w:tcPr>
                <w:p w14:paraId="32EF64D3">
                  <w:pPr>
                    <w:jc w:val="center"/>
                    <w:rPr>
                      <w:szCs w:val="21"/>
                    </w:rPr>
                  </w:pPr>
                  <w:r>
                    <w:rPr>
                      <w:szCs w:val="21"/>
                    </w:rPr>
                    <w:t>年平均</w:t>
                  </w:r>
                </w:p>
              </w:tc>
              <w:tc>
                <w:tcPr>
                  <w:tcW w:w="1524" w:type="dxa"/>
                  <w:tcBorders>
                    <w:tl2br w:val="nil"/>
                    <w:tr2bl w:val="nil"/>
                  </w:tcBorders>
                  <w:vAlign w:val="center"/>
                </w:tcPr>
                <w:p w14:paraId="79EC4C66">
                  <w:pPr>
                    <w:jc w:val="center"/>
                    <w:rPr>
                      <w:szCs w:val="21"/>
                    </w:rPr>
                  </w:pPr>
                  <w:r>
                    <w:rPr>
                      <w:szCs w:val="21"/>
                    </w:rPr>
                    <w:t>70µg/m</w:t>
                  </w:r>
                  <w:r>
                    <w:rPr>
                      <w:szCs w:val="21"/>
                      <w:vertAlign w:val="superscript"/>
                    </w:rPr>
                    <w:t>3</w:t>
                  </w:r>
                </w:p>
              </w:tc>
              <w:tc>
                <w:tcPr>
                  <w:tcW w:w="3163" w:type="dxa"/>
                  <w:vMerge w:val="continue"/>
                  <w:tcBorders>
                    <w:tl2br w:val="nil"/>
                    <w:tr2bl w:val="nil"/>
                  </w:tcBorders>
                  <w:vAlign w:val="center"/>
                </w:tcPr>
                <w:p w14:paraId="1106AA1E">
                  <w:pPr>
                    <w:jc w:val="center"/>
                    <w:rPr>
                      <w:szCs w:val="21"/>
                    </w:rPr>
                  </w:pPr>
                </w:p>
              </w:tc>
            </w:tr>
            <w:tr w14:paraId="0BA63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4E3C487D">
                  <w:pPr>
                    <w:jc w:val="center"/>
                    <w:rPr>
                      <w:szCs w:val="21"/>
                    </w:rPr>
                  </w:pPr>
                </w:p>
              </w:tc>
              <w:tc>
                <w:tcPr>
                  <w:tcW w:w="1897" w:type="dxa"/>
                  <w:tcBorders>
                    <w:tl2br w:val="nil"/>
                    <w:tr2bl w:val="nil"/>
                  </w:tcBorders>
                  <w:vAlign w:val="center"/>
                </w:tcPr>
                <w:p w14:paraId="1B6899F8">
                  <w:pPr>
                    <w:jc w:val="center"/>
                    <w:rPr>
                      <w:szCs w:val="21"/>
                    </w:rPr>
                  </w:pPr>
                  <w:r>
                    <w:rPr>
                      <w:szCs w:val="21"/>
                    </w:rPr>
                    <w:t>24小时平均</w:t>
                  </w:r>
                </w:p>
              </w:tc>
              <w:tc>
                <w:tcPr>
                  <w:tcW w:w="1524" w:type="dxa"/>
                  <w:tcBorders>
                    <w:tl2br w:val="nil"/>
                    <w:tr2bl w:val="nil"/>
                  </w:tcBorders>
                  <w:vAlign w:val="center"/>
                </w:tcPr>
                <w:p w14:paraId="545BFF27">
                  <w:pPr>
                    <w:jc w:val="center"/>
                    <w:rPr>
                      <w:szCs w:val="21"/>
                    </w:rPr>
                  </w:pPr>
                  <w:r>
                    <w:rPr>
                      <w:szCs w:val="21"/>
                    </w:rPr>
                    <w:t>150µg/m</w:t>
                  </w:r>
                  <w:r>
                    <w:rPr>
                      <w:szCs w:val="21"/>
                      <w:vertAlign w:val="superscript"/>
                    </w:rPr>
                    <w:t>3</w:t>
                  </w:r>
                </w:p>
              </w:tc>
              <w:tc>
                <w:tcPr>
                  <w:tcW w:w="3163" w:type="dxa"/>
                  <w:vMerge w:val="continue"/>
                  <w:tcBorders>
                    <w:tl2br w:val="nil"/>
                    <w:tr2bl w:val="nil"/>
                  </w:tcBorders>
                  <w:vAlign w:val="center"/>
                </w:tcPr>
                <w:p w14:paraId="6D01AFAC">
                  <w:pPr>
                    <w:jc w:val="center"/>
                    <w:rPr>
                      <w:szCs w:val="21"/>
                    </w:rPr>
                  </w:pPr>
                </w:p>
              </w:tc>
            </w:tr>
            <w:tr w14:paraId="39568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14:paraId="118BB41B">
                  <w:pPr>
                    <w:jc w:val="center"/>
                    <w:rPr>
                      <w:szCs w:val="21"/>
                    </w:rPr>
                  </w:pPr>
                  <w:r>
                    <w:rPr>
                      <w:szCs w:val="21"/>
                    </w:rPr>
                    <w:t>PM</w:t>
                  </w:r>
                  <w:r>
                    <w:rPr>
                      <w:szCs w:val="21"/>
                      <w:vertAlign w:val="subscript"/>
                    </w:rPr>
                    <w:t>2.5</w:t>
                  </w:r>
                </w:p>
              </w:tc>
              <w:tc>
                <w:tcPr>
                  <w:tcW w:w="1897" w:type="dxa"/>
                  <w:tcBorders>
                    <w:tl2br w:val="nil"/>
                    <w:tr2bl w:val="nil"/>
                  </w:tcBorders>
                  <w:vAlign w:val="center"/>
                </w:tcPr>
                <w:p w14:paraId="12C6B8F0">
                  <w:pPr>
                    <w:jc w:val="center"/>
                    <w:rPr>
                      <w:szCs w:val="21"/>
                    </w:rPr>
                  </w:pPr>
                  <w:r>
                    <w:rPr>
                      <w:szCs w:val="21"/>
                    </w:rPr>
                    <w:t>年平均</w:t>
                  </w:r>
                </w:p>
              </w:tc>
              <w:tc>
                <w:tcPr>
                  <w:tcW w:w="1524" w:type="dxa"/>
                  <w:tcBorders>
                    <w:tl2br w:val="nil"/>
                    <w:tr2bl w:val="nil"/>
                  </w:tcBorders>
                  <w:vAlign w:val="center"/>
                </w:tcPr>
                <w:p w14:paraId="5D45239B">
                  <w:pPr>
                    <w:jc w:val="center"/>
                    <w:rPr>
                      <w:szCs w:val="21"/>
                    </w:rPr>
                  </w:pPr>
                  <w:r>
                    <w:rPr>
                      <w:szCs w:val="21"/>
                    </w:rPr>
                    <w:t>35µg/m</w:t>
                  </w:r>
                  <w:r>
                    <w:rPr>
                      <w:szCs w:val="21"/>
                      <w:vertAlign w:val="superscript"/>
                    </w:rPr>
                    <w:t>3</w:t>
                  </w:r>
                </w:p>
              </w:tc>
              <w:tc>
                <w:tcPr>
                  <w:tcW w:w="3163" w:type="dxa"/>
                  <w:vMerge w:val="continue"/>
                  <w:tcBorders>
                    <w:tl2br w:val="nil"/>
                    <w:tr2bl w:val="nil"/>
                  </w:tcBorders>
                  <w:vAlign w:val="center"/>
                </w:tcPr>
                <w:p w14:paraId="3C6E415F">
                  <w:pPr>
                    <w:jc w:val="center"/>
                    <w:rPr>
                      <w:szCs w:val="21"/>
                    </w:rPr>
                  </w:pPr>
                </w:p>
              </w:tc>
            </w:tr>
            <w:tr w14:paraId="2A87E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14:paraId="28EFD6AB">
                  <w:pPr>
                    <w:jc w:val="center"/>
                    <w:rPr>
                      <w:szCs w:val="21"/>
                    </w:rPr>
                  </w:pPr>
                </w:p>
              </w:tc>
              <w:tc>
                <w:tcPr>
                  <w:tcW w:w="1897" w:type="dxa"/>
                  <w:tcBorders>
                    <w:tl2br w:val="nil"/>
                    <w:tr2bl w:val="nil"/>
                  </w:tcBorders>
                  <w:vAlign w:val="center"/>
                </w:tcPr>
                <w:p w14:paraId="2C534CD7">
                  <w:pPr>
                    <w:jc w:val="center"/>
                    <w:rPr>
                      <w:szCs w:val="21"/>
                    </w:rPr>
                  </w:pPr>
                  <w:r>
                    <w:rPr>
                      <w:szCs w:val="21"/>
                    </w:rPr>
                    <w:t>24小时平均</w:t>
                  </w:r>
                </w:p>
              </w:tc>
              <w:tc>
                <w:tcPr>
                  <w:tcW w:w="1524" w:type="dxa"/>
                  <w:tcBorders>
                    <w:tl2br w:val="nil"/>
                    <w:tr2bl w:val="nil"/>
                  </w:tcBorders>
                  <w:vAlign w:val="center"/>
                </w:tcPr>
                <w:p w14:paraId="48E727E1">
                  <w:pPr>
                    <w:jc w:val="center"/>
                    <w:rPr>
                      <w:szCs w:val="21"/>
                    </w:rPr>
                  </w:pPr>
                  <w:r>
                    <w:rPr>
                      <w:szCs w:val="21"/>
                    </w:rPr>
                    <w:t>75µg/m</w:t>
                  </w:r>
                  <w:r>
                    <w:rPr>
                      <w:szCs w:val="21"/>
                      <w:vertAlign w:val="superscript"/>
                    </w:rPr>
                    <w:t>3</w:t>
                  </w:r>
                </w:p>
              </w:tc>
              <w:tc>
                <w:tcPr>
                  <w:tcW w:w="3163" w:type="dxa"/>
                  <w:vMerge w:val="continue"/>
                  <w:tcBorders>
                    <w:tl2br w:val="nil"/>
                    <w:tr2bl w:val="nil"/>
                  </w:tcBorders>
                  <w:vAlign w:val="center"/>
                </w:tcPr>
                <w:p w14:paraId="6021A201">
                  <w:pPr>
                    <w:jc w:val="center"/>
                    <w:rPr>
                      <w:szCs w:val="21"/>
                    </w:rPr>
                  </w:pPr>
                </w:p>
              </w:tc>
            </w:tr>
            <w:tr w14:paraId="314A2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14:paraId="07B0E74A">
                  <w:pPr>
                    <w:jc w:val="center"/>
                    <w:rPr>
                      <w:szCs w:val="21"/>
                    </w:rPr>
                  </w:pPr>
                  <w:r>
                    <w:rPr>
                      <w:szCs w:val="21"/>
                    </w:rPr>
                    <w:t>H</w:t>
                  </w:r>
                  <w:r>
                    <w:rPr>
                      <w:szCs w:val="21"/>
                      <w:vertAlign w:val="subscript"/>
                    </w:rPr>
                    <w:t>2</w:t>
                  </w:r>
                  <w:r>
                    <w:rPr>
                      <w:szCs w:val="21"/>
                    </w:rPr>
                    <w:t>S</w:t>
                  </w:r>
                </w:p>
              </w:tc>
              <w:tc>
                <w:tcPr>
                  <w:tcW w:w="1897" w:type="dxa"/>
                  <w:tcBorders>
                    <w:tl2br w:val="nil"/>
                    <w:tr2bl w:val="nil"/>
                  </w:tcBorders>
                  <w:vAlign w:val="center"/>
                </w:tcPr>
                <w:p w14:paraId="4289E437">
                  <w:pPr>
                    <w:jc w:val="center"/>
                    <w:rPr>
                      <w:szCs w:val="21"/>
                    </w:rPr>
                  </w:pPr>
                  <w:r>
                    <w:rPr>
                      <w:szCs w:val="21"/>
                    </w:rPr>
                    <w:t>1小时平均</w:t>
                  </w:r>
                </w:p>
              </w:tc>
              <w:tc>
                <w:tcPr>
                  <w:tcW w:w="1524" w:type="dxa"/>
                  <w:tcBorders>
                    <w:tl2br w:val="nil"/>
                    <w:tr2bl w:val="nil"/>
                  </w:tcBorders>
                  <w:vAlign w:val="center"/>
                </w:tcPr>
                <w:p w14:paraId="0D8D30B7">
                  <w:pPr>
                    <w:jc w:val="center"/>
                    <w:rPr>
                      <w:szCs w:val="21"/>
                    </w:rPr>
                  </w:pPr>
                  <w:r>
                    <w:rPr>
                      <w:szCs w:val="21"/>
                    </w:rPr>
                    <w:t>10µg/m</w:t>
                  </w:r>
                  <w:r>
                    <w:rPr>
                      <w:szCs w:val="21"/>
                      <w:vertAlign w:val="superscript"/>
                    </w:rPr>
                    <w:t>3</w:t>
                  </w:r>
                </w:p>
              </w:tc>
              <w:tc>
                <w:tcPr>
                  <w:tcW w:w="3163" w:type="dxa"/>
                  <w:tcBorders>
                    <w:tl2br w:val="nil"/>
                    <w:tr2bl w:val="nil"/>
                  </w:tcBorders>
                  <w:vAlign w:val="center"/>
                </w:tcPr>
                <w:p w14:paraId="22673229">
                  <w:pPr>
                    <w:jc w:val="center"/>
                    <w:rPr>
                      <w:szCs w:val="21"/>
                    </w:rPr>
                  </w:pPr>
                  <w:r>
                    <w:rPr>
                      <w:szCs w:val="21"/>
                    </w:rPr>
                    <w:t>《环境影响评价技术导则 大气环境》（HJ2.2 2018）附录D</w:t>
                  </w:r>
                </w:p>
              </w:tc>
            </w:tr>
            <w:bookmarkEnd w:id="33"/>
          </w:tbl>
          <w:p w14:paraId="56B9498A">
            <w:pPr>
              <w:spacing w:line="360" w:lineRule="auto"/>
              <w:ind w:firstLine="480" w:firstLineChars="200"/>
              <w:rPr>
                <w:sz w:val="24"/>
              </w:rPr>
            </w:pPr>
            <w:r>
              <w:rPr>
                <w:sz w:val="24"/>
              </w:rPr>
              <w:t>2、地表水</w:t>
            </w:r>
          </w:p>
          <w:p w14:paraId="205F54E2">
            <w:pPr>
              <w:spacing w:line="360" w:lineRule="auto"/>
              <w:ind w:firstLine="480" w:firstLineChars="200"/>
              <w:rPr>
                <w:sz w:val="24"/>
              </w:rPr>
            </w:pPr>
            <w:r>
              <w:rPr>
                <w:sz w:val="24"/>
              </w:rPr>
              <w:t>地表水水质执行《地表水环境质量标准》（GB3838-2002）中的</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类水域标准。</w:t>
            </w:r>
          </w:p>
          <w:p w14:paraId="4B15D603">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地表水环境质量标准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14:paraId="271C7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623160E3">
                  <w:pPr>
                    <w:adjustRightInd w:val="0"/>
                    <w:snapToGrid w:val="0"/>
                    <w:jc w:val="center"/>
                    <w:rPr>
                      <w:b/>
                      <w:bCs/>
                      <w:szCs w:val="21"/>
                    </w:rPr>
                  </w:pPr>
                  <w:r>
                    <w:rPr>
                      <w:b/>
                      <w:bCs/>
                      <w:szCs w:val="21"/>
                    </w:rPr>
                    <w:t>项目</w:t>
                  </w:r>
                </w:p>
              </w:tc>
              <w:tc>
                <w:tcPr>
                  <w:tcW w:w="5550" w:type="dxa"/>
                  <w:tcBorders>
                    <w:tl2br w:val="nil"/>
                    <w:tr2bl w:val="nil"/>
                  </w:tcBorders>
                  <w:vAlign w:val="center"/>
                </w:tcPr>
                <w:p w14:paraId="145C7998">
                  <w:pPr>
                    <w:adjustRightInd w:val="0"/>
                    <w:snapToGrid w:val="0"/>
                    <w:jc w:val="center"/>
                    <w:rPr>
                      <w:szCs w:val="21"/>
                    </w:rPr>
                  </w:pP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类水域标准</w:t>
                  </w:r>
                </w:p>
              </w:tc>
            </w:tr>
            <w:tr w14:paraId="03D2B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2D759370">
                  <w:pPr>
                    <w:adjustRightInd w:val="0"/>
                    <w:snapToGrid w:val="0"/>
                    <w:jc w:val="center"/>
                    <w:rPr>
                      <w:szCs w:val="21"/>
                    </w:rPr>
                  </w:pPr>
                  <w:r>
                    <w:rPr>
                      <w:szCs w:val="21"/>
                    </w:rPr>
                    <w:t>pH</w:t>
                  </w:r>
                </w:p>
              </w:tc>
              <w:tc>
                <w:tcPr>
                  <w:tcW w:w="5550" w:type="dxa"/>
                  <w:tcBorders>
                    <w:tl2br w:val="nil"/>
                    <w:tr2bl w:val="nil"/>
                  </w:tcBorders>
                  <w:vAlign w:val="center"/>
                </w:tcPr>
                <w:p w14:paraId="55CEFBF0">
                  <w:pPr>
                    <w:adjustRightInd w:val="0"/>
                    <w:snapToGrid w:val="0"/>
                    <w:jc w:val="center"/>
                    <w:rPr>
                      <w:szCs w:val="21"/>
                    </w:rPr>
                  </w:pPr>
                  <w:r>
                    <w:rPr>
                      <w:szCs w:val="21"/>
                    </w:rPr>
                    <w:t>6</w:t>
                  </w:r>
                  <w:r>
                    <w:rPr>
                      <w:rFonts w:hint="eastAsia"/>
                      <w:szCs w:val="21"/>
                    </w:rPr>
                    <w:t>~</w:t>
                  </w:r>
                  <w:r>
                    <w:rPr>
                      <w:szCs w:val="21"/>
                    </w:rPr>
                    <w:t>9</w:t>
                  </w:r>
                </w:p>
              </w:tc>
            </w:tr>
            <w:tr w14:paraId="64DCC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2EC7A21E">
                  <w:pPr>
                    <w:adjustRightInd w:val="0"/>
                    <w:snapToGrid w:val="0"/>
                    <w:jc w:val="center"/>
                    <w:rPr>
                      <w:szCs w:val="21"/>
                    </w:rPr>
                  </w:pPr>
                  <w:r>
                    <w:rPr>
                      <w:szCs w:val="21"/>
                    </w:rPr>
                    <w:t>COD</w:t>
                  </w:r>
                </w:p>
              </w:tc>
              <w:tc>
                <w:tcPr>
                  <w:tcW w:w="5550" w:type="dxa"/>
                  <w:tcBorders>
                    <w:tl2br w:val="nil"/>
                    <w:tr2bl w:val="nil"/>
                  </w:tcBorders>
                  <w:vAlign w:val="center"/>
                </w:tcPr>
                <w:p w14:paraId="4869527F">
                  <w:pPr>
                    <w:adjustRightInd w:val="0"/>
                    <w:snapToGrid w:val="0"/>
                    <w:jc w:val="center"/>
                    <w:rPr>
                      <w:szCs w:val="21"/>
                    </w:rPr>
                  </w:pPr>
                  <w:r>
                    <w:rPr>
                      <w:szCs w:val="21"/>
                    </w:rPr>
                    <w:t>≤20</w:t>
                  </w:r>
                </w:p>
              </w:tc>
            </w:tr>
            <w:tr w14:paraId="609FE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37480D49">
                  <w:pPr>
                    <w:adjustRightInd w:val="0"/>
                    <w:snapToGrid w:val="0"/>
                    <w:jc w:val="center"/>
                    <w:rPr>
                      <w:szCs w:val="21"/>
                    </w:rPr>
                  </w:pPr>
                  <w:r>
                    <w:rPr>
                      <w:szCs w:val="21"/>
                    </w:rPr>
                    <w:t>BOD</w:t>
                  </w:r>
                  <w:r>
                    <w:rPr>
                      <w:szCs w:val="21"/>
                      <w:vertAlign w:val="subscript"/>
                    </w:rPr>
                    <w:t>5</w:t>
                  </w:r>
                </w:p>
              </w:tc>
              <w:tc>
                <w:tcPr>
                  <w:tcW w:w="5550" w:type="dxa"/>
                  <w:tcBorders>
                    <w:tl2br w:val="nil"/>
                    <w:tr2bl w:val="nil"/>
                  </w:tcBorders>
                  <w:vAlign w:val="center"/>
                </w:tcPr>
                <w:p w14:paraId="21A53508">
                  <w:pPr>
                    <w:adjustRightInd w:val="0"/>
                    <w:snapToGrid w:val="0"/>
                    <w:jc w:val="center"/>
                    <w:rPr>
                      <w:szCs w:val="21"/>
                    </w:rPr>
                  </w:pPr>
                  <w:r>
                    <w:rPr>
                      <w:szCs w:val="21"/>
                    </w:rPr>
                    <w:t>≤4</w:t>
                  </w:r>
                </w:p>
              </w:tc>
            </w:tr>
            <w:tr w14:paraId="75F7C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573CF33A">
                  <w:pPr>
                    <w:adjustRightInd w:val="0"/>
                    <w:snapToGrid w:val="0"/>
                    <w:jc w:val="center"/>
                    <w:rPr>
                      <w:szCs w:val="21"/>
                    </w:rPr>
                  </w:pPr>
                  <w:r>
                    <w:rPr>
                      <w:szCs w:val="21"/>
                    </w:rPr>
                    <w:t>NH</w:t>
                  </w:r>
                  <w:r>
                    <w:rPr>
                      <w:szCs w:val="21"/>
                      <w:vertAlign w:val="subscript"/>
                    </w:rPr>
                    <w:t>3</w:t>
                  </w:r>
                  <w:r>
                    <w:rPr>
                      <w:szCs w:val="21"/>
                    </w:rPr>
                    <w:t>-N</w:t>
                  </w:r>
                </w:p>
              </w:tc>
              <w:tc>
                <w:tcPr>
                  <w:tcW w:w="5550" w:type="dxa"/>
                  <w:tcBorders>
                    <w:tl2br w:val="nil"/>
                    <w:tr2bl w:val="nil"/>
                  </w:tcBorders>
                  <w:vAlign w:val="center"/>
                </w:tcPr>
                <w:p w14:paraId="0A326F68">
                  <w:pPr>
                    <w:adjustRightInd w:val="0"/>
                    <w:snapToGrid w:val="0"/>
                    <w:jc w:val="center"/>
                    <w:rPr>
                      <w:szCs w:val="21"/>
                    </w:rPr>
                  </w:pPr>
                  <w:r>
                    <w:rPr>
                      <w:szCs w:val="21"/>
                    </w:rPr>
                    <w:t>≤1.0</w:t>
                  </w:r>
                </w:p>
              </w:tc>
            </w:tr>
            <w:tr w14:paraId="60843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48F134C8">
                  <w:pPr>
                    <w:adjustRightInd w:val="0"/>
                    <w:snapToGrid w:val="0"/>
                    <w:jc w:val="center"/>
                    <w:rPr>
                      <w:szCs w:val="21"/>
                    </w:rPr>
                  </w:pPr>
                  <w:r>
                    <w:rPr>
                      <w:szCs w:val="21"/>
                    </w:rPr>
                    <w:t>氯化物</w:t>
                  </w:r>
                </w:p>
              </w:tc>
              <w:tc>
                <w:tcPr>
                  <w:tcW w:w="5550" w:type="dxa"/>
                  <w:tcBorders>
                    <w:tl2br w:val="nil"/>
                    <w:tr2bl w:val="nil"/>
                  </w:tcBorders>
                  <w:vAlign w:val="center"/>
                </w:tcPr>
                <w:p w14:paraId="72D75DA1">
                  <w:pPr>
                    <w:adjustRightInd w:val="0"/>
                    <w:snapToGrid w:val="0"/>
                    <w:jc w:val="center"/>
                    <w:rPr>
                      <w:szCs w:val="21"/>
                    </w:rPr>
                  </w:pPr>
                  <w:r>
                    <w:rPr>
                      <w:szCs w:val="21"/>
                    </w:rPr>
                    <w:t>≤250</w:t>
                  </w:r>
                </w:p>
              </w:tc>
            </w:tr>
            <w:tr w14:paraId="2749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2B3978C9">
                  <w:pPr>
                    <w:adjustRightInd w:val="0"/>
                    <w:snapToGrid w:val="0"/>
                    <w:jc w:val="center"/>
                    <w:rPr>
                      <w:szCs w:val="21"/>
                    </w:rPr>
                  </w:pPr>
                  <w:r>
                    <w:rPr>
                      <w:szCs w:val="21"/>
                    </w:rPr>
                    <w:t>硫化物</w:t>
                  </w:r>
                </w:p>
              </w:tc>
              <w:tc>
                <w:tcPr>
                  <w:tcW w:w="5550" w:type="dxa"/>
                  <w:tcBorders>
                    <w:tl2br w:val="nil"/>
                    <w:tr2bl w:val="nil"/>
                  </w:tcBorders>
                  <w:vAlign w:val="center"/>
                </w:tcPr>
                <w:p w14:paraId="2ADB573B">
                  <w:pPr>
                    <w:adjustRightInd w:val="0"/>
                    <w:snapToGrid w:val="0"/>
                    <w:jc w:val="center"/>
                    <w:rPr>
                      <w:szCs w:val="21"/>
                    </w:rPr>
                  </w:pPr>
                  <w:r>
                    <w:rPr>
                      <w:szCs w:val="21"/>
                    </w:rPr>
                    <w:t>≤0.2</w:t>
                  </w:r>
                </w:p>
              </w:tc>
            </w:tr>
            <w:tr w14:paraId="498A9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57422198">
                  <w:pPr>
                    <w:adjustRightInd w:val="0"/>
                    <w:snapToGrid w:val="0"/>
                    <w:jc w:val="center"/>
                    <w:rPr>
                      <w:szCs w:val="21"/>
                    </w:rPr>
                  </w:pPr>
                  <w:r>
                    <w:rPr>
                      <w:szCs w:val="21"/>
                    </w:rPr>
                    <w:t>石油类</w:t>
                  </w:r>
                </w:p>
              </w:tc>
              <w:tc>
                <w:tcPr>
                  <w:tcW w:w="5550" w:type="dxa"/>
                  <w:tcBorders>
                    <w:tl2br w:val="nil"/>
                    <w:tr2bl w:val="nil"/>
                  </w:tcBorders>
                  <w:vAlign w:val="center"/>
                </w:tcPr>
                <w:p w14:paraId="7FA8447A">
                  <w:pPr>
                    <w:adjustRightInd w:val="0"/>
                    <w:snapToGrid w:val="0"/>
                    <w:jc w:val="center"/>
                    <w:rPr>
                      <w:szCs w:val="21"/>
                    </w:rPr>
                  </w:pPr>
                  <w:r>
                    <w:rPr>
                      <w:szCs w:val="21"/>
                    </w:rPr>
                    <w:t>≤0.05</w:t>
                  </w:r>
                </w:p>
              </w:tc>
            </w:tr>
            <w:tr w14:paraId="2C03D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14:paraId="64895A0C">
                  <w:pPr>
                    <w:adjustRightInd w:val="0"/>
                    <w:snapToGrid w:val="0"/>
                    <w:jc w:val="center"/>
                    <w:rPr>
                      <w:szCs w:val="21"/>
                    </w:rPr>
                  </w:pPr>
                  <w:r>
                    <w:rPr>
                      <w:szCs w:val="21"/>
                    </w:rPr>
                    <w:t>备注</w:t>
                  </w:r>
                </w:p>
              </w:tc>
              <w:tc>
                <w:tcPr>
                  <w:tcW w:w="5550" w:type="dxa"/>
                  <w:tcBorders>
                    <w:tl2br w:val="nil"/>
                    <w:tr2bl w:val="nil"/>
                  </w:tcBorders>
                  <w:vAlign w:val="center"/>
                </w:tcPr>
                <w:p w14:paraId="2E9AF954">
                  <w:pPr>
                    <w:adjustRightInd w:val="0"/>
                    <w:snapToGrid w:val="0"/>
                    <w:jc w:val="center"/>
                    <w:rPr>
                      <w:szCs w:val="21"/>
                    </w:rPr>
                  </w:pPr>
                  <w:r>
                    <w:rPr>
                      <w:szCs w:val="21"/>
                    </w:rPr>
                    <w:t>上述标准中，pH无量纲，其余因子单位为mg/L。</w:t>
                  </w:r>
                </w:p>
              </w:tc>
            </w:tr>
          </w:tbl>
          <w:p w14:paraId="1F06DC23">
            <w:pPr>
              <w:spacing w:line="360" w:lineRule="auto"/>
              <w:ind w:firstLine="480" w:firstLineChars="200"/>
              <w:rPr>
                <w:sz w:val="24"/>
              </w:rPr>
            </w:pPr>
            <w:r>
              <w:rPr>
                <w:sz w:val="24"/>
              </w:rPr>
              <w:t>3、声环境</w:t>
            </w:r>
          </w:p>
          <w:p w14:paraId="6D36688C">
            <w:pPr>
              <w:spacing w:line="360" w:lineRule="auto"/>
              <w:ind w:firstLine="480" w:firstLineChars="200"/>
              <w:rPr>
                <w:szCs w:val="21"/>
              </w:rPr>
            </w:pPr>
            <w:r>
              <w:rPr>
                <w:sz w:val="24"/>
              </w:rPr>
              <w:t>声环境执行《声环境质量标准》（GB3096-2008）中的2</w:t>
            </w:r>
            <w:r>
              <w:rPr>
                <w:szCs w:val="21"/>
              </w:rPr>
              <w:t>类标准。</w:t>
            </w:r>
          </w:p>
          <w:p w14:paraId="7E999697">
            <w:pPr>
              <w:pStyle w:val="333"/>
              <w:numPr>
                <w:ilvl w:val="0"/>
                <w:numId w:val="8"/>
              </w:numPr>
              <w:adjustRightInd w:val="0"/>
              <w:snapToGrid w:val="0"/>
              <w:spacing w:line="360" w:lineRule="auto"/>
              <w:ind w:left="0" w:firstLine="0" w:firstLineChars="0"/>
              <w:jc w:val="center"/>
              <w:rPr>
                <w:b/>
                <w:bCs/>
                <w:kern w:val="0"/>
                <w:szCs w:val="21"/>
              </w:rPr>
            </w:pPr>
            <w:r>
              <w:rPr>
                <w:b/>
                <w:bCs/>
                <w:kern w:val="0"/>
                <w:szCs w:val="21"/>
              </w:rPr>
              <w:t>声环境质量标准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14:paraId="5B724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14:paraId="6209C2C4">
                  <w:pPr>
                    <w:jc w:val="center"/>
                    <w:rPr>
                      <w:szCs w:val="21"/>
                    </w:rPr>
                  </w:pPr>
                  <w:r>
                    <w:rPr>
                      <w:szCs w:val="21"/>
                    </w:rPr>
                    <w:t>标准类别</w:t>
                  </w:r>
                </w:p>
              </w:tc>
              <w:tc>
                <w:tcPr>
                  <w:tcW w:w="5535" w:type="dxa"/>
                  <w:gridSpan w:val="2"/>
                  <w:tcBorders>
                    <w:tl2br w:val="nil"/>
                    <w:tr2bl w:val="nil"/>
                  </w:tcBorders>
                  <w:vAlign w:val="center"/>
                </w:tcPr>
                <w:p w14:paraId="7C54F94E">
                  <w:pPr>
                    <w:jc w:val="center"/>
                    <w:rPr>
                      <w:szCs w:val="21"/>
                    </w:rPr>
                  </w:pPr>
                  <w:r>
                    <w:rPr>
                      <w:szCs w:val="21"/>
                    </w:rPr>
                    <w:t>等效声级LAeq（dB）</w:t>
                  </w:r>
                </w:p>
              </w:tc>
            </w:tr>
            <w:tr w14:paraId="2F828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14:paraId="7BD02564">
                  <w:pPr>
                    <w:jc w:val="center"/>
                    <w:rPr>
                      <w:szCs w:val="21"/>
                    </w:rPr>
                  </w:pPr>
                </w:p>
              </w:tc>
              <w:tc>
                <w:tcPr>
                  <w:tcW w:w="2767" w:type="dxa"/>
                  <w:tcBorders>
                    <w:tl2br w:val="nil"/>
                    <w:tr2bl w:val="nil"/>
                  </w:tcBorders>
                  <w:vAlign w:val="center"/>
                </w:tcPr>
                <w:p w14:paraId="14005701">
                  <w:pPr>
                    <w:jc w:val="center"/>
                    <w:rPr>
                      <w:szCs w:val="21"/>
                    </w:rPr>
                  </w:pPr>
                  <w:r>
                    <w:rPr>
                      <w:szCs w:val="21"/>
                    </w:rPr>
                    <w:t>昼间</w:t>
                  </w:r>
                </w:p>
              </w:tc>
              <w:tc>
                <w:tcPr>
                  <w:tcW w:w="2768" w:type="dxa"/>
                  <w:tcBorders>
                    <w:tl2br w:val="nil"/>
                    <w:tr2bl w:val="nil"/>
                  </w:tcBorders>
                  <w:vAlign w:val="center"/>
                </w:tcPr>
                <w:p w14:paraId="1C035901">
                  <w:pPr>
                    <w:jc w:val="center"/>
                    <w:rPr>
                      <w:szCs w:val="21"/>
                    </w:rPr>
                  </w:pPr>
                  <w:r>
                    <w:rPr>
                      <w:szCs w:val="21"/>
                    </w:rPr>
                    <w:t>夜间</w:t>
                  </w:r>
                </w:p>
              </w:tc>
            </w:tr>
            <w:tr w14:paraId="13592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14:paraId="6135CAC9">
                  <w:pPr>
                    <w:jc w:val="center"/>
                    <w:rPr>
                      <w:szCs w:val="21"/>
                    </w:rPr>
                  </w:pPr>
                  <w:r>
                    <w:rPr>
                      <w:szCs w:val="21"/>
                    </w:rPr>
                    <w:t>2类</w:t>
                  </w:r>
                </w:p>
              </w:tc>
              <w:tc>
                <w:tcPr>
                  <w:tcW w:w="2767" w:type="dxa"/>
                  <w:tcBorders>
                    <w:tl2br w:val="nil"/>
                    <w:tr2bl w:val="nil"/>
                  </w:tcBorders>
                  <w:vAlign w:val="center"/>
                </w:tcPr>
                <w:p w14:paraId="5C587287">
                  <w:pPr>
                    <w:jc w:val="center"/>
                    <w:rPr>
                      <w:szCs w:val="21"/>
                    </w:rPr>
                  </w:pPr>
                  <w:r>
                    <w:rPr>
                      <w:szCs w:val="21"/>
                    </w:rPr>
                    <w:t>60</w:t>
                  </w:r>
                </w:p>
              </w:tc>
              <w:tc>
                <w:tcPr>
                  <w:tcW w:w="2768" w:type="dxa"/>
                  <w:tcBorders>
                    <w:tl2br w:val="nil"/>
                    <w:tr2bl w:val="nil"/>
                  </w:tcBorders>
                  <w:vAlign w:val="center"/>
                </w:tcPr>
                <w:p w14:paraId="46DDC8B5">
                  <w:pPr>
                    <w:jc w:val="center"/>
                    <w:rPr>
                      <w:szCs w:val="21"/>
                    </w:rPr>
                  </w:pPr>
                  <w:r>
                    <w:rPr>
                      <w:szCs w:val="21"/>
                    </w:rPr>
                    <w:t>50</w:t>
                  </w:r>
                </w:p>
              </w:tc>
            </w:tr>
          </w:tbl>
          <w:p w14:paraId="59584506">
            <w:pPr>
              <w:spacing w:line="360" w:lineRule="auto"/>
              <w:ind w:firstLine="480" w:firstLineChars="200"/>
              <w:rPr>
                <w:sz w:val="24"/>
              </w:rPr>
            </w:pPr>
            <w:r>
              <w:rPr>
                <w:sz w:val="24"/>
              </w:rPr>
              <w:t>4、地下水</w:t>
            </w:r>
          </w:p>
          <w:p w14:paraId="17DD2631">
            <w:pPr>
              <w:spacing w:line="360" w:lineRule="auto"/>
              <w:ind w:firstLine="480" w:firstLineChars="200"/>
              <w:rPr>
                <w:sz w:val="24"/>
              </w:rPr>
            </w:pPr>
            <w:r>
              <w:rPr>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14:paraId="5175B89B">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地下水质量标准限值     单位：mg/L（pH无量纲）</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14:paraId="47061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300BD369">
                  <w:pPr>
                    <w:snapToGrid w:val="0"/>
                    <w:jc w:val="center"/>
                    <w:rPr>
                      <w:szCs w:val="21"/>
                    </w:rPr>
                  </w:pPr>
                  <w:r>
                    <w:rPr>
                      <w:szCs w:val="21"/>
                    </w:rPr>
                    <w:t>项目</w:t>
                  </w:r>
                </w:p>
              </w:tc>
              <w:tc>
                <w:tcPr>
                  <w:tcW w:w="1624" w:type="dxa"/>
                  <w:tcBorders>
                    <w:tl2br w:val="nil"/>
                    <w:tr2bl w:val="nil"/>
                  </w:tcBorders>
                  <w:vAlign w:val="center"/>
                </w:tcPr>
                <w:p w14:paraId="59E7E861">
                  <w:pPr>
                    <w:snapToGrid w:val="0"/>
                    <w:jc w:val="center"/>
                    <w:rPr>
                      <w:szCs w:val="21"/>
                    </w:rPr>
                  </w:pPr>
                  <w:r>
                    <w:rPr>
                      <w:szCs w:val="21"/>
                    </w:rPr>
                    <w:t>pH</w:t>
                  </w:r>
                </w:p>
              </w:tc>
              <w:tc>
                <w:tcPr>
                  <w:tcW w:w="1624" w:type="dxa"/>
                  <w:tcBorders>
                    <w:tl2br w:val="nil"/>
                    <w:tr2bl w:val="nil"/>
                  </w:tcBorders>
                  <w:vAlign w:val="center"/>
                </w:tcPr>
                <w:p w14:paraId="6B1B47C7">
                  <w:pPr>
                    <w:snapToGrid w:val="0"/>
                    <w:jc w:val="center"/>
                    <w:rPr>
                      <w:szCs w:val="21"/>
                    </w:rPr>
                  </w:pPr>
                  <w:r>
                    <w:rPr>
                      <w:szCs w:val="21"/>
                    </w:rPr>
                    <w:t>溶解性总固体</w:t>
                  </w:r>
                </w:p>
              </w:tc>
              <w:tc>
                <w:tcPr>
                  <w:tcW w:w="1624" w:type="dxa"/>
                  <w:tcBorders>
                    <w:tl2br w:val="nil"/>
                    <w:tr2bl w:val="nil"/>
                  </w:tcBorders>
                  <w:vAlign w:val="center"/>
                </w:tcPr>
                <w:p w14:paraId="2EE13309">
                  <w:pPr>
                    <w:snapToGrid w:val="0"/>
                    <w:jc w:val="center"/>
                    <w:rPr>
                      <w:szCs w:val="21"/>
                    </w:rPr>
                  </w:pPr>
                  <w:r>
                    <w:rPr>
                      <w:szCs w:val="21"/>
                    </w:rPr>
                    <w:t>硫酸盐</w:t>
                  </w:r>
                </w:p>
              </w:tc>
              <w:tc>
                <w:tcPr>
                  <w:tcW w:w="1625" w:type="dxa"/>
                  <w:tcBorders>
                    <w:tl2br w:val="nil"/>
                    <w:tr2bl w:val="nil"/>
                  </w:tcBorders>
                  <w:vAlign w:val="center"/>
                </w:tcPr>
                <w:p w14:paraId="605F8351">
                  <w:pPr>
                    <w:snapToGrid w:val="0"/>
                    <w:jc w:val="center"/>
                    <w:rPr>
                      <w:szCs w:val="21"/>
                    </w:rPr>
                  </w:pPr>
                  <w:r>
                    <w:rPr>
                      <w:szCs w:val="21"/>
                    </w:rPr>
                    <w:t>氯化物</w:t>
                  </w:r>
                </w:p>
              </w:tc>
            </w:tr>
            <w:tr w14:paraId="04768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215424C9">
                  <w:pPr>
                    <w:snapToGrid w:val="0"/>
                    <w:jc w:val="center"/>
                    <w:rPr>
                      <w:szCs w:val="21"/>
                    </w:rPr>
                  </w:pPr>
                  <w:r>
                    <w:rPr>
                      <w:szCs w:val="21"/>
                    </w:rPr>
                    <w:t>标准值</w:t>
                  </w:r>
                </w:p>
              </w:tc>
              <w:tc>
                <w:tcPr>
                  <w:tcW w:w="1624" w:type="dxa"/>
                  <w:tcBorders>
                    <w:tl2br w:val="nil"/>
                    <w:tr2bl w:val="nil"/>
                  </w:tcBorders>
                  <w:vAlign w:val="center"/>
                </w:tcPr>
                <w:p w14:paraId="6652CC4D">
                  <w:pPr>
                    <w:snapToGrid w:val="0"/>
                    <w:jc w:val="center"/>
                    <w:rPr>
                      <w:szCs w:val="21"/>
                    </w:rPr>
                  </w:pPr>
                  <w:r>
                    <w:rPr>
                      <w:szCs w:val="21"/>
                    </w:rPr>
                    <w:t>6.5~8.0</w:t>
                  </w:r>
                </w:p>
              </w:tc>
              <w:tc>
                <w:tcPr>
                  <w:tcW w:w="1624" w:type="dxa"/>
                  <w:tcBorders>
                    <w:tl2br w:val="nil"/>
                    <w:tr2bl w:val="nil"/>
                  </w:tcBorders>
                  <w:vAlign w:val="center"/>
                </w:tcPr>
                <w:p w14:paraId="4991CFA2">
                  <w:pPr>
                    <w:snapToGrid w:val="0"/>
                    <w:jc w:val="center"/>
                    <w:rPr>
                      <w:szCs w:val="21"/>
                    </w:rPr>
                  </w:pPr>
                  <w:r>
                    <w:rPr>
                      <w:szCs w:val="21"/>
                    </w:rPr>
                    <w:t>≤1000</w:t>
                  </w:r>
                </w:p>
              </w:tc>
              <w:tc>
                <w:tcPr>
                  <w:tcW w:w="1624" w:type="dxa"/>
                  <w:tcBorders>
                    <w:tl2br w:val="nil"/>
                    <w:tr2bl w:val="nil"/>
                  </w:tcBorders>
                  <w:vAlign w:val="center"/>
                </w:tcPr>
                <w:p w14:paraId="4A0E8AD8">
                  <w:pPr>
                    <w:snapToGrid w:val="0"/>
                    <w:jc w:val="center"/>
                    <w:rPr>
                      <w:szCs w:val="21"/>
                    </w:rPr>
                  </w:pPr>
                  <w:r>
                    <w:rPr>
                      <w:szCs w:val="21"/>
                    </w:rPr>
                    <w:t>≤250</w:t>
                  </w:r>
                </w:p>
              </w:tc>
              <w:tc>
                <w:tcPr>
                  <w:tcW w:w="1625" w:type="dxa"/>
                  <w:tcBorders>
                    <w:tl2br w:val="nil"/>
                    <w:tr2bl w:val="nil"/>
                  </w:tcBorders>
                  <w:vAlign w:val="center"/>
                </w:tcPr>
                <w:p w14:paraId="1A7A30CF">
                  <w:pPr>
                    <w:snapToGrid w:val="0"/>
                    <w:jc w:val="center"/>
                    <w:rPr>
                      <w:szCs w:val="21"/>
                    </w:rPr>
                  </w:pPr>
                  <w:r>
                    <w:rPr>
                      <w:szCs w:val="21"/>
                    </w:rPr>
                    <w:t>≤250</w:t>
                  </w:r>
                </w:p>
              </w:tc>
            </w:tr>
            <w:tr w14:paraId="2738D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61D7E41C">
                  <w:pPr>
                    <w:snapToGrid w:val="0"/>
                    <w:jc w:val="center"/>
                    <w:rPr>
                      <w:szCs w:val="21"/>
                    </w:rPr>
                  </w:pPr>
                  <w:r>
                    <w:rPr>
                      <w:szCs w:val="21"/>
                    </w:rPr>
                    <w:t>项目</w:t>
                  </w:r>
                </w:p>
              </w:tc>
              <w:tc>
                <w:tcPr>
                  <w:tcW w:w="1624" w:type="dxa"/>
                  <w:tcBorders>
                    <w:tl2br w:val="nil"/>
                    <w:tr2bl w:val="nil"/>
                  </w:tcBorders>
                  <w:vAlign w:val="center"/>
                </w:tcPr>
                <w:p w14:paraId="1F9FBE9D">
                  <w:pPr>
                    <w:snapToGrid w:val="0"/>
                    <w:jc w:val="center"/>
                    <w:rPr>
                      <w:szCs w:val="21"/>
                    </w:rPr>
                  </w:pPr>
                  <w:r>
                    <w:rPr>
                      <w:szCs w:val="21"/>
                    </w:rPr>
                    <w:t>石油类</w:t>
                  </w:r>
                </w:p>
              </w:tc>
              <w:tc>
                <w:tcPr>
                  <w:tcW w:w="1624" w:type="dxa"/>
                  <w:tcBorders>
                    <w:tl2br w:val="nil"/>
                    <w:tr2bl w:val="nil"/>
                  </w:tcBorders>
                  <w:vAlign w:val="center"/>
                </w:tcPr>
                <w:p w14:paraId="18E3FCA6">
                  <w:pPr>
                    <w:snapToGrid w:val="0"/>
                    <w:jc w:val="center"/>
                    <w:rPr>
                      <w:szCs w:val="21"/>
                    </w:rPr>
                  </w:pPr>
                  <w:r>
                    <w:rPr>
                      <w:szCs w:val="21"/>
                    </w:rPr>
                    <w:t>硝酸盐</w:t>
                  </w:r>
                </w:p>
              </w:tc>
              <w:tc>
                <w:tcPr>
                  <w:tcW w:w="1624" w:type="dxa"/>
                  <w:tcBorders>
                    <w:tl2br w:val="nil"/>
                    <w:tr2bl w:val="nil"/>
                  </w:tcBorders>
                  <w:vAlign w:val="center"/>
                </w:tcPr>
                <w:p w14:paraId="4771C473">
                  <w:pPr>
                    <w:snapToGrid w:val="0"/>
                    <w:jc w:val="center"/>
                    <w:rPr>
                      <w:szCs w:val="21"/>
                    </w:rPr>
                  </w:pPr>
                  <w:r>
                    <w:rPr>
                      <w:szCs w:val="21"/>
                    </w:rPr>
                    <w:t>亚硝酸盐</w:t>
                  </w:r>
                </w:p>
              </w:tc>
              <w:tc>
                <w:tcPr>
                  <w:tcW w:w="1625" w:type="dxa"/>
                  <w:tcBorders>
                    <w:tl2br w:val="nil"/>
                    <w:tr2bl w:val="nil"/>
                  </w:tcBorders>
                  <w:vAlign w:val="center"/>
                </w:tcPr>
                <w:p w14:paraId="3F97121B">
                  <w:pPr>
                    <w:snapToGrid w:val="0"/>
                    <w:jc w:val="center"/>
                    <w:rPr>
                      <w:szCs w:val="21"/>
                    </w:rPr>
                  </w:pPr>
                  <w:r>
                    <w:rPr>
                      <w:szCs w:val="21"/>
                    </w:rPr>
                    <w:t>总硬度</w:t>
                  </w:r>
                </w:p>
              </w:tc>
            </w:tr>
            <w:tr w14:paraId="72F8B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769A2B47">
                  <w:pPr>
                    <w:snapToGrid w:val="0"/>
                    <w:jc w:val="center"/>
                    <w:rPr>
                      <w:szCs w:val="21"/>
                    </w:rPr>
                  </w:pPr>
                  <w:r>
                    <w:rPr>
                      <w:szCs w:val="21"/>
                    </w:rPr>
                    <w:t>标准值</w:t>
                  </w:r>
                </w:p>
              </w:tc>
              <w:tc>
                <w:tcPr>
                  <w:tcW w:w="1624" w:type="dxa"/>
                  <w:tcBorders>
                    <w:tl2br w:val="nil"/>
                    <w:tr2bl w:val="nil"/>
                  </w:tcBorders>
                  <w:vAlign w:val="center"/>
                </w:tcPr>
                <w:p w14:paraId="75BE0964">
                  <w:pPr>
                    <w:snapToGrid w:val="0"/>
                    <w:jc w:val="center"/>
                    <w:rPr>
                      <w:szCs w:val="21"/>
                    </w:rPr>
                  </w:pPr>
                  <w:r>
                    <w:rPr>
                      <w:szCs w:val="21"/>
                    </w:rPr>
                    <w:t>≤0.05</w:t>
                  </w:r>
                </w:p>
              </w:tc>
              <w:tc>
                <w:tcPr>
                  <w:tcW w:w="1624" w:type="dxa"/>
                  <w:tcBorders>
                    <w:tl2br w:val="nil"/>
                    <w:tr2bl w:val="nil"/>
                  </w:tcBorders>
                  <w:vAlign w:val="center"/>
                </w:tcPr>
                <w:p w14:paraId="5974E3CE">
                  <w:pPr>
                    <w:snapToGrid w:val="0"/>
                    <w:jc w:val="center"/>
                    <w:rPr>
                      <w:szCs w:val="21"/>
                    </w:rPr>
                  </w:pPr>
                  <w:r>
                    <w:rPr>
                      <w:szCs w:val="21"/>
                    </w:rPr>
                    <w:t>≤20</w:t>
                  </w:r>
                </w:p>
              </w:tc>
              <w:tc>
                <w:tcPr>
                  <w:tcW w:w="1624" w:type="dxa"/>
                  <w:tcBorders>
                    <w:tl2br w:val="nil"/>
                    <w:tr2bl w:val="nil"/>
                  </w:tcBorders>
                  <w:vAlign w:val="center"/>
                </w:tcPr>
                <w:p w14:paraId="4567E1FD">
                  <w:pPr>
                    <w:snapToGrid w:val="0"/>
                    <w:jc w:val="center"/>
                    <w:rPr>
                      <w:szCs w:val="21"/>
                    </w:rPr>
                  </w:pPr>
                  <w:r>
                    <w:rPr>
                      <w:szCs w:val="21"/>
                    </w:rPr>
                    <w:t>≤1.0</w:t>
                  </w:r>
                </w:p>
              </w:tc>
              <w:tc>
                <w:tcPr>
                  <w:tcW w:w="1625" w:type="dxa"/>
                  <w:tcBorders>
                    <w:tl2br w:val="nil"/>
                    <w:tr2bl w:val="nil"/>
                  </w:tcBorders>
                  <w:vAlign w:val="center"/>
                </w:tcPr>
                <w:p w14:paraId="1637EF46">
                  <w:pPr>
                    <w:snapToGrid w:val="0"/>
                    <w:jc w:val="center"/>
                    <w:rPr>
                      <w:szCs w:val="21"/>
                    </w:rPr>
                  </w:pPr>
                  <w:r>
                    <w:rPr>
                      <w:szCs w:val="21"/>
                    </w:rPr>
                    <w:t>≤450</w:t>
                  </w:r>
                </w:p>
              </w:tc>
            </w:tr>
            <w:tr w14:paraId="26628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032FC981">
                  <w:pPr>
                    <w:snapToGrid w:val="0"/>
                    <w:jc w:val="center"/>
                    <w:rPr>
                      <w:szCs w:val="21"/>
                    </w:rPr>
                  </w:pPr>
                  <w:r>
                    <w:rPr>
                      <w:szCs w:val="21"/>
                    </w:rPr>
                    <w:t>项目</w:t>
                  </w:r>
                </w:p>
              </w:tc>
              <w:tc>
                <w:tcPr>
                  <w:tcW w:w="1624" w:type="dxa"/>
                  <w:tcBorders>
                    <w:tl2br w:val="nil"/>
                    <w:tr2bl w:val="nil"/>
                  </w:tcBorders>
                  <w:vAlign w:val="center"/>
                </w:tcPr>
                <w:p w14:paraId="390282C2">
                  <w:pPr>
                    <w:snapToGrid w:val="0"/>
                    <w:jc w:val="center"/>
                    <w:rPr>
                      <w:szCs w:val="21"/>
                    </w:rPr>
                  </w:pPr>
                  <w:r>
                    <w:rPr>
                      <w:szCs w:val="21"/>
                    </w:rPr>
                    <w:t>铁</w:t>
                  </w:r>
                </w:p>
              </w:tc>
              <w:tc>
                <w:tcPr>
                  <w:tcW w:w="1624" w:type="dxa"/>
                  <w:tcBorders>
                    <w:tl2br w:val="nil"/>
                    <w:tr2bl w:val="nil"/>
                  </w:tcBorders>
                  <w:vAlign w:val="center"/>
                </w:tcPr>
                <w:p w14:paraId="1E8D8A9D">
                  <w:pPr>
                    <w:snapToGrid w:val="0"/>
                    <w:jc w:val="center"/>
                    <w:rPr>
                      <w:szCs w:val="21"/>
                    </w:rPr>
                  </w:pPr>
                  <w:r>
                    <w:rPr>
                      <w:szCs w:val="21"/>
                    </w:rPr>
                    <w:t>耗氧量</w:t>
                  </w:r>
                </w:p>
              </w:tc>
              <w:tc>
                <w:tcPr>
                  <w:tcW w:w="1624" w:type="dxa"/>
                  <w:tcBorders>
                    <w:tl2br w:val="nil"/>
                    <w:tr2bl w:val="nil"/>
                  </w:tcBorders>
                  <w:vAlign w:val="center"/>
                </w:tcPr>
                <w:p w14:paraId="1230FB12">
                  <w:pPr>
                    <w:snapToGrid w:val="0"/>
                    <w:jc w:val="center"/>
                    <w:rPr>
                      <w:szCs w:val="21"/>
                    </w:rPr>
                  </w:pPr>
                  <w:r>
                    <w:rPr>
                      <w:szCs w:val="21"/>
                    </w:rPr>
                    <w:t>氨氮</w:t>
                  </w:r>
                </w:p>
              </w:tc>
              <w:tc>
                <w:tcPr>
                  <w:tcW w:w="1625" w:type="dxa"/>
                  <w:tcBorders>
                    <w:tl2br w:val="nil"/>
                    <w:tr2bl w:val="nil"/>
                  </w:tcBorders>
                  <w:vAlign w:val="center"/>
                </w:tcPr>
                <w:p w14:paraId="67248604">
                  <w:pPr>
                    <w:snapToGrid w:val="0"/>
                    <w:jc w:val="center"/>
                    <w:rPr>
                      <w:szCs w:val="21"/>
                    </w:rPr>
                  </w:pPr>
                  <w:r>
                    <w:rPr>
                      <w:szCs w:val="21"/>
                    </w:rPr>
                    <w:t>锰</w:t>
                  </w:r>
                </w:p>
              </w:tc>
            </w:tr>
            <w:tr w14:paraId="47999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1847FCEA">
                  <w:pPr>
                    <w:snapToGrid w:val="0"/>
                    <w:jc w:val="center"/>
                    <w:rPr>
                      <w:szCs w:val="21"/>
                    </w:rPr>
                  </w:pPr>
                  <w:r>
                    <w:rPr>
                      <w:szCs w:val="21"/>
                    </w:rPr>
                    <w:t>标准值</w:t>
                  </w:r>
                </w:p>
              </w:tc>
              <w:tc>
                <w:tcPr>
                  <w:tcW w:w="1624" w:type="dxa"/>
                  <w:tcBorders>
                    <w:tl2br w:val="nil"/>
                    <w:tr2bl w:val="nil"/>
                  </w:tcBorders>
                  <w:vAlign w:val="center"/>
                </w:tcPr>
                <w:p w14:paraId="3DCB062F">
                  <w:pPr>
                    <w:snapToGrid w:val="0"/>
                    <w:jc w:val="center"/>
                    <w:rPr>
                      <w:szCs w:val="21"/>
                    </w:rPr>
                  </w:pPr>
                  <w:r>
                    <w:rPr>
                      <w:szCs w:val="21"/>
                    </w:rPr>
                    <w:t>≤0.3</w:t>
                  </w:r>
                </w:p>
              </w:tc>
              <w:tc>
                <w:tcPr>
                  <w:tcW w:w="1624" w:type="dxa"/>
                  <w:tcBorders>
                    <w:tl2br w:val="nil"/>
                    <w:tr2bl w:val="nil"/>
                  </w:tcBorders>
                  <w:vAlign w:val="center"/>
                </w:tcPr>
                <w:p w14:paraId="0398CACB">
                  <w:pPr>
                    <w:snapToGrid w:val="0"/>
                    <w:jc w:val="center"/>
                    <w:rPr>
                      <w:szCs w:val="21"/>
                    </w:rPr>
                  </w:pPr>
                  <w:r>
                    <w:rPr>
                      <w:szCs w:val="21"/>
                    </w:rPr>
                    <w:t>≤3.0</w:t>
                  </w:r>
                </w:p>
              </w:tc>
              <w:tc>
                <w:tcPr>
                  <w:tcW w:w="1624" w:type="dxa"/>
                  <w:tcBorders>
                    <w:tl2br w:val="nil"/>
                    <w:tr2bl w:val="nil"/>
                  </w:tcBorders>
                  <w:vAlign w:val="center"/>
                </w:tcPr>
                <w:p w14:paraId="5117D7C5">
                  <w:pPr>
                    <w:snapToGrid w:val="0"/>
                    <w:jc w:val="center"/>
                    <w:rPr>
                      <w:szCs w:val="21"/>
                    </w:rPr>
                  </w:pPr>
                  <w:r>
                    <w:rPr>
                      <w:szCs w:val="21"/>
                    </w:rPr>
                    <w:t>≤0.5</w:t>
                  </w:r>
                </w:p>
              </w:tc>
              <w:tc>
                <w:tcPr>
                  <w:tcW w:w="1625" w:type="dxa"/>
                  <w:tcBorders>
                    <w:tl2br w:val="nil"/>
                    <w:tr2bl w:val="nil"/>
                  </w:tcBorders>
                  <w:vAlign w:val="center"/>
                </w:tcPr>
                <w:p w14:paraId="432FDB60">
                  <w:pPr>
                    <w:snapToGrid w:val="0"/>
                    <w:jc w:val="center"/>
                    <w:rPr>
                      <w:szCs w:val="21"/>
                    </w:rPr>
                  </w:pPr>
                  <w:r>
                    <w:rPr>
                      <w:szCs w:val="21"/>
                    </w:rPr>
                    <w:t>≤0.1</w:t>
                  </w:r>
                </w:p>
              </w:tc>
            </w:tr>
            <w:tr w14:paraId="59137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6121C214">
                  <w:pPr>
                    <w:snapToGrid w:val="0"/>
                    <w:jc w:val="center"/>
                    <w:rPr>
                      <w:szCs w:val="21"/>
                    </w:rPr>
                  </w:pPr>
                  <w:r>
                    <w:rPr>
                      <w:szCs w:val="21"/>
                    </w:rPr>
                    <w:t>项目</w:t>
                  </w:r>
                </w:p>
              </w:tc>
              <w:tc>
                <w:tcPr>
                  <w:tcW w:w="1624" w:type="dxa"/>
                  <w:tcBorders>
                    <w:tl2br w:val="nil"/>
                    <w:tr2bl w:val="nil"/>
                  </w:tcBorders>
                  <w:vAlign w:val="center"/>
                </w:tcPr>
                <w:p w14:paraId="61C11831">
                  <w:pPr>
                    <w:snapToGrid w:val="0"/>
                    <w:jc w:val="center"/>
                    <w:rPr>
                      <w:szCs w:val="21"/>
                    </w:rPr>
                  </w:pPr>
                  <w:r>
                    <w:rPr>
                      <w:szCs w:val="21"/>
                    </w:rPr>
                    <w:t>六价铬</w:t>
                  </w:r>
                </w:p>
              </w:tc>
              <w:tc>
                <w:tcPr>
                  <w:tcW w:w="1624" w:type="dxa"/>
                  <w:tcBorders>
                    <w:tl2br w:val="nil"/>
                    <w:tr2bl w:val="nil"/>
                  </w:tcBorders>
                  <w:vAlign w:val="center"/>
                </w:tcPr>
                <w:p w14:paraId="69D27789">
                  <w:pPr>
                    <w:snapToGrid w:val="0"/>
                    <w:jc w:val="center"/>
                    <w:rPr>
                      <w:szCs w:val="21"/>
                    </w:rPr>
                  </w:pPr>
                  <w:r>
                    <w:rPr>
                      <w:szCs w:val="21"/>
                    </w:rPr>
                    <w:t>氟化物</w:t>
                  </w:r>
                </w:p>
              </w:tc>
              <w:tc>
                <w:tcPr>
                  <w:tcW w:w="1624" w:type="dxa"/>
                  <w:tcBorders>
                    <w:tl2br w:val="nil"/>
                    <w:tr2bl w:val="nil"/>
                  </w:tcBorders>
                  <w:vAlign w:val="center"/>
                </w:tcPr>
                <w:p w14:paraId="059F4A3C">
                  <w:pPr>
                    <w:snapToGrid w:val="0"/>
                    <w:jc w:val="center"/>
                    <w:rPr>
                      <w:szCs w:val="21"/>
                    </w:rPr>
                  </w:pPr>
                  <w:r>
                    <w:rPr>
                      <w:szCs w:val="21"/>
                    </w:rPr>
                    <w:t>总大肠菌群</w:t>
                  </w:r>
                </w:p>
              </w:tc>
              <w:tc>
                <w:tcPr>
                  <w:tcW w:w="1625" w:type="dxa"/>
                  <w:tcBorders>
                    <w:tl2br w:val="nil"/>
                    <w:tr2bl w:val="nil"/>
                  </w:tcBorders>
                  <w:vAlign w:val="center"/>
                </w:tcPr>
                <w:p w14:paraId="73BFF7FA">
                  <w:pPr>
                    <w:snapToGrid w:val="0"/>
                    <w:jc w:val="center"/>
                    <w:rPr>
                      <w:szCs w:val="21"/>
                    </w:rPr>
                  </w:pPr>
                  <w:r>
                    <w:rPr>
                      <w:szCs w:val="21"/>
                    </w:rPr>
                    <w:t>硫化物</w:t>
                  </w:r>
                </w:p>
              </w:tc>
            </w:tr>
            <w:tr w14:paraId="1E2EF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14:paraId="6E5C46CE">
                  <w:pPr>
                    <w:snapToGrid w:val="0"/>
                    <w:jc w:val="center"/>
                    <w:rPr>
                      <w:szCs w:val="21"/>
                    </w:rPr>
                  </w:pPr>
                  <w:r>
                    <w:rPr>
                      <w:szCs w:val="21"/>
                    </w:rPr>
                    <w:t>标准值</w:t>
                  </w:r>
                </w:p>
              </w:tc>
              <w:tc>
                <w:tcPr>
                  <w:tcW w:w="1624" w:type="dxa"/>
                  <w:tcBorders>
                    <w:tl2br w:val="nil"/>
                    <w:tr2bl w:val="nil"/>
                  </w:tcBorders>
                  <w:vAlign w:val="center"/>
                </w:tcPr>
                <w:p w14:paraId="16D76A11">
                  <w:pPr>
                    <w:snapToGrid w:val="0"/>
                    <w:jc w:val="center"/>
                    <w:rPr>
                      <w:szCs w:val="21"/>
                    </w:rPr>
                  </w:pPr>
                  <w:r>
                    <w:rPr>
                      <w:szCs w:val="21"/>
                    </w:rPr>
                    <w:t>≤0.05</w:t>
                  </w:r>
                </w:p>
              </w:tc>
              <w:tc>
                <w:tcPr>
                  <w:tcW w:w="1624" w:type="dxa"/>
                  <w:tcBorders>
                    <w:tl2br w:val="nil"/>
                    <w:tr2bl w:val="nil"/>
                  </w:tcBorders>
                  <w:vAlign w:val="center"/>
                </w:tcPr>
                <w:p w14:paraId="0D76832A">
                  <w:pPr>
                    <w:snapToGrid w:val="0"/>
                    <w:jc w:val="center"/>
                    <w:rPr>
                      <w:szCs w:val="21"/>
                    </w:rPr>
                  </w:pPr>
                  <w:r>
                    <w:rPr>
                      <w:szCs w:val="21"/>
                    </w:rPr>
                    <w:t>≤1.0</w:t>
                  </w:r>
                </w:p>
              </w:tc>
              <w:tc>
                <w:tcPr>
                  <w:tcW w:w="1624" w:type="dxa"/>
                  <w:tcBorders>
                    <w:tl2br w:val="nil"/>
                    <w:tr2bl w:val="nil"/>
                  </w:tcBorders>
                  <w:vAlign w:val="center"/>
                </w:tcPr>
                <w:p w14:paraId="779F4886">
                  <w:pPr>
                    <w:snapToGrid w:val="0"/>
                    <w:jc w:val="center"/>
                    <w:rPr>
                      <w:szCs w:val="21"/>
                    </w:rPr>
                  </w:pPr>
                  <w:r>
                    <w:rPr>
                      <w:szCs w:val="21"/>
                    </w:rPr>
                    <w:t>≤3 (MPN/100mL)</w:t>
                  </w:r>
                </w:p>
              </w:tc>
              <w:tc>
                <w:tcPr>
                  <w:tcW w:w="1625" w:type="dxa"/>
                  <w:tcBorders>
                    <w:tl2br w:val="nil"/>
                    <w:tr2bl w:val="nil"/>
                  </w:tcBorders>
                  <w:vAlign w:val="center"/>
                </w:tcPr>
                <w:p w14:paraId="72A73143">
                  <w:pPr>
                    <w:snapToGrid w:val="0"/>
                    <w:jc w:val="center"/>
                    <w:rPr>
                      <w:szCs w:val="21"/>
                    </w:rPr>
                  </w:pPr>
                  <w:r>
                    <w:rPr>
                      <w:szCs w:val="21"/>
                    </w:rPr>
                    <w:t>≤0.02</w:t>
                  </w:r>
                </w:p>
              </w:tc>
            </w:tr>
          </w:tbl>
          <w:p w14:paraId="5EDFA568">
            <w:pPr>
              <w:spacing w:line="360" w:lineRule="auto"/>
              <w:ind w:firstLine="440" w:firstLineChars="200"/>
              <w:rPr>
                <w:sz w:val="22"/>
                <w:szCs w:val="22"/>
              </w:rPr>
            </w:pPr>
            <w:r>
              <w:rPr>
                <w:sz w:val="22"/>
                <w:szCs w:val="22"/>
              </w:rPr>
              <w:t>注：COD和石油类参照执行《地表水环境质量标准》（GB3838-2002）Ⅲ类标准。</w:t>
            </w:r>
          </w:p>
          <w:p w14:paraId="1AD23552">
            <w:pPr>
              <w:spacing w:line="360" w:lineRule="auto"/>
              <w:ind w:firstLine="440" w:firstLineChars="200"/>
              <w:rPr>
                <w:sz w:val="22"/>
                <w:szCs w:val="22"/>
              </w:rPr>
            </w:pPr>
            <w:r>
              <w:rPr>
                <w:sz w:val="22"/>
                <w:szCs w:val="22"/>
              </w:rPr>
              <w:t>5、土壤环境质量标准</w:t>
            </w:r>
          </w:p>
          <w:p w14:paraId="25F0387C">
            <w:pPr>
              <w:spacing w:line="360" w:lineRule="auto"/>
              <w:ind w:firstLine="440" w:firstLineChars="200"/>
              <w:rPr>
                <w:sz w:val="22"/>
                <w:szCs w:val="22"/>
              </w:rPr>
            </w:pPr>
            <w:r>
              <w:rPr>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14:paraId="03BBC2E7">
            <w:pPr>
              <w:pStyle w:val="333"/>
              <w:numPr>
                <w:ilvl w:val="0"/>
                <w:numId w:val="8"/>
              </w:numPr>
              <w:adjustRightInd w:val="0"/>
              <w:snapToGrid w:val="0"/>
              <w:spacing w:line="360" w:lineRule="auto"/>
              <w:ind w:left="0" w:firstLine="0" w:firstLineChars="0"/>
              <w:jc w:val="center"/>
              <w:rPr>
                <w:b/>
                <w:bCs/>
                <w:kern w:val="0"/>
                <w:sz w:val="22"/>
                <w:szCs w:val="22"/>
              </w:rPr>
            </w:pPr>
            <w:r>
              <w:rPr>
                <w:b/>
                <w:bCs/>
                <w:kern w:val="0"/>
                <w:sz w:val="22"/>
                <w:szCs w:val="22"/>
              </w:rPr>
              <w:t>《土壤环境质量建设用地土壤污染风险管控标准（试行）》（GB36600-2018） 单位：mg/kg</w:t>
            </w:r>
          </w:p>
          <w:tbl>
            <w:tblPr>
              <w:tblStyle w:val="44"/>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14:paraId="62B3A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14:paraId="6F1A57C6">
                  <w:pPr>
                    <w:pStyle w:val="313"/>
                    <w:spacing w:line="240" w:lineRule="auto"/>
                    <w:rPr>
                      <w:rFonts w:ascii="Times New Roman" w:hAnsi="Times New Roman" w:eastAsia="宋体"/>
                      <w:b w:val="0"/>
                      <w:bCs w:val="0"/>
                      <w:color w:val="auto"/>
                      <w:kern w:val="2"/>
                      <w:sz w:val="21"/>
                      <w:szCs w:val="21"/>
                    </w:rPr>
                  </w:pPr>
                  <w:r>
                    <w:rPr>
                      <w:rFonts w:ascii="Times New Roman" w:hAnsi="Times New Roman" w:eastAsia="宋体"/>
                      <w:b w:val="0"/>
                      <w:bCs w:val="0"/>
                      <w:color w:val="auto"/>
                      <w:sz w:val="21"/>
                      <w:szCs w:val="21"/>
                    </w:rPr>
                    <w:t>序号</w:t>
                  </w:r>
                </w:p>
              </w:tc>
              <w:tc>
                <w:tcPr>
                  <w:tcW w:w="1928" w:type="dxa"/>
                  <w:vMerge w:val="restart"/>
                  <w:tcBorders>
                    <w:tl2br w:val="nil"/>
                    <w:tr2bl w:val="nil"/>
                  </w:tcBorders>
                  <w:vAlign w:val="center"/>
                </w:tcPr>
                <w:p w14:paraId="72418AF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监测项目</w:t>
                  </w:r>
                </w:p>
              </w:tc>
              <w:tc>
                <w:tcPr>
                  <w:tcW w:w="1673" w:type="dxa"/>
                  <w:vMerge w:val="restart"/>
                  <w:tcBorders>
                    <w:tl2br w:val="nil"/>
                    <w:tr2bl w:val="nil"/>
                  </w:tcBorders>
                  <w:vAlign w:val="center"/>
                </w:tcPr>
                <w:p w14:paraId="1BBB998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CAS编号</w:t>
                  </w:r>
                </w:p>
              </w:tc>
              <w:tc>
                <w:tcPr>
                  <w:tcW w:w="1800" w:type="dxa"/>
                  <w:tcBorders>
                    <w:tl2br w:val="nil"/>
                    <w:tr2bl w:val="nil"/>
                  </w:tcBorders>
                  <w:vAlign w:val="center"/>
                </w:tcPr>
                <w:p w14:paraId="2BEA350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筛选值</w:t>
                  </w:r>
                </w:p>
              </w:tc>
              <w:tc>
                <w:tcPr>
                  <w:tcW w:w="1695" w:type="dxa"/>
                  <w:tcBorders>
                    <w:tl2br w:val="nil"/>
                    <w:tr2bl w:val="nil"/>
                  </w:tcBorders>
                  <w:vAlign w:val="center"/>
                </w:tcPr>
                <w:p w14:paraId="79D3B71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管制值</w:t>
                  </w:r>
                </w:p>
              </w:tc>
            </w:tr>
            <w:tr w14:paraId="213DB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14:paraId="2CC8BAC2">
                  <w:pPr>
                    <w:widowControl/>
                    <w:jc w:val="center"/>
                    <w:rPr>
                      <w:szCs w:val="21"/>
                    </w:rPr>
                  </w:pPr>
                </w:p>
              </w:tc>
              <w:tc>
                <w:tcPr>
                  <w:tcW w:w="1928" w:type="dxa"/>
                  <w:vMerge w:val="continue"/>
                  <w:tcBorders>
                    <w:tl2br w:val="nil"/>
                    <w:tr2bl w:val="nil"/>
                  </w:tcBorders>
                  <w:vAlign w:val="center"/>
                </w:tcPr>
                <w:p w14:paraId="4C114EEB">
                  <w:pPr>
                    <w:widowControl/>
                    <w:jc w:val="center"/>
                    <w:rPr>
                      <w:szCs w:val="21"/>
                    </w:rPr>
                  </w:pPr>
                </w:p>
              </w:tc>
              <w:tc>
                <w:tcPr>
                  <w:tcW w:w="1673" w:type="dxa"/>
                  <w:vMerge w:val="continue"/>
                  <w:tcBorders>
                    <w:tl2br w:val="nil"/>
                    <w:tr2bl w:val="nil"/>
                  </w:tcBorders>
                  <w:vAlign w:val="center"/>
                </w:tcPr>
                <w:p w14:paraId="220951C7">
                  <w:pPr>
                    <w:widowControl/>
                    <w:jc w:val="center"/>
                    <w:rPr>
                      <w:szCs w:val="21"/>
                    </w:rPr>
                  </w:pPr>
                </w:p>
              </w:tc>
              <w:tc>
                <w:tcPr>
                  <w:tcW w:w="1800" w:type="dxa"/>
                  <w:tcBorders>
                    <w:tl2br w:val="nil"/>
                    <w:tr2bl w:val="nil"/>
                  </w:tcBorders>
                  <w:vAlign w:val="center"/>
                </w:tcPr>
                <w:p w14:paraId="0E0C035E">
                  <w:pPr>
                    <w:pStyle w:val="313"/>
                    <w:spacing w:line="240" w:lineRule="auto"/>
                    <w:rPr>
                      <w:rFonts w:hint="eastAsia" w:ascii="Times New Roman" w:hAnsi="Times New Roman" w:eastAsia="宋体"/>
                      <w:b w:val="0"/>
                      <w:bCs w:val="0"/>
                      <w:color w:val="auto"/>
                      <w:sz w:val="21"/>
                      <w:szCs w:val="21"/>
                      <w:lang w:val="en-US" w:eastAsia="zh-CN"/>
                    </w:rPr>
                  </w:pPr>
                  <w:r>
                    <w:rPr>
                      <w:rFonts w:ascii="Times New Roman" w:hAnsi="Times New Roman" w:eastAsia="宋体"/>
                      <w:b w:val="0"/>
                      <w:bCs w:val="0"/>
                      <w:color w:val="auto"/>
                      <w:sz w:val="21"/>
                      <w:szCs w:val="21"/>
                    </w:rPr>
                    <w:t>第一类用地</w:t>
                  </w:r>
                  <w:r>
                    <w:rPr>
                      <w:rFonts w:hint="eastAsia" w:ascii="Times New Roman" w:hAnsi="Times New Roman" w:eastAsia="宋体"/>
                      <w:b w:val="0"/>
                      <w:bCs w:val="0"/>
                      <w:color w:val="auto"/>
                      <w:sz w:val="21"/>
                      <w:szCs w:val="21"/>
                      <w:lang w:val="en-US" w:eastAsia="zh-CN"/>
                    </w:rPr>
                    <w:t xml:space="preserve"> </w:t>
                  </w:r>
                </w:p>
              </w:tc>
              <w:tc>
                <w:tcPr>
                  <w:tcW w:w="1695" w:type="dxa"/>
                  <w:tcBorders>
                    <w:tl2br w:val="nil"/>
                    <w:tr2bl w:val="nil"/>
                  </w:tcBorders>
                  <w:vAlign w:val="center"/>
                </w:tcPr>
                <w:p w14:paraId="1741038A">
                  <w:pPr>
                    <w:pStyle w:val="313"/>
                    <w:spacing w:line="240" w:lineRule="auto"/>
                    <w:rPr>
                      <w:rFonts w:hint="eastAsia" w:ascii="Times New Roman" w:hAnsi="Times New Roman" w:eastAsia="宋体"/>
                      <w:b w:val="0"/>
                      <w:bCs w:val="0"/>
                      <w:color w:val="auto"/>
                      <w:sz w:val="21"/>
                      <w:szCs w:val="21"/>
                      <w:lang w:val="en-US" w:eastAsia="zh-CN"/>
                    </w:rPr>
                  </w:pPr>
                  <w:r>
                    <w:rPr>
                      <w:rFonts w:ascii="Times New Roman" w:hAnsi="Times New Roman" w:eastAsia="宋体"/>
                      <w:b w:val="0"/>
                      <w:bCs w:val="0"/>
                      <w:color w:val="auto"/>
                      <w:sz w:val="21"/>
                      <w:szCs w:val="21"/>
                    </w:rPr>
                    <w:t>第一类用地</w:t>
                  </w:r>
                  <w:r>
                    <w:rPr>
                      <w:rFonts w:hint="eastAsia" w:ascii="Times New Roman" w:hAnsi="Times New Roman" w:eastAsia="宋体"/>
                      <w:b w:val="0"/>
                      <w:bCs w:val="0"/>
                      <w:color w:val="auto"/>
                      <w:sz w:val="21"/>
                      <w:szCs w:val="21"/>
                      <w:lang w:val="en-US" w:eastAsia="zh-CN"/>
                    </w:rPr>
                    <w:t xml:space="preserve"> </w:t>
                  </w:r>
                </w:p>
              </w:tc>
            </w:tr>
            <w:tr w14:paraId="4F7AF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14:paraId="48616E0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重金属和无机物</w:t>
                  </w:r>
                </w:p>
              </w:tc>
            </w:tr>
            <w:tr w14:paraId="10CBA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7B0220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928" w:type="dxa"/>
                  <w:tcBorders>
                    <w:tl2br w:val="nil"/>
                    <w:tr2bl w:val="nil"/>
                  </w:tcBorders>
                  <w:vAlign w:val="center"/>
                </w:tcPr>
                <w:p w14:paraId="5C213B1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砷</w:t>
                  </w:r>
                </w:p>
              </w:tc>
              <w:tc>
                <w:tcPr>
                  <w:tcW w:w="1673" w:type="dxa"/>
                  <w:tcBorders>
                    <w:tl2br w:val="nil"/>
                    <w:tr2bl w:val="nil"/>
                  </w:tcBorders>
                  <w:vAlign w:val="center"/>
                </w:tcPr>
                <w:p w14:paraId="5BD23E5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7440-38-2</w:t>
                  </w:r>
                </w:p>
              </w:tc>
              <w:tc>
                <w:tcPr>
                  <w:tcW w:w="1800" w:type="dxa"/>
                  <w:tcBorders>
                    <w:tl2br w:val="nil"/>
                    <w:tr2bl w:val="nil"/>
                  </w:tcBorders>
                  <w:vAlign w:val="center"/>
                </w:tcPr>
                <w:p w14:paraId="1D941F5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695" w:type="dxa"/>
                  <w:tcBorders>
                    <w:tl2br w:val="nil"/>
                    <w:tr2bl w:val="nil"/>
                  </w:tcBorders>
                  <w:vAlign w:val="center"/>
                </w:tcPr>
                <w:p w14:paraId="57B768D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w:t>
                  </w:r>
                </w:p>
              </w:tc>
            </w:tr>
            <w:tr w14:paraId="6A5F9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15A7DED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w:t>
                  </w:r>
                </w:p>
              </w:tc>
              <w:tc>
                <w:tcPr>
                  <w:tcW w:w="1928" w:type="dxa"/>
                  <w:tcBorders>
                    <w:tl2br w:val="nil"/>
                    <w:tr2bl w:val="nil"/>
                  </w:tcBorders>
                  <w:vAlign w:val="center"/>
                </w:tcPr>
                <w:p w14:paraId="6C5D96E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镉</w:t>
                  </w:r>
                </w:p>
              </w:tc>
              <w:tc>
                <w:tcPr>
                  <w:tcW w:w="1673" w:type="dxa"/>
                  <w:tcBorders>
                    <w:tl2br w:val="nil"/>
                    <w:tr2bl w:val="nil"/>
                  </w:tcBorders>
                  <w:vAlign w:val="center"/>
                </w:tcPr>
                <w:p w14:paraId="73AFB4A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7440-43-9</w:t>
                  </w:r>
                </w:p>
              </w:tc>
              <w:tc>
                <w:tcPr>
                  <w:tcW w:w="1800" w:type="dxa"/>
                  <w:tcBorders>
                    <w:tl2br w:val="nil"/>
                    <w:tr2bl w:val="nil"/>
                  </w:tcBorders>
                  <w:vAlign w:val="center"/>
                </w:tcPr>
                <w:p w14:paraId="0099A07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695" w:type="dxa"/>
                  <w:tcBorders>
                    <w:tl2br w:val="nil"/>
                    <w:tr2bl w:val="nil"/>
                  </w:tcBorders>
                  <w:vAlign w:val="center"/>
                </w:tcPr>
                <w:p w14:paraId="2035134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47</w:t>
                  </w:r>
                </w:p>
              </w:tc>
            </w:tr>
            <w:tr w14:paraId="0FE5C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47B365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w:t>
                  </w:r>
                </w:p>
              </w:tc>
              <w:tc>
                <w:tcPr>
                  <w:tcW w:w="1928" w:type="dxa"/>
                  <w:tcBorders>
                    <w:tl2br w:val="nil"/>
                    <w:tr2bl w:val="nil"/>
                  </w:tcBorders>
                  <w:vAlign w:val="center"/>
                </w:tcPr>
                <w:p w14:paraId="2382E10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铬（六价）</w:t>
                  </w:r>
                </w:p>
              </w:tc>
              <w:tc>
                <w:tcPr>
                  <w:tcW w:w="1673" w:type="dxa"/>
                  <w:tcBorders>
                    <w:tl2br w:val="nil"/>
                    <w:tr2bl w:val="nil"/>
                  </w:tcBorders>
                  <w:vAlign w:val="center"/>
                </w:tcPr>
                <w:p w14:paraId="49B335F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20246-29-9</w:t>
                  </w:r>
                </w:p>
              </w:tc>
              <w:tc>
                <w:tcPr>
                  <w:tcW w:w="1800" w:type="dxa"/>
                  <w:tcBorders>
                    <w:tl2br w:val="nil"/>
                    <w:tr2bl w:val="nil"/>
                  </w:tcBorders>
                  <w:vAlign w:val="center"/>
                </w:tcPr>
                <w:p w14:paraId="7A7DE9E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w:t>
                  </w:r>
                </w:p>
              </w:tc>
              <w:tc>
                <w:tcPr>
                  <w:tcW w:w="1695" w:type="dxa"/>
                  <w:tcBorders>
                    <w:tl2br w:val="nil"/>
                    <w:tr2bl w:val="nil"/>
                  </w:tcBorders>
                  <w:vAlign w:val="center"/>
                </w:tcPr>
                <w:p w14:paraId="75E0442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5.7</w:t>
                  </w:r>
                </w:p>
              </w:tc>
            </w:tr>
            <w:tr w14:paraId="6647A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6BD25FD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w:t>
                  </w:r>
                </w:p>
              </w:tc>
              <w:tc>
                <w:tcPr>
                  <w:tcW w:w="1928" w:type="dxa"/>
                  <w:tcBorders>
                    <w:tl2br w:val="nil"/>
                    <w:tr2bl w:val="nil"/>
                  </w:tcBorders>
                  <w:vAlign w:val="center"/>
                </w:tcPr>
                <w:p w14:paraId="46F4A35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铜</w:t>
                  </w:r>
                </w:p>
              </w:tc>
              <w:tc>
                <w:tcPr>
                  <w:tcW w:w="1673" w:type="dxa"/>
                  <w:tcBorders>
                    <w:tl2br w:val="nil"/>
                    <w:tr2bl w:val="nil"/>
                  </w:tcBorders>
                  <w:vAlign w:val="center"/>
                </w:tcPr>
                <w:p w14:paraId="27398DE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7440-50-8</w:t>
                  </w:r>
                </w:p>
              </w:tc>
              <w:tc>
                <w:tcPr>
                  <w:tcW w:w="1800" w:type="dxa"/>
                  <w:tcBorders>
                    <w:tl2br w:val="nil"/>
                    <w:tr2bl w:val="nil"/>
                  </w:tcBorders>
                  <w:vAlign w:val="center"/>
                </w:tcPr>
                <w:p w14:paraId="46CCF75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2000</w:t>
                  </w:r>
                </w:p>
              </w:tc>
              <w:tc>
                <w:tcPr>
                  <w:tcW w:w="1695" w:type="dxa"/>
                  <w:tcBorders>
                    <w:tl2br w:val="nil"/>
                    <w:tr2bl w:val="nil"/>
                  </w:tcBorders>
                  <w:vAlign w:val="center"/>
                </w:tcPr>
                <w:p w14:paraId="3AEB1D7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8000</w:t>
                  </w:r>
                </w:p>
              </w:tc>
            </w:tr>
            <w:tr w14:paraId="0476C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224E9C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c>
                <w:tcPr>
                  <w:tcW w:w="1928" w:type="dxa"/>
                  <w:tcBorders>
                    <w:tl2br w:val="nil"/>
                    <w:tr2bl w:val="nil"/>
                  </w:tcBorders>
                  <w:vAlign w:val="center"/>
                </w:tcPr>
                <w:p w14:paraId="2A68287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铅</w:t>
                  </w:r>
                </w:p>
              </w:tc>
              <w:tc>
                <w:tcPr>
                  <w:tcW w:w="1673" w:type="dxa"/>
                  <w:tcBorders>
                    <w:tl2br w:val="nil"/>
                    <w:tr2bl w:val="nil"/>
                  </w:tcBorders>
                  <w:vAlign w:val="center"/>
                </w:tcPr>
                <w:p w14:paraId="2383CB7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7439-92-1</w:t>
                  </w:r>
                </w:p>
              </w:tc>
              <w:tc>
                <w:tcPr>
                  <w:tcW w:w="1800" w:type="dxa"/>
                  <w:tcBorders>
                    <w:tl2br w:val="nil"/>
                    <w:tr2bl w:val="nil"/>
                  </w:tcBorders>
                  <w:vAlign w:val="center"/>
                </w:tcPr>
                <w:p w14:paraId="75462BA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400</w:t>
                  </w:r>
                </w:p>
              </w:tc>
              <w:tc>
                <w:tcPr>
                  <w:tcW w:w="1695" w:type="dxa"/>
                  <w:tcBorders>
                    <w:tl2br w:val="nil"/>
                    <w:tr2bl w:val="nil"/>
                  </w:tcBorders>
                  <w:vAlign w:val="center"/>
                </w:tcPr>
                <w:p w14:paraId="6D7C669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800</w:t>
                  </w:r>
                </w:p>
              </w:tc>
            </w:tr>
            <w:tr w14:paraId="3FF4C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064B5D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w:t>
                  </w:r>
                </w:p>
              </w:tc>
              <w:tc>
                <w:tcPr>
                  <w:tcW w:w="1928" w:type="dxa"/>
                  <w:tcBorders>
                    <w:tl2br w:val="nil"/>
                    <w:tr2bl w:val="nil"/>
                  </w:tcBorders>
                  <w:vAlign w:val="center"/>
                </w:tcPr>
                <w:p w14:paraId="09C3492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汞</w:t>
                  </w:r>
                </w:p>
              </w:tc>
              <w:tc>
                <w:tcPr>
                  <w:tcW w:w="1673" w:type="dxa"/>
                  <w:tcBorders>
                    <w:tl2br w:val="nil"/>
                    <w:tr2bl w:val="nil"/>
                  </w:tcBorders>
                  <w:vAlign w:val="center"/>
                </w:tcPr>
                <w:p w14:paraId="7414006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7439-97-6</w:t>
                  </w:r>
                </w:p>
              </w:tc>
              <w:tc>
                <w:tcPr>
                  <w:tcW w:w="1800" w:type="dxa"/>
                  <w:tcBorders>
                    <w:tl2br w:val="nil"/>
                    <w:tr2bl w:val="nil"/>
                  </w:tcBorders>
                  <w:vAlign w:val="center"/>
                </w:tcPr>
                <w:p w14:paraId="4A6860F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w:t>
                  </w:r>
                </w:p>
              </w:tc>
              <w:tc>
                <w:tcPr>
                  <w:tcW w:w="1695" w:type="dxa"/>
                  <w:tcBorders>
                    <w:tl2br w:val="nil"/>
                    <w:tr2bl w:val="nil"/>
                  </w:tcBorders>
                  <w:vAlign w:val="center"/>
                </w:tcPr>
                <w:p w14:paraId="2CAE70B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33</w:t>
                  </w:r>
                </w:p>
              </w:tc>
            </w:tr>
            <w:tr w14:paraId="0C6F6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FB5B22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w:t>
                  </w:r>
                </w:p>
              </w:tc>
              <w:tc>
                <w:tcPr>
                  <w:tcW w:w="1928" w:type="dxa"/>
                  <w:tcBorders>
                    <w:tl2br w:val="nil"/>
                    <w:tr2bl w:val="nil"/>
                  </w:tcBorders>
                  <w:vAlign w:val="center"/>
                </w:tcPr>
                <w:p w14:paraId="3C5F03D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镍</w:t>
                  </w:r>
                </w:p>
              </w:tc>
              <w:tc>
                <w:tcPr>
                  <w:tcW w:w="1673" w:type="dxa"/>
                  <w:tcBorders>
                    <w:tl2br w:val="nil"/>
                    <w:tr2bl w:val="nil"/>
                  </w:tcBorders>
                  <w:vAlign w:val="center"/>
                </w:tcPr>
                <w:p w14:paraId="2ECDF32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7440-02-0</w:t>
                  </w:r>
                </w:p>
              </w:tc>
              <w:tc>
                <w:tcPr>
                  <w:tcW w:w="1800" w:type="dxa"/>
                  <w:tcBorders>
                    <w:tl2br w:val="nil"/>
                    <w:tr2bl w:val="nil"/>
                  </w:tcBorders>
                  <w:vAlign w:val="center"/>
                </w:tcPr>
                <w:p w14:paraId="3EF412D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150</w:t>
                  </w:r>
                </w:p>
              </w:tc>
              <w:tc>
                <w:tcPr>
                  <w:tcW w:w="1695" w:type="dxa"/>
                  <w:tcBorders>
                    <w:tl2br w:val="nil"/>
                    <w:tr2bl w:val="nil"/>
                  </w:tcBorders>
                  <w:vAlign w:val="center"/>
                </w:tcPr>
                <w:p w14:paraId="0B24B84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600</w:t>
                  </w:r>
                </w:p>
              </w:tc>
            </w:tr>
            <w:tr w14:paraId="2674C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14:paraId="4E788BA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挥发性有机物</w:t>
                  </w:r>
                </w:p>
              </w:tc>
            </w:tr>
            <w:tr w14:paraId="7CA42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B035AB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w:t>
                  </w:r>
                </w:p>
              </w:tc>
              <w:tc>
                <w:tcPr>
                  <w:tcW w:w="1928" w:type="dxa"/>
                  <w:tcBorders>
                    <w:tl2br w:val="nil"/>
                    <w:tr2bl w:val="nil"/>
                  </w:tcBorders>
                  <w:vAlign w:val="center"/>
                </w:tcPr>
                <w:p w14:paraId="244D7F4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四氯化碳</w:t>
                  </w:r>
                </w:p>
              </w:tc>
              <w:tc>
                <w:tcPr>
                  <w:tcW w:w="1673" w:type="dxa"/>
                  <w:tcBorders>
                    <w:tl2br w:val="nil"/>
                    <w:tr2bl w:val="nil"/>
                  </w:tcBorders>
                  <w:vAlign w:val="center"/>
                </w:tcPr>
                <w:p w14:paraId="6AA1DF3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56-23-5</w:t>
                  </w:r>
                </w:p>
              </w:tc>
              <w:tc>
                <w:tcPr>
                  <w:tcW w:w="1800" w:type="dxa"/>
                  <w:tcBorders>
                    <w:tl2br w:val="nil"/>
                    <w:tr2bl w:val="nil"/>
                  </w:tcBorders>
                  <w:vAlign w:val="center"/>
                </w:tcPr>
                <w:p w14:paraId="6CE9F81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0.9</w:t>
                  </w:r>
                </w:p>
              </w:tc>
              <w:tc>
                <w:tcPr>
                  <w:tcW w:w="1695" w:type="dxa"/>
                  <w:tcBorders>
                    <w:tl2br w:val="nil"/>
                    <w:tr2bl w:val="nil"/>
                  </w:tcBorders>
                  <w:vAlign w:val="center"/>
                </w:tcPr>
                <w:p w14:paraId="25CD49A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w:t>
                  </w:r>
                </w:p>
              </w:tc>
            </w:tr>
            <w:tr w14:paraId="79D08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F49865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w:t>
                  </w:r>
                </w:p>
              </w:tc>
              <w:tc>
                <w:tcPr>
                  <w:tcW w:w="1928" w:type="dxa"/>
                  <w:tcBorders>
                    <w:tl2br w:val="nil"/>
                    <w:tr2bl w:val="nil"/>
                  </w:tcBorders>
                  <w:vAlign w:val="center"/>
                </w:tcPr>
                <w:p w14:paraId="7A7D018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氯仿</w:t>
                  </w:r>
                </w:p>
              </w:tc>
              <w:tc>
                <w:tcPr>
                  <w:tcW w:w="1673" w:type="dxa"/>
                  <w:tcBorders>
                    <w:tl2br w:val="nil"/>
                    <w:tr2bl w:val="nil"/>
                  </w:tcBorders>
                  <w:vAlign w:val="center"/>
                </w:tcPr>
                <w:p w14:paraId="05184AC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67-66-3</w:t>
                  </w:r>
                </w:p>
              </w:tc>
              <w:tc>
                <w:tcPr>
                  <w:tcW w:w="1800" w:type="dxa"/>
                  <w:tcBorders>
                    <w:tl2br w:val="nil"/>
                    <w:tr2bl w:val="nil"/>
                  </w:tcBorders>
                  <w:vAlign w:val="center"/>
                </w:tcPr>
                <w:p w14:paraId="65B17B5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0.3</w:t>
                  </w:r>
                </w:p>
              </w:tc>
              <w:tc>
                <w:tcPr>
                  <w:tcW w:w="1695" w:type="dxa"/>
                  <w:tcBorders>
                    <w:tl2br w:val="nil"/>
                    <w:tr2bl w:val="nil"/>
                  </w:tcBorders>
                  <w:vAlign w:val="center"/>
                </w:tcPr>
                <w:p w14:paraId="63D71ED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14:paraId="6D684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52BE68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c>
                <w:tcPr>
                  <w:tcW w:w="1928" w:type="dxa"/>
                  <w:tcBorders>
                    <w:tl2br w:val="nil"/>
                    <w:tr2bl w:val="nil"/>
                  </w:tcBorders>
                  <w:vAlign w:val="center"/>
                </w:tcPr>
                <w:p w14:paraId="02854E4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氯甲烷</w:t>
                  </w:r>
                </w:p>
              </w:tc>
              <w:tc>
                <w:tcPr>
                  <w:tcW w:w="1673" w:type="dxa"/>
                  <w:tcBorders>
                    <w:tl2br w:val="nil"/>
                    <w:tr2bl w:val="nil"/>
                  </w:tcBorders>
                  <w:vAlign w:val="center"/>
                </w:tcPr>
                <w:p w14:paraId="79D3E34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74-87-3</w:t>
                  </w:r>
                </w:p>
              </w:tc>
              <w:tc>
                <w:tcPr>
                  <w:tcW w:w="1800" w:type="dxa"/>
                  <w:tcBorders>
                    <w:tl2br w:val="nil"/>
                    <w:tr2bl w:val="nil"/>
                  </w:tcBorders>
                  <w:vAlign w:val="center"/>
                </w:tcPr>
                <w:p w14:paraId="0D9139E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695" w:type="dxa"/>
                  <w:tcBorders>
                    <w:tl2br w:val="nil"/>
                    <w:tr2bl w:val="nil"/>
                  </w:tcBorders>
                  <w:vAlign w:val="center"/>
                </w:tcPr>
                <w:p w14:paraId="509515C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w:t>
                  </w:r>
                </w:p>
              </w:tc>
            </w:tr>
            <w:tr w14:paraId="0F111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EE170D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w:t>
                  </w:r>
                </w:p>
              </w:tc>
              <w:tc>
                <w:tcPr>
                  <w:tcW w:w="1928" w:type="dxa"/>
                  <w:tcBorders>
                    <w:tl2br w:val="nil"/>
                    <w:tr2bl w:val="nil"/>
                  </w:tcBorders>
                  <w:vAlign w:val="center"/>
                </w:tcPr>
                <w:p w14:paraId="168FAFB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1,1-二氯乙烷</w:t>
                  </w:r>
                </w:p>
              </w:tc>
              <w:tc>
                <w:tcPr>
                  <w:tcW w:w="1673" w:type="dxa"/>
                  <w:tcBorders>
                    <w:tl2br w:val="nil"/>
                    <w:tr2bl w:val="nil"/>
                  </w:tcBorders>
                  <w:vAlign w:val="center"/>
                </w:tcPr>
                <w:p w14:paraId="5CED480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75-34-3</w:t>
                  </w:r>
                </w:p>
              </w:tc>
              <w:tc>
                <w:tcPr>
                  <w:tcW w:w="1800" w:type="dxa"/>
                  <w:tcBorders>
                    <w:tl2br w:val="nil"/>
                    <w:tr2bl w:val="nil"/>
                  </w:tcBorders>
                  <w:vAlign w:val="center"/>
                </w:tcPr>
                <w:p w14:paraId="6149269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w:t>
                  </w:r>
                </w:p>
              </w:tc>
              <w:tc>
                <w:tcPr>
                  <w:tcW w:w="1695" w:type="dxa"/>
                  <w:tcBorders>
                    <w:tl2br w:val="nil"/>
                    <w:tr2bl w:val="nil"/>
                  </w:tcBorders>
                  <w:vAlign w:val="center"/>
                </w:tcPr>
                <w:p w14:paraId="1E43D5D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r>
            <w:tr w14:paraId="14E48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156DFC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928" w:type="dxa"/>
                  <w:tcBorders>
                    <w:tl2br w:val="nil"/>
                    <w:tr2bl w:val="nil"/>
                  </w:tcBorders>
                  <w:vAlign w:val="center"/>
                </w:tcPr>
                <w:p w14:paraId="5E038D4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1,2-二氯乙烷</w:t>
                  </w:r>
                </w:p>
              </w:tc>
              <w:tc>
                <w:tcPr>
                  <w:tcW w:w="1673" w:type="dxa"/>
                  <w:tcBorders>
                    <w:tl2br w:val="nil"/>
                    <w:tr2bl w:val="nil"/>
                  </w:tcBorders>
                  <w:vAlign w:val="center"/>
                </w:tcPr>
                <w:p w14:paraId="7943152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107-06-2</w:t>
                  </w:r>
                </w:p>
              </w:tc>
              <w:tc>
                <w:tcPr>
                  <w:tcW w:w="1800" w:type="dxa"/>
                  <w:tcBorders>
                    <w:tl2br w:val="nil"/>
                    <w:tr2bl w:val="nil"/>
                  </w:tcBorders>
                  <w:vAlign w:val="center"/>
                </w:tcPr>
                <w:p w14:paraId="369C6B4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0.52</w:t>
                  </w:r>
                </w:p>
              </w:tc>
              <w:tc>
                <w:tcPr>
                  <w:tcW w:w="1695" w:type="dxa"/>
                  <w:tcBorders>
                    <w:tl2br w:val="nil"/>
                    <w:tr2bl w:val="nil"/>
                  </w:tcBorders>
                  <w:vAlign w:val="center"/>
                </w:tcPr>
                <w:p w14:paraId="234A900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w:t>
                  </w:r>
                </w:p>
              </w:tc>
            </w:tr>
            <w:tr w14:paraId="5B7D8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5C7DC8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13</w:t>
                  </w:r>
                </w:p>
              </w:tc>
              <w:tc>
                <w:tcPr>
                  <w:tcW w:w="1928" w:type="dxa"/>
                  <w:tcBorders>
                    <w:tl2br w:val="nil"/>
                    <w:tr2bl w:val="nil"/>
                  </w:tcBorders>
                  <w:vAlign w:val="center"/>
                </w:tcPr>
                <w:p w14:paraId="7151428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1,1-二氯乙烯</w:t>
                  </w:r>
                </w:p>
              </w:tc>
              <w:tc>
                <w:tcPr>
                  <w:tcW w:w="1673" w:type="dxa"/>
                  <w:tcBorders>
                    <w:tl2br w:val="nil"/>
                    <w:tr2bl w:val="nil"/>
                  </w:tcBorders>
                  <w:vAlign w:val="center"/>
                </w:tcPr>
                <w:p w14:paraId="20EFF70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75-35-4</w:t>
                  </w:r>
                </w:p>
              </w:tc>
              <w:tc>
                <w:tcPr>
                  <w:tcW w:w="1800" w:type="dxa"/>
                  <w:tcBorders>
                    <w:tl2br w:val="nil"/>
                    <w:tr2bl w:val="nil"/>
                  </w:tcBorders>
                  <w:vAlign w:val="center"/>
                </w:tcPr>
                <w:p w14:paraId="51CF0D6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695" w:type="dxa"/>
                  <w:tcBorders>
                    <w:tl2br w:val="nil"/>
                    <w:tr2bl w:val="nil"/>
                  </w:tcBorders>
                  <w:vAlign w:val="center"/>
                </w:tcPr>
                <w:p w14:paraId="10124B9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w:t>
                  </w:r>
                </w:p>
              </w:tc>
            </w:tr>
            <w:tr w14:paraId="5D0A9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2C94550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w:t>
                  </w:r>
                </w:p>
              </w:tc>
              <w:tc>
                <w:tcPr>
                  <w:tcW w:w="1928" w:type="dxa"/>
                  <w:tcBorders>
                    <w:tl2br w:val="nil"/>
                    <w:tr2bl w:val="nil"/>
                  </w:tcBorders>
                  <w:vAlign w:val="center"/>
                </w:tcPr>
                <w:p w14:paraId="5E097D6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顺-1,2-二氯乙烯</w:t>
                  </w:r>
                </w:p>
              </w:tc>
              <w:tc>
                <w:tcPr>
                  <w:tcW w:w="1673" w:type="dxa"/>
                  <w:tcBorders>
                    <w:tl2br w:val="nil"/>
                    <w:tr2bl w:val="nil"/>
                  </w:tcBorders>
                  <w:vAlign w:val="center"/>
                </w:tcPr>
                <w:p w14:paraId="1170BE1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156-59-2</w:t>
                  </w:r>
                </w:p>
              </w:tc>
              <w:tc>
                <w:tcPr>
                  <w:tcW w:w="1800" w:type="dxa"/>
                  <w:tcBorders>
                    <w:tl2br w:val="nil"/>
                    <w:tr2bl w:val="nil"/>
                  </w:tcBorders>
                  <w:vAlign w:val="center"/>
                </w:tcPr>
                <w:p w14:paraId="5F9D39B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66</w:t>
                  </w:r>
                </w:p>
              </w:tc>
              <w:tc>
                <w:tcPr>
                  <w:tcW w:w="1695" w:type="dxa"/>
                  <w:tcBorders>
                    <w:tl2br w:val="nil"/>
                    <w:tr2bl w:val="nil"/>
                  </w:tcBorders>
                  <w:vAlign w:val="center"/>
                </w:tcPr>
                <w:p w14:paraId="3F397F8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w:t>
                  </w:r>
                </w:p>
              </w:tc>
            </w:tr>
            <w:tr w14:paraId="64654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C48417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w:t>
                  </w:r>
                </w:p>
              </w:tc>
              <w:tc>
                <w:tcPr>
                  <w:tcW w:w="1928" w:type="dxa"/>
                  <w:tcBorders>
                    <w:tl2br w:val="nil"/>
                    <w:tr2bl w:val="nil"/>
                  </w:tcBorders>
                  <w:vAlign w:val="center"/>
                </w:tcPr>
                <w:p w14:paraId="5AEB8A7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反-1,2-二氯乙烯</w:t>
                  </w:r>
                </w:p>
              </w:tc>
              <w:tc>
                <w:tcPr>
                  <w:tcW w:w="1673" w:type="dxa"/>
                  <w:tcBorders>
                    <w:tl2br w:val="nil"/>
                    <w:tr2bl w:val="nil"/>
                  </w:tcBorders>
                  <w:vAlign w:val="center"/>
                </w:tcPr>
                <w:p w14:paraId="464368C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156-60-5</w:t>
                  </w:r>
                </w:p>
              </w:tc>
              <w:tc>
                <w:tcPr>
                  <w:tcW w:w="1800" w:type="dxa"/>
                  <w:tcBorders>
                    <w:tl2br w:val="nil"/>
                    <w:tr2bl w:val="nil"/>
                  </w:tcBorders>
                  <w:vAlign w:val="center"/>
                </w:tcPr>
                <w:p w14:paraId="100972C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c>
                <w:tcPr>
                  <w:tcW w:w="1695" w:type="dxa"/>
                  <w:tcBorders>
                    <w:tl2br w:val="nil"/>
                    <w:tr2bl w:val="nil"/>
                  </w:tcBorders>
                  <w:vAlign w:val="center"/>
                </w:tcPr>
                <w:p w14:paraId="1CE0FFF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31</w:t>
                  </w:r>
                </w:p>
              </w:tc>
            </w:tr>
            <w:tr w14:paraId="01848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091139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w:t>
                  </w:r>
                </w:p>
              </w:tc>
              <w:tc>
                <w:tcPr>
                  <w:tcW w:w="1928" w:type="dxa"/>
                  <w:tcBorders>
                    <w:tl2br w:val="nil"/>
                    <w:tr2bl w:val="nil"/>
                  </w:tcBorders>
                  <w:vAlign w:val="center"/>
                </w:tcPr>
                <w:p w14:paraId="440C241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二氯甲烷</w:t>
                  </w:r>
                </w:p>
              </w:tc>
              <w:tc>
                <w:tcPr>
                  <w:tcW w:w="1673" w:type="dxa"/>
                  <w:tcBorders>
                    <w:tl2br w:val="nil"/>
                    <w:tr2bl w:val="nil"/>
                  </w:tcBorders>
                  <w:vAlign w:val="center"/>
                </w:tcPr>
                <w:p w14:paraId="5093540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75-09-2</w:t>
                  </w:r>
                </w:p>
              </w:tc>
              <w:tc>
                <w:tcPr>
                  <w:tcW w:w="1800" w:type="dxa"/>
                  <w:tcBorders>
                    <w:tl2br w:val="nil"/>
                    <w:tr2bl w:val="nil"/>
                  </w:tcBorders>
                  <w:vAlign w:val="center"/>
                </w:tcPr>
                <w:p w14:paraId="5E2092F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94</w:t>
                  </w:r>
                </w:p>
              </w:tc>
              <w:tc>
                <w:tcPr>
                  <w:tcW w:w="1695" w:type="dxa"/>
                  <w:tcBorders>
                    <w:tl2br w:val="nil"/>
                    <w:tr2bl w:val="nil"/>
                  </w:tcBorders>
                  <w:vAlign w:val="center"/>
                </w:tcPr>
                <w:p w14:paraId="16DF138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300</w:t>
                  </w:r>
                </w:p>
              </w:tc>
            </w:tr>
            <w:tr w14:paraId="180BA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6C7F3D9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17</w:t>
                  </w:r>
                </w:p>
              </w:tc>
              <w:tc>
                <w:tcPr>
                  <w:tcW w:w="1928" w:type="dxa"/>
                  <w:tcBorders>
                    <w:tl2br w:val="nil"/>
                    <w:tr2bl w:val="nil"/>
                  </w:tcBorders>
                  <w:vAlign w:val="center"/>
                </w:tcPr>
                <w:p w14:paraId="2ED935C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1,2-二氯丙烷</w:t>
                  </w:r>
                </w:p>
              </w:tc>
              <w:tc>
                <w:tcPr>
                  <w:tcW w:w="1673" w:type="dxa"/>
                  <w:tcBorders>
                    <w:tl2br w:val="nil"/>
                    <w:tr2bl w:val="nil"/>
                  </w:tcBorders>
                  <w:vAlign w:val="center"/>
                </w:tcPr>
                <w:p w14:paraId="0D28A1E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78-87-5</w:t>
                  </w:r>
                </w:p>
              </w:tc>
              <w:tc>
                <w:tcPr>
                  <w:tcW w:w="1800" w:type="dxa"/>
                  <w:tcBorders>
                    <w:tl2br w:val="nil"/>
                    <w:tr2bl w:val="nil"/>
                  </w:tcBorders>
                  <w:vAlign w:val="center"/>
                </w:tcPr>
                <w:p w14:paraId="4CFEBB8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695" w:type="dxa"/>
                  <w:tcBorders>
                    <w:tl2br w:val="nil"/>
                    <w:tr2bl w:val="nil"/>
                  </w:tcBorders>
                  <w:vAlign w:val="center"/>
                </w:tcPr>
                <w:p w14:paraId="5DFD71F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14:paraId="51776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8D0B7E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18</w:t>
                  </w:r>
                </w:p>
              </w:tc>
              <w:tc>
                <w:tcPr>
                  <w:tcW w:w="1928" w:type="dxa"/>
                  <w:tcBorders>
                    <w:tl2br w:val="nil"/>
                    <w:tr2bl w:val="nil"/>
                  </w:tcBorders>
                  <w:vAlign w:val="center"/>
                </w:tcPr>
                <w:p w14:paraId="447CD66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1,1,1,2-四氯乙烷</w:t>
                  </w:r>
                </w:p>
              </w:tc>
              <w:tc>
                <w:tcPr>
                  <w:tcW w:w="1673" w:type="dxa"/>
                  <w:tcBorders>
                    <w:tl2br w:val="nil"/>
                    <w:tr2bl w:val="nil"/>
                  </w:tcBorders>
                  <w:vAlign w:val="center"/>
                </w:tcPr>
                <w:p w14:paraId="3B3EE7D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630-20-6</w:t>
                  </w:r>
                </w:p>
              </w:tc>
              <w:tc>
                <w:tcPr>
                  <w:tcW w:w="1800" w:type="dxa"/>
                  <w:tcBorders>
                    <w:tl2br w:val="nil"/>
                    <w:tr2bl w:val="nil"/>
                  </w:tcBorders>
                  <w:vAlign w:val="center"/>
                </w:tcPr>
                <w:p w14:paraId="17379CA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c>
                <w:tcPr>
                  <w:tcW w:w="1695" w:type="dxa"/>
                  <w:tcBorders>
                    <w:tl2br w:val="nil"/>
                    <w:tr2bl w:val="nil"/>
                  </w:tcBorders>
                  <w:vAlign w:val="center"/>
                </w:tcPr>
                <w:p w14:paraId="3F05FD6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r>
            <w:tr w14:paraId="7ECD9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142729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w:t>
                  </w:r>
                </w:p>
              </w:tc>
              <w:tc>
                <w:tcPr>
                  <w:tcW w:w="1928" w:type="dxa"/>
                  <w:tcBorders>
                    <w:tl2br w:val="nil"/>
                    <w:tr2bl w:val="nil"/>
                  </w:tcBorders>
                  <w:vAlign w:val="center"/>
                </w:tcPr>
                <w:p w14:paraId="51C624E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1,1,2,2-四氯乙烷</w:t>
                  </w:r>
                </w:p>
              </w:tc>
              <w:tc>
                <w:tcPr>
                  <w:tcW w:w="1673" w:type="dxa"/>
                  <w:tcBorders>
                    <w:tl2br w:val="nil"/>
                    <w:tr2bl w:val="nil"/>
                  </w:tcBorders>
                  <w:vAlign w:val="center"/>
                </w:tcPr>
                <w:p w14:paraId="6805DF2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79-34-5</w:t>
                  </w:r>
                </w:p>
              </w:tc>
              <w:tc>
                <w:tcPr>
                  <w:tcW w:w="1800" w:type="dxa"/>
                  <w:tcBorders>
                    <w:tl2br w:val="nil"/>
                    <w:tr2bl w:val="nil"/>
                  </w:tcBorders>
                  <w:vAlign w:val="center"/>
                </w:tcPr>
                <w:p w14:paraId="1589E8B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w:t>
                  </w:r>
                </w:p>
              </w:tc>
              <w:tc>
                <w:tcPr>
                  <w:tcW w:w="1695" w:type="dxa"/>
                  <w:tcBorders>
                    <w:tl2br w:val="nil"/>
                    <w:tr2bl w:val="nil"/>
                  </w:tcBorders>
                  <w:vAlign w:val="center"/>
                </w:tcPr>
                <w:p w14:paraId="3C04A24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w:t>
                  </w:r>
                </w:p>
              </w:tc>
            </w:tr>
            <w:tr w14:paraId="186C1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8AC24C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928" w:type="dxa"/>
                  <w:tcBorders>
                    <w:tl2br w:val="nil"/>
                    <w:tr2bl w:val="nil"/>
                  </w:tcBorders>
                  <w:vAlign w:val="center"/>
                </w:tcPr>
                <w:p w14:paraId="49E35D8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四氯乙烯</w:t>
                  </w:r>
                </w:p>
              </w:tc>
              <w:tc>
                <w:tcPr>
                  <w:tcW w:w="1673" w:type="dxa"/>
                  <w:tcBorders>
                    <w:tl2br w:val="nil"/>
                    <w:tr2bl w:val="nil"/>
                  </w:tcBorders>
                  <w:vAlign w:val="center"/>
                </w:tcPr>
                <w:p w14:paraId="14B75BF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127-18-4</w:t>
                  </w:r>
                </w:p>
              </w:tc>
              <w:tc>
                <w:tcPr>
                  <w:tcW w:w="1800" w:type="dxa"/>
                  <w:tcBorders>
                    <w:tl2br w:val="nil"/>
                    <w:tr2bl w:val="nil"/>
                  </w:tcBorders>
                  <w:vAlign w:val="center"/>
                </w:tcPr>
                <w:p w14:paraId="1FF4CC8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w:t>
                  </w:r>
                </w:p>
              </w:tc>
              <w:tc>
                <w:tcPr>
                  <w:tcW w:w="1695" w:type="dxa"/>
                  <w:tcBorders>
                    <w:tl2br w:val="nil"/>
                    <w:tr2bl w:val="nil"/>
                  </w:tcBorders>
                  <w:vAlign w:val="center"/>
                </w:tcPr>
                <w:p w14:paraId="11A8B1B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r>
            <w:tr w14:paraId="3FF27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6E8C90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w:t>
                  </w:r>
                </w:p>
              </w:tc>
              <w:tc>
                <w:tcPr>
                  <w:tcW w:w="1928" w:type="dxa"/>
                  <w:tcBorders>
                    <w:tl2br w:val="nil"/>
                    <w:tr2bl w:val="nil"/>
                  </w:tcBorders>
                  <w:vAlign w:val="center"/>
                </w:tcPr>
                <w:p w14:paraId="2B53469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1,1,1-三氯乙烷</w:t>
                  </w:r>
                </w:p>
              </w:tc>
              <w:tc>
                <w:tcPr>
                  <w:tcW w:w="1673" w:type="dxa"/>
                  <w:tcBorders>
                    <w:tl2br w:val="nil"/>
                    <w:tr2bl w:val="nil"/>
                  </w:tcBorders>
                  <w:vAlign w:val="center"/>
                </w:tcPr>
                <w:p w14:paraId="357926D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71-55-6</w:t>
                  </w:r>
                </w:p>
              </w:tc>
              <w:tc>
                <w:tcPr>
                  <w:tcW w:w="1800" w:type="dxa"/>
                  <w:tcBorders>
                    <w:tl2br w:val="nil"/>
                    <w:tr2bl w:val="nil"/>
                  </w:tcBorders>
                  <w:vAlign w:val="center"/>
                </w:tcPr>
                <w:p w14:paraId="1C45861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701</w:t>
                  </w:r>
                </w:p>
              </w:tc>
              <w:tc>
                <w:tcPr>
                  <w:tcW w:w="1695" w:type="dxa"/>
                  <w:tcBorders>
                    <w:tl2br w:val="nil"/>
                    <w:tr2bl w:val="nil"/>
                  </w:tcBorders>
                  <w:vAlign w:val="center"/>
                </w:tcPr>
                <w:p w14:paraId="358E66D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840</w:t>
                  </w:r>
                </w:p>
              </w:tc>
            </w:tr>
            <w:tr w14:paraId="7057D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48A642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22</w:t>
                  </w:r>
                </w:p>
              </w:tc>
              <w:tc>
                <w:tcPr>
                  <w:tcW w:w="1928" w:type="dxa"/>
                  <w:tcBorders>
                    <w:tl2br w:val="nil"/>
                    <w:tr2bl w:val="nil"/>
                  </w:tcBorders>
                  <w:vAlign w:val="center"/>
                </w:tcPr>
                <w:p w14:paraId="3F73884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1,1,2-三氯乙烷</w:t>
                  </w:r>
                </w:p>
              </w:tc>
              <w:tc>
                <w:tcPr>
                  <w:tcW w:w="1673" w:type="dxa"/>
                  <w:tcBorders>
                    <w:tl2br w:val="nil"/>
                    <w:tr2bl w:val="nil"/>
                  </w:tcBorders>
                  <w:vAlign w:val="center"/>
                </w:tcPr>
                <w:p w14:paraId="1C4D1C2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79-00-5</w:t>
                  </w:r>
                </w:p>
              </w:tc>
              <w:tc>
                <w:tcPr>
                  <w:tcW w:w="1800" w:type="dxa"/>
                  <w:tcBorders>
                    <w:tl2br w:val="nil"/>
                    <w:tr2bl w:val="nil"/>
                  </w:tcBorders>
                  <w:vAlign w:val="center"/>
                </w:tcPr>
                <w:p w14:paraId="7AB589F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0.6</w:t>
                  </w:r>
                </w:p>
              </w:tc>
              <w:tc>
                <w:tcPr>
                  <w:tcW w:w="1695" w:type="dxa"/>
                  <w:tcBorders>
                    <w:tl2br w:val="nil"/>
                    <w:tr2bl w:val="nil"/>
                  </w:tcBorders>
                  <w:vAlign w:val="center"/>
                </w:tcPr>
                <w:p w14:paraId="74459A2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14:paraId="31F7B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8C13B0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23</w:t>
                  </w:r>
                </w:p>
              </w:tc>
              <w:tc>
                <w:tcPr>
                  <w:tcW w:w="1928" w:type="dxa"/>
                  <w:tcBorders>
                    <w:tl2br w:val="nil"/>
                    <w:tr2bl w:val="nil"/>
                  </w:tcBorders>
                  <w:vAlign w:val="center"/>
                </w:tcPr>
                <w:p w14:paraId="527BC46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三氯乙烯、</w:t>
                  </w:r>
                </w:p>
              </w:tc>
              <w:tc>
                <w:tcPr>
                  <w:tcW w:w="1673" w:type="dxa"/>
                  <w:tcBorders>
                    <w:tl2br w:val="nil"/>
                    <w:tr2bl w:val="nil"/>
                  </w:tcBorders>
                  <w:vAlign w:val="center"/>
                </w:tcPr>
                <w:p w14:paraId="5B0080A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79-01-6</w:t>
                  </w:r>
                </w:p>
              </w:tc>
              <w:tc>
                <w:tcPr>
                  <w:tcW w:w="1800" w:type="dxa"/>
                  <w:tcBorders>
                    <w:tl2br w:val="nil"/>
                    <w:tr2bl w:val="nil"/>
                  </w:tcBorders>
                  <w:vAlign w:val="center"/>
                </w:tcPr>
                <w:p w14:paraId="264F9D1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0.7</w:t>
                  </w:r>
                </w:p>
              </w:tc>
              <w:tc>
                <w:tcPr>
                  <w:tcW w:w="1695" w:type="dxa"/>
                  <w:tcBorders>
                    <w:tl2br w:val="nil"/>
                    <w:tr2bl w:val="nil"/>
                  </w:tcBorders>
                  <w:vAlign w:val="center"/>
                </w:tcPr>
                <w:p w14:paraId="5911EEC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w:t>
                  </w:r>
                </w:p>
              </w:tc>
            </w:tr>
            <w:tr w14:paraId="5FE95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FADBF5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24</w:t>
                  </w:r>
                </w:p>
              </w:tc>
              <w:tc>
                <w:tcPr>
                  <w:tcW w:w="1928" w:type="dxa"/>
                  <w:tcBorders>
                    <w:tl2br w:val="nil"/>
                    <w:tr2bl w:val="nil"/>
                  </w:tcBorders>
                  <w:vAlign w:val="center"/>
                </w:tcPr>
                <w:p w14:paraId="4D5CAE9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1,2,3-三氯丙烷</w:t>
                  </w:r>
                </w:p>
              </w:tc>
              <w:tc>
                <w:tcPr>
                  <w:tcW w:w="1673" w:type="dxa"/>
                  <w:tcBorders>
                    <w:tl2br w:val="nil"/>
                    <w:tr2bl w:val="nil"/>
                  </w:tcBorders>
                  <w:vAlign w:val="center"/>
                </w:tcPr>
                <w:p w14:paraId="08E9F9F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96-18-4</w:t>
                  </w:r>
                </w:p>
              </w:tc>
              <w:tc>
                <w:tcPr>
                  <w:tcW w:w="1800" w:type="dxa"/>
                  <w:tcBorders>
                    <w:tl2br w:val="nil"/>
                    <w:tr2bl w:val="nil"/>
                  </w:tcBorders>
                  <w:vAlign w:val="center"/>
                </w:tcPr>
                <w:p w14:paraId="60DED51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0.05</w:t>
                  </w:r>
                </w:p>
              </w:tc>
              <w:tc>
                <w:tcPr>
                  <w:tcW w:w="1695" w:type="dxa"/>
                  <w:tcBorders>
                    <w:tl2br w:val="nil"/>
                    <w:tr2bl w:val="nil"/>
                  </w:tcBorders>
                  <w:vAlign w:val="center"/>
                </w:tcPr>
                <w:p w14:paraId="5EB3191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w:t>
                  </w:r>
                </w:p>
              </w:tc>
            </w:tr>
            <w:tr w14:paraId="0DACC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CECB6B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w:t>
                  </w:r>
                </w:p>
              </w:tc>
              <w:tc>
                <w:tcPr>
                  <w:tcW w:w="1928" w:type="dxa"/>
                  <w:tcBorders>
                    <w:tl2br w:val="nil"/>
                    <w:tr2bl w:val="nil"/>
                  </w:tcBorders>
                  <w:vAlign w:val="center"/>
                </w:tcPr>
                <w:p w14:paraId="650FA56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氯乙烯</w:t>
                  </w:r>
                </w:p>
              </w:tc>
              <w:tc>
                <w:tcPr>
                  <w:tcW w:w="1673" w:type="dxa"/>
                  <w:tcBorders>
                    <w:tl2br w:val="nil"/>
                    <w:tr2bl w:val="nil"/>
                  </w:tcBorders>
                  <w:vAlign w:val="center"/>
                </w:tcPr>
                <w:p w14:paraId="556541A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75-01-4</w:t>
                  </w:r>
                </w:p>
              </w:tc>
              <w:tc>
                <w:tcPr>
                  <w:tcW w:w="1800" w:type="dxa"/>
                  <w:tcBorders>
                    <w:tl2br w:val="nil"/>
                    <w:tr2bl w:val="nil"/>
                  </w:tcBorders>
                  <w:vAlign w:val="center"/>
                </w:tcPr>
                <w:p w14:paraId="456D51E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0.12</w:t>
                  </w:r>
                </w:p>
              </w:tc>
              <w:tc>
                <w:tcPr>
                  <w:tcW w:w="1695" w:type="dxa"/>
                  <w:tcBorders>
                    <w:tl2br w:val="nil"/>
                    <w:tr2bl w:val="nil"/>
                  </w:tcBorders>
                  <w:vAlign w:val="center"/>
                </w:tcPr>
                <w:p w14:paraId="755C3F9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r>
            <w:tr w14:paraId="7797C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9F78FD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c>
                <w:tcPr>
                  <w:tcW w:w="1928" w:type="dxa"/>
                  <w:tcBorders>
                    <w:tl2br w:val="nil"/>
                    <w:tr2bl w:val="nil"/>
                  </w:tcBorders>
                  <w:vAlign w:val="center"/>
                </w:tcPr>
                <w:p w14:paraId="2429A06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w:t>
                  </w:r>
                </w:p>
              </w:tc>
              <w:tc>
                <w:tcPr>
                  <w:tcW w:w="1673" w:type="dxa"/>
                  <w:tcBorders>
                    <w:tl2br w:val="nil"/>
                    <w:tr2bl w:val="nil"/>
                  </w:tcBorders>
                  <w:vAlign w:val="center"/>
                </w:tcPr>
                <w:p w14:paraId="2D45E13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75-01-4</w:t>
                  </w:r>
                </w:p>
              </w:tc>
              <w:tc>
                <w:tcPr>
                  <w:tcW w:w="1800" w:type="dxa"/>
                  <w:tcBorders>
                    <w:tl2br w:val="nil"/>
                    <w:tr2bl w:val="nil"/>
                  </w:tcBorders>
                  <w:vAlign w:val="center"/>
                </w:tcPr>
                <w:p w14:paraId="527EB83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695" w:type="dxa"/>
                  <w:tcBorders>
                    <w:tl2br w:val="nil"/>
                    <w:tr2bl w:val="nil"/>
                  </w:tcBorders>
                  <w:vAlign w:val="center"/>
                </w:tcPr>
                <w:p w14:paraId="30DDB81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r>
            <w:tr w14:paraId="6C6D1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54B16E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27</w:t>
                  </w:r>
                </w:p>
              </w:tc>
              <w:tc>
                <w:tcPr>
                  <w:tcW w:w="1928" w:type="dxa"/>
                  <w:tcBorders>
                    <w:tl2br w:val="nil"/>
                    <w:tr2bl w:val="nil"/>
                  </w:tcBorders>
                  <w:vAlign w:val="center"/>
                </w:tcPr>
                <w:p w14:paraId="60543BA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氯苯</w:t>
                  </w:r>
                </w:p>
              </w:tc>
              <w:tc>
                <w:tcPr>
                  <w:tcW w:w="1673" w:type="dxa"/>
                  <w:tcBorders>
                    <w:tl2br w:val="nil"/>
                    <w:tr2bl w:val="nil"/>
                  </w:tcBorders>
                  <w:vAlign w:val="center"/>
                </w:tcPr>
                <w:p w14:paraId="52E96C6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108-90-7</w:t>
                  </w:r>
                </w:p>
              </w:tc>
              <w:tc>
                <w:tcPr>
                  <w:tcW w:w="1800" w:type="dxa"/>
                  <w:tcBorders>
                    <w:tl2br w:val="nil"/>
                    <w:tr2bl w:val="nil"/>
                  </w:tcBorders>
                  <w:vAlign w:val="center"/>
                </w:tcPr>
                <w:p w14:paraId="7EE44CF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68</w:t>
                  </w:r>
                </w:p>
              </w:tc>
              <w:tc>
                <w:tcPr>
                  <w:tcW w:w="1695" w:type="dxa"/>
                  <w:tcBorders>
                    <w:tl2br w:val="nil"/>
                    <w:tr2bl w:val="nil"/>
                  </w:tcBorders>
                  <w:vAlign w:val="center"/>
                </w:tcPr>
                <w:p w14:paraId="19B584C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w:t>
                  </w:r>
                </w:p>
              </w:tc>
            </w:tr>
            <w:tr w14:paraId="02FFD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37541D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28</w:t>
                  </w:r>
                </w:p>
              </w:tc>
              <w:tc>
                <w:tcPr>
                  <w:tcW w:w="1928" w:type="dxa"/>
                  <w:tcBorders>
                    <w:tl2br w:val="nil"/>
                    <w:tr2bl w:val="nil"/>
                  </w:tcBorders>
                  <w:vAlign w:val="center"/>
                </w:tcPr>
                <w:p w14:paraId="21D05BE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1,2-二氯苯</w:t>
                  </w:r>
                </w:p>
              </w:tc>
              <w:tc>
                <w:tcPr>
                  <w:tcW w:w="1673" w:type="dxa"/>
                  <w:tcBorders>
                    <w:tl2br w:val="nil"/>
                    <w:tr2bl w:val="nil"/>
                  </w:tcBorders>
                  <w:vAlign w:val="center"/>
                </w:tcPr>
                <w:p w14:paraId="3FECE85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95-50-1</w:t>
                  </w:r>
                </w:p>
              </w:tc>
              <w:tc>
                <w:tcPr>
                  <w:tcW w:w="1800" w:type="dxa"/>
                  <w:tcBorders>
                    <w:tl2br w:val="nil"/>
                    <w:tr2bl w:val="nil"/>
                  </w:tcBorders>
                  <w:vAlign w:val="center"/>
                </w:tcPr>
                <w:p w14:paraId="704B875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560</w:t>
                  </w:r>
                </w:p>
              </w:tc>
              <w:tc>
                <w:tcPr>
                  <w:tcW w:w="1695" w:type="dxa"/>
                  <w:tcBorders>
                    <w:tl2br w:val="nil"/>
                    <w:tr2bl w:val="nil"/>
                  </w:tcBorders>
                  <w:vAlign w:val="center"/>
                </w:tcPr>
                <w:p w14:paraId="1343670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560</w:t>
                  </w:r>
                </w:p>
              </w:tc>
            </w:tr>
            <w:tr w14:paraId="7102D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2BDD068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29</w:t>
                  </w:r>
                </w:p>
              </w:tc>
              <w:tc>
                <w:tcPr>
                  <w:tcW w:w="1928" w:type="dxa"/>
                  <w:tcBorders>
                    <w:tl2br w:val="nil"/>
                    <w:tr2bl w:val="nil"/>
                  </w:tcBorders>
                  <w:vAlign w:val="center"/>
                </w:tcPr>
                <w:p w14:paraId="5632792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1,4-二氯苯</w:t>
                  </w:r>
                </w:p>
              </w:tc>
              <w:tc>
                <w:tcPr>
                  <w:tcW w:w="1673" w:type="dxa"/>
                  <w:tcBorders>
                    <w:tl2br w:val="nil"/>
                    <w:tr2bl w:val="nil"/>
                  </w:tcBorders>
                  <w:vAlign w:val="center"/>
                </w:tcPr>
                <w:p w14:paraId="1A008EC0">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106-46-7</w:t>
                  </w:r>
                </w:p>
              </w:tc>
              <w:tc>
                <w:tcPr>
                  <w:tcW w:w="1800" w:type="dxa"/>
                  <w:tcBorders>
                    <w:tl2br w:val="nil"/>
                    <w:tr2bl w:val="nil"/>
                  </w:tcBorders>
                  <w:vAlign w:val="center"/>
                </w:tcPr>
                <w:p w14:paraId="4579E04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w:t>
                  </w:r>
                </w:p>
              </w:tc>
              <w:tc>
                <w:tcPr>
                  <w:tcW w:w="1695" w:type="dxa"/>
                  <w:tcBorders>
                    <w:tl2br w:val="nil"/>
                    <w:tr2bl w:val="nil"/>
                  </w:tcBorders>
                  <w:vAlign w:val="center"/>
                </w:tcPr>
                <w:p w14:paraId="5CD11EB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w:t>
                  </w:r>
                </w:p>
              </w:tc>
            </w:tr>
            <w:tr w14:paraId="12EC6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12221BD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w:t>
                  </w:r>
                </w:p>
              </w:tc>
              <w:tc>
                <w:tcPr>
                  <w:tcW w:w="1928" w:type="dxa"/>
                  <w:tcBorders>
                    <w:tl2br w:val="nil"/>
                    <w:tr2bl w:val="nil"/>
                  </w:tcBorders>
                  <w:vAlign w:val="center"/>
                </w:tcPr>
                <w:p w14:paraId="5F8C813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乙苯</w:t>
                  </w:r>
                </w:p>
              </w:tc>
              <w:tc>
                <w:tcPr>
                  <w:tcW w:w="1673" w:type="dxa"/>
                  <w:tcBorders>
                    <w:tl2br w:val="nil"/>
                    <w:tr2bl w:val="nil"/>
                  </w:tcBorders>
                  <w:vAlign w:val="center"/>
                </w:tcPr>
                <w:p w14:paraId="17E6E15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100-41-4</w:t>
                  </w:r>
                </w:p>
              </w:tc>
              <w:tc>
                <w:tcPr>
                  <w:tcW w:w="1800" w:type="dxa"/>
                  <w:tcBorders>
                    <w:tl2br w:val="nil"/>
                    <w:tr2bl w:val="nil"/>
                  </w:tcBorders>
                  <w:vAlign w:val="center"/>
                </w:tcPr>
                <w:p w14:paraId="6128837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7.2</w:t>
                  </w:r>
                </w:p>
              </w:tc>
              <w:tc>
                <w:tcPr>
                  <w:tcW w:w="1695" w:type="dxa"/>
                  <w:tcBorders>
                    <w:tl2br w:val="nil"/>
                    <w:tr2bl w:val="nil"/>
                  </w:tcBorders>
                  <w:vAlign w:val="center"/>
                </w:tcPr>
                <w:p w14:paraId="47625D2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72</w:t>
                  </w:r>
                </w:p>
              </w:tc>
            </w:tr>
            <w:tr w14:paraId="0A154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12AC233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31</w:t>
                  </w:r>
                </w:p>
              </w:tc>
              <w:tc>
                <w:tcPr>
                  <w:tcW w:w="1928" w:type="dxa"/>
                  <w:tcBorders>
                    <w:tl2br w:val="nil"/>
                    <w:tr2bl w:val="nil"/>
                  </w:tcBorders>
                  <w:vAlign w:val="center"/>
                </w:tcPr>
                <w:p w14:paraId="271B4D8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苯乙烯</w:t>
                  </w:r>
                </w:p>
              </w:tc>
              <w:tc>
                <w:tcPr>
                  <w:tcW w:w="1673" w:type="dxa"/>
                  <w:tcBorders>
                    <w:tl2br w:val="nil"/>
                    <w:tr2bl w:val="nil"/>
                  </w:tcBorders>
                  <w:vAlign w:val="center"/>
                </w:tcPr>
                <w:p w14:paraId="01FE480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100-42-5</w:t>
                  </w:r>
                </w:p>
              </w:tc>
              <w:tc>
                <w:tcPr>
                  <w:tcW w:w="1800" w:type="dxa"/>
                  <w:tcBorders>
                    <w:tl2br w:val="nil"/>
                    <w:tr2bl w:val="nil"/>
                  </w:tcBorders>
                  <w:vAlign w:val="center"/>
                </w:tcPr>
                <w:p w14:paraId="1EC7F38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1290</w:t>
                  </w:r>
                </w:p>
              </w:tc>
              <w:tc>
                <w:tcPr>
                  <w:tcW w:w="1695" w:type="dxa"/>
                  <w:tcBorders>
                    <w:tl2br w:val="nil"/>
                    <w:tr2bl w:val="nil"/>
                  </w:tcBorders>
                  <w:vAlign w:val="center"/>
                </w:tcPr>
                <w:p w14:paraId="0D0390D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1290</w:t>
                  </w:r>
                </w:p>
              </w:tc>
            </w:tr>
            <w:tr w14:paraId="2BD11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3910E1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32</w:t>
                  </w:r>
                </w:p>
              </w:tc>
              <w:tc>
                <w:tcPr>
                  <w:tcW w:w="1928" w:type="dxa"/>
                  <w:tcBorders>
                    <w:tl2br w:val="nil"/>
                    <w:tr2bl w:val="nil"/>
                  </w:tcBorders>
                  <w:vAlign w:val="center"/>
                </w:tcPr>
                <w:p w14:paraId="7B6C6A3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甲苯</w:t>
                  </w:r>
                </w:p>
              </w:tc>
              <w:tc>
                <w:tcPr>
                  <w:tcW w:w="1673" w:type="dxa"/>
                  <w:tcBorders>
                    <w:tl2br w:val="nil"/>
                    <w:tr2bl w:val="nil"/>
                  </w:tcBorders>
                  <w:vAlign w:val="center"/>
                </w:tcPr>
                <w:p w14:paraId="0044525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108-88-3</w:t>
                  </w:r>
                </w:p>
              </w:tc>
              <w:tc>
                <w:tcPr>
                  <w:tcW w:w="1800" w:type="dxa"/>
                  <w:tcBorders>
                    <w:tl2br w:val="nil"/>
                    <w:tr2bl w:val="nil"/>
                  </w:tcBorders>
                  <w:vAlign w:val="center"/>
                </w:tcPr>
                <w:p w14:paraId="7FCA329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1200</w:t>
                  </w:r>
                </w:p>
              </w:tc>
              <w:tc>
                <w:tcPr>
                  <w:tcW w:w="1695" w:type="dxa"/>
                  <w:tcBorders>
                    <w:tl2br w:val="nil"/>
                    <w:tr2bl w:val="nil"/>
                  </w:tcBorders>
                  <w:vAlign w:val="center"/>
                </w:tcPr>
                <w:p w14:paraId="6735A51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1200</w:t>
                  </w:r>
                </w:p>
              </w:tc>
            </w:tr>
            <w:tr w14:paraId="378E8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70D007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33</w:t>
                  </w:r>
                </w:p>
              </w:tc>
              <w:tc>
                <w:tcPr>
                  <w:tcW w:w="1928" w:type="dxa"/>
                  <w:tcBorders>
                    <w:tl2br w:val="nil"/>
                    <w:tr2bl w:val="nil"/>
                  </w:tcBorders>
                  <w:vAlign w:val="center"/>
                </w:tcPr>
                <w:p w14:paraId="1D2801D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间二甲苯+对二甲苯</w:t>
                  </w:r>
                </w:p>
              </w:tc>
              <w:tc>
                <w:tcPr>
                  <w:tcW w:w="1673" w:type="dxa"/>
                  <w:tcBorders>
                    <w:tl2br w:val="nil"/>
                    <w:tr2bl w:val="nil"/>
                  </w:tcBorders>
                  <w:vAlign w:val="center"/>
                </w:tcPr>
                <w:p w14:paraId="140835A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108-38-3，106-42-3</w:t>
                  </w:r>
                </w:p>
              </w:tc>
              <w:tc>
                <w:tcPr>
                  <w:tcW w:w="1800" w:type="dxa"/>
                  <w:tcBorders>
                    <w:tl2br w:val="nil"/>
                    <w:tr2bl w:val="nil"/>
                  </w:tcBorders>
                  <w:vAlign w:val="center"/>
                </w:tcPr>
                <w:p w14:paraId="3E0AD95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163</w:t>
                  </w:r>
                </w:p>
              </w:tc>
              <w:tc>
                <w:tcPr>
                  <w:tcW w:w="1695" w:type="dxa"/>
                  <w:tcBorders>
                    <w:tl2br w:val="nil"/>
                    <w:tr2bl w:val="nil"/>
                  </w:tcBorders>
                  <w:vAlign w:val="center"/>
                </w:tcPr>
                <w:p w14:paraId="243C1E4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500</w:t>
                  </w:r>
                </w:p>
              </w:tc>
            </w:tr>
            <w:tr w14:paraId="1309B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2D31DB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c>
                <w:tcPr>
                  <w:tcW w:w="1928" w:type="dxa"/>
                  <w:tcBorders>
                    <w:tl2br w:val="nil"/>
                    <w:tr2bl w:val="nil"/>
                  </w:tcBorders>
                  <w:vAlign w:val="center"/>
                </w:tcPr>
                <w:p w14:paraId="7D327F1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邻二甲苯</w:t>
                  </w:r>
                </w:p>
              </w:tc>
              <w:tc>
                <w:tcPr>
                  <w:tcW w:w="1673" w:type="dxa"/>
                  <w:tcBorders>
                    <w:tl2br w:val="nil"/>
                    <w:tr2bl w:val="nil"/>
                  </w:tcBorders>
                  <w:vAlign w:val="center"/>
                </w:tcPr>
                <w:p w14:paraId="4A61C6B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95-47-6</w:t>
                  </w:r>
                </w:p>
              </w:tc>
              <w:tc>
                <w:tcPr>
                  <w:tcW w:w="1800" w:type="dxa"/>
                  <w:tcBorders>
                    <w:tl2br w:val="nil"/>
                    <w:tr2bl w:val="nil"/>
                  </w:tcBorders>
                  <w:vAlign w:val="center"/>
                </w:tcPr>
                <w:p w14:paraId="1976CB7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222</w:t>
                  </w:r>
                </w:p>
              </w:tc>
              <w:tc>
                <w:tcPr>
                  <w:tcW w:w="1695" w:type="dxa"/>
                  <w:tcBorders>
                    <w:tl2br w:val="nil"/>
                    <w:tr2bl w:val="nil"/>
                  </w:tcBorders>
                  <w:vAlign w:val="center"/>
                </w:tcPr>
                <w:p w14:paraId="5D97C4A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640</w:t>
                  </w:r>
                </w:p>
              </w:tc>
            </w:tr>
            <w:tr w14:paraId="3202F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14:paraId="04BBC59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半挥发性有机物</w:t>
                  </w:r>
                </w:p>
              </w:tc>
            </w:tr>
            <w:tr w14:paraId="40536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3C29A0D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35</w:t>
                  </w:r>
                </w:p>
              </w:tc>
              <w:tc>
                <w:tcPr>
                  <w:tcW w:w="1928" w:type="dxa"/>
                  <w:tcBorders>
                    <w:tl2br w:val="nil"/>
                    <w:tr2bl w:val="nil"/>
                  </w:tcBorders>
                  <w:vAlign w:val="center"/>
                </w:tcPr>
                <w:p w14:paraId="6347170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硝基苯</w:t>
                  </w:r>
                </w:p>
              </w:tc>
              <w:tc>
                <w:tcPr>
                  <w:tcW w:w="1673" w:type="dxa"/>
                  <w:tcBorders>
                    <w:tl2br w:val="nil"/>
                    <w:tr2bl w:val="nil"/>
                  </w:tcBorders>
                  <w:vAlign w:val="center"/>
                </w:tcPr>
                <w:p w14:paraId="5BA7B52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98-95-3</w:t>
                  </w:r>
                </w:p>
              </w:tc>
              <w:tc>
                <w:tcPr>
                  <w:tcW w:w="1800" w:type="dxa"/>
                  <w:tcBorders>
                    <w:tl2br w:val="nil"/>
                    <w:tr2bl w:val="nil"/>
                  </w:tcBorders>
                  <w:vAlign w:val="center"/>
                </w:tcPr>
                <w:p w14:paraId="0DDAE97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c>
                <w:tcPr>
                  <w:tcW w:w="1695" w:type="dxa"/>
                  <w:tcBorders>
                    <w:tl2br w:val="nil"/>
                    <w:tr2bl w:val="nil"/>
                  </w:tcBorders>
                  <w:vAlign w:val="center"/>
                </w:tcPr>
                <w:p w14:paraId="0A21F4A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190</w:t>
                  </w:r>
                </w:p>
              </w:tc>
            </w:tr>
            <w:tr w14:paraId="54705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490791D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36</w:t>
                  </w:r>
                </w:p>
              </w:tc>
              <w:tc>
                <w:tcPr>
                  <w:tcW w:w="1928" w:type="dxa"/>
                  <w:tcBorders>
                    <w:tl2br w:val="nil"/>
                    <w:tr2bl w:val="nil"/>
                  </w:tcBorders>
                  <w:vAlign w:val="center"/>
                </w:tcPr>
                <w:p w14:paraId="6CC727D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苯胺</w:t>
                  </w:r>
                </w:p>
              </w:tc>
              <w:tc>
                <w:tcPr>
                  <w:tcW w:w="1673" w:type="dxa"/>
                  <w:tcBorders>
                    <w:tl2br w:val="nil"/>
                    <w:tr2bl w:val="nil"/>
                  </w:tcBorders>
                  <w:vAlign w:val="center"/>
                </w:tcPr>
                <w:p w14:paraId="0DE1C87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62-53-3</w:t>
                  </w:r>
                </w:p>
              </w:tc>
              <w:tc>
                <w:tcPr>
                  <w:tcW w:w="1800" w:type="dxa"/>
                  <w:tcBorders>
                    <w:tl2br w:val="nil"/>
                    <w:tr2bl w:val="nil"/>
                  </w:tcBorders>
                  <w:vAlign w:val="center"/>
                </w:tcPr>
                <w:p w14:paraId="5517D02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92</w:t>
                  </w:r>
                </w:p>
              </w:tc>
              <w:tc>
                <w:tcPr>
                  <w:tcW w:w="1695" w:type="dxa"/>
                  <w:tcBorders>
                    <w:tl2br w:val="nil"/>
                    <w:tr2bl w:val="nil"/>
                  </w:tcBorders>
                  <w:vAlign w:val="center"/>
                </w:tcPr>
                <w:p w14:paraId="2F47F84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211</w:t>
                  </w:r>
                </w:p>
              </w:tc>
            </w:tr>
            <w:tr w14:paraId="04F15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21B3DA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37</w:t>
                  </w:r>
                </w:p>
              </w:tc>
              <w:tc>
                <w:tcPr>
                  <w:tcW w:w="1928" w:type="dxa"/>
                  <w:tcBorders>
                    <w:tl2br w:val="nil"/>
                    <w:tr2bl w:val="nil"/>
                  </w:tcBorders>
                  <w:vAlign w:val="center"/>
                </w:tcPr>
                <w:p w14:paraId="3FB50DE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2-氯酚</w:t>
                  </w:r>
                </w:p>
              </w:tc>
              <w:tc>
                <w:tcPr>
                  <w:tcW w:w="1673" w:type="dxa"/>
                  <w:tcBorders>
                    <w:tl2br w:val="nil"/>
                    <w:tr2bl w:val="nil"/>
                  </w:tcBorders>
                  <w:vAlign w:val="center"/>
                </w:tcPr>
                <w:p w14:paraId="2E57F8D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95-57-8</w:t>
                  </w:r>
                </w:p>
              </w:tc>
              <w:tc>
                <w:tcPr>
                  <w:tcW w:w="1800" w:type="dxa"/>
                  <w:tcBorders>
                    <w:tl2br w:val="nil"/>
                    <w:tr2bl w:val="nil"/>
                  </w:tcBorders>
                  <w:vAlign w:val="center"/>
                </w:tcPr>
                <w:p w14:paraId="418DD9A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250</w:t>
                  </w:r>
                </w:p>
              </w:tc>
              <w:tc>
                <w:tcPr>
                  <w:tcW w:w="1695" w:type="dxa"/>
                  <w:tcBorders>
                    <w:tl2br w:val="nil"/>
                    <w:tr2bl w:val="nil"/>
                  </w:tcBorders>
                  <w:vAlign w:val="center"/>
                </w:tcPr>
                <w:p w14:paraId="2D1820A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500</w:t>
                  </w:r>
                </w:p>
              </w:tc>
            </w:tr>
            <w:tr w14:paraId="4E3DE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CA9129D">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38</w:t>
                  </w:r>
                </w:p>
              </w:tc>
              <w:tc>
                <w:tcPr>
                  <w:tcW w:w="1928" w:type="dxa"/>
                  <w:tcBorders>
                    <w:tl2br w:val="nil"/>
                    <w:tr2bl w:val="nil"/>
                  </w:tcBorders>
                  <w:vAlign w:val="center"/>
                </w:tcPr>
                <w:p w14:paraId="0E22A5E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苯并[a]蒽</w:t>
                  </w:r>
                </w:p>
              </w:tc>
              <w:tc>
                <w:tcPr>
                  <w:tcW w:w="1673" w:type="dxa"/>
                  <w:tcBorders>
                    <w:tl2br w:val="nil"/>
                    <w:tr2bl w:val="nil"/>
                  </w:tcBorders>
                  <w:vAlign w:val="center"/>
                </w:tcPr>
                <w:p w14:paraId="7EE4F91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56-55-3</w:t>
                  </w:r>
                </w:p>
              </w:tc>
              <w:tc>
                <w:tcPr>
                  <w:tcW w:w="1800" w:type="dxa"/>
                  <w:tcBorders>
                    <w:tl2br w:val="nil"/>
                    <w:tr2bl w:val="nil"/>
                  </w:tcBorders>
                  <w:vAlign w:val="center"/>
                </w:tcPr>
                <w:p w14:paraId="0900D01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l2br w:val="nil"/>
                    <w:tr2bl w:val="nil"/>
                  </w:tcBorders>
                  <w:vAlign w:val="center"/>
                </w:tcPr>
                <w:p w14:paraId="122645D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14:paraId="64F11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25EA04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39</w:t>
                  </w:r>
                </w:p>
              </w:tc>
              <w:tc>
                <w:tcPr>
                  <w:tcW w:w="1928" w:type="dxa"/>
                  <w:tcBorders>
                    <w:tl2br w:val="nil"/>
                    <w:tr2bl w:val="nil"/>
                  </w:tcBorders>
                  <w:vAlign w:val="center"/>
                </w:tcPr>
                <w:p w14:paraId="325F4081">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苯并[a]芘</w:t>
                  </w:r>
                </w:p>
              </w:tc>
              <w:tc>
                <w:tcPr>
                  <w:tcW w:w="1673" w:type="dxa"/>
                  <w:tcBorders>
                    <w:tl2br w:val="nil"/>
                    <w:tr2bl w:val="nil"/>
                  </w:tcBorders>
                  <w:vAlign w:val="center"/>
                </w:tcPr>
                <w:p w14:paraId="72E7480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50-32-8</w:t>
                  </w:r>
                </w:p>
              </w:tc>
              <w:tc>
                <w:tcPr>
                  <w:tcW w:w="1800" w:type="dxa"/>
                  <w:tcBorders>
                    <w:tl2br w:val="nil"/>
                    <w:tr2bl w:val="nil"/>
                  </w:tcBorders>
                  <w:vAlign w:val="center"/>
                </w:tcPr>
                <w:p w14:paraId="5985E48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0.55</w:t>
                  </w:r>
                </w:p>
              </w:tc>
              <w:tc>
                <w:tcPr>
                  <w:tcW w:w="1695" w:type="dxa"/>
                  <w:tcBorders>
                    <w:tl2br w:val="nil"/>
                    <w:tr2bl w:val="nil"/>
                  </w:tcBorders>
                  <w:vAlign w:val="center"/>
                </w:tcPr>
                <w:p w14:paraId="1950FE2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14:paraId="6E2F9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79F5349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w:t>
                  </w:r>
                </w:p>
              </w:tc>
              <w:tc>
                <w:tcPr>
                  <w:tcW w:w="1928" w:type="dxa"/>
                  <w:tcBorders>
                    <w:tl2br w:val="nil"/>
                    <w:tr2bl w:val="nil"/>
                  </w:tcBorders>
                  <w:vAlign w:val="center"/>
                </w:tcPr>
                <w:p w14:paraId="18A4B94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苯并[b]荧蒽</w:t>
                  </w:r>
                </w:p>
              </w:tc>
              <w:tc>
                <w:tcPr>
                  <w:tcW w:w="1673" w:type="dxa"/>
                  <w:tcBorders>
                    <w:tl2br w:val="nil"/>
                    <w:tr2bl w:val="nil"/>
                  </w:tcBorders>
                  <w:vAlign w:val="center"/>
                </w:tcPr>
                <w:p w14:paraId="75D9502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205-99-2</w:t>
                  </w:r>
                </w:p>
              </w:tc>
              <w:tc>
                <w:tcPr>
                  <w:tcW w:w="1800" w:type="dxa"/>
                  <w:tcBorders>
                    <w:tl2br w:val="nil"/>
                    <w:tr2bl w:val="nil"/>
                  </w:tcBorders>
                  <w:vAlign w:val="center"/>
                </w:tcPr>
                <w:p w14:paraId="3E0C469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l2br w:val="nil"/>
                    <w:tr2bl w:val="nil"/>
                  </w:tcBorders>
                  <w:vAlign w:val="center"/>
                </w:tcPr>
                <w:p w14:paraId="15816A4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14:paraId="397EE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1704B67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41</w:t>
                  </w:r>
                </w:p>
              </w:tc>
              <w:tc>
                <w:tcPr>
                  <w:tcW w:w="1928" w:type="dxa"/>
                  <w:tcBorders>
                    <w:tl2br w:val="nil"/>
                    <w:tr2bl w:val="nil"/>
                  </w:tcBorders>
                  <w:vAlign w:val="center"/>
                </w:tcPr>
                <w:p w14:paraId="51C413F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苯并[k]荧蒽</w:t>
                  </w:r>
                </w:p>
              </w:tc>
              <w:tc>
                <w:tcPr>
                  <w:tcW w:w="1673" w:type="dxa"/>
                  <w:tcBorders>
                    <w:tl2br w:val="nil"/>
                    <w:tr2bl w:val="nil"/>
                  </w:tcBorders>
                  <w:vAlign w:val="center"/>
                </w:tcPr>
                <w:p w14:paraId="0E036C38">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207-08-9</w:t>
                  </w:r>
                </w:p>
              </w:tc>
              <w:tc>
                <w:tcPr>
                  <w:tcW w:w="1800" w:type="dxa"/>
                  <w:tcBorders>
                    <w:tl2br w:val="nil"/>
                    <w:tr2bl w:val="nil"/>
                  </w:tcBorders>
                  <w:vAlign w:val="center"/>
                </w:tcPr>
                <w:p w14:paraId="7D15E28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l2br w:val="nil"/>
                    <w:tr2bl w:val="nil"/>
                  </w:tcBorders>
                  <w:vAlign w:val="center"/>
                </w:tcPr>
                <w:p w14:paraId="0AC3603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550</w:t>
                  </w:r>
                </w:p>
              </w:tc>
            </w:tr>
            <w:tr w14:paraId="0EF30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1945E6B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42</w:t>
                  </w:r>
                </w:p>
              </w:tc>
              <w:tc>
                <w:tcPr>
                  <w:tcW w:w="1928" w:type="dxa"/>
                  <w:tcBorders>
                    <w:tl2br w:val="nil"/>
                    <w:tr2bl w:val="nil"/>
                  </w:tcBorders>
                  <w:vAlign w:val="center"/>
                </w:tcPr>
                <w:p w14:paraId="0027176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䓛</w:t>
                  </w:r>
                </w:p>
              </w:tc>
              <w:tc>
                <w:tcPr>
                  <w:tcW w:w="1673" w:type="dxa"/>
                  <w:tcBorders>
                    <w:tl2br w:val="nil"/>
                    <w:tr2bl w:val="nil"/>
                  </w:tcBorders>
                  <w:vAlign w:val="center"/>
                </w:tcPr>
                <w:p w14:paraId="0801923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218-01-9</w:t>
                  </w:r>
                </w:p>
              </w:tc>
              <w:tc>
                <w:tcPr>
                  <w:tcW w:w="1800" w:type="dxa"/>
                  <w:tcBorders>
                    <w:tl2br w:val="nil"/>
                    <w:tr2bl w:val="nil"/>
                  </w:tcBorders>
                  <w:vAlign w:val="center"/>
                </w:tcPr>
                <w:p w14:paraId="2EC7BF2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490</w:t>
                  </w:r>
                </w:p>
              </w:tc>
              <w:tc>
                <w:tcPr>
                  <w:tcW w:w="1695" w:type="dxa"/>
                  <w:tcBorders>
                    <w:tl2br w:val="nil"/>
                    <w:tr2bl w:val="nil"/>
                  </w:tcBorders>
                  <w:vAlign w:val="center"/>
                </w:tcPr>
                <w:p w14:paraId="10DF57D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4900</w:t>
                  </w:r>
                </w:p>
              </w:tc>
            </w:tr>
            <w:tr w14:paraId="675B8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FA5FE35">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43</w:t>
                  </w:r>
                </w:p>
              </w:tc>
              <w:tc>
                <w:tcPr>
                  <w:tcW w:w="1928" w:type="dxa"/>
                  <w:tcBorders>
                    <w:tl2br w:val="nil"/>
                    <w:tr2bl w:val="nil"/>
                  </w:tcBorders>
                  <w:vAlign w:val="center"/>
                </w:tcPr>
                <w:p w14:paraId="7F267BA4">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二苯并[a,h]蒽</w:t>
                  </w:r>
                </w:p>
              </w:tc>
              <w:tc>
                <w:tcPr>
                  <w:tcW w:w="1673" w:type="dxa"/>
                  <w:tcBorders>
                    <w:tl2br w:val="nil"/>
                    <w:tr2bl w:val="nil"/>
                  </w:tcBorders>
                  <w:vAlign w:val="center"/>
                </w:tcPr>
                <w:p w14:paraId="396F9FF3">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53-70-3</w:t>
                  </w:r>
                </w:p>
              </w:tc>
              <w:tc>
                <w:tcPr>
                  <w:tcW w:w="1800" w:type="dxa"/>
                  <w:tcBorders>
                    <w:tl2br w:val="nil"/>
                    <w:tr2bl w:val="nil"/>
                  </w:tcBorders>
                  <w:vAlign w:val="center"/>
                </w:tcPr>
                <w:p w14:paraId="3E6195FB">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0.55</w:t>
                  </w:r>
                </w:p>
              </w:tc>
              <w:tc>
                <w:tcPr>
                  <w:tcW w:w="1695" w:type="dxa"/>
                  <w:tcBorders>
                    <w:tl2br w:val="nil"/>
                    <w:tr2bl w:val="nil"/>
                  </w:tcBorders>
                  <w:vAlign w:val="center"/>
                </w:tcPr>
                <w:p w14:paraId="2D943F8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14:paraId="689F0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0B9AAF7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44</w:t>
                  </w:r>
                </w:p>
              </w:tc>
              <w:tc>
                <w:tcPr>
                  <w:tcW w:w="1928" w:type="dxa"/>
                  <w:tcBorders>
                    <w:tl2br w:val="nil"/>
                    <w:tr2bl w:val="nil"/>
                  </w:tcBorders>
                  <w:vAlign w:val="center"/>
                </w:tcPr>
                <w:p w14:paraId="1A51BD4F">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茚并[1,2,3-cd]芘</w:t>
                  </w:r>
                </w:p>
              </w:tc>
              <w:tc>
                <w:tcPr>
                  <w:tcW w:w="1673" w:type="dxa"/>
                  <w:tcBorders>
                    <w:tl2br w:val="nil"/>
                    <w:tr2bl w:val="nil"/>
                  </w:tcBorders>
                  <w:vAlign w:val="center"/>
                </w:tcPr>
                <w:p w14:paraId="4E84C437">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193-39-5</w:t>
                  </w:r>
                </w:p>
              </w:tc>
              <w:tc>
                <w:tcPr>
                  <w:tcW w:w="1800" w:type="dxa"/>
                  <w:tcBorders>
                    <w:tl2br w:val="nil"/>
                    <w:tr2bl w:val="nil"/>
                  </w:tcBorders>
                  <w:vAlign w:val="center"/>
                </w:tcPr>
                <w:p w14:paraId="25675C92">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l2br w:val="nil"/>
                    <w:tr2bl w:val="nil"/>
                  </w:tcBorders>
                  <w:vAlign w:val="center"/>
                </w:tcPr>
                <w:p w14:paraId="31AD729C">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14:paraId="78458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14:paraId="5BAC894A">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45</w:t>
                  </w:r>
                </w:p>
              </w:tc>
              <w:tc>
                <w:tcPr>
                  <w:tcW w:w="1928" w:type="dxa"/>
                  <w:tcBorders>
                    <w:tl2br w:val="nil"/>
                    <w:tr2bl w:val="nil"/>
                  </w:tcBorders>
                  <w:vAlign w:val="center"/>
                </w:tcPr>
                <w:p w14:paraId="2E827A2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萘</w:t>
                  </w:r>
                </w:p>
              </w:tc>
              <w:tc>
                <w:tcPr>
                  <w:tcW w:w="1673" w:type="dxa"/>
                  <w:tcBorders>
                    <w:tl2br w:val="nil"/>
                    <w:tr2bl w:val="nil"/>
                  </w:tcBorders>
                  <w:vAlign w:val="center"/>
                </w:tcPr>
                <w:p w14:paraId="714CDB76">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91-20-3</w:t>
                  </w:r>
                </w:p>
              </w:tc>
              <w:tc>
                <w:tcPr>
                  <w:tcW w:w="1800" w:type="dxa"/>
                  <w:tcBorders>
                    <w:tl2br w:val="nil"/>
                    <w:tr2bl w:val="nil"/>
                  </w:tcBorders>
                  <w:vAlign w:val="center"/>
                </w:tcPr>
                <w:p w14:paraId="660A034E">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w:t>
                  </w:r>
                </w:p>
              </w:tc>
              <w:tc>
                <w:tcPr>
                  <w:tcW w:w="1695" w:type="dxa"/>
                  <w:tcBorders>
                    <w:tl2br w:val="nil"/>
                    <w:tr2bl w:val="nil"/>
                  </w:tcBorders>
                  <w:vAlign w:val="center"/>
                </w:tcPr>
                <w:p w14:paraId="678C7AA9">
                  <w:pPr>
                    <w:pStyle w:val="313"/>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255</w:t>
                  </w:r>
                </w:p>
              </w:tc>
            </w:tr>
          </w:tbl>
          <w:p w14:paraId="07473541">
            <w:pPr>
              <w:pStyle w:val="333"/>
              <w:numPr>
                <w:ilvl w:val="0"/>
                <w:numId w:val="8"/>
              </w:numPr>
              <w:adjustRightInd w:val="0"/>
              <w:snapToGrid w:val="0"/>
              <w:spacing w:line="360" w:lineRule="auto"/>
              <w:ind w:left="0" w:firstLine="0" w:firstLineChars="0"/>
              <w:jc w:val="center"/>
              <w:rPr>
                <w:b/>
                <w:bCs/>
                <w:kern w:val="0"/>
                <w:szCs w:val="21"/>
              </w:rPr>
            </w:pPr>
            <w:r>
              <w:rPr>
                <w:b/>
                <w:bCs/>
                <w:kern w:val="0"/>
                <w:szCs w:val="21"/>
              </w:rPr>
              <w:t>农用地土壤污染风险筛选值（基本项目）表  单位：mg/kg</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14:paraId="7F7B2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0701F63E">
                  <w:pPr>
                    <w:jc w:val="center"/>
                    <w:rPr>
                      <w:b/>
                      <w:bCs/>
                      <w:szCs w:val="21"/>
                      <w:lang w:bidi="ar"/>
                    </w:rPr>
                  </w:pPr>
                  <w:r>
                    <w:rPr>
                      <w:b/>
                      <w:bCs/>
                      <w:szCs w:val="21"/>
                      <w:lang w:bidi="ar"/>
                    </w:rPr>
                    <w:t>序号</w:t>
                  </w:r>
                </w:p>
              </w:tc>
              <w:tc>
                <w:tcPr>
                  <w:tcW w:w="3544" w:type="dxa"/>
                  <w:gridSpan w:val="2"/>
                  <w:vMerge w:val="restart"/>
                  <w:tcBorders>
                    <w:tl2br w:val="nil"/>
                    <w:tr2bl w:val="nil"/>
                  </w:tcBorders>
                  <w:vAlign w:val="center"/>
                </w:tcPr>
                <w:p w14:paraId="38E51422">
                  <w:pPr>
                    <w:jc w:val="center"/>
                    <w:rPr>
                      <w:b/>
                      <w:bCs/>
                      <w:szCs w:val="21"/>
                      <w:lang w:bidi="ar"/>
                    </w:rPr>
                  </w:pPr>
                  <w:r>
                    <w:rPr>
                      <w:b/>
                      <w:bCs/>
                      <w:szCs w:val="21"/>
                      <w:lang w:bidi="ar"/>
                    </w:rPr>
                    <w:t>污染物项目</w:t>
                  </w:r>
                </w:p>
              </w:tc>
              <w:tc>
                <w:tcPr>
                  <w:tcW w:w="2646" w:type="dxa"/>
                  <w:tcBorders>
                    <w:tl2br w:val="nil"/>
                    <w:tr2bl w:val="nil"/>
                  </w:tcBorders>
                  <w:vAlign w:val="center"/>
                </w:tcPr>
                <w:p w14:paraId="4EBF44E7">
                  <w:pPr>
                    <w:jc w:val="center"/>
                    <w:rPr>
                      <w:szCs w:val="21"/>
                      <w:lang w:bidi="ar"/>
                    </w:rPr>
                  </w:pPr>
                  <w:r>
                    <w:rPr>
                      <w:b/>
                      <w:bCs/>
                      <w:szCs w:val="21"/>
                      <w:lang w:bidi="ar"/>
                    </w:rPr>
                    <w:t>风险筛选值</w:t>
                  </w:r>
                </w:p>
              </w:tc>
            </w:tr>
            <w:tr w14:paraId="4C422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6889FF30">
                  <w:pPr>
                    <w:jc w:val="center"/>
                    <w:rPr>
                      <w:szCs w:val="21"/>
                      <w:lang w:bidi="ar"/>
                    </w:rPr>
                  </w:pPr>
                </w:p>
              </w:tc>
              <w:tc>
                <w:tcPr>
                  <w:tcW w:w="3544" w:type="dxa"/>
                  <w:gridSpan w:val="2"/>
                  <w:vMerge w:val="continue"/>
                  <w:tcBorders>
                    <w:tl2br w:val="nil"/>
                    <w:tr2bl w:val="nil"/>
                  </w:tcBorders>
                  <w:vAlign w:val="center"/>
                </w:tcPr>
                <w:p w14:paraId="0B53A44C">
                  <w:pPr>
                    <w:jc w:val="center"/>
                    <w:rPr>
                      <w:szCs w:val="21"/>
                      <w:lang w:bidi="ar"/>
                    </w:rPr>
                  </w:pPr>
                </w:p>
              </w:tc>
              <w:tc>
                <w:tcPr>
                  <w:tcW w:w="2646" w:type="dxa"/>
                  <w:tcBorders>
                    <w:tl2br w:val="nil"/>
                    <w:tr2bl w:val="nil"/>
                  </w:tcBorders>
                  <w:vAlign w:val="center"/>
                </w:tcPr>
                <w:p w14:paraId="74E5FA71">
                  <w:pPr>
                    <w:jc w:val="center"/>
                    <w:rPr>
                      <w:szCs w:val="21"/>
                      <w:lang w:bidi="ar"/>
                    </w:rPr>
                  </w:pPr>
                  <w:r>
                    <w:rPr>
                      <w:szCs w:val="21"/>
                      <w:lang w:bidi="ar"/>
                    </w:rPr>
                    <w:t>6.5</w:t>
                  </w:r>
                  <w:r>
                    <w:rPr>
                      <w:rFonts w:hint="eastAsia"/>
                      <w:szCs w:val="21"/>
                      <w:lang w:bidi="ar"/>
                    </w:rPr>
                    <w:t>&lt;</w:t>
                  </w:r>
                  <w:r>
                    <w:rPr>
                      <w:szCs w:val="21"/>
                      <w:lang w:bidi="ar"/>
                    </w:rPr>
                    <w:t>pH≤7.5</w:t>
                  </w:r>
                </w:p>
              </w:tc>
            </w:tr>
            <w:tr w14:paraId="230A0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57B50BCA">
                  <w:pPr>
                    <w:jc w:val="center"/>
                    <w:rPr>
                      <w:szCs w:val="21"/>
                      <w:lang w:bidi="ar"/>
                    </w:rPr>
                  </w:pPr>
                  <w:r>
                    <w:rPr>
                      <w:szCs w:val="21"/>
                      <w:lang w:bidi="ar"/>
                    </w:rPr>
                    <w:t>1</w:t>
                  </w:r>
                </w:p>
              </w:tc>
              <w:tc>
                <w:tcPr>
                  <w:tcW w:w="1276" w:type="dxa"/>
                  <w:vMerge w:val="restart"/>
                  <w:tcBorders>
                    <w:tl2br w:val="nil"/>
                    <w:tr2bl w:val="nil"/>
                  </w:tcBorders>
                  <w:vAlign w:val="center"/>
                </w:tcPr>
                <w:p w14:paraId="3527B90C">
                  <w:pPr>
                    <w:jc w:val="center"/>
                    <w:rPr>
                      <w:szCs w:val="21"/>
                      <w:lang w:bidi="ar"/>
                    </w:rPr>
                  </w:pPr>
                  <w:r>
                    <w:rPr>
                      <w:szCs w:val="21"/>
                      <w:lang w:bidi="ar"/>
                    </w:rPr>
                    <w:t>镉</w:t>
                  </w:r>
                </w:p>
              </w:tc>
              <w:tc>
                <w:tcPr>
                  <w:tcW w:w="2268" w:type="dxa"/>
                  <w:tcBorders>
                    <w:tl2br w:val="nil"/>
                    <w:tr2bl w:val="nil"/>
                  </w:tcBorders>
                  <w:vAlign w:val="center"/>
                </w:tcPr>
                <w:p w14:paraId="73599794">
                  <w:pPr>
                    <w:jc w:val="center"/>
                    <w:rPr>
                      <w:szCs w:val="21"/>
                      <w:lang w:bidi="ar"/>
                    </w:rPr>
                  </w:pPr>
                  <w:r>
                    <w:rPr>
                      <w:szCs w:val="21"/>
                      <w:lang w:bidi="ar"/>
                    </w:rPr>
                    <w:t>水田</w:t>
                  </w:r>
                </w:p>
              </w:tc>
              <w:tc>
                <w:tcPr>
                  <w:tcW w:w="2646" w:type="dxa"/>
                  <w:tcBorders>
                    <w:tl2br w:val="nil"/>
                    <w:tr2bl w:val="nil"/>
                  </w:tcBorders>
                  <w:vAlign w:val="center"/>
                </w:tcPr>
                <w:p w14:paraId="586DBB9E">
                  <w:pPr>
                    <w:jc w:val="center"/>
                    <w:rPr>
                      <w:szCs w:val="21"/>
                      <w:lang w:bidi="ar"/>
                    </w:rPr>
                  </w:pPr>
                  <w:r>
                    <w:rPr>
                      <w:szCs w:val="21"/>
                      <w:lang w:bidi="ar"/>
                    </w:rPr>
                    <w:t>0.6</w:t>
                  </w:r>
                </w:p>
              </w:tc>
            </w:tr>
            <w:tr w14:paraId="2D8E2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27910AEA">
                  <w:pPr>
                    <w:jc w:val="center"/>
                    <w:rPr>
                      <w:szCs w:val="21"/>
                      <w:lang w:bidi="ar"/>
                    </w:rPr>
                  </w:pPr>
                </w:p>
              </w:tc>
              <w:tc>
                <w:tcPr>
                  <w:tcW w:w="1276" w:type="dxa"/>
                  <w:vMerge w:val="continue"/>
                  <w:tcBorders>
                    <w:tl2br w:val="nil"/>
                    <w:tr2bl w:val="nil"/>
                  </w:tcBorders>
                  <w:vAlign w:val="center"/>
                </w:tcPr>
                <w:p w14:paraId="5D2BF403">
                  <w:pPr>
                    <w:jc w:val="center"/>
                    <w:rPr>
                      <w:szCs w:val="21"/>
                      <w:lang w:bidi="ar"/>
                    </w:rPr>
                  </w:pPr>
                </w:p>
              </w:tc>
              <w:tc>
                <w:tcPr>
                  <w:tcW w:w="2268" w:type="dxa"/>
                  <w:tcBorders>
                    <w:tl2br w:val="nil"/>
                    <w:tr2bl w:val="nil"/>
                  </w:tcBorders>
                  <w:vAlign w:val="center"/>
                </w:tcPr>
                <w:p w14:paraId="170D9B59">
                  <w:pPr>
                    <w:jc w:val="center"/>
                    <w:rPr>
                      <w:szCs w:val="21"/>
                      <w:lang w:bidi="ar"/>
                    </w:rPr>
                  </w:pPr>
                  <w:r>
                    <w:rPr>
                      <w:szCs w:val="21"/>
                      <w:lang w:bidi="ar"/>
                    </w:rPr>
                    <w:t>其他</w:t>
                  </w:r>
                </w:p>
              </w:tc>
              <w:tc>
                <w:tcPr>
                  <w:tcW w:w="2646" w:type="dxa"/>
                  <w:tcBorders>
                    <w:tl2br w:val="nil"/>
                    <w:tr2bl w:val="nil"/>
                  </w:tcBorders>
                  <w:vAlign w:val="center"/>
                </w:tcPr>
                <w:p w14:paraId="723AF53F">
                  <w:pPr>
                    <w:jc w:val="center"/>
                    <w:rPr>
                      <w:szCs w:val="21"/>
                      <w:lang w:bidi="ar"/>
                    </w:rPr>
                  </w:pPr>
                  <w:r>
                    <w:rPr>
                      <w:szCs w:val="21"/>
                      <w:lang w:bidi="ar"/>
                    </w:rPr>
                    <w:t>0.3</w:t>
                  </w:r>
                </w:p>
              </w:tc>
            </w:tr>
            <w:tr w14:paraId="313DA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60434A35">
                  <w:pPr>
                    <w:jc w:val="center"/>
                    <w:rPr>
                      <w:szCs w:val="21"/>
                      <w:lang w:bidi="ar"/>
                    </w:rPr>
                  </w:pPr>
                  <w:r>
                    <w:rPr>
                      <w:szCs w:val="21"/>
                      <w:lang w:bidi="ar"/>
                    </w:rPr>
                    <w:t>2</w:t>
                  </w:r>
                </w:p>
              </w:tc>
              <w:tc>
                <w:tcPr>
                  <w:tcW w:w="1276" w:type="dxa"/>
                  <w:vMerge w:val="restart"/>
                  <w:tcBorders>
                    <w:tl2br w:val="nil"/>
                    <w:tr2bl w:val="nil"/>
                  </w:tcBorders>
                  <w:vAlign w:val="center"/>
                </w:tcPr>
                <w:p w14:paraId="4FB2C0B0">
                  <w:pPr>
                    <w:jc w:val="center"/>
                    <w:rPr>
                      <w:szCs w:val="21"/>
                      <w:lang w:bidi="ar"/>
                    </w:rPr>
                  </w:pPr>
                  <w:r>
                    <w:rPr>
                      <w:szCs w:val="21"/>
                      <w:lang w:bidi="ar"/>
                    </w:rPr>
                    <w:t>汞</w:t>
                  </w:r>
                </w:p>
              </w:tc>
              <w:tc>
                <w:tcPr>
                  <w:tcW w:w="2268" w:type="dxa"/>
                  <w:tcBorders>
                    <w:tl2br w:val="nil"/>
                    <w:tr2bl w:val="nil"/>
                  </w:tcBorders>
                  <w:vAlign w:val="center"/>
                </w:tcPr>
                <w:p w14:paraId="3D3EF03B">
                  <w:pPr>
                    <w:jc w:val="center"/>
                    <w:rPr>
                      <w:szCs w:val="21"/>
                      <w:lang w:bidi="ar"/>
                    </w:rPr>
                  </w:pPr>
                  <w:r>
                    <w:rPr>
                      <w:szCs w:val="21"/>
                      <w:lang w:bidi="ar"/>
                    </w:rPr>
                    <w:t>水田</w:t>
                  </w:r>
                </w:p>
              </w:tc>
              <w:tc>
                <w:tcPr>
                  <w:tcW w:w="2646" w:type="dxa"/>
                  <w:tcBorders>
                    <w:tl2br w:val="nil"/>
                    <w:tr2bl w:val="nil"/>
                  </w:tcBorders>
                  <w:vAlign w:val="center"/>
                </w:tcPr>
                <w:p w14:paraId="12042DDC">
                  <w:pPr>
                    <w:jc w:val="center"/>
                    <w:rPr>
                      <w:szCs w:val="21"/>
                      <w:lang w:bidi="ar"/>
                    </w:rPr>
                  </w:pPr>
                  <w:r>
                    <w:rPr>
                      <w:szCs w:val="21"/>
                      <w:lang w:bidi="ar"/>
                    </w:rPr>
                    <w:t>0.6</w:t>
                  </w:r>
                </w:p>
              </w:tc>
            </w:tr>
            <w:tr w14:paraId="25291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6142637F">
                  <w:pPr>
                    <w:jc w:val="center"/>
                    <w:rPr>
                      <w:szCs w:val="21"/>
                      <w:lang w:bidi="ar"/>
                    </w:rPr>
                  </w:pPr>
                </w:p>
              </w:tc>
              <w:tc>
                <w:tcPr>
                  <w:tcW w:w="1276" w:type="dxa"/>
                  <w:vMerge w:val="continue"/>
                  <w:tcBorders>
                    <w:tl2br w:val="nil"/>
                    <w:tr2bl w:val="nil"/>
                  </w:tcBorders>
                  <w:vAlign w:val="center"/>
                </w:tcPr>
                <w:p w14:paraId="4E061553">
                  <w:pPr>
                    <w:jc w:val="center"/>
                    <w:rPr>
                      <w:szCs w:val="21"/>
                      <w:lang w:bidi="ar"/>
                    </w:rPr>
                  </w:pPr>
                </w:p>
              </w:tc>
              <w:tc>
                <w:tcPr>
                  <w:tcW w:w="2268" w:type="dxa"/>
                  <w:tcBorders>
                    <w:tl2br w:val="nil"/>
                    <w:tr2bl w:val="nil"/>
                  </w:tcBorders>
                  <w:vAlign w:val="center"/>
                </w:tcPr>
                <w:p w14:paraId="3C77511C">
                  <w:pPr>
                    <w:jc w:val="center"/>
                    <w:rPr>
                      <w:szCs w:val="21"/>
                      <w:lang w:bidi="ar"/>
                    </w:rPr>
                  </w:pPr>
                  <w:r>
                    <w:rPr>
                      <w:szCs w:val="21"/>
                      <w:lang w:bidi="ar"/>
                    </w:rPr>
                    <w:t>其他</w:t>
                  </w:r>
                </w:p>
              </w:tc>
              <w:tc>
                <w:tcPr>
                  <w:tcW w:w="2646" w:type="dxa"/>
                  <w:tcBorders>
                    <w:tl2br w:val="nil"/>
                    <w:tr2bl w:val="nil"/>
                  </w:tcBorders>
                  <w:vAlign w:val="center"/>
                </w:tcPr>
                <w:p w14:paraId="316A7B30">
                  <w:pPr>
                    <w:jc w:val="center"/>
                    <w:rPr>
                      <w:szCs w:val="21"/>
                      <w:lang w:bidi="ar"/>
                    </w:rPr>
                  </w:pPr>
                  <w:r>
                    <w:rPr>
                      <w:szCs w:val="21"/>
                      <w:lang w:bidi="ar"/>
                    </w:rPr>
                    <w:t>2.4</w:t>
                  </w:r>
                </w:p>
              </w:tc>
            </w:tr>
            <w:tr w14:paraId="2A23C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42890706">
                  <w:pPr>
                    <w:jc w:val="center"/>
                    <w:rPr>
                      <w:szCs w:val="21"/>
                      <w:lang w:bidi="ar"/>
                    </w:rPr>
                  </w:pPr>
                  <w:r>
                    <w:rPr>
                      <w:szCs w:val="21"/>
                      <w:lang w:bidi="ar"/>
                    </w:rPr>
                    <w:t>3</w:t>
                  </w:r>
                </w:p>
              </w:tc>
              <w:tc>
                <w:tcPr>
                  <w:tcW w:w="1276" w:type="dxa"/>
                  <w:vMerge w:val="restart"/>
                  <w:tcBorders>
                    <w:tl2br w:val="nil"/>
                    <w:tr2bl w:val="nil"/>
                  </w:tcBorders>
                  <w:vAlign w:val="center"/>
                </w:tcPr>
                <w:p w14:paraId="3503B091">
                  <w:pPr>
                    <w:jc w:val="center"/>
                    <w:rPr>
                      <w:szCs w:val="21"/>
                      <w:lang w:bidi="ar"/>
                    </w:rPr>
                  </w:pPr>
                  <w:r>
                    <w:rPr>
                      <w:szCs w:val="21"/>
                      <w:lang w:bidi="ar"/>
                    </w:rPr>
                    <w:t>砷</w:t>
                  </w:r>
                </w:p>
              </w:tc>
              <w:tc>
                <w:tcPr>
                  <w:tcW w:w="2268" w:type="dxa"/>
                  <w:tcBorders>
                    <w:tl2br w:val="nil"/>
                    <w:tr2bl w:val="nil"/>
                  </w:tcBorders>
                  <w:vAlign w:val="center"/>
                </w:tcPr>
                <w:p w14:paraId="03609523">
                  <w:pPr>
                    <w:jc w:val="center"/>
                    <w:rPr>
                      <w:szCs w:val="21"/>
                      <w:lang w:bidi="ar"/>
                    </w:rPr>
                  </w:pPr>
                  <w:r>
                    <w:rPr>
                      <w:szCs w:val="21"/>
                      <w:lang w:bidi="ar"/>
                    </w:rPr>
                    <w:t>水田</w:t>
                  </w:r>
                </w:p>
              </w:tc>
              <w:tc>
                <w:tcPr>
                  <w:tcW w:w="2646" w:type="dxa"/>
                  <w:tcBorders>
                    <w:tl2br w:val="nil"/>
                    <w:tr2bl w:val="nil"/>
                  </w:tcBorders>
                  <w:vAlign w:val="center"/>
                </w:tcPr>
                <w:p w14:paraId="3C5E811A">
                  <w:pPr>
                    <w:jc w:val="center"/>
                    <w:rPr>
                      <w:szCs w:val="21"/>
                      <w:lang w:bidi="ar"/>
                    </w:rPr>
                  </w:pPr>
                  <w:r>
                    <w:rPr>
                      <w:szCs w:val="21"/>
                      <w:lang w:bidi="ar"/>
                    </w:rPr>
                    <w:t>25</w:t>
                  </w:r>
                </w:p>
              </w:tc>
            </w:tr>
            <w:tr w14:paraId="49C66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5511C1E3">
                  <w:pPr>
                    <w:jc w:val="center"/>
                    <w:rPr>
                      <w:szCs w:val="21"/>
                      <w:lang w:bidi="ar"/>
                    </w:rPr>
                  </w:pPr>
                </w:p>
              </w:tc>
              <w:tc>
                <w:tcPr>
                  <w:tcW w:w="1276" w:type="dxa"/>
                  <w:vMerge w:val="continue"/>
                  <w:tcBorders>
                    <w:tl2br w:val="nil"/>
                    <w:tr2bl w:val="nil"/>
                  </w:tcBorders>
                  <w:vAlign w:val="center"/>
                </w:tcPr>
                <w:p w14:paraId="2BE28102">
                  <w:pPr>
                    <w:jc w:val="center"/>
                    <w:rPr>
                      <w:szCs w:val="21"/>
                      <w:lang w:bidi="ar"/>
                    </w:rPr>
                  </w:pPr>
                </w:p>
              </w:tc>
              <w:tc>
                <w:tcPr>
                  <w:tcW w:w="2268" w:type="dxa"/>
                  <w:tcBorders>
                    <w:tl2br w:val="nil"/>
                    <w:tr2bl w:val="nil"/>
                  </w:tcBorders>
                  <w:vAlign w:val="center"/>
                </w:tcPr>
                <w:p w14:paraId="2747B355">
                  <w:pPr>
                    <w:jc w:val="center"/>
                    <w:rPr>
                      <w:szCs w:val="21"/>
                      <w:lang w:bidi="ar"/>
                    </w:rPr>
                  </w:pPr>
                  <w:r>
                    <w:rPr>
                      <w:szCs w:val="21"/>
                      <w:lang w:bidi="ar"/>
                    </w:rPr>
                    <w:t>其他</w:t>
                  </w:r>
                </w:p>
              </w:tc>
              <w:tc>
                <w:tcPr>
                  <w:tcW w:w="2646" w:type="dxa"/>
                  <w:tcBorders>
                    <w:tl2br w:val="nil"/>
                    <w:tr2bl w:val="nil"/>
                  </w:tcBorders>
                  <w:vAlign w:val="center"/>
                </w:tcPr>
                <w:p w14:paraId="6907104A">
                  <w:pPr>
                    <w:jc w:val="center"/>
                    <w:rPr>
                      <w:szCs w:val="21"/>
                      <w:lang w:bidi="ar"/>
                    </w:rPr>
                  </w:pPr>
                  <w:r>
                    <w:rPr>
                      <w:szCs w:val="21"/>
                      <w:lang w:bidi="ar"/>
                    </w:rPr>
                    <w:t>30</w:t>
                  </w:r>
                </w:p>
              </w:tc>
            </w:tr>
            <w:tr w14:paraId="55408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27F592D0">
                  <w:pPr>
                    <w:jc w:val="center"/>
                    <w:rPr>
                      <w:szCs w:val="21"/>
                      <w:lang w:bidi="ar"/>
                    </w:rPr>
                  </w:pPr>
                  <w:r>
                    <w:rPr>
                      <w:szCs w:val="21"/>
                      <w:lang w:bidi="ar"/>
                    </w:rPr>
                    <w:t>4</w:t>
                  </w:r>
                </w:p>
              </w:tc>
              <w:tc>
                <w:tcPr>
                  <w:tcW w:w="1276" w:type="dxa"/>
                  <w:vMerge w:val="restart"/>
                  <w:tcBorders>
                    <w:tl2br w:val="nil"/>
                    <w:tr2bl w:val="nil"/>
                  </w:tcBorders>
                  <w:vAlign w:val="center"/>
                </w:tcPr>
                <w:p w14:paraId="4A7CBF6F">
                  <w:pPr>
                    <w:jc w:val="center"/>
                    <w:rPr>
                      <w:szCs w:val="21"/>
                      <w:lang w:bidi="ar"/>
                    </w:rPr>
                  </w:pPr>
                  <w:r>
                    <w:rPr>
                      <w:szCs w:val="21"/>
                      <w:lang w:bidi="ar"/>
                    </w:rPr>
                    <w:t>铅</w:t>
                  </w:r>
                </w:p>
              </w:tc>
              <w:tc>
                <w:tcPr>
                  <w:tcW w:w="2268" w:type="dxa"/>
                  <w:tcBorders>
                    <w:tl2br w:val="nil"/>
                    <w:tr2bl w:val="nil"/>
                  </w:tcBorders>
                  <w:vAlign w:val="center"/>
                </w:tcPr>
                <w:p w14:paraId="3939DF85">
                  <w:pPr>
                    <w:jc w:val="center"/>
                    <w:rPr>
                      <w:szCs w:val="21"/>
                      <w:lang w:bidi="ar"/>
                    </w:rPr>
                  </w:pPr>
                  <w:r>
                    <w:rPr>
                      <w:szCs w:val="21"/>
                      <w:lang w:bidi="ar"/>
                    </w:rPr>
                    <w:t>水田</w:t>
                  </w:r>
                </w:p>
              </w:tc>
              <w:tc>
                <w:tcPr>
                  <w:tcW w:w="2646" w:type="dxa"/>
                  <w:tcBorders>
                    <w:tl2br w:val="nil"/>
                    <w:tr2bl w:val="nil"/>
                  </w:tcBorders>
                  <w:vAlign w:val="center"/>
                </w:tcPr>
                <w:p w14:paraId="17D5F55F">
                  <w:pPr>
                    <w:jc w:val="center"/>
                    <w:rPr>
                      <w:szCs w:val="21"/>
                      <w:lang w:bidi="ar"/>
                    </w:rPr>
                  </w:pPr>
                  <w:r>
                    <w:rPr>
                      <w:szCs w:val="21"/>
                      <w:lang w:bidi="ar"/>
                    </w:rPr>
                    <w:t>140</w:t>
                  </w:r>
                </w:p>
              </w:tc>
            </w:tr>
            <w:tr w14:paraId="18FA2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28E42713">
                  <w:pPr>
                    <w:jc w:val="center"/>
                    <w:rPr>
                      <w:szCs w:val="21"/>
                      <w:lang w:bidi="ar"/>
                    </w:rPr>
                  </w:pPr>
                </w:p>
              </w:tc>
              <w:tc>
                <w:tcPr>
                  <w:tcW w:w="1276" w:type="dxa"/>
                  <w:vMerge w:val="continue"/>
                  <w:tcBorders>
                    <w:tl2br w:val="nil"/>
                    <w:tr2bl w:val="nil"/>
                  </w:tcBorders>
                  <w:vAlign w:val="center"/>
                </w:tcPr>
                <w:p w14:paraId="5B9E3707">
                  <w:pPr>
                    <w:jc w:val="center"/>
                    <w:rPr>
                      <w:szCs w:val="21"/>
                      <w:lang w:bidi="ar"/>
                    </w:rPr>
                  </w:pPr>
                </w:p>
              </w:tc>
              <w:tc>
                <w:tcPr>
                  <w:tcW w:w="2268" w:type="dxa"/>
                  <w:tcBorders>
                    <w:tl2br w:val="nil"/>
                    <w:tr2bl w:val="nil"/>
                  </w:tcBorders>
                  <w:vAlign w:val="center"/>
                </w:tcPr>
                <w:p w14:paraId="642CB2AE">
                  <w:pPr>
                    <w:jc w:val="center"/>
                    <w:rPr>
                      <w:szCs w:val="21"/>
                      <w:lang w:bidi="ar"/>
                    </w:rPr>
                  </w:pPr>
                  <w:r>
                    <w:rPr>
                      <w:szCs w:val="21"/>
                      <w:lang w:bidi="ar"/>
                    </w:rPr>
                    <w:t>其他</w:t>
                  </w:r>
                </w:p>
              </w:tc>
              <w:tc>
                <w:tcPr>
                  <w:tcW w:w="2646" w:type="dxa"/>
                  <w:tcBorders>
                    <w:tl2br w:val="nil"/>
                    <w:tr2bl w:val="nil"/>
                  </w:tcBorders>
                  <w:vAlign w:val="center"/>
                </w:tcPr>
                <w:p w14:paraId="3DB943D8">
                  <w:pPr>
                    <w:jc w:val="center"/>
                    <w:rPr>
                      <w:szCs w:val="21"/>
                      <w:lang w:bidi="ar"/>
                    </w:rPr>
                  </w:pPr>
                  <w:r>
                    <w:rPr>
                      <w:szCs w:val="21"/>
                      <w:lang w:bidi="ar"/>
                    </w:rPr>
                    <w:t>120</w:t>
                  </w:r>
                </w:p>
              </w:tc>
            </w:tr>
            <w:tr w14:paraId="32C1A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6925C7D4">
                  <w:pPr>
                    <w:jc w:val="center"/>
                    <w:rPr>
                      <w:szCs w:val="21"/>
                      <w:lang w:bidi="ar"/>
                    </w:rPr>
                  </w:pPr>
                  <w:r>
                    <w:rPr>
                      <w:szCs w:val="21"/>
                      <w:lang w:bidi="ar"/>
                    </w:rPr>
                    <w:t>5</w:t>
                  </w:r>
                </w:p>
              </w:tc>
              <w:tc>
                <w:tcPr>
                  <w:tcW w:w="1276" w:type="dxa"/>
                  <w:vMerge w:val="restart"/>
                  <w:tcBorders>
                    <w:tl2br w:val="nil"/>
                    <w:tr2bl w:val="nil"/>
                  </w:tcBorders>
                  <w:vAlign w:val="center"/>
                </w:tcPr>
                <w:p w14:paraId="1A9EBA38">
                  <w:pPr>
                    <w:jc w:val="center"/>
                    <w:rPr>
                      <w:szCs w:val="21"/>
                      <w:lang w:bidi="ar"/>
                    </w:rPr>
                  </w:pPr>
                  <w:r>
                    <w:rPr>
                      <w:szCs w:val="21"/>
                      <w:lang w:bidi="ar"/>
                    </w:rPr>
                    <w:t>铬</w:t>
                  </w:r>
                </w:p>
              </w:tc>
              <w:tc>
                <w:tcPr>
                  <w:tcW w:w="2268" w:type="dxa"/>
                  <w:tcBorders>
                    <w:tl2br w:val="nil"/>
                    <w:tr2bl w:val="nil"/>
                  </w:tcBorders>
                  <w:vAlign w:val="center"/>
                </w:tcPr>
                <w:p w14:paraId="7C6B0735">
                  <w:pPr>
                    <w:jc w:val="center"/>
                    <w:rPr>
                      <w:szCs w:val="21"/>
                      <w:lang w:bidi="ar"/>
                    </w:rPr>
                  </w:pPr>
                  <w:r>
                    <w:rPr>
                      <w:szCs w:val="21"/>
                      <w:lang w:bidi="ar"/>
                    </w:rPr>
                    <w:t>水田</w:t>
                  </w:r>
                </w:p>
              </w:tc>
              <w:tc>
                <w:tcPr>
                  <w:tcW w:w="2646" w:type="dxa"/>
                  <w:tcBorders>
                    <w:tl2br w:val="nil"/>
                    <w:tr2bl w:val="nil"/>
                  </w:tcBorders>
                  <w:vAlign w:val="center"/>
                </w:tcPr>
                <w:p w14:paraId="37BB8DDD">
                  <w:pPr>
                    <w:jc w:val="center"/>
                    <w:rPr>
                      <w:szCs w:val="21"/>
                      <w:lang w:bidi="ar"/>
                    </w:rPr>
                  </w:pPr>
                  <w:r>
                    <w:rPr>
                      <w:szCs w:val="21"/>
                      <w:lang w:bidi="ar"/>
                    </w:rPr>
                    <w:t>300</w:t>
                  </w:r>
                </w:p>
              </w:tc>
            </w:tr>
            <w:tr w14:paraId="0196F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51CA333B">
                  <w:pPr>
                    <w:jc w:val="center"/>
                    <w:rPr>
                      <w:szCs w:val="21"/>
                      <w:lang w:bidi="ar"/>
                    </w:rPr>
                  </w:pPr>
                </w:p>
              </w:tc>
              <w:tc>
                <w:tcPr>
                  <w:tcW w:w="1276" w:type="dxa"/>
                  <w:vMerge w:val="continue"/>
                  <w:tcBorders>
                    <w:tl2br w:val="nil"/>
                    <w:tr2bl w:val="nil"/>
                  </w:tcBorders>
                  <w:vAlign w:val="center"/>
                </w:tcPr>
                <w:p w14:paraId="3A7D8886">
                  <w:pPr>
                    <w:jc w:val="center"/>
                    <w:rPr>
                      <w:szCs w:val="21"/>
                      <w:lang w:bidi="ar"/>
                    </w:rPr>
                  </w:pPr>
                </w:p>
              </w:tc>
              <w:tc>
                <w:tcPr>
                  <w:tcW w:w="2268" w:type="dxa"/>
                  <w:tcBorders>
                    <w:tl2br w:val="nil"/>
                    <w:tr2bl w:val="nil"/>
                  </w:tcBorders>
                  <w:vAlign w:val="center"/>
                </w:tcPr>
                <w:p w14:paraId="1C1DBDC1">
                  <w:pPr>
                    <w:jc w:val="center"/>
                    <w:rPr>
                      <w:szCs w:val="21"/>
                      <w:lang w:bidi="ar"/>
                    </w:rPr>
                  </w:pPr>
                  <w:r>
                    <w:rPr>
                      <w:szCs w:val="21"/>
                      <w:lang w:bidi="ar"/>
                    </w:rPr>
                    <w:t>其他</w:t>
                  </w:r>
                </w:p>
              </w:tc>
              <w:tc>
                <w:tcPr>
                  <w:tcW w:w="2646" w:type="dxa"/>
                  <w:tcBorders>
                    <w:tl2br w:val="nil"/>
                    <w:tr2bl w:val="nil"/>
                  </w:tcBorders>
                  <w:vAlign w:val="center"/>
                </w:tcPr>
                <w:p w14:paraId="099C7C5A">
                  <w:pPr>
                    <w:jc w:val="center"/>
                    <w:rPr>
                      <w:szCs w:val="21"/>
                      <w:lang w:bidi="ar"/>
                    </w:rPr>
                  </w:pPr>
                  <w:r>
                    <w:rPr>
                      <w:szCs w:val="21"/>
                      <w:lang w:bidi="ar"/>
                    </w:rPr>
                    <w:t>200</w:t>
                  </w:r>
                </w:p>
              </w:tc>
            </w:tr>
            <w:tr w14:paraId="2C18A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14:paraId="1DFE70C6">
                  <w:pPr>
                    <w:jc w:val="center"/>
                    <w:rPr>
                      <w:szCs w:val="21"/>
                      <w:lang w:bidi="ar"/>
                    </w:rPr>
                  </w:pPr>
                  <w:r>
                    <w:rPr>
                      <w:szCs w:val="21"/>
                      <w:lang w:bidi="ar"/>
                    </w:rPr>
                    <w:t>6</w:t>
                  </w:r>
                </w:p>
              </w:tc>
              <w:tc>
                <w:tcPr>
                  <w:tcW w:w="1276" w:type="dxa"/>
                  <w:vMerge w:val="restart"/>
                  <w:tcBorders>
                    <w:tl2br w:val="nil"/>
                    <w:tr2bl w:val="nil"/>
                  </w:tcBorders>
                  <w:vAlign w:val="center"/>
                </w:tcPr>
                <w:p w14:paraId="31217578">
                  <w:pPr>
                    <w:jc w:val="center"/>
                    <w:rPr>
                      <w:szCs w:val="21"/>
                      <w:lang w:bidi="ar"/>
                    </w:rPr>
                  </w:pPr>
                  <w:r>
                    <w:rPr>
                      <w:szCs w:val="21"/>
                      <w:lang w:bidi="ar"/>
                    </w:rPr>
                    <w:t>铜</w:t>
                  </w:r>
                </w:p>
              </w:tc>
              <w:tc>
                <w:tcPr>
                  <w:tcW w:w="2268" w:type="dxa"/>
                  <w:tcBorders>
                    <w:tl2br w:val="nil"/>
                    <w:tr2bl w:val="nil"/>
                  </w:tcBorders>
                  <w:vAlign w:val="center"/>
                </w:tcPr>
                <w:p w14:paraId="0C4845DC">
                  <w:pPr>
                    <w:jc w:val="center"/>
                    <w:rPr>
                      <w:szCs w:val="21"/>
                      <w:lang w:bidi="ar"/>
                    </w:rPr>
                  </w:pPr>
                  <w:r>
                    <w:rPr>
                      <w:szCs w:val="21"/>
                      <w:lang w:bidi="ar"/>
                    </w:rPr>
                    <w:t>果园</w:t>
                  </w:r>
                </w:p>
              </w:tc>
              <w:tc>
                <w:tcPr>
                  <w:tcW w:w="2646" w:type="dxa"/>
                  <w:tcBorders>
                    <w:tl2br w:val="nil"/>
                    <w:tr2bl w:val="nil"/>
                  </w:tcBorders>
                  <w:vAlign w:val="center"/>
                </w:tcPr>
                <w:p w14:paraId="149D17A9">
                  <w:pPr>
                    <w:jc w:val="center"/>
                    <w:rPr>
                      <w:szCs w:val="21"/>
                      <w:lang w:bidi="ar"/>
                    </w:rPr>
                  </w:pPr>
                  <w:r>
                    <w:rPr>
                      <w:szCs w:val="21"/>
                      <w:lang w:bidi="ar"/>
                    </w:rPr>
                    <w:t>200</w:t>
                  </w:r>
                </w:p>
              </w:tc>
            </w:tr>
            <w:tr w14:paraId="2E57C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14:paraId="3E569E62">
                  <w:pPr>
                    <w:jc w:val="center"/>
                    <w:rPr>
                      <w:szCs w:val="21"/>
                      <w:lang w:bidi="ar"/>
                    </w:rPr>
                  </w:pPr>
                </w:p>
              </w:tc>
              <w:tc>
                <w:tcPr>
                  <w:tcW w:w="1276" w:type="dxa"/>
                  <w:vMerge w:val="continue"/>
                  <w:tcBorders>
                    <w:tl2br w:val="nil"/>
                    <w:tr2bl w:val="nil"/>
                  </w:tcBorders>
                  <w:vAlign w:val="center"/>
                </w:tcPr>
                <w:p w14:paraId="1D154DB8">
                  <w:pPr>
                    <w:jc w:val="center"/>
                    <w:rPr>
                      <w:szCs w:val="21"/>
                      <w:lang w:bidi="ar"/>
                    </w:rPr>
                  </w:pPr>
                </w:p>
              </w:tc>
              <w:tc>
                <w:tcPr>
                  <w:tcW w:w="2268" w:type="dxa"/>
                  <w:tcBorders>
                    <w:tl2br w:val="nil"/>
                    <w:tr2bl w:val="nil"/>
                  </w:tcBorders>
                  <w:vAlign w:val="center"/>
                </w:tcPr>
                <w:p w14:paraId="12312AA2">
                  <w:pPr>
                    <w:jc w:val="center"/>
                    <w:rPr>
                      <w:szCs w:val="21"/>
                      <w:lang w:bidi="ar"/>
                    </w:rPr>
                  </w:pPr>
                  <w:r>
                    <w:rPr>
                      <w:szCs w:val="21"/>
                      <w:lang w:bidi="ar"/>
                    </w:rPr>
                    <w:t>其他</w:t>
                  </w:r>
                </w:p>
              </w:tc>
              <w:tc>
                <w:tcPr>
                  <w:tcW w:w="2646" w:type="dxa"/>
                  <w:tcBorders>
                    <w:tl2br w:val="nil"/>
                    <w:tr2bl w:val="nil"/>
                  </w:tcBorders>
                  <w:vAlign w:val="center"/>
                </w:tcPr>
                <w:p w14:paraId="1DFA8545">
                  <w:pPr>
                    <w:jc w:val="center"/>
                    <w:rPr>
                      <w:szCs w:val="21"/>
                      <w:lang w:bidi="ar"/>
                    </w:rPr>
                  </w:pPr>
                  <w:r>
                    <w:rPr>
                      <w:szCs w:val="21"/>
                      <w:lang w:bidi="ar"/>
                    </w:rPr>
                    <w:t>100</w:t>
                  </w:r>
                </w:p>
              </w:tc>
            </w:tr>
            <w:tr w14:paraId="2C9CB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14:paraId="7A8748C1">
                  <w:pPr>
                    <w:jc w:val="center"/>
                    <w:rPr>
                      <w:szCs w:val="21"/>
                      <w:lang w:bidi="ar"/>
                    </w:rPr>
                  </w:pPr>
                  <w:r>
                    <w:rPr>
                      <w:szCs w:val="21"/>
                      <w:lang w:bidi="ar"/>
                    </w:rPr>
                    <w:t>7</w:t>
                  </w:r>
                </w:p>
              </w:tc>
              <w:tc>
                <w:tcPr>
                  <w:tcW w:w="3544" w:type="dxa"/>
                  <w:gridSpan w:val="2"/>
                  <w:tcBorders>
                    <w:tl2br w:val="nil"/>
                    <w:tr2bl w:val="nil"/>
                  </w:tcBorders>
                  <w:vAlign w:val="center"/>
                </w:tcPr>
                <w:p w14:paraId="36B1DF3E">
                  <w:pPr>
                    <w:jc w:val="center"/>
                    <w:rPr>
                      <w:szCs w:val="21"/>
                      <w:lang w:bidi="ar"/>
                    </w:rPr>
                  </w:pPr>
                  <w:r>
                    <w:rPr>
                      <w:szCs w:val="21"/>
                      <w:lang w:bidi="ar"/>
                    </w:rPr>
                    <w:t>镍</w:t>
                  </w:r>
                </w:p>
              </w:tc>
              <w:tc>
                <w:tcPr>
                  <w:tcW w:w="2646" w:type="dxa"/>
                  <w:tcBorders>
                    <w:tl2br w:val="nil"/>
                    <w:tr2bl w:val="nil"/>
                  </w:tcBorders>
                  <w:vAlign w:val="center"/>
                </w:tcPr>
                <w:p w14:paraId="2043995D">
                  <w:pPr>
                    <w:jc w:val="center"/>
                    <w:rPr>
                      <w:szCs w:val="21"/>
                      <w:lang w:bidi="ar"/>
                    </w:rPr>
                  </w:pPr>
                  <w:r>
                    <w:rPr>
                      <w:szCs w:val="21"/>
                      <w:lang w:bidi="ar"/>
                    </w:rPr>
                    <w:t>100</w:t>
                  </w:r>
                </w:p>
              </w:tc>
            </w:tr>
            <w:tr w14:paraId="2BAA7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14:paraId="79998020">
                  <w:pPr>
                    <w:jc w:val="center"/>
                    <w:rPr>
                      <w:szCs w:val="21"/>
                      <w:lang w:bidi="ar"/>
                    </w:rPr>
                  </w:pPr>
                  <w:r>
                    <w:rPr>
                      <w:szCs w:val="21"/>
                      <w:lang w:bidi="ar"/>
                    </w:rPr>
                    <w:t>8</w:t>
                  </w:r>
                </w:p>
              </w:tc>
              <w:tc>
                <w:tcPr>
                  <w:tcW w:w="3544" w:type="dxa"/>
                  <w:gridSpan w:val="2"/>
                  <w:tcBorders>
                    <w:tl2br w:val="nil"/>
                    <w:tr2bl w:val="nil"/>
                  </w:tcBorders>
                  <w:vAlign w:val="center"/>
                </w:tcPr>
                <w:p w14:paraId="30966FFE">
                  <w:pPr>
                    <w:jc w:val="center"/>
                    <w:rPr>
                      <w:szCs w:val="21"/>
                      <w:lang w:bidi="ar"/>
                    </w:rPr>
                  </w:pPr>
                  <w:r>
                    <w:rPr>
                      <w:szCs w:val="21"/>
                      <w:lang w:bidi="ar"/>
                    </w:rPr>
                    <w:t>锌</w:t>
                  </w:r>
                </w:p>
              </w:tc>
              <w:tc>
                <w:tcPr>
                  <w:tcW w:w="2646" w:type="dxa"/>
                  <w:tcBorders>
                    <w:tl2br w:val="nil"/>
                    <w:tr2bl w:val="nil"/>
                  </w:tcBorders>
                  <w:vAlign w:val="center"/>
                </w:tcPr>
                <w:p w14:paraId="0ABFA989">
                  <w:pPr>
                    <w:jc w:val="center"/>
                    <w:rPr>
                      <w:szCs w:val="21"/>
                      <w:lang w:bidi="ar"/>
                    </w:rPr>
                  </w:pPr>
                  <w:r>
                    <w:rPr>
                      <w:szCs w:val="21"/>
                      <w:lang w:bidi="ar"/>
                    </w:rPr>
                    <w:t>250</w:t>
                  </w:r>
                </w:p>
              </w:tc>
            </w:tr>
          </w:tbl>
          <w:p w14:paraId="49F7DAF2">
            <w:pPr>
              <w:pStyle w:val="333"/>
              <w:numPr>
                <w:ilvl w:val="0"/>
                <w:numId w:val="8"/>
              </w:numPr>
              <w:adjustRightInd w:val="0"/>
              <w:snapToGrid w:val="0"/>
              <w:spacing w:line="360" w:lineRule="auto"/>
              <w:ind w:left="0" w:firstLine="0" w:firstLineChars="0"/>
              <w:jc w:val="center"/>
              <w:rPr>
                <w:b/>
                <w:bCs/>
                <w:kern w:val="0"/>
                <w:szCs w:val="21"/>
              </w:rPr>
            </w:pPr>
            <w:r>
              <w:rPr>
                <w:b/>
                <w:bCs/>
                <w:kern w:val="0"/>
                <w:szCs w:val="21"/>
              </w:rPr>
              <w:t xml:space="preserve"> 建设用地土壤污染风险筛选值  单位：mg/kg</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14:paraId="26B0C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restart"/>
                  <w:tcBorders>
                    <w:tl2br w:val="nil"/>
                    <w:tr2bl w:val="nil"/>
                  </w:tcBorders>
                  <w:vAlign w:val="center"/>
                </w:tcPr>
                <w:p w14:paraId="2CA9AA16">
                  <w:pPr>
                    <w:jc w:val="center"/>
                    <w:rPr>
                      <w:b/>
                      <w:bCs/>
                      <w:szCs w:val="21"/>
                      <w:lang w:bidi="ar"/>
                    </w:rPr>
                  </w:pPr>
                  <w:r>
                    <w:rPr>
                      <w:b/>
                      <w:bCs/>
                      <w:szCs w:val="21"/>
                      <w:lang w:bidi="ar"/>
                    </w:rPr>
                    <w:t>序号</w:t>
                  </w:r>
                </w:p>
              </w:tc>
              <w:tc>
                <w:tcPr>
                  <w:tcW w:w="2410" w:type="dxa"/>
                  <w:vMerge w:val="restart"/>
                  <w:tcBorders>
                    <w:tl2br w:val="nil"/>
                    <w:tr2bl w:val="nil"/>
                  </w:tcBorders>
                  <w:vAlign w:val="center"/>
                </w:tcPr>
                <w:p w14:paraId="30B7EF43">
                  <w:pPr>
                    <w:jc w:val="center"/>
                    <w:rPr>
                      <w:b/>
                      <w:bCs/>
                      <w:szCs w:val="21"/>
                      <w:lang w:bidi="ar"/>
                    </w:rPr>
                  </w:pPr>
                  <w:r>
                    <w:rPr>
                      <w:b/>
                      <w:bCs/>
                      <w:szCs w:val="21"/>
                      <w:lang w:bidi="ar"/>
                    </w:rPr>
                    <w:t>污染物项目</w:t>
                  </w:r>
                </w:p>
              </w:tc>
              <w:tc>
                <w:tcPr>
                  <w:tcW w:w="4504" w:type="dxa"/>
                  <w:tcBorders>
                    <w:tl2br w:val="nil"/>
                    <w:tr2bl w:val="nil"/>
                  </w:tcBorders>
                  <w:vAlign w:val="center"/>
                </w:tcPr>
                <w:p w14:paraId="6A5BB2A6">
                  <w:pPr>
                    <w:jc w:val="center"/>
                    <w:rPr>
                      <w:szCs w:val="21"/>
                      <w:lang w:bidi="ar"/>
                    </w:rPr>
                  </w:pPr>
                  <w:r>
                    <w:rPr>
                      <w:szCs w:val="21"/>
                      <w:lang w:bidi="ar"/>
                    </w:rPr>
                    <w:t>风险筛选值</w:t>
                  </w:r>
                </w:p>
              </w:tc>
            </w:tr>
            <w:tr w14:paraId="57DAD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14:paraId="0847826E">
                  <w:pPr>
                    <w:jc w:val="center"/>
                    <w:rPr>
                      <w:szCs w:val="21"/>
                      <w:lang w:bidi="ar"/>
                    </w:rPr>
                  </w:pPr>
                </w:p>
              </w:tc>
              <w:tc>
                <w:tcPr>
                  <w:tcW w:w="2410" w:type="dxa"/>
                  <w:vMerge w:val="continue"/>
                  <w:tcBorders>
                    <w:tl2br w:val="nil"/>
                    <w:tr2bl w:val="nil"/>
                  </w:tcBorders>
                  <w:vAlign w:val="center"/>
                </w:tcPr>
                <w:p w14:paraId="092FCFA7">
                  <w:pPr>
                    <w:jc w:val="center"/>
                    <w:rPr>
                      <w:szCs w:val="21"/>
                      <w:lang w:bidi="ar"/>
                    </w:rPr>
                  </w:pPr>
                </w:p>
              </w:tc>
              <w:tc>
                <w:tcPr>
                  <w:tcW w:w="4504" w:type="dxa"/>
                  <w:tcBorders>
                    <w:tl2br w:val="nil"/>
                    <w:tr2bl w:val="nil"/>
                  </w:tcBorders>
                  <w:vAlign w:val="center"/>
                </w:tcPr>
                <w:p w14:paraId="622ACB71">
                  <w:pPr>
                    <w:jc w:val="center"/>
                    <w:rPr>
                      <w:szCs w:val="21"/>
                      <w:lang w:bidi="ar"/>
                    </w:rPr>
                  </w:pPr>
                  <w:r>
                    <w:rPr>
                      <w:szCs w:val="21"/>
                      <w:lang w:bidi="ar"/>
                    </w:rPr>
                    <w:t>第二类用地</w:t>
                  </w:r>
                </w:p>
              </w:tc>
            </w:tr>
            <w:tr w14:paraId="7057A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14:paraId="6F300EFA">
                  <w:pPr>
                    <w:jc w:val="center"/>
                    <w:rPr>
                      <w:szCs w:val="21"/>
                      <w:lang w:bidi="ar"/>
                    </w:rPr>
                  </w:pPr>
                  <w:r>
                    <w:rPr>
                      <w:szCs w:val="21"/>
                      <w:lang w:bidi="ar"/>
                    </w:rPr>
                    <w:t>1</w:t>
                  </w:r>
                </w:p>
              </w:tc>
              <w:tc>
                <w:tcPr>
                  <w:tcW w:w="2410" w:type="dxa"/>
                  <w:tcBorders>
                    <w:tl2br w:val="nil"/>
                    <w:tr2bl w:val="nil"/>
                  </w:tcBorders>
                  <w:vAlign w:val="center"/>
                </w:tcPr>
                <w:p w14:paraId="36DE3BB5">
                  <w:pPr>
                    <w:jc w:val="center"/>
                    <w:rPr>
                      <w:szCs w:val="21"/>
                      <w:lang w:bidi="ar"/>
                    </w:rPr>
                  </w:pPr>
                  <w:r>
                    <w:rPr>
                      <w:szCs w:val="21"/>
                      <w:lang w:bidi="ar"/>
                    </w:rPr>
                    <w:t>石油烃</w:t>
                  </w:r>
                </w:p>
              </w:tc>
              <w:tc>
                <w:tcPr>
                  <w:tcW w:w="4504" w:type="dxa"/>
                  <w:tcBorders>
                    <w:tl2br w:val="nil"/>
                    <w:tr2bl w:val="nil"/>
                  </w:tcBorders>
                  <w:vAlign w:val="center"/>
                </w:tcPr>
                <w:p w14:paraId="182B1D6B">
                  <w:pPr>
                    <w:jc w:val="center"/>
                    <w:rPr>
                      <w:szCs w:val="21"/>
                      <w:lang w:bidi="ar"/>
                    </w:rPr>
                  </w:pPr>
                  <w:r>
                    <w:rPr>
                      <w:szCs w:val="21"/>
                      <w:lang w:bidi="ar"/>
                    </w:rPr>
                    <w:t>4500</w:t>
                  </w:r>
                </w:p>
              </w:tc>
            </w:tr>
          </w:tbl>
          <w:p w14:paraId="71E5D67A">
            <w:pPr>
              <w:adjustRightInd w:val="0"/>
              <w:snapToGrid w:val="0"/>
              <w:spacing w:line="360" w:lineRule="auto"/>
              <w:rPr>
                <w:b/>
                <w:bCs/>
                <w:kern w:val="0"/>
                <w:sz w:val="24"/>
              </w:rPr>
            </w:pPr>
            <w:r>
              <w:rPr>
                <w:b/>
                <w:bCs/>
                <w:kern w:val="0"/>
                <w:sz w:val="24"/>
              </w:rPr>
              <w:t>3.6污染物排放标准</w:t>
            </w:r>
          </w:p>
          <w:p w14:paraId="26AB4108">
            <w:pPr>
              <w:pStyle w:val="19"/>
              <w:spacing w:before="0" w:after="0" w:line="360" w:lineRule="auto"/>
              <w:ind w:right="0" w:firstLine="480" w:firstLineChars="200"/>
              <w:rPr>
                <w:sz w:val="24"/>
                <w:szCs w:val="24"/>
              </w:rPr>
            </w:pPr>
            <w:r>
              <w:rPr>
                <w:sz w:val="24"/>
                <w:szCs w:val="24"/>
              </w:rPr>
              <w:t>1、废气</w:t>
            </w:r>
          </w:p>
          <w:p w14:paraId="76A943EB">
            <w:pPr>
              <w:spacing w:line="360" w:lineRule="auto"/>
              <w:ind w:firstLine="480" w:firstLineChars="200"/>
              <w:rPr>
                <w:sz w:val="24"/>
              </w:rPr>
            </w:pPr>
            <w:r>
              <w:rPr>
                <w:sz w:val="24"/>
              </w:rPr>
              <w:t>大气污染物排放标准执行《大气污染物综合排放标准》（GB16297-1996）中二级标准。</w:t>
            </w:r>
          </w:p>
          <w:p w14:paraId="36309281">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大气污染物综合排放标准  单位：mg/m</w:t>
            </w:r>
            <w:r>
              <w:rPr>
                <w:b/>
                <w:bCs/>
                <w:kern w:val="0"/>
                <w:sz w:val="24"/>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4373"/>
            </w:tblGrid>
            <w:tr w14:paraId="0981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restart"/>
                  <w:tcBorders>
                    <w:top w:val="single" w:color="auto" w:sz="12" w:space="0"/>
                  </w:tcBorders>
                  <w:vAlign w:val="center"/>
                </w:tcPr>
                <w:p w14:paraId="133E4549">
                  <w:pPr>
                    <w:jc w:val="center"/>
                    <w:rPr>
                      <w:szCs w:val="21"/>
                      <w:lang w:bidi="ar"/>
                    </w:rPr>
                  </w:pPr>
                  <w:r>
                    <w:rPr>
                      <w:szCs w:val="21"/>
                      <w:lang w:bidi="ar"/>
                    </w:rPr>
                    <w:t>排放方式</w:t>
                  </w:r>
                </w:p>
              </w:tc>
              <w:tc>
                <w:tcPr>
                  <w:tcW w:w="4509" w:type="dxa"/>
                  <w:tcBorders>
                    <w:top w:val="single" w:color="auto" w:sz="12" w:space="0"/>
                    <w:right w:val="single" w:color="auto" w:sz="12" w:space="0"/>
                  </w:tcBorders>
                  <w:vAlign w:val="center"/>
                </w:tcPr>
                <w:p w14:paraId="4E5D376A">
                  <w:pPr>
                    <w:jc w:val="center"/>
                    <w:rPr>
                      <w:szCs w:val="21"/>
                      <w:lang w:bidi="ar"/>
                    </w:rPr>
                  </w:pPr>
                  <w:r>
                    <w:rPr>
                      <w:szCs w:val="21"/>
                      <w:lang w:bidi="ar"/>
                    </w:rPr>
                    <w:t>颗粒物</w:t>
                  </w:r>
                </w:p>
              </w:tc>
            </w:tr>
            <w:tr w14:paraId="2B75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continue"/>
                  <w:tcBorders>
                    <w:left w:val="single" w:color="auto" w:sz="4" w:space="0"/>
                  </w:tcBorders>
                  <w:vAlign w:val="center"/>
                </w:tcPr>
                <w:p w14:paraId="42210C68">
                  <w:pPr>
                    <w:jc w:val="center"/>
                    <w:rPr>
                      <w:szCs w:val="21"/>
                      <w:lang w:bidi="ar"/>
                    </w:rPr>
                  </w:pPr>
                </w:p>
              </w:tc>
              <w:tc>
                <w:tcPr>
                  <w:tcW w:w="4509" w:type="dxa"/>
                  <w:tcBorders>
                    <w:right w:val="single" w:color="auto" w:sz="12" w:space="0"/>
                  </w:tcBorders>
                  <w:vAlign w:val="center"/>
                </w:tcPr>
                <w:p w14:paraId="6DB67267">
                  <w:pPr>
                    <w:jc w:val="center"/>
                    <w:rPr>
                      <w:szCs w:val="21"/>
                      <w:lang w:bidi="ar"/>
                    </w:rPr>
                  </w:pPr>
                  <w:r>
                    <w:rPr>
                      <w:szCs w:val="21"/>
                      <w:lang w:bidi="ar"/>
                    </w:rPr>
                    <w:t>二级</w:t>
                  </w:r>
                </w:p>
              </w:tc>
            </w:tr>
            <w:tr w14:paraId="046D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tcBorders>
                    <w:left w:val="single" w:color="auto" w:sz="4" w:space="0"/>
                    <w:bottom w:val="single" w:color="auto" w:sz="12" w:space="0"/>
                  </w:tcBorders>
                  <w:vAlign w:val="center"/>
                </w:tcPr>
                <w:p w14:paraId="5F779DEC">
                  <w:pPr>
                    <w:jc w:val="center"/>
                    <w:rPr>
                      <w:szCs w:val="21"/>
                      <w:lang w:bidi="ar"/>
                    </w:rPr>
                  </w:pPr>
                  <w:r>
                    <w:rPr>
                      <w:szCs w:val="21"/>
                      <w:lang w:bidi="ar"/>
                    </w:rPr>
                    <w:t>无组织排放</w:t>
                  </w:r>
                </w:p>
              </w:tc>
              <w:tc>
                <w:tcPr>
                  <w:tcW w:w="4509" w:type="dxa"/>
                  <w:tcBorders>
                    <w:bottom w:val="single" w:color="auto" w:sz="12" w:space="0"/>
                    <w:right w:val="single" w:color="auto" w:sz="12" w:space="0"/>
                  </w:tcBorders>
                  <w:vAlign w:val="center"/>
                </w:tcPr>
                <w:p w14:paraId="7A8909D5">
                  <w:pPr>
                    <w:jc w:val="center"/>
                    <w:rPr>
                      <w:szCs w:val="21"/>
                      <w:lang w:bidi="ar"/>
                    </w:rPr>
                  </w:pPr>
                  <w:r>
                    <w:rPr>
                      <w:szCs w:val="21"/>
                      <w:lang w:bidi="ar"/>
                    </w:rPr>
                    <w:t>1.0</w:t>
                  </w:r>
                </w:p>
              </w:tc>
            </w:tr>
          </w:tbl>
          <w:p w14:paraId="2D804C99">
            <w:pPr>
              <w:spacing w:line="360" w:lineRule="auto"/>
              <w:ind w:firstLine="480" w:firstLineChars="200"/>
              <w:rPr>
                <w:sz w:val="24"/>
              </w:rPr>
            </w:pPr>
            <w:r>
              <w:rPr>
                <w:sz w:val="24"/>
              </w:rPr>
              <w:t>其中非甲烷总烃执行《陆上石油天然气开采工业大气污染物排放标准》（GB 39728-2020），详见表3-2</w:t>
            </w:r>
            <w:r>
              <w:rPr>
                <w:rFonts w:hint="eastAsia"/>
                <w:sz w:val="24"/>
              </w:rPr>
              <w:t>4</w:t>
            </w:r>
            <w:r>
              <w:rPr>
                <w:sz w:val="24"/>
              </w:rPr>
              <w:t>。</w:t>
            </w:r>
          </w:p>
          <w:p w14:paraId="7CAA80A8">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 xml:space="preserve">  陆上石油天然气开采工业大气污染物排放标准  单位：mg/m</w:t>
            </w:r>
            <w:r>
              <w:rPr>
                <w:b/>
                <w:bCs/>
                <w:kern w:val="0"/>
                <w:sz w:val="24"/>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1576"/>
              <w:gridCol w:w="1955"/>
            </w:tblGrid>
            <w:tr w14:paraId="0E88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12" w:space="0"/>
                    <w:left w:val="single" w:color="auto" w:sz="4" w:space="0"/>
                    <w:bottom w:val="single" w:color="auto" w:sz="4" w:space="0"/>
                    <w:right w:val="single" w:color="auto" w:sz="4" w:space="0"/>
                  </w:tcBorders>
                  <w:vAlign w:val="center"/>
                </w:tcPr>
                <w:p w14:paraId="1EE0D7C4">
                  <w:pPr>
                    <w:jc w:val="center"/>
                    <w:rPr>
                      <w:szCs w:val="21"/>
                      <w:lang w:bidi="ar"/>
                    </w:rPr>
                  </w:pPr>
                  <w:r>
                    <w:rPr>
                      <w:szCs w:val="21"/>
                      <w:lang w:bidi="ar"/>
                    </w:rPr>
                    <w:t>标准</w:t>
                  </w:r>
                </w:p>
              </w:tc>
              <w:tc>
                <w:tcPr>
                  <w:tcW w:w="1600" w:type="dxa"/>
                  <w:tcBorders>
                    <w:top w:val="single" w:color="auto" w:sz="12" w:space="0"/>
                    <w:left w:val="single" w:color="auto" w:sz="4" w:space="0"/>
                    <w:bottom w:val="single" w:color="auto" w:sz="4" w:space="0"/>
                    <w:right w:val="single" w:color="auto" w:sz="4" w:space="0"/>
                  </w:tcBorders>
                  <w:vAlign w:val="center"/>
                </w:tcPr>
                <w:p w14:paraId="7CBF5039">
                  <w:pPr>
                    <w:jc w:val="center"/>
                    <w:rPr>
                      <w:szCs w:val="21"/>
                      <w:lang w:bidi="ar"/>
                    </w:rPr>
                  </w:pPr>
                  <w:r>
                    <w:rPr>
                      <w:szCs w:val="21"/>
                      <w:lang w:bidi="ar"/>
                    </w:rPr>
                    <w:t>项目</w:t>
                  </w:r>
                </w:p>
              </w:tc>
              <w:tc>
                <w:tcPr>
                  <w:tcW w:w="1987" w:type="dxa"/>
                  <w:tcBorders>
                    <w:top w:val="single" w:color="auto" w:sz="12" w:space="0"/>
                    <w:left w:val="single" w:color="auto" w:sz="4" w:space="0"/>
                    <w:bottom w:val="single" w:color="auto" w:sz="4" w:space="0"/>
                    <w:right w:val="single" w:color="auto" w:sz="12" w:space="0"/>
                  </w:tcBorders>
                  <w:vAlign w:val="center"/>
                </w:tcPr>
                <w:p w14:paraId="398EE16D">
                  <w:pPr>
                    <w:jc w:val="center"/>
                    <w:rPr>
                      <w:szCs w:val="21"/>
                      <w:lang w:bidi="ar"/>
                    </w:rPr>
                  </w:pPr>
                  <w:r>
                    <w:rPr>
                      <w:szCs w:val="21"/>
                      <w:lang w:bidi="ar"/>
                    </w:rPr>
                    <w:t>非甲烷总烃</w:t>
                  </w:r>
                </w:p>
              </w:tc>
            </w:tr>
            <w:tr w14:paraId="4A2F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4" w:space="0"/>
                    <w:left w:val="single" w:color="auto" w:sz="4" w:space="0"/>
                    <w:bottom w:val="single" w:color="auto" w:sz="12" w:space="0"/>
                    <w:right w:val="single" w:color="auto" w:sz="4" w:space="0"/>
                  </w:tcBorders>
                  <w:vAlign w:val="center"/>
                </w:tcPr>
                <w:p w14:paraId="4A15D13A">
                  <w:pPr>
                    <w:jc w:val="center"/>
                    <w:rPr>
                      <w:szCs w:val="21"/>
                      <w:lang w:bidi="ar"/>
                    </w:rPr>
                  </w:pPr>
                  <w:r>
                    <w:rPr>
                      <w:szCs w:val="21"/>
                      <w:lang w:bidi="ar"/>
                    </w:rPr>
                    <w:t>陆上石油天然气开采工业大气污染物排放标准</w:t>
                  </w:r>
                </w:p>
              </w:tc>
              <w:tc>
                <w:tcPr>
                  <w:tcW w:w="1600" w:type="dxa"/>
                  <w:tcBorders>
                    <w:top w:val="single" w:color="auto" w:sz="4" w:space="0"/>
                    <w:left w:val="single" w:color="auto" w:sz="4" w:space="0"/>
                    <w:bottom w:val="single" w:color="auto" w:sz="12" w:space="0"/>
                    <w:right w:val="single" w:color="auto" w:sz="4" w:space="0"/>
                  </w:tcBorders>
                  <w:vAlign w:val="center"/>
                </w:tcPr>
                <w:p w14:paraId="0920EA2A">
                  <w:pPr>
                    <w:jc w:val="center"/>
                    <w:rPr>
                      <w:szCs w:val="21"/>
                      <w:lang w:bidi="ar"/>
                    </w:rPr>
                  </w:pPr>
                  <w:r>
                    <w:rPr>
                      <w:szCs w:val="21"/>
                      <w:lang w:bidi="ar"/>
                    </w:rPr>
                    <w:t>边界浓度</w:t>
                  </w:r>
                </w:p>
              </w:tc>
              <w:tc>
                <w:tcPr>
                  <w:tcW w:w="1987" w:type="dxa"/>
                  <w:tcBorders>
                    <w:top w:val="single" w:color="auto" w:sz="4" w:space="0"/>
                    <w:left w:val="single" w:color="auto" w:sz="4" w:space="0"/>
                    <w:bottom w:val="single" w:color="auto" w:sz="12" w:space="0"/>
                    <w:right w:val="single" w:color="auto" w:sz="12" w:space="0"/>
                  </w:tcBorders>
                  <w:vAlign w:val="center"/>
                </w:tcPr>
                <w:p w14:paraId="46A40FA9">
                  <w:pPr>
                    <w:jc w:val="center"/>
                    <w:rPr>
                      <w:szCs w:val="21"/>
                      <w:lang w:bidi="ar"/>
                    </w:rPr>
                  </w:pPr>
                  <w:r>
                    <w:rPr>
                      <w:szCs w:val="21"/>
                      <w:lang w:bidi="ar"/>
                    </w:rPr>
                    <w:t>4.0</w:t>
                  </w:r>
                </w:p>
              </w:tc>
            </w:tr>
          </w:tbl>
          <w:p w14:paraId="47BEC95E">
            <w:pPr>
              <w:pStyle w:val="19"/>
              <w:spacing w:before="0" w:after="0" w:line="360" w:lineRule="auto"/>
              <w:ind w:right="0" w:firstLine="480" w:firstLineChars="200"/>
              <w:rPr>
                <w:sz w:val="24"/>
                <w:szCs w:val="24"/>
              </w:rPr>
            </w:pPr>
            <w:r>
              <w:rPr>
                <w:sz w:val="24"/>
                <w:szCs w:val="24"/>
              </w:rPr>
              <w:t>2、废水</w:t>
            </w:r>
          </w:p>
          <w:p w14:paraId="4F6F831F">
            <w:pPr>
              <w:spacing w:line="360" w:lineRule="auto"/>
              <w:ind w:firstLine="480" w:firstLineChars="200"/>
              <w:rPr>
                <w:color w:val="0000FF"/>
                <w:sz w:val="24"/>
              </w:rPr>
            </w:pPr>
            <w:r>
              <w:rPr>
                <w:sz w:val="24"/>
              </w:rPr>
              <w:t>生活污水经生态一体化厕所收集后由吸污车拉运至</w:t>
            </w:r>
            <w:r>
              <w:rPr>
                <w:rFonts w:hint="eastAsia"/>
                <w:sz w:val="24"/>
              </w:rPr>
              <w:t>君塘镇</w:t>
            </w:r>
            <w:r>
              <w:rPr>
                <w:sz w:val="24"/>
              </w:rPr>
              <w:t>污水处理厂处理后排放。</w:t>
            </w:r>
            <w:r>
              <w:rPr>
                <w:color w:val="0000FF"/>
                <w:sz w:val="24"/>
              </w:rPr>
              <w:t>钻井废水</w:t>
            </w:r>
            <w:r>
              <w:rPr>
                <w:rFonts w:hint="eastAsia"/>
                <w:color w:val="0000FF"/>
                <w:sz w:val="24"/>
              </w:rPr>
              <w:t>、压裂返排液</w:t>
            </w:r>
            <w:r>
              <w:rPr>
                <w:color w:val="0000FF"/>
                <w:sz w:val="24"/>
              </w:rPr>
              <w:t>不能回用时通过密闭罐车定期拉运至</w:t>
            </w:r>
            <w:r>
              <w:rPr>
                <w:rFonts w:hint="eastAsia"/>
                <w:color w:val="0000FF"/>
                <w:sz w:val="24"/>
              </w:rPr>
              <w:t>赵家坝污水处理站</w:t>
            </w:r>
            <w:r>
              <w:rPr>
                <w:color w:val="0000FF"/>
                <w:sz w:val="24"/>
              </w:rPr>
              <w:t>处理达标后</w:t>
            </w:r>
            <w:r>
              <w:rPr>
                <w:rFonts w:hint="eastAsia"/>
                <w:color w:val="0000FF"/>
                <w:sz w:val="24"/>
              </w:rPr>
              <w:t>由罐车拉运至普光3井等回注站</w:t>
            </w:r>
            <w:r>
              <w:rPr>
                <w:color w:val="0000FF"/>
                <w:sz w:val="24"/>
              </w:rPr>
              <w:t>回注。</w:t>
            </w:r>
          </w:p>
          <w:p w14:paraId="7242C5C5">
            <w:pPr>
              <w:pStyle w:val="19"/>
              <w:spacing w:before="0" w:after="0" w:line="360" w:lineRule="auto"/>
              <w:ind w:right="0" w:firstLine="480" w:firstLineChars="200"/>
              <w:rPr>
                <w:sz w:val="24"/>
                <w:szCs w:val="24"/>
              </w:rPr>
            </w:pPr>
            <w:r>
              <w:rPr>
                <w:sz w:val="24"/>
                <w:szCs w:val="24"/>
              </w:rPr>
              <w:t>3、噪声</w:t>
            </w:r>
          </w:p>
          <w:p w14:paraId="2E4DDF43">
            <w:pPr>
              <w:pStyle w:val="19"/>
              <w:spacing w:before="0" w:after="0" w:line="360" w:lineRule="auto"/>
              <w:ind w:right="0" w:firstLine="480" w:firstLineChars="200"/>
              <w:rPr>
                <w:sz w:val="24"/>
                <w:szCs w:val="24"/>
              </w:rPr>
            </w:pPr>
            <w:r>
              <w:rPr>
                <w:sz w:val="24"/>
                <w:szCs w:val="24"/>
              </w:rPr>
              <w:t>建筑施工期间噪声执行《建筑施工场界环境噪声排放标准》（GB12523-2011）各施工阶段标准。</w:t>
            </w:r>
          </w:p>
          <w:p w14:paraId="67534281">
            <w:pPr>
              <w:pStyle w:val="333"/>
              <w:numPr>
                <w:ilvl w:val="0"/>
                <w:numId w:val="8"/>
              </w:numPr>
              <w:adjustRightInd w:val="0"/>
              <w:snapToGrid w:val="0"/>
              <w:spacing w:line="360" w:lineRule="auto"/>
              <w:ind w:left="0" w:firstLine="0" w:firstLineChars="0"/>
              <w:jc w:val="center"/>
              <w:rPr>
                <w:b/>
                <w:bCs/>
                <w:kern w:val="0"/>
                <w:sz w:val="24"/>
              </w:rPr>
            </w:pPr>
            <w:r>
              <w:rPr>
                <w:b/>
                <w:bCs/>
                <w:kern w:val="0"/>
                <w:sz w:val="24"/>
              </w:rPr>
              <w:t>建筑施工场界环境噪声排放标准  单位：dB(A)</w:t>
            </w:r>
          </w:p>
          <w:tbl>
            <w:tblPr>
              <w:tblStyle w:val="44"/>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14:paraId="1CFF9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14:paraId="5762E96E">
                  <w:pPr>
                    <w:jc w:val="center"/>
                    <w:rPr>
                      <w:bCs/>
                      <w:szCs w:val="21"/>
                    </w:rPr>
                  </w:pPr>
                  <w:r>
                    <w:rPr>
                      <w:bCs/>
                      <w:szCs w:val="21"/>
                    </w:rPr>
                    <w:t>时段</w:t>
                  </w:r>
                </w:p>
              </w:tc>
              <w:tc>
                <w:tcPr>
                  <w:tcW w:w="2750" w:type="dxa"/>
                  <w:tcBorders>
                    <w:tl2br w:val="nil"/>
                    <w:tr2bl w:val="nil"/>
                  </w:tcBorders>
                  <w:vAlign w:val="center"/>
                </w:tcPr>
                <w:p w14:paraId="5649614F">
                  <w:pPr>
                    <w:jc w:val="center"/>
                    <w:rPr>
                      <w:bCs/>
                      <w:szCs w:val="21"/>
                    </w:rPr>
                  </w:pPr>
                  <w:r>
                    <w:rPr>
                      <w:bCs/>
                      <w:szCs w:val="21"/>
                    </w:rPr>
                    <w:t>昼间</w:t>
                  </w:r>
                </w:p>
              </w:tc>
              <w:tc>
                <w:tcPr>
                  <w:tcW w:w="2579" w:type="dxa"/>
                  <w:tcBorders>
                    <w:tl2br w:val="nil"/>
                    <w:tr2bl w:val="nil"/>
                  </w:tcBorders>
                  <w:vAlign w:val="center"/>
                </w:tcPr>
                <w:p w14:paraId="6796B181">
                  <w:pPr>
                    <w:jc w:val="center"/>
                    <w:rPr>
                      <w:bCs/>
                      <w:szCs w:val="21"/>
                    </w:rPr>
                  </w:pPr>
                  <w:r>
                    <w:rPr>
                      <w:bCs/>
                      <w:szCs w:val="21"/>
                    </w:rPr>
                    <w:t>夜间</w:t>
                  </w:r>
                </w:p>
              </w:tc>
            </w:tr>
            <w:tr w14:paraId="11D33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14:paraId="683779A7">
                  <w:pPr>
                    <w:jc w:val="center"/>
                    <w:rPr>
                      <w:szCs w:val="21"/>
                    </w:rPr>
                  </w:pPr>
                  <w:r>
                    <w:rPr>
                      <w:szCs w:val="21"/>
                    </w:rPr>
                    <w:t>限值</w:t>
                  </w:r>
                </w:p>
              </w:tc>
              <w:tc>
                <w:tcPr>
                  <w:tcW w:w="2750" w:type="dxa"/>
                  <w:tcBorders>
                    <w:tl2br w:val="nil"/>
                    <w:tr2bl w:val="nil"/>
                  </w:tcBorders>
                  <w:vAlign w:val="center"/>
                </w:tcPr>
                <w:p w14:paraId="3AB6D7E2">
                  <w:pPr>
                    <w:jc w:val="center"/>
                    <w:rPr>
                      <w:szCs w:val="21"/>
                    </w:rPr>
                  </w:pPr>
                  <w:r>
                    <w:rPr>
                      <w:szCs w:val="21"/>
                    </w:rPr>
                    <w:t>70</w:t>
                  </w:r>
                </w:p>
              </w:tc>
              <w:tc>
                <w:tcPr>
                  <w:tcW w:w="2579" w:type="dxa"/>
                  <w:tcBorders>
                    <w:tl2br w:val="nil"/>
                    <w:tr2bl w:val="nil"/>
                  </w:tcBorders>
                  <w:vAlign w:val="center"/>
                </w:tcPr>
                <w:p w14:paraId="49111317">
                  <w:pPr>
                    <w:jc w:val="center"/>
                    <w:rPr>
                      <w:szCs w:val="21"/>
                    </w:rPr>
                  </w:pPr>
                  <w:r>
                    <w:rPr>
                      <w:szCs w:val="21"/>
                    </w:rPr>
                    <w:t>55</w:t>
                  </w:r>
                </w:p>
              </w:tc>
            </w:tr>
          </w:tbl>
          <w:p w14:paraId="6A7D5FFD">
            <w:pPr>
              <w:pStyle w:val="19"/>
              <w:spacing w:before="0" w:after="0" w:line="360" w:lineRule="auto"/>
              <w:ind w:right="0" w:firstLine="480" w:firstLineChars="200"/>
              <w:rPr>
                <w:sz w:val="24"/>
                <w:szCs w:val="24"/>
              </w:rPr>
            </w:pPr>
            <w:r>
              <w:rPr>
                <w:sz w:val="24"/>
                <w:szCs w:val="24"/>
              </w:rPr>
              <w:t>4、固体废弃物</w:t>
            </w:r>
          </w:p>
          <w:p w14:paraId="598CC6D8">
            <w:pPr>
              <w:spacing w:line="360" w:lineRule="auto"/>
              <w:ind w:firstLine="480" w:firstLineChars="200"/>
              <w:rPr>
                <w:kern w:val="0"/>
                <w:szCs w:val="21"/>
              </w:rPr>
            </w:pPr>
            <w:r>
              <w:rPr>
                <w:sz w:val="24"/>
              </w:rPr>
              <w:t>一般工业固体废物贮存过程中应满足相应的防渗漏、防雨淋、防扬尘等环境保护要求。危险废物执行《危险废物贮存污染控制标准》（GB 18597-2023）中相应标准。</w:t>
            </w:r>
          </w:p>
        </w:tc>
      </w:tr>
      <w:tr w14:paraId="08936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08650E4C">
            <w:pPr>
              <w:adjustRightInd w:val="0"/>
              <w:snapToGrid w:val="0"/>
              <w:jc w:val="center"/>
              <w:rPr>
                <w:kern w:val="0"/>
                <w:szCs w:val="21"/>
              </w:rPr>
            </w:pPr>
            <w:r>
              <w:rPr>
                <w:kern w:val="0"/>
                <w:szCs w:val="21"/>
              </w:rPr>
              <w:t>其他</w:t>
            </w:r>
          </w:p>
        </w:tc>
        <w:tc>
          <w:tcPr>
            <w:tcW w:w="8253" w:type="dxa"/>
            <w:vAlign w:val="center"/>
          </w:tcPr>
          <w:p w14:paraId="047A7E45">
            <w:pPr>
              <w:adjustRightInd w:val="0"/>
              <w:snapToGrid w:val="0"/>
              <w:spacing w:line="360" w:lineRule="auto"/>
              <w:ind w:firstLine="480" w:firstLineChars="200"/>
              <w:rPr>
                <w:rFonts w:hint="default"/>
                <w:bCs/>
              </w:rPr>
            </w:pPr>
            <w:r>
              <w:rPr>
                <w:bCs/>
                <w:sz w:val="24"/>
              </w:rPr>
              <w:t>根据实施总量控制的原则，结合本项目污染物排放的实际情况，工程周期短、废气排放量小，试气工程废水外运处理，生活污水交由当地污水处理厂处理，本次评价不设总量控制指标。</w:t>
            </w:r>
          </w:p>
          <w:p w14:paraId="3FB3E65B">
            <w:pPr>
              <w:pStyle w:val="53"/>
              <w:rPr>
                <w:rFonts w:hint="default"/>
                <w:bCs/>
              </w:rPr>
            </w:pPr>
          </w:p>
          <w:p w14:paraId="1FEEAEE8">
            <w:pPr>
              <w:pStyle w:val="53"/>
              <w:rPr>
                <w:rFonts w:hint="default"/>
                <w:bCs/>
              </w:rPr>
            </w:pPr>
          </w:p>
          <w:p w14:paraId="754DC967">
            <w:pPr>
              <w:pStyle w:val="53"/>
              <w:rPr>
                <w:rFonts w:hint="default"/>
                <w:bCs/>
              </w:rPr>
            </w:pPr>
          </w:p>
          <w:p w14:paraId="3C8ACFA9">
            <w:pPr>
              <w:pStyle w:val="53"/>
              <w:rPr>
                <w:rFonts w:hint="default"/>
                <w:bCs/>
              </w:rPr>
            </w:pPr>
          </w:p>
          <w:p w14:paraId="2BBA66CA">
            <w:pPr>
              <w:pStyle w:val="53"/>
              <w:rPr>
                <w:rFonts w:hint="default"/>
                <w:bCs/>
              </w:rPr>
            </w:pPr>
          </w:p>
          <w:p w14:paraId="14305990">
            <w:pPr>
              <w:pStyle w:val="53"/>
              <w:rPr>
                <w:rFonts w:hint="default"/>
                <w:bCs/>
              </w:rPr>
            </w:pPr>
          </w:p>
          <w:p w14:paraId="3DBC9373">
            <w:pPr>
              <w:pStyle w:val="53"/>
              <w:rPr>
                <w:rFonts w:hint="default"/>
                <w:bCs/>
              </w:rPr>
            </w:pPr>
          </w:p>
          <w:p w14:paraId="5E6D3EA5">
            <w:pPr>
              <w:pStyle w:val="53"/>
              <w:rPr>
                <w:rFonts w:hint="default"/>
                <w:bCs/>
              </w:rPr>
            </w:pPr>
          </w:p>
          <w:p w14:paraId="74195F73">
            <w:pPr>
              <w:pStyle w:val="53"/>
              <w:rPr>
                <w:rFonts w:hint="default"/>
                <w:bCs/>
              </w:rPr>
            </w:pPr>
          </w:p>
          <w:p w14:paraId="4B34B64F">
            <w:pPr>
              <w:pStyle w:val="53"/>
              <w:rPr>
                <w:rFonts w:hint="default"/>
                <w:bCs/>
              </w:rPr>
            </w:pPr>
          </w:p>
          <w:p w14:paraId="35D9F8B7">
            <w:pPr>
              <w:pStyle w:val="53"/>
              <w:rPr>
                <w:rFonts w:hint="default"/>
                <w:bCs/>
              </w:rPr>
            </w:pPr>
          </w:p>
          <w:p w14:paraId="7020469E">
            <w:pPr>
              <w:pStyle w:val="53"/>
              <w:rPr>
                <w:rFonts w:hint="default"/>
                <w:bCs/>
              </w:rPr>
            </w:pPr>
          </w:p>
          <w:p w14:paraId="10C35EC1">
            <w:pPr>
              <w:pStyle w:val="53"/>
              <w:rPr>
                <w:rFonts w:hint="default"/>
                <w:bCs/>
              </w:rPr>
            </w:pPr>
          </w:p>
          <w:p w14:paraId="64CA6E6D">
            <w:pPr>
              <w:pStyle w:val="53"/>
              <w:rPr>
                <w:rFonts w:hint="default"/>
                <w:bCs/>
              </w:rPr>
            </w:pPr>
          </w:p>
          <w:p w14:paraId="07976688">
            <w:pPr>
              <w:pStyle w:val="53"/>
              <w:rPr>
                <w:rFonts w:hint="default"/>
                <w:bCs/>
              </w:rPr>
            </w:pPr>
          </w:p>
          <w:p w14:paraId="0422DA68">
            <w:pPr>
              <w:pStyle w:val="53"/>
              <w:rPr>
                <w:rFonts w:hint="default"/>
                <w:bCs/>
              </w:rPr>
            </w:pPr>
          </w:p>
        </w:tc>
      </w:tr>
    </w:tbl>
    <w:p w14:paraId="28F110FE">
      <w:pPr>
        <w:pStyle w:val="38"/>
        <w:adjustRightInd w:val="0"/>
        <w:snapToGrid w:val="0"/>
        <w:spacing w:before="0" w:beforeAutospacing="0" w:after="0" w:afterAutospacing="0" w:line="14" w:lineRule="auto"/>
        <w:jc w:val="center"/>
        <w:rPr>
          <w:rFonts w:ascii="Times New Roman" w:hAnsi="Times New Roman" w:eastAsia="黑体"/>
          <w:snapToGrid w:val="0"/>
          <w:kern w:val="2"/>
          <w:sz w:val="21"/>
          <w:szCs w:val="21"/>
        </w:rPr>
      </w:pPr>
    </w:p>
    <w:p w14:paraId="51587996">
      <w:pPr>
        <w:pStyle w:val="38"/>
        <w:jc w:val="center"/>
        <w:outlineLvl w:val="0"/>
        <w:rPr>
          <w:rFonts w:ascii="Times New Roman" w:hAnsi="Times New Roman" w:eastAsia="黑体"/>
          <w:snapToGrid w:val="0"/>
          <w:sz w:val="21"/>
          <w:szCs w:val="21"/>
        </w:rPr>
      </w:pPr>
      <w:r>
        <w:rPr>
          <w:rFonts w:ascii="Times New Roman" w:hAnsi="Times New Roman" w:eastAsia="黑体"/>
          <w:snapToGrid w:val="0"/>
          <w:kern w:val="2"/>
          <w:sz w:val="21"/>
          <w:szCs w:val="21"/>
        </w:rPr>
        <w:br w:type="page"/>
      </w:r>
      <w:r>
        <w:rPr>
          <w:rFonts w:ascii="Times New Roman" w:hAnsi="Times New Roman" w:eastAsia="黑体"/>
          <w:snapToGrid w:val="0"/>
          <w:sz w:val="28"/>
          <w:szCs w:val="22"/>
        </w:rPr>
        <w:t>四、生态环境影响分析</w:t>
      </w:r>
    </w:p>
    <w:tbl>
      <w:tblPr>
        <w:tblStyle w:val="4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14:paraId="017B0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79" w:type="dxa"/>
            <w:tcMar>
              <w:left w:w="28" w:type="dxa"/>
              <w:right w:w="28" w:type="dxa"/>
            </w:tcMar>
            <w:vAlign w:val="center"/>
          </w:tcPr>
          <w:p w14:paraId="07603132">
            <w:pPr>
              <w:pStyle w:val="38"/>
              <w:widowControl w:val="0"/>
              <w:adjustRightInd w:val="0"/>
              <w:snapToGrid w:val="0"/>
              <w:spacing w:before="0" w:beforeAutospacing="0" w:after="0" w:afterAutospacing="0"/>
              <w:jc w:val="center"/>
              <w:rPr>
                <w:rFonts w:ascii="Times New Roman" w:hAnsi="Times New Roman"/>
                <w:bCs/>
                <w:kern w:val="2"/>
                <w:sz w:val="21"/>
                <w:szCs w:val="21"/>
              </w:rPr>
            </w:pPr>
            <w:bookmarkStart w:id="34" w:name="_Hlk49796138"/>
            <w:r>
              <w:rPr>
                <w:rFonts w:ascii="Times New Roman" w:hAnsi="Times New Roman"/>
                <w:bCs/>
                <w:spacing w:val="10"/>
                <w:kern w:val="2"/>
                <w:sz w:val="21"/>
                <w:szCs w:val="21"/>
              </w:rPr>
              <w:t>施工期生态环境影响分析</w:t>
            </w:r>
            <w:bookmarkEnd w:id="34"/>
          </w:p>
        </w:tc>
        <w:tc>
          <w:tcPr>
            <w:tcW w:w="8363" w:type="dxa"/>
          </w:tcPr>
          <w:p w14:paraId="5D413A64">
            <w:pPr>
              <w:spacing w:line="360" w:lineRule="auto"/>
              <w:rPr>
                <w:b/>
                <w:sz w:val="24"/>
              </w:rPr>
            </w:pPr>
            <w:r>
              <w:rPr>
                <w:b/>
                <w:sz w:val="24"/>
              </w:rPr>
              <w:t>4.1钻前工程污染源源强核算及环境影响分析</w:t>
            </w:r>
          </w:p>
          <w:p w14:paraId="4615B534">
            <w:pPr>
              <w:spacing w:line="360" w:lineRule="auto"/>
              <w:ind w:firstLine="480" w:firstLineChars="200"/>
              <w:rPr>
                <w:bCs/>
                <w:sz w:val="24"/>
              </w:rPr>
            </w:pPr>
            <w:r>
              <w:rPr>
                <w:bCs/>
                <w:sz w:val="24"/>
              </w:rPr>
              <w:t>钻前工程主要包括：新建井场、修建循环系统及设备的基础准备、井口设备准备、放喷池修建、清污分流系统以及施工营地板房布置等。</w:t>
            </w:r>
          </w:p>
          <w:p w14:paraId="3CDFB42B">
            <w:pPr>
              <w:spacing w:line="360" w:lineRule="auto"/>
              <w:rPr>
                <w:b/>
                <w:sz w:val="24"/>
              </w:rPr>
            </w:pPr>
            <w:r>
              <w:rPr>
                <w:b/>
                <w:sz w:val="24"/>
              </w:rPr>
              <w:t>4.1.1废气</w:t>
            </w:r>
          </w:p>
          <w:p w14:paraId="05567AAA">
            <w:pPr>
              <w:spacing w:line="360" w:lineRule="auto"/>
              <w:ind w:firstLine="480" w:firstLineChars="200"/>
              <w:rPr>
                <w:sz w:val="24"/>
              </w:rPr>
            </w:pPr>
            <w:r>
              <w:rPr>
                <w:sz w:val="24"/>
              </w:rPr>
              <w:t>（1）废气源强</w:t>
            </w:r>
          </w:p>
          <w:p w14:paraId="7A7ADB02">
            <w:pPr>
              <w:spacing w:line="360" w:lineRule="auto"/>
              <w:ind w:firstLine="480" w:firstLineChars="200"/>
              <w:rPr>
                <w:sz w:val="24"/>
              </w:rPr>
            </w:pPr>
            <w:r>
              <w:rPr>
                <w:sz w:val="24"/>
              </w:rPr>
              <w:t>钻前工程施工期产生的空气污染主要为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sz w:val="24"/>
                <w:vertAlign w:val="subscript"/>
              </w:rPr>
              <w:t>X</w:t>
            </w:r>
            <w:r>
              <w:rPr>
                <w:sz w:val="24"/>
              </w:rPr>
              <w:t>等。</w:t>
            </w:r>
          </w:p>
          <w:p w14:paraId="13F06091">
            <w:pPr>
              <w:spacing w:line="360" w:lineRule="auto"/>
              <w:ind w:firstLine="480" w:firstLineChars="200"/>
              <w:rPr>
                <w:sz w:val="24"/>
              </w:rPr>
            </w:pPr>
            <w:r>
              <w:rPr>
                <w:sz w:val="24"/>
              </w:rPr>
              <w:t>（2）环境影响分析</w:t>
            </w:r>
          </w:p>
          <w:p w14:paraId="00D42699">
            <w:pPr>
              <w:spacing w:line="360" w:lineRule="auto"/>
              <w:ind w:firstLine="480" w:firstLineChars="200"/>
              <w:rPr>
                <w:sz w:val="24"/>
              </w:rPr>
            </w:pPr>
            <w:r>
              <w:rPr>
                <w:rFonts w:hint="eastAsia"/>
                <w:sz w:val="24"/>
              </w:rPr>
              <w:t>本项目</w:t>
            </w:r>
            <w:r>
              <w:rPr>
                <w:sz w:val="24"/>
              </w:rPr>
              <w:t>钻前作业累计施工</w:t>
            </w:r>
            <w:r>
              <w:rPr>
                <w:rFonts w:hint="eastAsia"/>
                <w:sz w:val="24"/>
              </w:rPr>
              <w:t>时间</w:t>
            </w:r>
            <w:r>
              <w:rPr>
                <w:sz w:val="24"/>
              </w:rPr>
              <w:t>较短，施工现场采取洒水降尘</w:t>
            </w:r>
            <w:r>
              <w:rPr>
                <w:rFonts w:hint="eastAsia"/>
                <w:sz w:val="24"/>
              </w:rPr>
              <w:t>措施后</w:t>
            </w:r>
            <w:r>
              <w:rPr>
                <w:sz w:val="24"/>
              </w:rPr>
              <w:t>，不会对周围环境空气产生明显的不适影响，也不会对周边农业生产造成明显影响。总体看来，钻前作业不会对当地环境空气造成明显不利影响，对周围环境影响是可接受的。</w:t>
            </w:r>
            <w:r>
              <w:rPr>
                <w:sz w:val="24"/>
              </w:rPr>
              <w:cr/>
            </w:r>
            <w:r>
              <w:rPr>
                <w:b/>
                <w:sz w:val="24"/>
              </w:rPr>
              <w:t>4.1.2废水</w:t>
            </w:r>
          </w:p>
          <w:p w14:paraId="735C5AEA">
            <w:pPr>
              <w:spacing w:line="360" w:lineRule="auto"/>
              <w:ind w:firstLine="480" w:firstLineChars="200"/>
              <w:rPr>
                <w:sz w:val="24"/>
              </w:rPr>
            </w:pPr>
            <w:r>
              <w:rPr>
                <w:sz w:val="24"/>
              </w:rPr>
              <w:t>（1）废水</w:t>
            </w:r>
            <w:r>
              <w:rPr>
                <w:rFonts w:hint="eastAsia"/>
                <w:sz w:val="24"/>
              </w:rPr>
              <w:t>组成</w:t>
            </w:r>
          </w:p>
          <w:p w14:paraId="4BE7A705">
            <w:pPr>
              <w:spacing w:line="360" w:lineRule="auto"/>
              <w:ind w:firstLine="480" w:firstLineChars="200"/>
              <w:rPr>
                <w:sz w:val="24"/>
              </w:rPr>
            </w:pPr>
            <w:r>
              <w:rPr>
                <w:sz w:val="24"/>
              </w:rPr>
              <w:t>钻前工程废水由施工废水和生活污水两部分组成。钻前施工人员有30人，人均生活用水量按100L/d计，生活总用水量约3.0m</w:t>
            </w:r>
            <w:r>
              <w:rPr>
                <w:sz w:val="24"/>
                <w:vertAlign w:val="superscript"/>
              </w:rPr>
              <w:t>3</w:t>
            </w:r>
            <w:r>
              <w:rPr>
                <w:sz w:val="24"/>
              </w:rPr>
              <w:t>/d，施工工期约</w:t>
            </w:r>
            <w:r>
              <w:rPr>
                <w:rFonts w:hint="eastAsia"/>
                <w:sz w:val="24"/>
              </w:rPr>
              <w:t>4</w:t>
            </w:r>
            <w:r>
              <w:rPr>
                <w:sz w:val="24"/>
              </w:rPr>
              <w:t>个月，因此生活用水总量</w:t>
            </w:r>
            <w:r>
              <w:rPr>
                <w:rFonts w:hint="eastAsia"/>
                <w:sz w:val="24"/>
              </w:rPr>
              <w:t>360</w:t>
            </w:r>
            <w:r>
              <w:rPr>
                <w:sz w:val="24"/>
              </w:rPr>
              <w:t>m</w:t>
            </w:r>
            <w:r>
              <w:rPr>
                <w:sz w:val="24"/>
                <w:vertAlign w:val="superscript"/>
              </w:rPr>
              <w:t>3</w:t>
            </w:r>
            <w:r>
              <w:rPr>
                <w:sz w:val="24"/>
              </w:rPr>
              <w:t>。产污系数取0.9，则生活污水量2.7m</w:t>
            </w:r>
            <w:r>
              <w:rPr>
                <w:sz w:val="24"/>
                <w:vertAlign w:val="superscript"/>
              </w:rPr>
              <w:t>3</w:t>
            </w:r>
            <w:r>
              <w:rPr>
                <w:sz w:val="24"/>
              </w:rPr>
              <w:t>/d，生活污水总量为</w:t>
            </w:r>
            <w:r>
              <w:rPr>
                <w:rFonts w:hint="eastAsia"/>
                <w:sz w:val="24"/>
              </w:rPr>
              <w:t>324</w:t>
            </w:r>
            <w:r>
              <w:rPr>
                <w:sz w:val="24"/>
              </w:rPr>
              <w:t>m</w:t>
            </w:r>
            <w:r>
              <w:rPr>
                <w:sz w:val="24"/>
                <w:vertAlign w:val="superscript"/>
              </w:rPr>
              <w:t>3</w:t>
            </w:r>
            <w:r>
              <w:rPr>
                <w:sz w:val="24"/>
              </w:rPr>
              <w:t>，主要污染物为COD、BOD</w:t>
            </w:r>
            <w:r>
              <w:rPr>
                <w:sz w:val="24"/>
                <w:vertAlign w:val="subscript"/>
              </w:rPr>
              <w:t>5</w:t>
            </w:r>
            <w:r>
              <w:rPr>
                <w:sz w:val="24"/>
              </w:rPr>
              <w:t>、SS、NH</w:t>
            </w:r>
            <w:r>
              <w:rPr>
                <w:sz w:val="24"/>
                <w:vertAlign w:val="subscript"/>
              </w:rPr>
              <w:t>3</w:t>
            </w:r>
            <w:r>
              <w:rPr>
                <w:sz w:val="24"/>
              </w:rPr>
              <w:t>-N，浓度依次约400mg/L、200mg/L、300mg/L、25mg/L。</w:t>
            </w:r>
          </w:p>
          <w:p w14:paraId="2665948C">
            <w:pPr>
              <w:spacing w:line="360" w:lineRule="auto"/>
              <w:ind w:firstLine="480" w:firstLineChars="200"/>
              <w:rPr>
                <w:sz w:val="24"/>
              </w:rPr>
            </w:pPr>
            <w:r>
              <w:rPr>
                <w:sz w:val="24"/>
              </w:rPr>
              <w:t>（2）环境影响分析</w:t>
            </w:r>
          </w:p>
          <w:p w14:paraId="76DF487F">
            <w:pPr>
              <w:spacing w:line="360" w:lineRule="auto"/>
              <w:ind w:firstLine="480" w:firstLineChars="200"/>
              <w:rPr>
                <w:sz w:val="24"/>
              </w:rPr>
            </w:pPr>
            <w:r>
              <w:rPr>
                <w:sz w:val="24"/>
              </w:rPr>
              <w:t>钻前施工废水来自井场基础建设产生的废水主要来自砂石骨料加工、混凝土搅拌及养护等过程。</w:t>
            </w:r>
          </w:p>
          <w:p w14:paraId="36AA390F">
            <w:pPr>
              <w:spacing w:line="360" w:lineRule="auto"/>
              <w:ind w:firstLine="480" w:firstLineChars="200"/>
              <w:rPr>
                <w:sz w:val="24"/>
              </w:rPr>
            </w:pPr>
            <w:r>
              <w:rPr>
                <w:sz w:val="24"/>
              </w:rPr>
              <w:t>项目产生的生活污水利用农户已建设施处理；施工废水循环利用于洒水抑尘，无施工废水排放。不会对周边地表水环境造成明显不利影响。</w:t>
            </w:r>
          </w:p>
          <w:p w14:paraId="0DC90380">
            <w:pPr>
              <w:spacing w:line="360" w:lineRule="auto"/>
              <w:rPr>
                <w:b/>
                <w:sz w:val="24"/>
              </w:rPr>
            </w:pPr>
            <w:r>
              <w:rPr>
                <w:b/>
                <w:sz w:val="24"/>
              </w:rPr>
              <w:t>4.1.3噪声</w:t>
            </w:r>
          </w:p>
          <w:p w14:paraId="4F26CB39">
            <w:pPr>
              <w:spacing w:line="360" w:lineRule="auto"/>
              <w:ind w:firstLine="480" w:firstLineChars="200"/>
              <w:contextualSpacing/>
              <w:rPr>
                <w:bCs/>
                <w:sz w:val="24"/>
              </w:rPr>
            </w:pPr>
            <w:r>
              <w:rPr>
                <w:bCs/>
                <w:sz w:val="24"/>
              </w:rPr>
              <w:t>（1）噪声源强核算</w:t>
            </w:r>
          </w:p>
          <w:p w14:paraId="09328647">
            <w:pPr>
              <w:spacing w:line="360" w:lineRule="auto"/>
              <w:ind w:firstLine="480" w:firstLineChars="200"/>
              <w:contextualSpacing/>
              <w:rPr>
                <w:sz w:val="24"/>
              </w:rPr>
            </w:pPr>
            <w:r>
              <w:rPr>
                <w:bCs/>
                <w:sz w:val="24"/>
              </w:rPr>
              <w:t>施工期噪声主要来自</w:t>
            </w:r>
            <w:r>
              <w:rPr>
                <w:sz w:val="24"/>
              </w:rPr>
              <w:t>运输车辆进出场地</w:t>
            </w:r>
            <w:r>
              <w:rPr>
                <w:rFonts w:hint="eastAsia"/>
                <w:sz w:val="24"/>
              </w:rPr>
              <w:t>及挖掘机现场作业</w:t>
            </w:r>
            <w:r>
              <w:rPr>
                <w:sz w:val="24"/>
              </w:rPr>
              <w:t>产生的噪声，施工期主要噪声设备下表。</w:t>
            </w:r>
          </w:p>
          <w:p w14:paraId="3C681132">
            <w:pPr>
              <w:pStyle w:val="19"/>
              <w:tabs>
                <w:tab w:val="left" w:pos="0"/>
                <w:tab w:val="left" w:pos="833"/>
              </w:tabs>
              <w:snapToGrid/>
              <w:spacing w:before="0" w:after="0" w:line="360" w:lineRule="auto"/>
              <w:ind w:right="0"/>
              <w:contextualSpacing/>
              <w:jc w:val="center"/>
              <w:rPr>
                <w:b/>
                <w:sz w:val="24"/>
                <w:szCs w:val="24"/>
              </w:rPr>
            </w:pPr>
            <w:r>
              <w:rPr>
                <w:b/>
                <w:sz w:val="24"/>
                <w:szCs w:val="24"/>
              </w:rPr>
              <w:t>表4-1  施工期主要噪声源特性</w:t>
            </w:r>
          </w:p>
          <w:tbl>
            <w:tblPr>
              <w:tblStyle w:val="44"/>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14:paraId="3156D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14:paraId="5F3CAACB">
                  <w:pPr>
                    <w:contextualSpacing/>
                    <w:jc w:val="center"/>
                    <w:rPr>
                      <w:szCs w:val="21"/>
                    </w:rPr>
                  </w:pPr>
                  <w:r>
                    <w:rPr>
                      <w:kern w:val="0"/>
                      <w:szCs w:val="21"/>
                    </w:rPr>
                    <w:t>序号</w:t>
                  </w:r>
                </w:p>
              </w:tc>
              <w:tc>
                <w:tcPr>
                  <w:tcW w:w="1147" w:type="dxa"/>
                  <w:vMerge w:val="restart"/>
                  <w:tcBorders>
                    <w:tl2br w:val="nil"/>
                    <w:tr2bl w:val="nil"/>
                  </w:tcBorders>
                  <w:vAlign w:val="center"/>
                </w:tcPr>
                <w:p w14:paraId="77BF6E2B">
                  <w:pPr>
                    <w:contextualSpacing/>
                    <w:jc w:val="center"/>
                    <w:rPr>
                      <w:szCs w:val="21"/>
                    </w:rPr>
                  </w:pPr>
                  <w:r>
                    <w:rPr>
                      <w:kern w:val="0"/>
                      <w:szCs w:val="21"/>
                    </w:rPr>
                    <w:t>声源名称</w:t>
                  </w:r>
                </w:p>
              </w:tc>
              <w:tc>
                <w:tcPr>
                  <w:tcW w:w="549" w:type="dxa"/>
                  <w:vMerge w:val="restart"/>
                  <w:tcBorders>
                    <w:tl2br w:val="nil"/>
                    <w:tr2bl w:val="nil"/>
                  </w:tcBorders>
                  <w:vAlign w:val="center"/>
                </w:tcPr>
                <w:p w14:paraId="4B80C317">
                  <w:pPr>
                    <w:contextualSpacing/>
                    <w:jc w:val="center"/>
                    <w:rPr>
                      <w:kern w:val="0"/>
                      <w:szCs w:val="21"/>
                    </w:rPr>
                  </w:pPr>
                  <w:r>
                    <w:rPr>
                      <w:kern w:val="0"/>
                      <w:szCs w:val="21"/>
                    </w:rPr>
                    <w:t>型号</w:t>
                  </w:r>
                </w:p>
              </w:tc>
              <w:tc>
                <w:tcPr>
                  <w:tcW w:w="1821" w:type="dxa"/>
                  <w:gridSpan w:val="3"/>
                  <w:tcBorders>
                    <w:tl2br w:val="nil"/>
                    <w:tr2bl w:val="nil"/>
                  </w:tcBorders>
                  <w:vAlign w:val="center"/>
                </w:tcPr>
                <w:p w14:paraId="37EA498C">
                  <w:pPr>
                    <w:contextualSpacing/>
                    <w:jc w:val="center"/>
                    <w:rPr>
                      <w:kern w:val="0"/>
                      <w:szCs w:val="21"/>
                    </w:rPr>
                  </w:pPr>
                  <w:r>
                    <w:rPr>
                      <w:kern w:val="0"/>
                      <w:szCs w:val="21"/>
                    </w:rPr>
                    <w:t>空间相对位置/m</w:t>
                  </w:r>
                </w:p>
              </w:tc>
              <w:tc>
                <w:tcPr>
                  <w:tcW w:w="1820" w:type="dxa"/>
                  <w:vMerge w:val="restart"/>
                  <w:tcBorders>
                    <w:tl2br w:val="nil"/>
                    <w:tr2bl w:val="nil"/>
                  </w:tcBorders>
                  <w:vAlign w:val="center"/>
                </w:tcPr>
                <w:p w14:paraId="4B69C606">
                  <w:pPr>
                    <w:contextualSpacing/>
                    <w:jc w:val="center"/>
                    <w:rPr>
                      <w:kern w:val="0"/>
                      <w:szCs w:val="21"/>
                    </w:rPr>
                  </w:pPr>
                  <w:r>
                    <w:rPr>
                      <w:kern w:val="0"/>
                      <w:szCs w:val="21"/>
                    </w:rPr>
                    <w:t>声源源强</w:t>
                  </w:r>
                </w:p>
                <w:p w14:paraId="03B4A870">
                  <w:pPr>
                    <w:contextualSpacing/>
                    <w:jc w:val="center"/>
                    <w:rPr>
                      <w:szCs w:val="21"/>
                    </w:rPr>
                  </w:pPr>
                  <w:r>
                    <w:rPr>
                      <w:kern w:val="0"/>
                      <w:szCs w:val="21"/>
                    </w:rPr>
                    <w:t>（声压级/距声源距离）/（</w:t>
                  </w:r>
                  <w:r>
                    <w:rPr>
                      <w:rFonts w:hint="eastAsia"/>
                      <w:kern w:val="0"/>
                      <w:szCs w:val="21"/>
                    </w:rPr>
                    <w:t>dB（A）</w:t>
                  </w:r>
                  <w:r>
                    <w:rPr>
                      <w:kern w:val="0"/>
                      <w:szCs w:val="21"/>
                    </w:rPr>
                    <w:t>/m）</w:t>
                  </w:r>
                </w:p>
              </w:tc>
              <w:tc>
                <w:tcPr>
                  <w:tcW w:w="1148" w:type="dxa"/>
                  <w:vMerge w:val="restart"/>
                  <w:tcBorders>
                    <w:tl2br w:val="nil"/>
                    <w:tr2bl w:val="nil"/>
                  </w:tcBorders>
                  <w:vAlign w:val="center"/>
                </w:tcPr>
                <w:p w14:paraId="5AA121D6">
                  <w:pPr>
                    <w:contextualSpacing/>
                    <w:jc w:val="center"/>
                    <w:rPr>
                      <w:szCs w:val="21"/>
                    </w:rPr>
                  </w:pPr>
                  <w:r>
                    <w:rPr>
                      <w:szCs w:val="21"/>
                    </w:rPr>
                    <w:t>声源控制措施</w:t>
                  </w:r>
                </w:p>
              </w:tc>
              <w:tc>
                <w:tcPr>
                  <w:tcW w:w="1081" w:type="dxa"/>
                  <w:vMerge w:val="restart"/>
                  <w:tcBorders>
                    <w:tl2br w:val="nil"/>
                    <w:tr2bl w:val="nil"/>
                  </w:tcBorders>
                  <w:vAlign w:val="center"/>
                </w:tcPr>
                <w:p w14:paraId="15F11A29">
                  <w:pPr>
                    <w:contextualSpacing/>
                    <w:jc w:val="center"/>
                    <w:rPr>
                      <w:szCs w:val="21"/>
                    </w:rPr>
                  </w:pPr>
                  <w:r>
                    <w:rPr>
                      <w:kern w:val="0"/>
                      <w:szCs w:val="21"/>
                    </w:rPr>
                    <w:t>运行时间（h</w:t>
                  </w:r>
                  <w:r>
                    <w:rPr>
                      <w:rFonts w:hint="eastAsia"/>
                      <w:kern w:val="0"/>
                      <w:szCs w:val="21"/>
                    </w:rPr>
                    <w:t>）</w:t>
                  </w:r>
                </w:p>
              </w:tc>
            </w:tr>
            <w:tr w14:paraId="70907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14:paraId="218E4B3F">
                  <w:pPr>
                    <w:contextualSpacing/>
                    <w:jc w:val="center"/>
                    <w:rPr>
                      <w:kern w:val="0"/>
                      <w:szCs w:val="21"/>
                    </w:rPr>
                  </w:pPr>
                </w:p>
              </w:tc>
              <w:tc>
                <w:tcPr>
                  <w:tcW w:w="1147" w:type="dxa"/>
                  <w:vMerge w:val="continue"/>
                  <w:tcBorders>
                    <w:tl2br w:val="nil"/>
                    <w:tr2bl w:val="nil"/>
                  </w:tcBorders>
                  <w:vAlign w:val="center"/>
                </w:tcPr>
                <w:p w14:paraId="28C9EB81">
                  <w:pPr>
                    <w:contextualSpacing/>
                    <w:jc w:val="center"/>
                    <w:rPr>
                      <w:kern w:val="0"/>
                      <w:szCs w:val="21"/>
                    </w:rPr>
                  </w:pPr>
                </w:p>
              </w:tc>
              <w:tc>
                <w:tcPr>
                  <w:tcW w:w="549" w:type="dxa"/>
                  <w:vMerge w:val="continue"/>
                  <w:tcBorders>
                    <w:tl2br w:val="nil"/>
                    <w:tr2bl w:val="nil"/>
                  </w:tcBorders>
                  <w:vAlign w:val="center"/>
                </w:tcPr>
                <w:p w14:paraId="7EAB2D57">
                  <w:pPr>
                    <w:contextualSpacing/>
                    <w:jc w:val="center"/>
                    <w:rPr>
                      <w:kern w:val="0"/>
                      <w:szCs w:val="21"/>
                    </w:rPr>
                  </w:pPr>
                </w:p>
              </w:tc>
              <w:tc>
                <w:tcPr>
                  <w:tcW w:w="560" w:type="dxa"/>
                  <w:tcBorders>
                    <w:tl2br w:val="nil"/>
                    <w:tr2bl w:val="nil"/>
                  </w:tcBorders>
                  <w:vAlign w:val="center"/>
                </w:tcPr>
                <w:p w14:paraId="4CE6D175">
                  <w:pPr>
                    <w:contextualSpacing/>
                    <w:jc w:val="center"/>
                    <w:rPr>
                      <w:szCs w:val="21"/>
                    </w:rPr>
                  </w:pPr>
                  <w:r>
                    <w:rPr>
                      <w:szCs w:val="21"/>
                    </w:rPr>
                    <w:t>X</w:t>
                  </w:r>
                </w:p>
              </w:tc>
              <w:tc>
                <w:tcPr>
                  <w:tcW w:w="700" w:type="dxa"/>
                  <w:tcBorders>
                    <w:tl2br w:val="nil"/>
                    <w:tr2bl w:val="nil"/>
                  </w:tcBorders>
                  <w:vAlign w:val="center"/>
                </w:tcPr>
                <w:p w14:paraId="7680C670">
                  <w:pPr>
                    <w:contextualSpacing/>
                    <w:jc w:val="center"/>
                    <w:rPr>
                      <w:szCs w:val="21"/>
                    </w:rPr>
                  </w:pPr>
                  <w:r>
                    <w:rPr>
                      <w:szCs w:val="21"/>
                    </w:rPr>
                    <w:t>Y</w:t>
                  </w:r>
                </w:p>
              </w:tc>
              <w:tc>
                <w:tcPr>
                  <w:tcW w:w="561" w:type="dxa"/>
                  <w:tcBorders>
                    <w:tl2br w:val="nil"/>
                    <w:tr2bl w:val="nil"/>
                  </w:tcBorders>
                  <w:vAlign w:val="center"/>
                </w:tcPr>
                <w:p w14:paraId="1C9C4431">
                  <w:pPr>
                    <w:contextualSpacing/>
                    <w:jc w:val="center"/>
                    <w:rPr>
                      <w:kern w:val="0"/>
                      <w:szCs w:val="21"/>
                    </w:rPr>
                  </w:pPr>
                  <w:r>
                    <w:rPr>
                      <w:kern w:val="0"/>
                      <w:szCs w:val="21"/>
                    </w:rPr>
                    <w:t>Z</w:t>
                  </w:r>
                </w:p>
              </w:tc>
              <w:tc>
                <w:tcPr>
                  <w:tcW w:w="1820" w:type="dxa"/>
                  <w:vMerge w:val="continue"/>
                  <w:tcBorders>
                    <w:tl2br w:val="nil"/>
                    <w:tr2bl w:val="nil"/>
                  </w:tcBorders>
                  <w:vAlign w:val="center"/>
                </w:tcPr>
                <w:p w14:paraId="4ED3D344">
                  <w:pPr>
                    <w:contextualSpacing/>
                    <w:jc w:val="center"/>
                    <w:rPr>
                      <w:kern w:val="0"/>
                      <w:szCs w:val="21"/>
                    </w:rPr>
                  </w:pPr>
                </w:p>
              </w:tc>
              <w:tc>
                <w:tcPr>
                  <w:tcW w:w="1148" w:type="dxa"/>
                  <w:vMerge w:val="continue"/>
                  <w:tcBorders>
                    <w:tl2br w:val="nil"/>
                    <w:tr2bl w:val="nil"/>
                  </w:tcBorders>
                  <w:vAlign w:val="center"/>
                </w:tcPr>
                <w:p w14:paraId="005002A1">
                  <w:pPr>
                    <w:contextualSpacing/>
                    <w:jc w:val="center"/>
                    <w:rPr>
                      <w:kern w:val="0"/>
                      <w:szCs w:val="21"/>
                    </w:rPr>
                  </w:pPr>
                </w:p>
              </w:tc>
              <w:tc>
                <w:tcPr>
                  <w:tcW w:w="1081" w:type="dxa"/>
                  <w:vMerge w:val="continue"/>
                  <w:tcBorders>
                    <w:tl2br w:val="nil"/>
                    <w:tr2bl w:val="nil"/>
                  </w:tcBorders>
                  <w:vAlign w:val="center"/>
                </w:tcPr>
                <w:p w14:paraId="575A2938">
                  <w:pPr>
                    <w:contextualSpacing/>
                    <w:jc w:val="center"/>
                    <w:rPr>
                      <w:kern w:val="0"/>
                      <w:szCs w:val="21"/>
                    </w:rPr>
                  </w:pPr>
                </w:p>
              </w:tc>
            </w:tr>
            <w:tr w14:paraId="1D58C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14:paraId="337B8D4D">
                  <w:pPr>
                    <w:contextualSpacing/>
                    <w:jc w:val="center"/>
                    <w:rPr>
                      <w:szCs w:val="21"/>
                    </w:rPr>
                  </w:pPr>
                  <w:r>
                    <w:rPr>
                      <w:kern w:val="0"/>
                      <w:szCs w:val="21"/>
                    </w:rPr>
                    <w:t>1</w:t>
                  </w:r>
                </w:p>
              </w:tc>
              <w:tc>
                <w:tcPr>
                  <w:tcW w:w="1147" w:type="dxa"/>
                  <w:tcBorders>
                    <w:tl2br w:val="nil"/>
                    <w:tr2bl w:val="nil"/>
                  </w:tcBorders>
                  <w:vAlign w:val="center"/>
                </w:tcPr>
                <w:p w14:paraId="6803246A">
                  <w:pPr>
                    <w:contextualSpacing/>
                    <w:jc w:val="center"/>
                    <w:rPr>
                      <w:szCs w:val="21"/>
                    </w:rPr>
                  </w:pPr>
                  <w:r>
                    <w:rPr>
                      <w:kern w:val="0"/>
                      <w:szCs w:val="21"/>
                    </w:rPr>
                    <w:t>载重汽车</w:t>
                  </w:r>
                </w:p>
              </w:tc>
              <w:tc>
                <w:tcPr>
                  <w:tcW w:w="549" w:type="dxa"/>
                  <w:tcBorders>
                    <w:tl2br w:val="nil"/>
                    <w:tr2bl w:val="nil"/>
                  </w:tcBorders>
                  <w:vAlign w:val="center"/>
                </w:tcPr>
                <w:p w14:paraId="73FFF3C7">
                  <w:pPr>
                    <w:contextualSpacing/>
                    <w:jc w:val="center"/>
                    <w:rPr>
                      <w:kern w:val="0"/>
                      <w:szCs w:val="21"/>
                    </w:rPr>
                  </w:pPr>
                  <w:r>
                    <w:rPr>
                      <w:kern w:val="0"/>
                      <w:szCs w:val="21"/>
                    </w:rPr>
                    <w:t>/</w:t>
                  </w:r>
                </w:p>
              </w:tc>
              <w:tc>
                <w:tcPr>
                  <w:tcW w:w="560" w:type="dxa"/>
                  <w:tcBorders>
                    <w:tl2br w:val="nil"/>
                    <w:tr2bl w:val="nil"/>
                  </w:tcBorders>
                  <w:vAlign w:val="center"/>
                </w:tcPr>
                <w:p w14:paraId="5EDD530B">
                  <w:pPr>
                    <w:contextualSpacing/>
                    <w:jc w:val="center"/>
                    <w:rPr>
                      <w:szCs w:val="21"/>
                    </w:rPr>
                  </w:pPr>
                  <w:r>
                    <w:rPr>
                      <w:szCs w:val="21"/>
                    </w:rPr>
                    <w:t>/</w:t>
                  </w:r>
                </w:p>
              </w:tc>
              <w:tc>
                <w:tcPr>
                  <w:tcW w:w="700" w:type="dxa"/>
                  <w:tcBorders>
                    <w:tl2br w:val="nil"/>
                    <w:tr2bl w:val="nil"/>
                  </w:tcBorders>
                  <w:vAlign w:val="center"/>
                </w:tcPr>
                <w:p w14:paraId="186FF9EE">
                  <w:pPr>
                    <w:contextualSpacing/>
                    <w:jc w:val="center"/>
                    <w:rPr>
                      <w:szCs w:val="21"/>
                    </w:rPr>
                  </w:pPr>
                  <w:r>
                    <w:rPr>
                      <w:szCs w:val="21"/>
                    </w:rPr>
                    <w:t>/</w:t>
                  </w:r>
                </w:p>
              </w:tc>
              <w:tc>
                <w:tcPr>
                  <w:tcW w:w="561" w:type="dxa"/>
                  <w:tcBorders>
                    <w:tl2br w:val="nil"/>
                    <w:tr2bl w:val="nil"/>
                  </w:tcBorders>
                  <w:vAlign w:val="center"/>
                </w:tcPr>
                <w:p w14:paraId="0526AD81">
                  <w:pPr>
                    <w:contextualSpacing/>
                    <w:jc w:val="center"/>
                    <w:rPr>
                      <w:kern w:val="0"/>
                      <w:szCs w:val="21"/>
                    </w:rPr>
                  </w:pPr>
                  <w:r>
                    <w:rPr>
                      <w:kern w:val="0"/>
                      <w:szCs w:val="21"/>
                    </w:rPr>
                    <w:t>1.5</w:t>
                  </w:r>
                </w:p>
              </w:tc>
              <w:tc>
                <w:tcPr>
                  <w:tcW w:w="1820" w:type="dxa"/>
                  <w:tcBorders>
                    <w:tl2br w:val="nil"/>
                    <w:tr2bl w:val="nil"/>
                  </w:tcBorders>
                  <w:vAlign w:val="center"/>
                </w:tcPr>
                <w:p w14:paraId="1CBCC8E3">
                  <w:pPr>
                    <w:contextualSpacing/>
                    <w:jc w:val="center"/>
                    <w:rPr>
                      <w:szCs w:val="21"/>
                    </w:rPr>
                  </w:pPr>
                  <w:r>
                    <w:rPr>
                      <w:rFonts w:hint="eastAsia"/>
                      <w:kern w:val="0"/>
                      <w:szCs w:val="21"/>
                    </w:rPr>
                    <w:t>90</w:t>
                  </w:r>
                  <w:r>
                    <w:rPr>
                      <w:kern w:val="0"/>
                      <w:szCs w:val="21"/>
                    </w:rPr>
                    <w:t>/1</w:t>
                  </w:r>
                </w:p>
              </w:tc>
              <w:tc>
                <w:tcPr>
                  <w:tcW w:w="1148" w:type="dxa"/>
                  <w:tcBorders>
                    <w:tl2br w:val="nil"/>
                    <w:tr2bl w:val="nil"/>
                  </w:tcBorders>
                  <w:vAlign w:val="center"/>
                </w:tcPr>
                <w:p w14:paraId="0FBD4E3F">
                  <w:pPr>
                    <w:contextualSpacing/>
                    <w:jc w:val="center"/>
                    <w:rPr>
                      <w:szCs w:val="21"/>
                    </w:rPr>
                  </w:pPr>
                  <w:r>
                    <w:rPr>
                      <w:szCs w:val="21"/>
                    </w:rPr>
                    <w:t>/</w:t>
                  </w:r>
                </w:p>
              </w:tc>
              <w:tc>
                <w:tcPr>
                  <w:tcW w:w="1081" w:type="dxa"/>
                  <w:tcBorders>
                    <w:tl2br w:val="nil"/>
                    <w:tr2bl w:val="nil"/>
                  </w:tcBorders>
                  <w:vAlign w:val="center"/>
                </w:tcPr>
                <w:p w14:paraId="209CCDCA">
                  <w:pPr>
                    <w:contextualSpacing/>
                    <w:jc w:val="center"/>
                    <w:rPr>
                      <w:szCs w:val="21"/>
                    </w:rPr>
                  </w:pPr>
                  <w:r>
                    <w:rPr>
                      <w:kern w:val="0"/>
                      <w:szCs w:val="21"/>
                    </w:rPr>
                    <w:t>间断，&lt;4</w:t>
                  </w:r>
                </w:p>
              </w:tc>
            </w:tr>
            <w:tr w14:paraId="12D72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14:paraId="328C3C1B">
                  <w:pPr>
                    <w:contextualSpacing/>
                    <w:jc w:val="center"/>
                    <w:rPr>
                      <w:kern w:val="0"/>
                      <w:szCs w:val="21"/>
                    </w:rPr>
                  </w:pPr>
                  <w:r>
                    <w:rPr>
                      <w:kern w:val="0"/>
                      <w:szCs w:val="21"/>
                    </w:rPr>
                    <w:t>2</w:t>
                  </w:r>
                </w:p>
              </w:tc>
              <w:tc>
                <w:tcPr>
                  <w:tcW w:w="1147" w:type="dxa"/>
                  <w:tcBorders>
                    <w:tl2br w:val="nil"/>
                    <w:tr2bl w:val="nil"/>
                  </w:tcBorders>
                  <w:vAlign w:val="center"/>
                </w:tcPr>
                <w:p w14:paraId="0867CEAC">
                  <w:pPr>
                    <w:contextualSpacing/>
                    <w:jc w:val="center"/>
                    <w:rPr>
                      <w:kern w:val="0"/>
                      <w:szCs w:val="21"/>
                    </w:rPr>
                  </w:pPr>
                  <w:r>
                    <w:rPr>
                      <w:kern w:val="0"/>
                      <w:szCs w:val="21"/>
                    </w:rPr>
                    <w:t>挖掘机</w:t>
                  </w:r>
                </w:p>
              </w:tc>
              <w:tc>
                <w:tcPr>
                  <w:tcW w:w="549" w:type="dxa"/>
                  <w:tcBorders>
                    <w:tl2br w:val="nil"/>
                    <w:tr2bl w:val="nil"/>
                  </w:tcBorders>
                  <w:vAlign w:val="center"/>
                </w:tcPr>
                <w:p w14:paraId="3836A495">
                  <w:pPr>
                    <w:contextualSpacing/>
                    <w:jc w:val="center"/>
                    <w:rPr>
                      <w:kern w:val="0"/>
                      <w:szCs w:val="21"/>
                    </w:rPr>
                  </w:pPr>
                  <w:r>
                    <w:rPr>
                      <w:kern w:val="0"/>
                      <w:szCs w:val="21"/>
                    </w:rPr>
                    <w:t>/</w:t>
                  </w:r>
                </w:p>
              </w:tc>
              <w:tc>
                <w:tcPr>
                  <w:tcW w:w="560" w:type="dxa"/>
                  <w:tcBorders>
                    <w:tl2br w:val="nil"/>
                    <w:tr2bl w:val="nil"/>
                  </w:tcBorders>
                  <w:vAlign w:val="center"/>
                </w:tcPr>
                <w:p w14:paraId="653F32AB">
                  <w:pPr>
                    <w:contextualSpacing/>
                    <w:jc w:val="center"/>
                    <w:rPr>
                      <w:szCs w:val="21"/>
                    </w:rPr>
                  </w:pPr>
                  <w:r>
                    <w:rPr>
                      <w:szCs w:val="21"/>
                    </w:rPr>
                    <w:t>/</w:t>
                  </w:r>
                </w:p>
              </w:tc>
              <w:tc>
                <w:tcPr>
                  <w:tcW w:w="700" w:type="dxa"/>
                  <w:tcBorders>
                    <w:tl2br w:val="nil"/>
                    <w:tr2bl w:val="nil"/>
                  </w:tcBorders>
                  <w:vAlign w:val="center"/>
                </w:tcPr>
                <w:p w14:paraId="78BF7AA8">
                  <w:pPr>
                    <w:contextualSpacing/>
                    <w:jc w:val="center"/>
                    <w:rPr>
                      <w:szCs w:val="21"/>
                    </w:rPr>
                  </w:pPr>
                  <w:r>
                    <w:rPr>
                      <w:szCs w:val="21"/>
                    </w:rPr>
                    <w:t>/</w:t>
                  </w:r>
                </w:p>
              </w:tc>
              <w:tc>
                <w:tcPr>
                  <w:tcW w:w="561" w:type="dxa"/>
                  <w:tcBorders>
                    <w:tl2br w:val="nil"/>
                    <w:tr2bl w:val="nil"/>
                  </w:tcBorders>
                  <w:vAlign w:val="center"/>
                </w:tcPr>
                <w:p w14:paraId="124B2CF5">
                  <w:pPr>
                    <w:contextualSpacing/>
                    <w:jc w:val="center"/>
                    <w:rPr>
                      <w:kern w:val="0"/>
                      <w:szCs w:val="21"/>
                    </w:rPr>
                  </w:pPr>
                  <w:r>
                    <w:rPr>
                      <w:kern w:val="0"/>
                      <w:szCs w:val="21"/>
                    </w:rPr>
                    <w:t>1.5</w:t>
                  </w:r>
                </w:p>
              </w:tc>
              <w:tc>
                <w:tcPr>
                  <w:tcW w:w="1820" w:type="dxa"/>
                  <w:tcBorders>
                    <w:tl2br w:val="nil"/>
                    <w:tr2bl w:val="nil"/>
                  </w:tcBorders>
                  <w:vAlign w:val="center"/>
                </w:tcPr>
                <w:p w14:paraId="2097343B">
                  <w:pPr>
                    <w:contextualSpacing/>
                    <w:jc w:val="center"/>
                    <w:rPr>
                      <w:kern w:val="0"/>
                      <w:szCs w:val="21"/>
                    </w:rPr>
                  </w:pPr>
                  <w:r>
                    <w:rPr>
                      <w:rFonts w:hint="eastAsia"/>
                      <w:kern w:val="0"/>
                      <w:szCs w:val="21"/>
                    </w:rPr>
                    <w:t>85</w:t>
                  </w:r>
                  <w:r>
                    <w:rPr>
                      <w:kern w:val="0"/>
                      <w:szCs w:val="21"/>
                    </w:rPr>
                    <w:t>/1</w:t>
                  </w:r>
                </w:p>
              </w:tc>
              <w:tc>
                <w:tcPr>
                  <w:tcW w:w="1148" w:type="dxa"/>
                  <w:tcBorders>
                    <w:tl2br w:val="nil"/>
                    <w:tr2bl w:val="nil"/>
                  </w:tcBorders>
                  <w:vAlign w:val="center"/>
                </w:tcPr>
                <w:p w14:paraId="739636BB">
                  <w:pPr>
                    <w:contextualSpacing/>
                    <w:jc w:val="center"/>
                    <w:rPr>
                      <w:szCs w:val="21"/>
                    </w:rPr>
                  </w:pPr>
                  <w:r>
                    <w:rPr>
                      <w:szCs w:val="21"/>
                    </w:rPr>
                    <w:t>/</w:t>
                  </w:r>
                </w:p>
              </w:tc>
              <w:tc>
                <w:tcPr>
                  <w:tcW w:w="1081" w:type="dxa"/>
                  <w:tcBorders>
                    <w:tl2br w:val="nil"/>
                    <w:tr2bl w:val="nil"/>
                  </w:tcBorders>
                  <w:vAlign w:val="center"/>
                </w:tcPr>
                <w:p w14:paraId="4308B373">
                  <w:pPr>
                    <w:contextualSpacing/>
                    <w:jc w:val="center"/>
                    <w:rPr>
                      <w:szCs w:val="21"/>
                    </w:rPr>
                  </w:pPr>
                  <w:r>
                    <w:rPr>
                      <w:kern w:val="0"/>
                      <w:szCs w:val="21"/>
                    </w:rPr>
                    <w:t>间断，&lt;4</w:t>
                  </w:r>
                </w:p>
              </w:tc>
            </w:tr>
            <w:tr w14:paraId="3992B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14:paraId="53C3596D">
                  <w:pPr>
                    <w:contextualSpacing/>
                    <w:jc w:val="center"/>
                    <w:rPr>
                      <w:kern w:val="0"/>
                      <w:szCs w:val="21"/>
                    </w:rPr>
                  </w:pPr>
                  <w:r>
                    <w:rPr>
                      <w:rFonts w:hint="eastAsia"/>
                      <w:kern w:val="0"/>
                      <w:szCs w:val="21"/>
                    </w:rPr>
                    <w:t>3</w:t>
                  </w:r>
                </w:p>
              </w:tc>
              <w:tc>
                <w:tcPr>
                  <w:tcW w:w="1147" w:type="dxa"/>
                  <w:tcBorders>
                    <w:tl2br w:val="nil"/>
                    <w:tr2bl w:val="nil"/>
                  </w:tcBorders>
                  <w:vAlign w:val="center"/>
                </w:tcPr>
                <w:p w14:paraId="652CFB79">
                  <w:pPr>
                    <w:contextualSpacing/>
                    <w:jc w:val="center"/>
                    <w:rPr>
                      <w:kern w:val="0"/>
                      <w:szCs w:val="21"/>
                    </w:rPr>
                  </w:pPr>
                  <w:r>
                    <w:rPr>
                      <w:rFonts w:hint="eastAsia"/>
                      <w:kern w:val="0"/>
                      <w:szCs w:val="21"/>
                    </w:rPr>
                    <w:t>发电机</w:t>
                  </w:r>
                </w:p>
              </w:tc>
              <w:tc>
                <w:tcPr>
                  <w:tcW w:w="549" w:type="dxa"/>
                  <w:tcBorders>
                    <w:tl2br w:val="nil"/>
                    <w:tr2bl w:val="nil"/>
                  </w:tcBorders>
                  <w:vAlign w:val="center"/>
                </w:tcPr>
                <w:p w14:paraId="66BE5F2D">
                  <w:pPr>
                    <w:widowControl/>
                    <w:jc w:val="center"/>
                    <w:rPr>
                      <w:kern w:val="0"/>
                      <w:szCs w:val="21"/>
                    </w:rPr>
                  </w:pPr>
                  <w:r>
                    <w:rPr>
                      <w:rFonts w:eastAsia="等线"/>
                      <w:color w:val="FF0000"/>
                      <w:kern w:val="0"/>
                      <w:sz w:val="18"/>
                      <w:szCs w:val="18"/>
                    </w:rPr>
                    <w:t>/</w:t>
                  </w:r>
                </w:p>
              </w:tc>
              <w:tc>
                <w:tcPr>
                  <w:tcW w:w="560" w:type="dxa"/>
                  <w:tcBorders>
                    <w:tl2br w:val="nil"/>
                    <w:tr2bl w:val="nil"/>
                  </w:tcBorders>
                  <w:vAlign w:val="center"/>
                </w:tcPr>
                <w:p w14:paraId="2BA5E99E">
                  <w:pPr>
                    <w:widowControl/>
                    <w:jc w:val="center"/>
                    <w:rPr>
                      <w:szCs w:val="21"/>
                    </w:rPr>
                  </w:pPr>
                  <w:r>
                    <w:rPr>
                      <w:rFonts w:eastAsia="等线"/>
                      <w:color w:val="FF0000"/>
                      <w:kern w:val="0"/>
                      <w:sz w:val="18"/>
                      <w:szCs w:val="18"/>
                    </w:rPr>
                    <w:t>/</w:t>
                  </w:r>
                </w:p>
              </w:tc>
              <w:tc>
                <w:tcPr>
                  <w:tcW w:w="700" w:type="dxa"/>
                  <w:tcBorders>
                    <w:tl2br w:val="nil"/>
                    <w:tr2bl w:val="nil"/>
                  </w:tcBorders>
                  <w:vAlign w:val="center"/>
                </w:tcPr>
                <w:p w14:paraId="137887FE">
                  <w:pPr>
                    <w:widowControl/>
                    <w:jc w:val="center"/>
                    <w:rPr>
                      <w:szCs w:val="21"/>
                    </w:rPr>
                  </w:pPr>
                  <w:r>
                    <w:rPr>
                      <w:rFonts w:eastAsia="等线"/>
                      <w:color w:val="FF0000"/>
                      <w:kern w:val="0"/>
                      <w:sz w:val="18"/>
                      <w:szCs w:val="18"/>
                    </w:rPr>
                    <w:t>/</w:t>
                  </w:r>
                </w:p>
              </w:tc>
              <w:tc>
                <w:tcPr>
                  <w:tcW w:w="561" w:type="dxa"/>
                  <w:tcBorders>
                    <w:tl2br w:val="nil"/>
                    <w:tr2bl w:val="nil"/>
                  </w:tcBorders>
                  <w:vAlign w:val="center"/>
                </w:tcPr>
                <w:p w14:paraId="7B515994">
                  <w:pPr>
                    <w:widowControl/>
                    <w:jc w:val="center"/>
                    <w:rPr>
                      <w:kern w:val="0"/>
                      <w:szCs w:val="21"/>
                    </w:rPr>
                  </w:pPr>
                  <w:r>
                    <w:rPr>
                      <w:rFonts w:eastAsia="等线"/>
                      <w:color w:val="FF0000"/>
                      <w:kern w:val="0"/>
                      <w:sz w:val="18"/>
                      <w:szCs w:val="18"/>
                    </w:rPr>
                    <w:t>1.5</w:t>
                  </w:r>
                </w:p>
              </w:tc>
              <w:tc>
                <w:tcPr>
                  <w:tcW w:w="1820" w:type="dxa"/>
                  <w:tcBorders>
                    <w:tl2br w:val="nil"/>
                    <w:tr2bl w:val="nil"/>
                  </w:tcBorders>
                  <w:vAlign w:val="center"/>
                </w:tcPr>
                <w:p w14:paraId="61457A5F">
                  <w:pPr>
                    <w:widowControl/>
                    <w:jc w:val="center"/>
                    <w:rPr>
                      <w:kern w:val="0"/>
                      <w:szCs w:val="21"/>
                    </w:rPr>
                  </w:pPr>
                  <w:r>
                    <w:rPr>
                      <w:rFonts w:hint="eastAsia" w:eastAsia="等线"/>
                      <w:color w:val="FF0000"/>
                      <w:kern w:val="0"/>
                      <w:sz w:val="18"/>
                      <w:szCs w:val="18"/>
                    </w:rPr>
                    <w:t>90</w:t>
                  </w:r>
                  <w:r>
                    <w:rPr>
                      <w:rFonts w:eastAsia="等线"/>
                      <w:color w:val="FF0000"/>
                      <w:kern w:val="0"/>
                      <w:sz w:val="18"/>
                      <w:szCs w:val="18"/>
                    </w:rPr>
                    <w:t>/1</w:t>
                  </w:r>
                </w:p>
              </w:tc>
              <w:tc>
                <w:tcPr>
                  <w:tcW w:w="1148" w:type="dxa"/>
                  <w:tcBorders>
                    <w:tl2br w:val="nil"/>
                    <w:tr2bl w:val="nil"/>
                  </w:tcBorders>
                  <w:vAlign w:val="center"/>
                </w:tcPr>
                <w:p w14:paraId="31BC3C0F">
                  <w:pPr>
                    <w:widowControl/>
                    <w:jc w:val="center"/>
                    <w:rPr>
                      <w:szCs w:val="21"/>
                    </w:rPr>
                  </w:pPr>
                  <w:r>
                    <w:rPr>
                      <w:rFonts w:eastAsia="等线"/>
                      <w:color w:val="FF0000"/>
                      <w:kern w:val="0"/>
                      <w:sz w:val="18"/>
                      <w:szCs w:val="18"/>
                    </w:rPr>
                    <w:t>/</w:t>
                  </w:r>
                </w:p>
              </w:tc>
              <w:tc>
                <w:tcPr>
                  <w:tcW w:w="1081" w:type="dxa"/>
                  <w:tcBorders>
                    <w:tl2br w:val="nil"/>
                    <w:tr2bl w:val="nil"/>
                  </w:tcBorders>
                  <w:vAlign w:val="center"/>
                </w:tcPr>
                <w:p w14:paraId="000EC56F">
                  <w:pPr>
                    <w:widowControl/>
                    <w:jc w:val="center"/>
                    <w:rPr>
                      <w:kern w:val="0"/>
                      <w:szCs w:val="21"/>
                    </w:rPr>
                  </w:pPr>
                  <w:r>
                    <w:rPr>
                      <w:color w:val="FF0000"/>
                      <w:kern w:val="0"/>
                      <w:sz w:val="18"/>
                      <w:szCs w:val="18"/>
                    </w:rPr>
                    <w:t>间断，&lt;4</w:t>
                  </w:r>
                </w:p>
              </w:tc>
            </w:tr>
            <w:tr w14:paraId="73E11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14:paraId="020C0853">
                  <w:pPr>
                    <w:contextualSpacing/>
                    <w:rPr>
                      <w:kern w:val="0"/>
                      <w:szCs w:val="21"/>
                    </w:rPr>
                  </w:pPr>
                  <w:r>
                    <w:rPr>
                      <w:kern w:val="0"/>
                      <w:szCs w:val="21"/>
                    </w:rPr>
                    <w:t>注：以井场中心为原点</w:t>
                  </w:r>
                  <w:r>
                    <w:rPr>
                      <w:rFonts w:hint="eastAsia"/>
                      <w:kern w:val="0"/>
                      <w:szCs w:val="21"/>
                    </w:rPr>
                    <w:t>；挖掘机噪声按照名录中低噪声设备的最大值</w:t>
                  </w:r>
                </w:p>
              </w:tc>
            </w:tr>
          </w:tbl>
          <w:p w14:paraId="38737A29">
            <w:pPr>
              <w:spacing w:line="360" w:lineRule="auto"/>
              <w:ind w:firstLine="480" w:firstLineChars="200"/>
              <w:rPr>
                <w:sz w:val="24"/>
              </w:rPr>
            </w:pPr>
            <w:r>
              <w:rPr>
                <w:sz w:val="24"/>
              </w:rPr>
              <w:t>（2）环境影响分析</w:t>
            </w:r>
          </w:p>
          <w:p w14:paraId="30ECDFF7">
            <w:pPr>
              <w:spacing w:line="360" w:lineRule="auto"/>
              <w:ind w:firstLine="480" w:firstLineChars="200"/>
              <w:contextualSpacing/>
              <w:rPr>
                <w:sz w:val="24"/>
              </w:rPr>
            </w:pPr>
            <w:r>
              <w:rPr>
                <w:sz w:val="24"/>
              </w:rPr>
              <w:t>施工噪声可近似视为点声源处理，根据点声源噪声衰减模式，估算出离声源不同距离处的噪声值，预测模式如下：</w:t>
            </w:r>
          </w:p>
          <w:p w14:paraId="5DA45523">
            <w:pPr>
              <w:spacing w:line="360" w:lineRule="auto"/>
              <w:ind w:firstLine="480" w:firstLineChars="200"/>
              <w:contextualSpacing/>
              <w:rPr>
                <w:sz w:val="24"/>
              </w:rPr>
            </w:pPr>
            <m:oMathPara>
              <m:oMath>
                <m:sSub>
                  <m:sSubPr>
                    <m:ctrlPr>
                      <w:rPr>
                        <w:rFonts w:ascii="Cambria Math" w:hAnsi="Cambria Math"/>
                        <w:sz w:val="24"/>
                      </w:rPr>
                    </m:ctrlPr>
                  </m:sSubPr>
                  <m:e>
                    <m:r>
                      <m:rPr/>
                      <w:rPr>
                        <w:rFonts w:ascii="Cambria Math" w:hAnsi="Cambria Math"/>
                        <w:sz w:val="24"/>
                      </w:rPr>
                      <m:t>L</m:t>
                    </m:r>
                    <m:ctrlPr>
                      <w:rPr>
                        <w:rFonts w:ascii="Cambria Math" w:hAnsi="Cambria Math"/>
                        <w:sz w:val="24"/>
                      </w:rPr>
                    </m:ctrlPr>
                  </m:e>
                  <m:sub>
                    <m:r>
                      <m:rPr/>
                      <w:rPr>
                        <w:rFonts w:ascii="Cambria Math" w:hAnsi="Cambria Math"/>
                        <w:sz w:val="24"/>
                      </w:rPr>
                      <m:t>p</m:t>
                    </m:r>
                    <m:ctrlPr>
                      <w:rPr>
                        <w:rFonts w:ascii="Cambria Math" w:hAnsi="Cambria Math"/>
                        <w:sz w:val="24"/>
                      </w:rPr>
                    </m:ctrlPr>
                  </m:sub>
                </m:sSub>
                <m:d>
                  <m:dPr>
                    <m:ctrlPr>
                      <w:rPr>
                        <w:rFonts w:ascii="Cambria Math" w:hAnsi="Cambria Math"/>
                        <w:sz w:val="24"/>
                      </w:rPr>
                    </m:ctrlPr>
                  </m:dPr>
                  <m:e>
                    <m:r>
                      <m:rPr/>
                      <w:rPr>
                        <w:rFonts w:ascii="Cambria Math" w:hAnsi="Cambria Math"/>
                        <w:sz w:val="24"/>
                      </w:rPr>
                      <m:t>r</m:t>
                    </m:r>
                    <m:ctrlPr>
                      <w:rPr>
                        <w:rFonts w:ascii="Cambria Math" w:hAnsi="Cambria Math"/>
                        <w:sz w:val="24"/>
                      </w:rPr>
                    </m:ctrlPr>
                  </m:e>
                </m:d>
                <m:r>
                  <m:rPr/>
                  <w:rPr>
                    <w:rFonts w:ascii="Cambria Math" w:hAnsi="Cambria Math"/>
                    <w:sz w:val="24"/>
                  </w:rPr>
                  <m: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r>
                  <m:rPr/>
                  <w:rPr>
                    <w:rFonts w:ascii="Cambria Math" w:hAnsi="Cambria Math"/>
                    <w:sz w:val="24"/>
                  </w:rPr>
                  <m:t>−20lg</m:t>
                </m:r>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r</m:t>
                        </m:r>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den>
                    </m:f>
                    <m:ctrlPr>
                      <w:rPr>
                        <w:rFonts w:ascii="Cambria Math" w:hAnsi="Cambria Math"/>
                        <w:i/>
                        <w:sz w:val="24"/>
                      </w:rPr>
                    </m:ctrlPr>
                  </m:e>
                </m:d>
              </m:oMath>
            </m:oMathPara>
          </w:p>
          <w:p w14:paraId="0B1C2CE0">
            <w:pPr>
              <w:spacing w:line="360" w:lineRule="auto"/>
              <w:ind w:firstLine="480" w:firstLineChars="200"/>
              <w:contextualSpacing/>
              <w:rPr>
                <w:sz w:val="24"/>
              </w:rPr>
            </w:pPr>
            <w:r>
              <w:rPr>
                <w:sz w:val="24"/>
              </w:rPr>
              <w:t>式中：L</w:t>
            </w:r>
            <w:r>
              <w:rPr>
                <w:sz w:val="24"/>
                <w:vertAlign w:val="subscript"/>
              </w:rPr>
              <w:t>p</w:t>
            </w:r>
            <w:r>
              <w:rPr>
                <w:sz w:val="24"/>
              </w:rPr>
              <w:t>（r）--距声源r处的施工噪声预测值，dB(A)；</w:t>
            </w:r>
          </w:p>
          <w:p w14:paraId="36EA856F">
            <w:pPr>
              <w:spacing w:line="360" w:lineRule="auto"/>
              <w:ind w:firstLine="1200" w:firstLineChars="500"/>
              <w:contextualSpacing/>
              <w:rPr>
                <w:sz w:val="24"/>
              </w:rPr>
            </w:pPr>
            <w:r>
              <w:rPr>
                <w:sz w:val="24"/>
              </w:rPr>
              <w:t>L</w:t>
            </w:r>
            <w:r>
              <w:rPr>
                <w:sz w:val="24"/>
                <w:vertAlign w:val="subscript"/>
              </w:rPr>
              <w:t>p</w:t>
            </w:r>
            <w:r>
              <w:rPr>
                <w:sz w:val="24"/>
              </w:rPr>
              <w:t>（r</w:t>
            </w:r>
            <w:r>
              <w:rPr>
                <w:sz w:val="24"/>
                <w:vertAlign w:val="subscript"/>
              </w:rPr>
              <w:t>0</w:t>
            </w:r>
            <w:r>
              <w:rPr>
                <w:sz w:val="24"/>
              </w:rPr>
              <w:t>）--距声源r0处的参考声压级，dB(A)；</w:t>
            </w:r>
          </w:p>
          <w:p w14:paraId="7DE66D13">
            <w:pPr>
              <w:spacing w:line="360" w:lineRule="auto"/>
              <w:ind w:firstLine="1200" w:firstLineChars="500"/>
              <w:contextualSpacing/>
              <w:rPr>
                <w:sz w:val="24"/>
              </w:rPr>
            </w:pPr>
            <w:r>
              <w:rPr>
                <w:sz w:val="24"/>
              </w:rPr>
              <w:t>r－预测点距声源的距离，m；</w:t>
            </w:r>
          </w:p>
          <w:p w14:paraId="48E3BE4C">
            <w:pPr>
              <w:spacing w:line="360" w:lineRule="auto"/>
              <w:ind w:firstLine="1200" w:firstLineChars="500"/>
              <w:contextualSpacing/>
              <w:rPr>
                <w:sz w:val="24"/>
              </w:rPr>
            </w:pPr>
            <w:r>
              <w:rPr>
                <w:sz w:val="24"/>
              </w:rPr>
              <w:t>r</w:t>
            </w:r>
            <w:r>
              <w:rPr>
                <w:sz w:val="24"/>
                <w:vertAlign w:val="subscript"/>
              </w:rPr>
              <w:t>0</w:t>
            </w:r>
            <w:r>
              <w:rPr>
                <w:sz w:val="24"/>
              </w:rPr>
              <w:t>—参考点距声源的距离，m。</w:t>
            </w:r>
          </w:p>
          <w:p w14:paraId="7A163EAC">
            <w:pPr>
              <w:spacing w:line="360" w:lineRule="auto"/>
              <w:ind w:firstLine="480" w:firstLineChars="200"/>
              <w:contextualSpacing/>
              <w:rPr>
                <w:sz w:val="24"/>
              </w:rPr>
            </w:pPr>
            <w:r>
              <w:rPr>
                <w:sz w:val="24"/>
              </w:rPr>
              <w:t>根据噪声衰减模式，各施工机具声源在不同距离处的噪声影响值参见下表</w:t>
            </w:r>
            <w:r>
              <w:rPr>
                <w:spacing w:val="-4"/>
                <w:sz w:val="24"/>
              </w:rPr>
              <w:t>。</w:t>
            </w:r>
          </w:p>
          <w:p w14:paraId="5DB49D77">
            <w:pPr>
              <w:autoSpaceDE w:val="0"/>
              <w:autoSpaceDN w:val="0"/>
              <w:spacing w:line="360" w:lineRule="auto"/>
              <w:contextualSpacing/>
              <w:jc w:val="center"/>
              <w:rPr>
                <w:b/>
                <w:sz w:val="24"/>
              </w:rPr>
            </w:pPr>
            <w:r>
              <w:rPr>
                <w:b/>
                <w:sz w:val="24"/>
              </w:rPr>
              <w:t>表4-2 主要施工机械在不同距离的噪声值  单位： dB(A)</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065"/>
              <w:gridCol w:w="905"/>
              <w:gridCol w:w="905"/>
              <w:gridCol w:w="905"/>
              <w:gridCol w:w="905"/>
              <w:gridCol w:w="905"/>
              <w:gridCol w:w="905"/>
              <w:gridCol w:w="909"/>
            </w:tblGrid>
            <w:tr w14:paraId="2BCAF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11" w:type="dxa"/>
                  <w:vMerge w:val="restart"/>
                  <w:vAlign w:val="center"/>
                </w:tcPr>
                <w:p w14:paraId="140BC2CE">
                  <w:pPr>
                    <w:widowControl/>
                    <w:jc w:val="center"/>
                    <w:rPr>
                      <w:kern w:val="0"/>
                      <w:szCs w:val="21"/>
                    </w:rPr>
                  </w:pPr>
                  <w:r>
                    <w:rPr>
                      <w:kern w:val="0"/>
                      <w:szCs w:val="21"/>
                    </w:rPr>
                    <w:t>序号</w:t>
                  </w:r>
                </w:p>
              </w:tc>
              <w:tc>
                <w:tcPr>
                  <w:tcW w:w="1065" w:type="dxa"/>
                  <w:vMerge w:val="restart"/>
                  <w:vAlign w:val="center"/>
                </w:tcPr>
                <w:p w14:paraId="09F65077">
                  <w:pPr>
                    <w:widowControl/>
                    <w:jc w:val="center"/>
                    <w:rPr>
                      <w:kern w:val="0"/>
                      <w:szCs w:val="21"/>
                    </w:rPr>
                  </w:pPr>
                  <w:r>
                    <w:rPr>
                      <w:kern w:val="0"/>
                      <w:szCs w:val="21"/>
                    </w:rPr>
                    <w:t>施工</w:t>
                  </w:r>
                </w:p>
                <w:p w14:paraId="0A3B7C04">
                  <w:pPr>
                    <w:widowControl/>
                    <w:jc w:val="center"/>
                    <w:rPr>
                      <w:kern w:val="0"/>
                      <w:szCs w:val="21"/>
                    </w:rPr>
                  </w:pPr>
                  <w:r>
                    <w:rPr>
                      <w:kern w:val="0"/>
                      <w:szCs w:val="21"/>
                    </w:rPr>
                    <w:t>机具</w:t>
                  </w:r>
                </w:p>
              </w:tc>
              <w:tc>
                <w:tcPr>
                  <w:tcW w:w="6339" w:type="dxa"/>
                  <w:gridSpan w:val="7"/>
                  <w:vAlign w:val="center"/>
                </w:tcPr>
                <w:p w14:paraId="64FBC4C6">
                  <w:pPr>
                    <w:widowControl/>
                    <w:jc w:val="center"/>
                    <w:rPr>
                      <w:kern w:val="0"/>
                      <w:szCs w:val="21"/>
                    </w:rPr>
                  </w:pPr>
                  <w:r>
                    <w:rPr>
                      <w:kern w:val="0"/>
                      <w:szCs w:val="21"/>
                    </w:rPr>
                    <w:t>预测距离（m）</w:t>
                  </w:r>
                </w:p>
              </w:tc>
            </w:tr>
            <w:tr w14:paraId="6D81D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11" w:type="dxa"/>
                  <w:vMerge w:val="continue"/>
                  <w:vAlign w:val="center"/>
                </w:tcPr>
                <w:p w14:paraId="595A7CD2">
                  <w:pPr>
                    <w:widowControl/>
                    <w:jc w:val="center"/>
                    <w:rPr>
                      <w:kern w:val="0"/>
                      <w:szCs w:val="21"/>
                    </w:rPr>
                  </w:pPr>
                </w:p>
              </w:tc>
              <w:tc>
                <w:tcPr>
                  <w:tcW w:w="1065" w:type="dxa"/>
                  <w:vMerge w:val="continue"/>
                  <w:vAlign w:val="center"/>
                </w:tcPr>
                <w:p w14:paraId="383ADED5">
                  <w:pPr>
                    <w:widowControl/>
                    <w:jc w:val="center"/>
                    <w:rPr>
                      <w:kern w:val="0"/>
                      <w:szCs w:val="21"/>
                    </w:rPr>
                  </w:pPr>
                </w:p>
              </w:tc>
              <w:tc>
                <w:tcPr>
                  <w:tcW w:w="905" w:type="dxa"/>
                  <w:vAlign w:val="center"/>
                </w:tcPr>
                <w:p w14:paraId="34456F86">
                  <w:pPr>
                    <w:widowControl/>
                    <w:jc w:val="center"/>
                    <w:rPr>
                      <w:kern w:val="0"/>
                      <w:szCs w:val="21"/>
                    </w:rPr>
                  </w:pPr>
                  <w:r>
                    <w:rPr>
                      <w:rFonts w:eastAsia="等线"/>
                      <w:color w:val="FF0000"/>
                      <w:kern w:val="0"/>
                      <w:sz w:val="18"/>
                      <w:szCs w:val="18"/>
                    </w:rPr>
                    <w:t>10m</w:t>
                  </w:r>
                </w:p>
              </w:tc>
              <w:tc>
                <w:tcPr>
                  <w:tcW w:w="905" w:type="dxa"/>
                  <w:vAlign w:val="center"/>
                </w:tcPr>
                <w:p w14:paraId="12310F8C">
                  <w:pPr>
                    <w:widowControl/>
                    <w:jc w:val="center"/>
                    <w:rPr>
                      <w:kern w:val="0"/>
                      <w:szCs w:val="21"/>
                    </w:rPr>
                  </w:pPr>
                  <w:r>
                    <w:rPr>
                      <w:rFonts w:eastAsia="等线"/>
                      <w:color w:val="FF0000"/>
                      <w:kern w:val="0"/>
                      <w:sz w:val="18"/>
                      <w:szCs w:val="18"/>
                    </w:rPr>
                    <w:t>20m</w:t>
                  </w:r>
                </w:p>
              </w:tc>
              <w:tc>
                <w:tcPr>
                  <w:tcW w:w="905" w:type="dxa"/>
                  <w:vAlign w:val="center"/>
                </w:tcPr>
                <w:p w14:paraId="457C46CF">
                  <w:pPr>
                    <w:widowControl/>
                    <w:jc w:val="center"/>
                    <w:rPr>
                      <w:kern w:val="0"/>
                      <w:szCs w:val="21"/>
                    </w:rPr>
                  </w:pPr>
                  <w:r>
                    <w:rPr>
                      <w:rFonts w:eastAsia="等线"/>
                      <w:color w:val="FF0000"/>
                      <w:kern w:val="0"/>
                      <w:sz w:val="18"/>
                      <w:szCs w:val="18"/>
                    </w:rPr>
                    <w:t>30m</w:t>
                  </w:r>
                </w:p>
              </w:tc>
              <w:tc>
                <w:tcPr>
                  <w:tcW w:w="905" w:type="dxa"/>
                  <w:vAlign w:val="center"/>
                </w:tcPr>
                <w:p w14:paraId="10E33E50">
                  <w:pPr>
                    <w:widowControl/>
                    <w:jc w:val="center"/>
                    <w:rPr>
                      <w:kern w:val="0"/>
                      <w:szCs w:val="21"/>
                    </w:rPr>
                  </w:pPr>
                  <w:r>
                    <w:rPr>
                      <w:rFonts w:eastAsia="等线"/>
                      <w:color w:val="FF0000"/>
                      <w:kern w:val="0"/>
                      <w:sz w:val="18"/>
                      <w:szCs w:val="18"/>
                    </w:rPr>
                    <w:t>50m</w:t>
                  </w:r>
                </w:p>
              </w:tc>
              <w:tc>
                <w:tcPr>
                  <w:tcW w:w="905" w:type="dxa"/>
                  <w:vAlign w:val="center"/>
                </w:tcPr>
                <w:p w14:paraId="49E1926C">
                  <w:pPr>
                    <w:widowControl/>
                    <w:jc w:val="center"/>
                    <w:rPr>
                      <w:kern w:val="0"/>
                      <w:szCs w:val="21"/>
                    </w:rPr>
                  </w:pPr>
                  <w:r>
                    <w:rPr>
                      <w:rFonts w:eastAsia="等线"/>
                      <w:color w:val="FF0000"/>
                      <w:kern w:val="0"/>
                      <w:sz w:val="18"/>
                      <w:szCs w:val="18"/>
                    </w:rPr>
                    <w:t>80m</w:t>
                  </w:r>
                </w:p>
              </w:tc>
              <w:tc>
                <w:tcPr>
                  <w:tcW w:w="905" w:type="dxa"/>
                  <w:vAlign w:val="center"/>
                </w:tcPr>
                <w:p w14:paraId="3F7A0235">
                  <w:pPr>
                    <w:widowControl/>
                    <w:jc w:val="center"/>
                    <w:rPr>
                      <w:kern w:val="0"/>
                      <w:szCs w:val="21"/>
                    </w:rPr>
                  </w:pPr>
                  <w:r>
                    <w:rPr>
                      <w:rFonts w:eastAsia="等线"/>
                      <w:color w:val="FF0000"/>
                      <w:kern w:val="0"/>
                      <w:sz w:val="18"/>
                      <w:szCs w:val="18"/>
                    </w:rPr>
                    <w:t>100m</w:t>
                  </w:r>
                </w:p>
              </w:tc>
              <w:tc>
                <w:tcPr>
                  <w:tcW w:w="909" w:type="dxa"/>
                  <w:vAlign w:val="center"/>
                </w:tcPr>
                <w:p w14:paraId="3175652B">
                  <w:pPr>
                    <w:widowControl/>
                    <w:jc w:val="center"/>
                    <w:rPr>
                      <w:kern w:val="0"/>
                      <w:szCs w:val="21"/>
                    </w:rPr>
                  </w:pPr>
                  <w:r>
                    <w:rPr>
                      <w:rFonts w:eastAsia="等线"/>
                      <w:color w:val="FF0000"/>
                      <w:kern w:val="0"/>
                      <w:sz w:val="18"/>
                      <w:szCs w:val="18"/>
                    </w:rPr>
                    <w:t>200m</w:t>
                  </w:r>
                </w:p>
              </w:tc>
            </w:tr>
            <w:tr w14:paraId="7B07F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1" w:type="dxa"/>
                  <w:vAlign w:val="center"/>
                </w:tcPr>
                <w:p w14:paraId="5B23F940">
                  <w:pPr>
                    <w:widowControl/>
                    <w:jc w:val="center"/>
                    <w:rPr>
                      <w:kern w:val="0"/>
                      <w:szCs w:val="21"/>
                    </w:rPr>
                  </w:pPr>
                  <w:r>
                    <w:rPr>
                      <w:rFonts w:eastAsia="等线"/>
                      <w:color w:val="FF0000"/>
                      <w:kern w:val="0"/>
                      <w:sz w:val="18"/>
                      <w:szCs w:val="18"/>
                    </w:rPr>
                    <w:t>1</w:t>
                  </w:r>
                </w:p>
              </w:tc>
              <w:tc>
                <w:tcPr>
                  <w:tcW w:w="1065" w:type="dxa"/>
                  <w:vAlign w:val="center"/>
                </w:tcPr>
                <w:p w14:paraId="5A09ACC6">
                  <w:pPr>
                    <w:widowControl/>
                    <w:jc w:val="center"/>
                    <w:rPr>
                      <w:kern w:val="0"/>
                      <w:szCs w:val="21"/>
                    </w:rPr>
                  </w:pPr>
                  <w:r>
                    <w:rPr>
                      <w:color w:val="FF0000"/>
                      <w:kern w:val="0"/>
                      <w:sz w:val="18"/>
                      <w:szCs w:val="18"/>
                    </w:rPr>
                    <w:t>挖掘机</w:t>
                  </w:r>
                </w:p>
              </w:tc>
              <w:tc>
                <w:tcPr>
                  <w:tcW w:w="905" w:type="dxa"/>
                  <w:vAlign w:val="center"/>
                </w:tcPr>
                <w:p w14:paraId="625B338E">
                  <w:pPr>
                    <w:widowControl/>
                    <w:jc w:val="center"/>
                    <w:textAlignment w:val="center"/>
                    <w:rPr>
                      <w:szCs w:val="21"/>
                    </w:rPr>
                  </w:pPr>
                  <w:r>
                    <w:rPr>
                      <w:color w:val="000000"/>
                      <w:kern w:val="0"/>
                      <w:sz w:val="22"/>
                      <w:szCs w:val="22"/>
                      <w:lang w:bidi="ar"/>
                    </w:rPr>
                    <w:t xml:space="preserve">70.0 </w:t>
                  </w:r>
                </w:p>
              </w:tc>
              <w:tc>
                <w:tcPr>
                  <w:tcW w:w="905" w:type="dxa"/>
                  <w:vAlign w:val="center"/>
                </w:tcPr>
                <w:p w14:paraId="5FE31287">
                  <w:pPr>
                    <w:widowControl/>
                    <w:jc w:val="center"/>
                    <w:textAlignment w:val="center"/>
                    <w:rPr>
                      <w:szCs w:val="21"/>
                    </w:rPr>
                  </w:pPr>
                  <w:r>
                    <w:rPr>
                      <w:color w:val="000000"/>
                      <w:kern w:val="0"/>
                      <w:sz w:val="22"/>
                      <w:szCs w:val="22"/>
                      <w:lang w:bidi="ar"/>
                    </w:rPr>
                    <w:t xml:space="preserve">64.0 </w:t>
                  </w:r>
                </w:p>
              </w:tc>
              <w:tc>
                <w:tcPr>
                  <w:tcW w:w="905" w:type="dxa"/>
                  <w:vAlign w:val="center"/>
                </w:tcPr>
                <w:p w14:paraId="64B46F8A">
                  <w:pPr>
                    <w:widowControl/>
                    <w:jc w:val="center"/>
                    <w:textAlignment w:val="center"/>
                    <w:rPr>
                      <w:szCs w:val="21"/>
                    </w:rPr>
                  </w:pPr>
                  <w:r>
                    <w:rPr>
                      <w:color w:val="000000"/>
                      <w:kern w:val="0"/>
                      <w:sz w:val="22"/>
                      <w:szCs w:val="22"/>
                      <w:lang w:bidi="ar"/>
                    </w:rPr>
                    <w:t xml:space="preserve">60.5 </w:t>
                  </w:r>
                </w:p>
              </w:tc>
              <w:tc>
                <w:tcPr>
                  <w:tcW w:w="905" w:type="dxa"/>
                  <w:vAlign w:val="center"/>
                </w:tcPr>
                <w:p w14:paraId="573EC6B6">
                  <w:pPr>
                    <w:widowControl/>
                    <w:jc w:val="center"/>
                    <w:textAlignment w:val="center"/>
                    <w:rPr>
                      <w:szCs w:val="21"/>
                    </w:rPr>
                  </w:pPr>
                  <w:r>
                    <w:rPr>
                      <w:color w:val="000000"/>
                      <w:kern w:val="0"/>
                      <w:sz w:val="22"/>
                      <w:szCs w:val="22"/>
                      <w:lang w:bidi="ar"/>
                    </w:rPr>
                    <w:t xml:space="preserve">56.0 </w:t>
                  </w:r>
                </w:p>
              </w:tc>
              <w:tc>
                <w:tcPr>
                  <w:tcW w:w="905" w:type="dxa"/>
                  <w:vAlign w:val="center"/>
                </w:tcPr>
                <w:p w14:paraId="40017EDD">
                  <w:pPr>
                    <w:widowControl/>
                    <w:jc w:val="center"/>
                    <w:textAlignment w:val="center"/>
                    <w:rPr>
                      <w:szCs w:val="21"/>
                    </w:rPr>
                  </w:pPr>
                  <w:r>
                    <w:rPr>
                      <w:color w:val="000000"/>
                      <w:kern w:val="0"/>
                      <w:sz w:val="22"/>
                      <w:szCs w:val="22"/>
                      <w:lang w:bidi="ar"/>
                    </w:rPr>
                    <w:t xml:space="preserve">51.9 </w:t>
                  </w:r>
                </w:p>
              </w:tc>
              <w:tc>
                <w:tcPr>
                  <w:tcW w:w="905" w:type="dxa"/>
                  <w:vAlign w:val="center"/>
                </w:tcPr>
                <w:p w14:paraId="123A23CE">
                  <w:pPr>
                    <w:widowControl/>
                    <w:jc w:val="center"/>
                    <w:textAlignment w:val="center"/>
                    <w:rPr>
                      <w:szCs w:val="21"/>
                    </w:rPr>
                  </w:pPr>
                  <w:r>
                    <w:rPr>
                      <w:color w:val="000000"/>
                      <w:kern w:val="0"/>
                      <w:sz w:val="22"/>
                      <w:szCs w:val="22"/>
                      <w:lang w:bidi="ar"/>
                    </w:rPr>
                    <w:t xml:space="preserve">50.0 </w:t>
                  </w:r>
                </w:p>
              </w:tc>
              <w:tc>
                <w:tcPr>
                  <w:tcW w:w="909" w:type="dxa"/>
                  <w:vAlign w:val="center"/>
                </w:tcPr>
                <w:p w14:paraId="070CC82D">
                  <w:pPr>
                    <w:widowControl/>
                    <w:jc w:val="center"/>
                    <w:textAlignment w:val="center"/>
                    <w:rPr>
                      <w:szCs w:val="21"/>
                    </w:rPr>
                  </w:pPr>
                  <w:r>
                    <w:rPr>
                      <w:color w:val="000000"/>
                      <w:kern w:val="0"/>
                      <w:sz w:val="22"/>
                      <w:szCs w:val="22"/>
                      <w:lang w:bidi="ar"/>
                    </w:rPr>
                    <w:t xml:space="preserve">44.0 </w:t>
                  </w:r>
                </w:p>
              </w:tc>
            </w:tr>
            <w:tr w14:paraId="62E21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1" w:type="dxa"/>
                  <w:vAlign w:val="center"/>
                </w:tcPr>
                <w:p w14:paraId="03548463">
                  <w:pPr>
                    <w:widowControl/>
                    <w:jc w:val="center"/>
                    <w:rPr>
                      <w:kern w:val="0"/>
                      <w:szCs w:val="21"/>
                    </w:rPr>
                  </w:pPr>
                  <w:r>
                    <w:rPr>
                      <w:rFonts w:eastAsia="等线"/>
                      <w:color w:val="FF0000"/>
                      <w:kern w:val="0"/>
                      <w:sz w:val="18"/>
                      <w:szCs w:val="18"/>
                    </w:rPr>
                    <w:t>2</w:t>
                  </w:r>
                </w:p>
              </w:tc>
              <w:tc>
                <w:tcPr>
                  <w:tcW w:w="1065" w:type="dxa"/>
                  <w:vAlign w:val="center"/>
                </w:tcPr>
                <w:p w14:paraId="1D22D7E9">
                  <w:pPr>
                    <w:widowControl/>
                    <w:jc w:val="center"/>
                    <w:rPr>
                      <w:kern w:val="0"/>
                      <w:szCs w:val="21"/>
                    </w:rPr>
                  </w:pPr>
                  <w:r>
                    <w:rPr>
                      <w:color w:val="FF0000"/>
                      <w:kern w:val="0"/>
                      <w:sz w:val="18"/>
                      <w:szCs w:val="18"/>
                    </w:rPr>
                    <w:t>发电机</w:t>
                  </w:r>
                </w:p>
              </w:tc>
              <w:tc>
                <w:tcPr>
                  <w:tcW w:w="905" w:type="dxa"/>
                  <w:vAlign w:val="center"/>
                </w:tcPr>
                <w:p w14:paraId="354DAF8D">
                  <w:pPr>
                    <w:widowControl/>
                    <w:jc w:val="center"/>
                    <w:textAlignment w:val="center"/>
                    <w:rPr>
                      <w:szCs w:val="21"/>
                    </w:rPr>
                  </w:pPr>
                  <w:r>
                    <w:rPr>
                      <w:color w:val="000000"/>
                      <w:kern w:val="0"/>
                      <w:sz w:val="22"/>
                      <w:szCs w:val="22"/>
                      <w:lang w:bidi="ar"/>
                    </w:rPr>
                    <w:t xml:space="preserve">53.1 </w:t>
                  </w:r>
                </w:p>
              </w:tc>
              <w:tc>
                <w:tcPr>
                  <w:tcW w:w="905" w:type="dxa"/>
                  <w:vAlign w:val="center"/>
                </w:tcPr>
                <w:p w14:paraId="7F8A50F3">
                  <w:pPr>
                    <w:widowControl/>
                    <w:jc w:val="center"/>
                    <w:textAlignment w:val="center"/>
                    <w:rPr>
                      <w:szCs w:val="21"/>
                    </w:rPr>
                  </w:pPr>
                  <w:r>
                    <w:rPr>
                      <w:color w:val="000000"/>
                      <w:kern w:val="0"/>
                      <w:sz w:val="22"/>
                      <w:szCs w:val="22"/>
                      <w:lang w:bidi="ar"/>
                    </w:rPr>
                    <w:t xml:space="preserve">53.9 </w:t>
                  </w:r>
                </w:p>
              </w:tc>
              <w:tc>
                <w:tcPr>
                  <w:tcW w:w="905" w:type="dxa"/>
                  <w:vAlign w:val="center"/>
                </w:tcPr>
                <w:p w14:paraId="7781AF95">
                  <w:pPr>
                    <w:widowControl/>
                    <w:jc w:val="center"/>
                    <w:textAlignment w:val="center"/>
                    <w:rPr>
                      <w:szCs w:val="21"/>
                    </w:rPr>
                  </w:pPr>
                  <w:r>
                    <w:rPr>
                      <w:color w:val="000000"/>
                      <w:kern w:val="0"/>
                      <w:sz w:val="22"/>
                      <w:szCs w:val="22"/>
                      <w:lang w:bidi="ar"/>
                    </w:rPr>
                    <w:t xml:space="preserve">54.4 </w:t>
                  </w:r>
                </w:p>
              </w:tc>
              <w:tc>
                <w:tcPr>
                  <w:tcW w:w="905" w:type="dxa"/>
                  <w:vAlign w:val="center"/>
                </w:tcPr>
                <w:p w14:paraId="50F4C4FC">
                  <w:pPr>
                    <w:widowControl/>
                    <w:jc w:val="center"/>
                    <w:textAlignment w:val="center"/>
                    <w:rPr>
                      <w:szCs w:val="21"/>
                    </w:rPr>
                  </w:pPr>
                  <w:r>
                    <w:rPr>
                      <w:color w:val="000000"/>
                      <w:kern w:val="0"/>
                      <w:sz w:val="22"/>
                      <w:szCs w:val="22"/>
                      <w:lang w:bidi="ar"/>
                    </w:rPr>
                    <w:t xml:space="preserve">55.0 </w:t>
                  </w:r>
                </w:p>
              </w:tc>
              <w:tc>
                <w:tcPr>
                  <w:tcW w:w="905" w:type="dxa"/>
                  <w:vAlign w:val="center"/>
                </w:tcPr>
                <w:p w14:paraId="05BA159A">
                  <w:pPr>
                    <w:widowControl/>
                    <w:jc w:val="center"/>
                    <w:textAlignment w:val="center"/>
                    <w:rPr>
                      <w:szCs w:val="21"/>
                    </w:rPr>
                  </w:pPr>
                  <w:r>
                    <w:rPr>
                      <w:color w:val="000000"/>
                      <w:kern w:val="0"/>
                      <w:sz w:val="22"/>
                      <w:szCs w:val="22"/>
                      <w:lang w:bidi="ar"/>
                    </w:rPr>
                    <w:t xml:space="preserve">55.7 </w:t>
                  </w:r>
                </w:p>
              </w:tc>
              <w:tc>
                <w:tcPr>
                  <w:tcW w:w="905" w:type="dxa"/>
                  <w:vAlign w:val="center"/>
                </w:tcPr>
                <w:p w14:paraId="5D5EFEE7">
                  <w:pPr>
                    <w:widowControl/>
                    <w:jc w:val="center"/>
                    <w:textAlignment w:val="center"/>
                    <w:rPr>
                      <w:szCs w:val="21"/>
                    </w:rPr>
                  </w:pPr>
                  <w:r>
                    <w:rPr>
                      <w:color w:val="000000"/>
                      <w:kern w:val="0"/>
                      <w:sz w:val="22"/>
                      <w:szCs w:val="22"/>
                      <w:lang w:bidi="ar"/>
                    </w:rPr>
                    <w:t xml:space="preserve">56.0 </w:t>
                  </w:r>
                </w:p>
              </w:tc>
              <w:tc>
                <w:tcPr>
                  <w:tcW w:w="909" w:type="dxa"/>
                  <w:vAlign w:val="center"/>
                </w:tcPr>
                <w:p w14:paraId="25C76C95">
                  <w:pPr>
                    <w:widowControl/>
                    <w:jc w:val="center"/>
                    <w:textAlignment w:val="center"/>
                    <w:rPr>
                      <w:szCs w:val="21"/>
                    </w:rPr>
                  </w:pPr>
                  <w:r>
                    <w:rPr>
                      <w:color w:val="000000"/>
                      <w:kern w:val="0"/>
                      <w:sz w:val="22"/>
                      <w:szCs w:val="22"/>
                      <w:lang w:bidi="ar"/>
                    </w:rPr>
                    <w:t xml:space="preserve">57.1 </w:t>
                  </w:r>
                </w:p>
              </w:tc>
            </w:tr>
            <w:tr w14:paraId="3D9E3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11" w:type="dxa"/>
                  <w:vAlign w:val="center"/>
                </w:tcPr>
                <w:p w14:paraId="3E293EF0">
                  <w:pPr>
                    <w:widowControl/>
                    <w:jc w:val="center"/>
                    <w:rPr>
                      <w:kern w:val="0"/>
                      <w:szCs w:val="21"/>
                    </w:rPr>
                  </w:pPr>
                  <w:r>
                    <w:rPr>
                      <w:rFonts w:eastAsia="等线"/>
                      <w:color w:val="FF0000"/>
                      <w:kern w:val="0"/>
                      <w:sz w:val="18"/>
                      <w:szCs w:val="18"/>
                    </w:rPr>
                    <w:t>3</w:t>
                  </w:r>
                </w:p>
              </w:tc>
              <w:tc>
                <w:tcPr>
                  <w:tcW w:w="1065" w:type="dxa"/>
                  <w:vAlign w:val="center"/>
                </w:tcPr>
                <w:p w14:paraId="5AB7BE6B">
                  <w:pPr>
                    <w:widowControl/>
                    <w:jc w:val="center"/>
                    <w:rPr>
                      <w:szCs w:val="21"/>
                    </w:rPr>
                  </w:pPr>
                  <w:r>
                    <w:rPr>
                      <w:color w:val="FF0000"/>
                      <w:kern w:val="0"/>
                      <w:sz w:val="18"/>
                      <w:szCs w:val="18"/>
                    </w:rPr>
                    <w:t>运输车辆</w:t>
                  </w:r>
                </w:p>
              </w:tc>
              <w:tc>
                <w:tcPr>
                  <w:tcW w:w="905" w:type="dxa"/>
                  <w:vAlign w:val="center"/>
                </w:tcPr>
                <w:p w14:paraId="3A2A39C8">
                  <w:pPr>
                    <w:widowControl/>
                    <w:jc w:val="center"/>
                    <w:textAlignment w:val="center"/>
                    <w:rPr>
                      <w:szCs w:val="21"/>
                    </w:rPr>
                  </w:pPr>
                  <w:r>
                    <w:rPr>
                      <w:color w:val="000000"/>
                      <w:kern w:val="0"/>
                      <w:sz w:val="22"/>
                      <w:szCs w:val="22"/>
                      <w:lang w:bidi="ar"/>
                    </w:rPr>
                    <w:t xml:space="preserve">55.5 </w:t>
                  </w:r>
                </w:p>
              </w:tc>
              <w:tc>
                <w:tcPr>
                  <w:tcW w:w="905" w:type="dxa"/>
                  <w:vAlign w:val="center"/>
                </w:tcPr>
                <w:p w14:paraId="0A6C2192">
                  <w:pPr>
                    <w:widowControl/>
                    <w:jc w:val="center"/>
                    <w:textAlignment w:val="center"/>
                    <w:rPr>
                      <w:szCs w:val="21"/>
                    </w:rPr>
                  </w:pPr>
                  <w:r>
                    <w:rPr>
                      <w:color w:val="000000"/>
                      <w:kern w:val="0"/>
                      <w:sz w:val="22"/>
                      <w:szCs w:val="22"/>
                      <w:lang w:bidi="ar"/>
                    </w:rPr>
                    <w:t xml:space="preserve">55.4 </w:t>
                  </w:r>
                </w:p>
              </w:tc>
              <w:tc>
                <w:tcPr>
                  <w:tcW w:w="905" w:type="dxa"/>
                  <w:vAlign w:val="center"/>
                </w:tcPr>
                <w:p w14:paraId="3FC2C9B4">
                  <w:pPr>
                    <w:widowControl/>
                    <w:jc w:val="center"/>
                    <w:textAlignment w:val="center"/>
                    <w:rPr>
                      <w:szCs w:val="21"/>
                    </w:rPr>
                  </w:pPr>
                  <w:r>
                    <w:rPr>
                      <w:color w:val="000000"/>
                      <w:kern w:val="0"/>
                      <w:sz w:val="22"/>
                      <w:szCs w:val="22"/>
                      <w:lang w:bidi="ar"/>
                    </w:rPr>
                    <w:t xml:space="preserve">55.3 </w:t>
                  </w:r>
                </w:p>
              </w:tc>
              <w:tc>
                <w:tcPr>
                  <w:tcW w:w="905" w:type="dxa"/>
                  <w:vAlign w:val="center"/>
                </w:tcPr>
                <w:p w14:paraId="1AD6345D">
                  <w:pPr>
                    <w:widowControl/>
                    <w:jc w:val="center"/>
                    <w:textAlignment w:val="center"/>
                    <w:rPr>
                      <w:szCs w:val="21"/>
                    </w:rPr>
                  </w:pPr>
                  <w:r>
                    <w:rPr>
                      <w:color w:val="000000"/>
                      <w:kern w:val="0"/>
                      <w:sz w:val="22"/>
                      <w:szCs w:val="22"/>
                      <w:lang w:bidi="ar"/>
                    </w:rPr>
                    <w:t xml:space="preserve">55.2 </w:t>
                  </w:r>
                </w:p>
              </w:tc>
              <w:tc>
                <w:tcPr>
                  <w:tcW w:w="905" w:type="dxa"/>
                  <w:vAlign w:val="center"/>
                </w:tcPr>
                <w:p w14:paraId="65CACA7D">
                  <w:pPr>
                    <w:widowControl/>
                    <w:jc w:val="center"/>
                    <w:textAlignment w:val="center"/>
                    <w:rPr>
                      <w:szCs w:val="21"/>
                    </w:rPr>
                  </w:pPr>
                  <w:r>
                    <w:rPr>
                      <w:color w:val="000000"/>
                      <w:kern w:val="0"/>
                      <w:sz w:val="22"/>
                      <w:szCs w:val="22"/>
                      <w:lang w:bidi="ar"/>
                    </w:rPr>
                    <w:t xml:space="preserve">55.1 </w:t>
                  </w:r>
                </w:p>
              </w:tc>
              <w:tc>
                <w:tcPr>
                  <w:tcW w:w="905" w:type="dxa"/>
                  <w:vAlign w:val="center"/>
                </w:tcPr>
                <w:p w14:paraId="7D4E57DC">
                  <w:pPr>
                    <w:widowControl/>
                    <w:jc w:val="center"/>
                    <w:textAlignment w:val="center"/>
                    <w:rPr>
                      <w:szCs w:val="21"/>
                    </w:rPr>
                  </w:pPr>
                  <w:r>
                    <w:rPr>
                      <w:color w:val="000000"/>
                      <w:kern w:val="0"/>
                      <w:sz w:val="22"/>
                      <w:szCs w:val="22"/>
                      <w:lang w:bidi="ar"/>
                    </w:rPr>
                    <w:t xml:space="preserve">55.0 </w:t>
                  </w:r>
                </w:p>
              </w:tc>
              <w:tc>
                <w:tcPr>
                  <w:tcW w:w="909" w:type="dxa"/>
                  <w:vAlign w:val="center"/>
                </w:tcPr>
                <w:p w14:paraId="6B6E85CC">
                  <w:pPr>
                    <w:widowControl/>
                    <w:jc w:val="center"/>
                    <w:textAlignment w:val="center"/>
                    <w:rPr>
                      <w:szCs w:val="21"/>
                    </w:rPr>
                  </w:pPr>
                  <w:r>
                    <w:rPr>
                      <w:color w:val="000000"/>
                      <w:kern w:val="0"/>
                      <w:sz w:val="22"/>
                      <w:szCs w:val="22"/>
                      <w:lang w:bidi="ar"/>
                    </w:rPr>
                    <w:t xml:space="preserve">54.9 </w:t>
                  </w:r>
                </w:p>
              </w:tc>
            </w:tr>
          </w:tbl>
          <w:p w14:paraId="71952195">
            <w:pPr>
              <w:spacing w:line="360" w:lineRule="auto"/>
              <w:ind w:firstLine="480" w:firstLineChars="200"/>
              <w:contextualSpacing/>
              <w:rPr>
                <w:sz w:val="24"/>
              </w:rPr>
            </w:pPr>
            <w:r>
              <w:rPr>
                <w:sz w:val="24"/>
              </w:rPr>
              <w:t>本项目施工期仅昼间施工，由上表可知，距施工机具</w:t>
            </w:r>
            <w:r>
              <w:rPr>
                <w:rFonts w:hint="eastAsia"/>
                <w:sz w:val="24"/>
              </w:rPr>
              <w:t>32</w:t>
            </w:r>
            <w:r>
              <w:rPr>
                <w:sz w:val="24"/>
              </w:rPr>
              <w:t>m外昼间可满足《声环境质量标准》（GB3096-2008）2类标准。本项目使用的机械设备种类较少，施工期较短，施工噪声将随施工结束而消失，施工噪声对周边环境的影响可以接受。</w:t>
            </w:r>
          </w:p>
          <w:p w14:paraId="076FAE35">
            <w:pPr>
              <w:spacing w:line="360" w:lineRule="auto"/>
              <w:ind w:firstLine="480" w:firstLineChars="200"/>
              <w:contextualSpacing/>
              <w:rPr>
                <w:sz w:val="24"/>
              </w:rPr>
            </w:pPr>
            <w:r>
              <w:rPr>
                <w:sz w:val="24"/>
              </w:rPr>
              <w:t>（</w:t>
            </w:r>
            <w:r>
              <w:rPr>
                <w:rFonts w:hint="eastAsia"/>
                <w:sz w:val="24"/>
              </w:rPr>
              <w:t>3</w:t>
            </w:r>
            <w:r>
              <w:rPr>
                <w:sz w:val="24"/>
              </w:rPr>
              <w:t>）施工期噪声对敏感点的影响分析</w:t>
            </w:r>
          </w:p>
          <w:p w14:paraId="02CC5CCB">
            <w:pPr>
              <w:spacing w:line="360" w:lineRule="auto"/>
              <w:ind w:firstLine="480" w:firstLineChars="200"/>
              <w:contextualSpacing/>
              <w:rPr>
                <w:sz w:val="24"/>
              </w:rPr>
            </w:pPr>
            <w:r>
              <w:rPr>
                <w:sz w:val="24"/>
              </w:rPr>
              <w:t>按《声环境质量标准》（GB3096-2008）2类标准评价（昼间小于等于60分贝），昼间距离施工区约</w:t>
            </w:r>
            <w:r>
              <w:rPr>
                <w:rFonts w:hint="eastAsia"/>
                <w:sz w:val="24"/>
              </w:rPr>
              <w:t>32</w:t>
            </w:r>
            <w:r>
              <w:rPr>
                <w:sz w:val="24"/>
              </w:rPr>
              <w:t>m可满足标准要求，夜间不施工。</w:t>
            </w:r>
          </w:p>
          <w:p w14:paraId="29946B56">
            <w:pPr>
              <w:spacing w:line="360" w:lineRule="auto"/>
              <w:ind w:firstLine="480" w:firstLineChars="200"/>
              <w:contextualSpacing/>
              <w:rPr>
                <w:sz w:val="24"/>
              </w:rPr>
            </w:pPr>
            <w:r>
              <w:rPr>
                <w:sz w:val="24"/>
              </w:rPr>
              <w:t>评价建议工程在施工时，应选择合理的施工时间，仅在白天作业，夜晚10点后不施工；白天施工时尽量避开居民午休时间，以此来降低噪声对附近居民的影响；同时尽量采取低噪声施工设施，加强设备维护和保养，进一步降低对周边居民的影响。由于钻前工程该工序持续时间短，且施工机械非固定、非持续性噪声，经采取以上措施后，对周边敏感目标的影响较小</w:t>
            </w:r>
            <w:r>
              <w:rPr>
                <w:rFonts w:hint="eastAsia"/>
                <w:sz w:val="24"/>
              </w:rPr>
              <w:t>。</w:t>
            </w:r>
          </w:p>
          <w:p w14:paraId="6D20FCAC">
            <w:pPr>
              <w:spacing w:line="360" w:lineRule="auto"/>
              <w:rPr>
                <w:b/>
                <w:sz w:val="24"/>
              </w:rPr>
            </w:pPr>
            <w:r>
              <w:rPr>
                <w:b/>
                <w:sz w:val="24"/>
              </w:rPr>
              <w:t>4.1.4固废</w:t>
            </w:r>
          </w:p>
          <w:p w14:paraId="39A8ED01">
            <w:pPr>
              <w:spacing w:line="360" w:lineRule="auto"/>
              <w:ind w:firstLine="480" w:firstLineChars="200"/>
              <w:rPr>
                <w:sz w:val="24"/>
              </w:rPr>
            </w:pPr>
            <w:r>
              <w:rPr>
                <w:sz w:val="24"/>
              </w:rPr>
              <w:t>项目施工期主要固废污染物包括建筑垃圾及生活垃圾。</w:t>
            </w:r>
          </w:p>
          <w:p w14:paraId="5AFD2748">
            <w:pPr>
              <w:spacing w:line="360" w:lineRule="auto"/>
              <w:ind w:firstLine="480" w:firstLineChars="200"/>
              <w:rPr>
                <w:sz w:val="24"/>
              </w:rPr>
            </w:pPr>
            <w:r>
              <w:rPr>
                <w:sz w:val="24"/>
              </w:rPr>
              <w:t>①建筑垃圾</w:t>
            </w:r>
          </w:p>
          <w:p w14:paraId="608FB899">
            <w:pPr>
              <w:spacing w:line="360" w:lineRule="auto"/>
              <w:ind w:firstLine="480" w:firstLineChars="200"/>
              <w:rPr>
                <w:sz w:val="24"/>
              </w:rPr>
            </w:pPr>
            <w:r>
              <w:rPr>
                <w:sz w:val="24"/>
              </w:rPr>
              <w:t>在项目施工过程中，</w:t>
            </w:r>
            <w:r>
              <w:rPr>
                <w:rFonts w:hint="eastAsia"/>
                <w:sz w:val="24"/>
              </w:rPr>
              <w:t>将</w:t>
            </w:r>
            <w:r>
              <w:rPr>
                <w:sz w:val="24"/>
              </w:rPr>
              <w:t>产生</w:t>
            </w:r>
            <w:r>
              <w:rPr>
                <w:rFonts w:hint="eastAsia"/>
                <w:sz w:val="24"/>
              </w:rPr>
              <w:t>一定量</w:t>
            </w:r>
            <w:r>
              <w:rPr>
                <w:sz w:val="24"/>
              </w:rPr>
              <w:t>的建筑垃圾（如水泥袋、铁质废料、木材弃料等）。根据同类施工统计资料，项目施工期产生的建筑垃圾产生量约为</w:t>
            </w:r>
            <w:r>
              <w:rPr>
                <w:rFonts w:hint="eastAsia"/>
                <w:sz w:val="24"/>
              </w:rPr>
              <w:t>0.5</w:t>
            </w:r>
            <w:r>
              <w:rPr>
                <w:sz w:val="24"/>
              </w:rPr>
              <w:t>t。</w:t>
            </w:r>
          </w:p>
          <w:p w14:paraId="699CA2EF">
            <w:pPr>
              <w:spacing w:line="360" w:lineRule="auto"/>
              <w:ind w:firstLine="480" w:firstLineChars="200"/>
              <w:rPr>
                <w:sz w:val="24"/>
              </w:rPr>
            </w:pPr>
            <w:r>
              <w:rPr>
                <w:sz w:val="24"/>
              </w:rPr>
              <w:t>建筑垃圾中的一部分如下脚料、破钢管、断残钢筋头、包装袋以及废旧设备等基本上可以回收；而另一部分如弃土、废砂石等建筑材料废弃物等没有回收价值，若随意倾倒和堆放，将造成土地占用，而且可能造成周围环境污染，影响周围环境的景观。因此无回收价值的建筑废料必须统一分类收集后，作为填充材料充垫场地、便道、路堤等。</w:t>
            </w:r>
          </w:p>
          <w:p w14:paraId="7ED19B71">
            <w:pPr>
              <w:spacing w:line="360" w:lineRule="auto"/>
              <w:ind w:firstLine="480" w:firstLineChars="200"/>
              <w:rPr>
                <w:sz w:val="24"/>
              </w:rPr>
            </w:pPr>
            <w:r>
              <w:rPr>
                <w:sz w:val="24"/>
              </w:rPr>
              <w:t>②生活垃圾</w:t>
            </w:r>
          </w:p>
          <w:p w14:paraId="2608A743">
            <w:pPr>
              <w:spacing w:line="360" w:lineRule="auto"/>
              <w:ind w:firstLine="480" w:firstLineChars="200"/>
              <w:rPr>
                <w:sz w:val="24"/>
              </w:rPr>
            </w:pPr>
            <w:r>
              <w:rPr>
                <w:sz w:val="24"/>
              </w:rPr>
              <w:t>项目按照生活垃圾产生系数0.5kg/人·d计算，</w:t>
            </w:r>
            <w:r>
              <w:rPr>
                <w:rFonts w:hint="eastAsia"/>
                <w:sz w:val="24"/>
              </w:rPr>
              <w:t>施工人数约为30人，因此</w:t>
            </w:r>
            <w:r>
              <w:rPr>
                <w:sz w:val="24"/>
              </w:rPr>
              <w:t>钻前工程生活垃圾产生总量为1</w:t>
            </w:r>
            <w:r>
              <w:rPr>
                <w:rFonts w:hint="eastAsia"/>
                <w:sz w:val="24"/>
              </w:rPr>
              <w:t>5</w:t>
            </w:r>
            <w:r>
              <w:rPr>
                <w:sz w:val="24"/>
              </w:rPr>
              <w:t>kg/d</w:t>
            </w:r>
            <w:r>
              <w:rPr>
                <w:rFonts w:hint="eastAsia"/>
                <w:sz w:val="24"/>
              </w:rPr>
              <w:t>，施工时间约120天，总产生量约为1.58t</w:t>
            </w:r>
            <w:r>
              <w:rPr>
                <w:sz w:val="24"/>
              </w:rPr>
              <w:t>。生活垃圾集中收集后，定期交由环卫部门统一清运、处理。</w:t>
            </w:r>
          </w:p>
          <w:p w14:paraId="24EE0442">
            <w:pPr>
              <w:spacing w:line="360" w:lineRule="auto"/>
              <w:rPr>
                <w:b/>
                <w:sz w:val="24"/>
              </w:rPr>
            </w:pPr>
            <w:r>
              <w:rPr>
                <w:b/>
                <w:sz w:val="24"/>
              </w:rPr>
              <w:t>4.2钻井工程污染源强核算及环境影响分析</w:t>
            </w:r>
          </w:p>
          <w:p w14:paraId="4203AA71">
            <w:pPr>
              <w:spacing w:line="360" w:lineRule="auto"/>
              <w:rPr>
                <w:b/>
                <w:bCs/>
                <w:sz w:val="24"/>
              </w:rPr>
            </w:pPr>
            <w:r>
              <w:rPr>
                <w:b/>
                <w:bCs/>
                <w:sz w:val="24"/>
              </w:rPr>
              <w:t>4.2.1废气环境影响分析</w:t>
            </w:r>
          </w:p>
          <w:p w14:paraId="30A08B52">
            <w:pPr>
              <w:spacing w:line="360" w:lineRule="auto"/>
              <w:ind w:firstLine="480" w:firstLineChars="200"/>
              <w:rPr>
                <w:bCs/>
                <w:sz w:val="24"/>
              </w:rPr>
            </w:pPr>
            <w:r>
              <w:rPr>
                <w:bCs/>
                <w:sz w:val="24"/>
              </w:rPr>
              <w:t>（1）废气排放情况</w:t>
            </w:r>
          </w:p>
          <w:p w14:paraId="07A042ED">
            <w:pPr>
              <w:spacing w:line="360" w:lineRule="auto"/>
              <w:ind w:firstLine="480" w:firstLineChars="200"/>
              <w:rPr>
                <w:bCs/>
                <w:sz w:val="24"/>
              </w:rPr>
            </w:pPr>
            <w:r>
              <w:rPr>
                <w:bCs/>
                <w:sz w:val="24"/>
              </w:rPr>
              <w:t>本项目钻井期间的废气主要包括柴油发电机组燃烧废气、油基泥浆钻井废气</w:t>
            </w:r>
            <w:r>
              <w:rPr>
                <w:rFonts w:hint="eastAsia"/>
                <w:bCs/>
                <w:sz w:val="24"/>
              </w:rPr>
              <w:t>、</w:t>
            </w:r>
            <w:r>
              <w:rPr>
                <w:bCs/>
                <w:sz w:val="24"/>
              </w:rPr>
              <w:t>非正常生产时事故放喷天然气经点燃后排放废气等。</w:t>
            </w:r>
          </w:p>
          <w:p w14:paraId="6D482A8F">
            <w:pPr>
              <w:spacing w:line="360" w:lineRule="auto"/>
              <w:ind w:firstLine="480" w:firstLineChars="200"/>
              <w:rPr>
                <w:bCs/>
                <w:sz w:val="24"/>
              </w:rPr>
            </w:pPr>
            <w:r>
              <w:rPr>
                <w:bCs/>
                <w:sz w:val="24"/>
              </w:rPr>
              <w:fldChar w:fldCharType="begin"/>
            </w:r>
            <w:r>
              <w:rPr>
                <w:bCs/>
                <w:sz w:val="24"/>
              </w:rPr>
              <w:instrText xml:space="preserve"> = 1 \* GB3 \* MERGEFORMAT </w:instrText>
            </w:r>
            <w:r>
              <w:rPr>
                <w:bCs/>
                <w:sz w:val="24"/>
              </w:rPr>
              <w:fldChar w:fldCharType="separate"/>
            </w:r>
            <w:r>
              <w:rPr>
                <w:bCs/>
                <w:sz w:val="24"/>
              </w:rPr>
              <w:t>①</w:t>
            </w:r>
            <w:r>
              <w:rPr>
                <w:bCs/>
                <w:sz w:val="24"/>
              </w:rPr>
              <w:fldChar w:fldCharType="end"/>
            </w:r>
            <w:r>
              <w:rPr>
                <w:bCs/>
                <w:sz w:val="24"/>
              </w:rPr>
              <w:t>正常生产时柴油发电机组燃烧排放废气</w:t>
            </w:r>
          </w:p>
          <w:p w14:paraId="7EEBC9C0">
            <w:pPr>
              <w:spacing w:line="360" w:lineRule="auto"/>
              <w:ind w:firstLine="480" w:firstLineChars="200"/>
              <w:rPr>
                <w:bCs/>
                <w:sz w:val="24"/>
              </w:rPr>
            </w:pPr>
            <w:r>
              <w:rPr>
                <w:bCs/>
                <w:sz w:val="24"/>
              </w:rPr>
              <w:t>本项目优先采用网电钻井，在停电情况下采用柴油发电机组进行发电，并给钻机上的各种设备如泥浆泵、天车、转盘等提供动力，钻井柴油发电机组燃烧排放的废气主要污染物为NOx，其次还有少量CO、CO</w:t>
            </w:r>
            <w:r>
              <w:rPr>
                <w:bCs/>
                <w:sz w:val="24"/>
                <w:vertAlign w:val="subscript"/>
              </w:rPr>
              <w:t>2</w:t>
            </w:r>
            <w:r>
              <w:rPr>
                <w:bCs/>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14:paraId="1E57E94C">
            <w:pPr>
              <w:spacing w:line="360" w:lineRule="auto"/>
              <w:ind w:firstLine="480" w:firstLineChars="200"/>
              <w:rPr>
                <w:bCs/>
                <w:sz w:val="24"/>
              </w:rPr>
            </w:pPr>
            <w:r>
              <w:rPr>
                <w:bCs/>
                <w:sz w:val="24"/>
              </w:rPr>
              <w:fldChar w:fldCharType="begin"/>
            </w:r>
            <w:r>
              <w:rPr>
                <w:bCs/>
                <w:sz w:val="24"/>
              </w:rPr>
              <w:instrText xml:space="preserve"> = 2 \* GB3 \* MERGEFORMAT </w:instrText>
            </w:r>
            <w:r>
              <w:rPr>
                <w:bCs/>
                <w:sz w:val="24"/>
              </w:rPr>
              <w:fldChar w:fldCharType="separate"/>
            </w:r>
            <w:r>
              <w:rPr>
                <w:bCs/>
                <w:sz w:val="24"/>
              </w:rPr>
              <w:t>②</w:t>
            </w:r>
            <w:r>
              <w:rPr>
                <w:bCs/>
                <w:sz w:val="24"/>
              </w:rPr>
              <w:fldChar w:fldCharType="end"/>
            </w:r>
            <w:r>
              <w:rPr>
                <w:bCs/>
                <w:sz w:val="24"/>
              </w:rPr>
              <w:t>油基泥浆钻井废气</w:t>
            </w:r>
          </w:p>
          <w:p w14:paraId="0D1F3F07">
            <w:pPr>
              <w:spacing w:line="360" w:lineRule="auto"/>
              <w:ind w:firstLine="480" w:firstLineChars="200"/>
              <w:rPr>
                <w:bCs/>
                <w:sz w:val="24"/>
              </w:rPr>
            </w:pPr>
            <w:r>
              <w:rPr>
                <w:bCs/>
                <w:sz w:val="24"/>
              </w:rPr>
              <w:t>油基泥浆钻井废气主要来源于油基泥浆钻井过程、油基岩屑、废弃油基钻井泥浆、含矿物油废物挥发产生的无组织废气。项目钻井作业中</w:t>
            </w:r>
            <w:r>
              <w:rPr>
                <w:rFonts w:hint="eastAsia"/>
                <w:bCs/>
                <w:sz w:val="24"/>
              </w:rPr>
              <w:t>四</w:t>
            </w:r>
            <w:r>
              <w:rPr>
                <w:bCs/>
                <w:sz w:val="24"/>
              </w:rPr>
              <w:t>开水平段</w:t>
            </w:r>
            <w:r>
              <w:rPr>
                <w:rFonts w:hint="eastAsia"/>
                <w:bCs/>
                <w:sz w:val="24"/>
              </w:rPr>
              <w:t>产生</w:t>
            </w:r>
            <w:r>
              <w:rPr>
                <w:bCs/>
                <w:sz w:val="24"/>
              </w:rPr>
              <w:t>油基泥浆，油基泥浆主要成分为柴油、白油等，属于烷烃类物质，故其废气主要成分为VOCs。钻井作业中使用的油基泥浆不在现场配制，均利用周边其他钻井工程剩余油基泥浆或由厂家配制好后分批次拉运至井场，暂存于现场泥浆循环系统，暂存时间较短，故产生挥发性废气（VOCs）量较小；油基岩屑采用吨袋或者吨桶密闭收集暂存于岩屑堆放场，暂存时间较短，且储存措施较好，故产生挥发性废气（VOCs）量极小。</w:t>
            </w:r>
          </w:p>
          <w:p w14:paraId="6EDB8339">
            <w:pPr>
              <w:spacing w:line="360" w:lineRule="auto"/>
              <w:ind w:firstLine="480" w:firstLineChars="200"/>
              <w:rPr>
                <w:bCs/>
                <w:sz w:val="24"/>
              </w:rPr>
            </w:pPr>
            <w:r>
              <w:rPr>
                <w:rFonts w:hint="eastAsia"/>
                <w:bCs/>
                <w:sz w:val="24"/>
              </w:rPr>
              <w:t>③</w:t>
            </w:r>
            <w:r>
              <w:rPr>
                <w:bCs/>
                <w:sz w:val="24"/>
              </w:rPr>
              <w:t>非正常生产时事故放喷天然气经点燃后排放废气</w:t>
            </w:r>
          </w:p>
          <w:p w14:paraId="121C9ADB">
            <w:pPr>
              <w:spacing w:line="360" w:lineRule="auto"/>
              <w:ind w:firstLine="480" w:firstLineChars="200"/>
              <w:rPr>
                <w:bCs/>
                <w:sz w:val="24"/>
              </w:rPr>
            </w:pPr>
            <w:r>
              <w:rPr>
                <w:bCs/>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4h，属于临时排放，放喷的天然气经专用放喷管线引至放喷池后点火燃烧，其燃烧主要产物为NOx、CO</w:t>
            </w:r>
            <w:r>
              <w:rPr>
                <w:bCs/>
                <w:sz w:val="24"/>
                <w:vertAlign w:val="subscript"/>
              </w:rPr>
              <w:t>2</w:t>
            </w:r>
            <w:r>
              <w:rPr>
                <w:bCs/>
                <w:sz w:val="24"/>
              </w:rPr>
              <w:t>和水。</w:t>
            </w:r>
          </w:p>
          <w:p w14:paraId="48D4CB2D">
            <w:pPr>
              <w:spacing w:line="360" w:lineRule="auto"/>
              <w:ind w:firstLine="480" w:firstLineChars="200"/>
              <w:rPr>
                <w:sz w:val="24"/>
              </w:rPr>
            </w:pPr>
            <w:r>
              <w:rPr>
                <w:sz w:val="24"/>
              </w:rPr>
              <w:t>（2）环境影响分析</w:t>
            </w:r>
          </w:p>
          <w:p w14:paraId="20CFCE33">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钻井工程</w:t>
            </w:r>
          </w:p>
          <w:p w14:paraId="7CE0B70A">
            <w:pPr>
              <w:spacing w:line="360" w:lineRule="auto"/>
              <w:ind w:firstLine="480" w:firstLineChars="200"/>
              <w:rPr>
                <w:sz w:val="24"/>
              </w:rPr>
            </w:pPr>
            <w:r>
              <w:rPr>
                <w:sz w:val="24"/>
              </w:rPr>
              <w:t>停电情况下使用柴油发电机燃烧排放的废气主要污染物为NOx，其次还有少量CO、CO</w:t>
            </w:r>
            <w:r>
              <w:rPr>
                <w:sz w:val="24"/>
                <w:vertAlign w:val="subscript"/>
              </w:rPr>
              <w:t>2</w:t>
            </w:r>
            <w:r>
              <w:rPr>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14:paraId="58C50990">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rFonts w:hint="eastAsia"/>
                <w:sz w:val="24"/>
              </w:rPr>
              <w:t>油基泥浆钻井废气</w:t>
            </w:r>
          </w:p>
          <w:p w14:paraId="17C1675E">
            <w:pPr>
              <w:spacing w:line="360" w:lineRule="auto"/>
              <w:ind w:firstLine="480" w:firstLineChars="200"/>
              <w:rPr>
                <w:sz w:val="24"/>
              </w:rPr>
            </w:pPr>
            <w:r>
              <w:rPr>
                <w:sz w:val="24"/>
              </w:rPr>
              <w:t>油基泥浆钻井废气随着钻井作业的完工而结束，项目区周围环境空气质量受其影响很小。</w:t>
            </w:r>
          </w:p>
          <w:p w14:paraId="3EAA3438">
            <w:pPr>
              <w:spacing w:line="360" w:lineRule="auto"/>
              <w:ind w:firstLine="480" w:firstLineChars="200"/>
              <w:rPr>
                <w:sz w:val="24"/>
              </w:rPr>
            </w:pPr>
            <w:r>
              <w:rPr>
                <w:rFonts w:hint="eastAsia"/>
                <w:sz w:val="24"/>
              </w:rPr>
              <w:t>③</w:t>
            </w:r>
            <w:r>
              <w:rPr>
                <w:sz w:val="24"/>
              </w:rPr>
              <w:t>非正常生产、事故放喷天然气经点燃后排放废气</w:t>
            </w:r>
          </w:p>
          <w:p w14:paraId="11C6A546">
            <w:pPr>
              <w:spacing w:line="360" w:lineRule="auto"/>
              <w:ind w:firstLine="480" w:firstLineChars="200"/>
              <w:rPr>
                <w:sz w:val="24"/>
              </w:rPr>
            </w:pPr>
            <w:r>
              <w:rPr>
                <w:sz w:val="24"/>
              </w:rPr>
              <w:t>非正常生产、事故放喷的天然气经点火燃烧，其主要污染物为SO</w:t>
            </w:r>
            <w:r>
              <w:rPr>
                <w:sz w:val="24"/>
                <w:vertAlign w:val="subscript"/>
              </w:rPr>
              <w:t>2</w:t>
            </w:r>
            <w:r>
              <w:rPr>
                <w:sz w:val="24"/>
              </w:rPr>
              <w:t>、CO</w:t>
            </w:r>
            <w:r>
              <w:rPr>
                <w:sz w:val="24"/>
                <w:vertAlign w:val="subscript"/>
              </w:rPr>
              <w:t>2</w:t>
            </w:r>
            <w:r>
              <w:rPr>
                <w:sz w:val="24"/>
              </w:rPr>
              <w:t>。对周边环境造成影响较小。</w:t>
            </w:r>
          </w:p>
          <w:p w14:paraId="2D56AE28">
            <w:pPr>
              <w:spacing w:line="360" w:lineRule="auto"/>
              <w:rPr>
                <w:b/>
                <w:sz w:val="24"/>
              </w:rPr>
            </w:pPr>
            <w:r>
              <w:rPr>
                <w:b/>
                <w:sz w:val="24"/>
              </w:rPr>
              <w:t>4.2.2废水环境影响分析</w:t>
            </w:r>
          </w:p>
          <w:p w14:paraId="0A09FFA1">
            <w:pPr>
              <w:tabs>
                <w:tab w:val="left" w:pos="2321"/>
              </w:tabs>
              <w:overflowPunct w:val="0"/>
              <w:autoSpaceDE w:val="0"/>
              <w:spacing w:line="360" w:lineRule="auto"/>
              <w:ind w:firstLine="480" w:firstLineChars="200"/>
              <w:rPr>
                <w:sz w:val="24"/>
              </w:rPr>
            </w:pPr>
            <w:r>
              <w:rPr>
                <w:sz w:val="24"/>
              </w:rPr>
              <w:t>（1）废水源强分析</w:t>
            </w:r>
          </w:p>
          <w:p w14:paraId="003A58A6">
            <w:pPr>
              <w:spacing w:line="360" w:lineRule="auto"/>
              <w:ind w:firstLine="480" w:firstLineChars="200"/>
              <w:rPr>
                <w:bCs/>
                <w:sz w:val="24"/>
              </w:rPr>
            </w:pPr>
            <w:r>
              <w:rPr>
                <w:rFonts w:hint="eastAsia"/>
                <w:bCs/>
                <w:sz w:val="24"/>
              </w:rPr>
              <w:t>本项目</w:t>
            </w:r>
            <w:r>
              <w:rPr>
                <w:bCs/>
                <w:sz w:val="24"/>
              </w:rPr>
              <w:t>井场采用清污分流制，井场四周设置污水截流沟。</w:t>
            </w:r>
          </w:p>
          <w:p w14:paraId="07B6F91B">
            <w:pPr>
              <w:spacing w:line="360" w:lineRule="auto"/>
              <w:ind w:firstLine="480" w:firstLineChars="200"/>
              <w:rPr>
                <w:bCs/>
                <w:sz w:val="24"/>
              </w:rPr>
            </w:pPr>
            <w:r>
              <w:rPr>
                <w:bCs/>
                <w:sz w:val="24"/>
              </w:rPr>
              <w:t>钻井期间产生的废水主要包括钻井废水、洗井废水、方井雨水、压裂返排废水和生活污水。</w:t>
            </w:r>
            <w:r>
              <w:rPr>
                <w:bCs/>
                <w:color w:val="0000FF"/>
                <w:sz w:val="24"/>
              </w:rPr>
              <w:t>本项目产生的钻井废水、方井雨水汇至井场泥浆不落地平台处理后</w:t>
            </w:r>
            <w:r>
              <w:rPr>
                <w:rFonts w:hint="eastAsia"/>
                <w:bCs/>
                <w:color w:val="0000FF"/>
                <w:sz w:val="24"/>
              </w:rPr>
              <w:t>优先回用于钻井工程，不能回用时用密闭罐车定期拉运至赵家坝污水处理站处理达标后由罐车拉运至普光3井等回注站回注。</w:t>
            </w:r>
            <w:r>
              <w:rPr>
                <w:bCs/>
                <w:color w:val="0000FF"/>
                <w:sz w:val="24"/>
              </w:rPr>
              <w:t>洗井废水优先回用于本井站压裂液配制，不能回用时用密闭罐车定期拉运至</w:t>
            </w:r>
            <w:r>
              <w:rPr>
                <w:rFonts w:hint="eastAsia"/>
                <w:bCs/>
                <w:color w:val="0000FF"/>
                <w:sz w:val="24"/>
              </w:rPr>
              <w:t>赵家坝污水处理站</w:t>
            </w:r>
            <w:r>
              <w:rPr>
                <w:bCs/>
                <w:color w:val="0000FF"/>
                <w:sz w:val="24"/>
              </w:rPr>
              <w:t>处理达标后</w:t>
            </w:r>
            <w:r>
              <w:rPr>
                <w:rFonts w:hint="eastAsia"/>
                <w:bCs/>
                <w:color w:val="0000FF"/>
                <w:sz w:val="24"/>
              </w:rPr>
              <w:t>由罐车拉运至普光3井等回注站</w:t>
            </w:r>
            <w:r>
              <w:rPr>
                <w:bCs/>
                <w:color w:val="0000FF"/>
                <w:sz w:val="24"/>
              </w:rPr>
              <w:t>回注</w:t>
            </w:r>
            <w:r>
              <w:rPr>
                <w:bCs/>
                <w:sz w:val="24"/>
              </w:rPr>
              <w:t>。</w:t>
            </w:r>
          </w:p>
          <w:p w14:paraId="15028A5A">
            <w:pPr>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bCs/>
                <w:sz w:val="24"/>
              </w:rPr>
              <w:t>①</w:t>
            </w:r>
            <w:r>
              <w:rPr>
                <w:bCs/>
                <w:sz w:val="24"/>
              </w:rPr>
              <w:fldChar w:fldCharType="end"/>
            </w:r>
            <w:r>
              <w:rPr>
                <w:bCs/>
                <w:sz w:val="24"/>
              </w:rPr>
              <w:t>场地雨水</w:t>
            </w:r>
          </w:p>
          <w:p w14:paraId="4FDF47AF">
            <w:pPr>
              <w:spacing w:line="360" w:lineRule="auto"/>
              <w:ind w:firstLine="480" w:firstLineChars="200"/>
              <w:rPr>
                <w:bCs/>
                <w:sz w:val="24"/>
              </w:rPr>
            </w:pPr>
            <w:r>
              <w:rPr>
                <w:bCs/>
                <w:sz w:val="24"/>
              </w:rPr>
              <w:t>井场内产污区和泥浆不落地平台设置挡水墙与井场清洁区分隔，产污区的</w:t>
            </w:r>
            <w:r>
              <w:rPr>
                <w:rFonts w:hint="eastAsia"/>
                <w:bCs/>
                <w:sz w:val="24"/>
              </w:rPr>
              <w:t>初期雨水</w:t>
            </w:r>
            <w:r>
              <w:rPr>
                <w:bCs/>
                <w:sz w:val="24"/>
              </w:rPr>
              <w:t>经</w:t>
            </w:r>
            <w:r>
              <w:rPr>
                <w:rFonts w:hint="eastAsia"/>
                <w:bCs/>
                <w:sz w:val="24"/>
              </w:rPr>
              <w:t>场内排水沟汇集至集水坑</w:t>
            </w:r>
            <w:r>
              <w:rPr>
                <w:bCs/>
                <w:sz w:val="24"/>
              </w:rPr>
              <w:t>，通过集水坑泵入泥浆不落地平台处理回用，现场不外排。</w:t>
            </w:r>
          </w:p>
          <w:p w14:paraId="7CDD520F">
            <w:pPr>
              <w:spacing w:line="360" w:lineRule="auto"/>
              <w:ind w:firstLine="480" w:firstLineChars="200"/>
              <w:rPr>
                <w:bCs/>
                <w:sz w:val="24"/>
              </w:rPr>
            </w:pPr>
            <w:r>
              <w:rPr>
                <w:bCs/>
                <w:sz w:val="24"/>
              </w:rPr>
              <w:t>初期雨水量按照如下公式计算：</w:t>
            </w:r>
          </w:p>
          <w:p w14:paraId="232B06F8">
            <w:pPr>
              <w:spacing w:line="360" w:lineRule="auto"/>
              <w:ind w:firstLine="480" w:firstLineChars="200"/>
              <w:jc w:val="center"/>
              <w:rPr>
                <w:bCs/>
                <w:sz w:val="24"/>
              </w:rPr>
            </w:pPr>
            <w:r>
              <w:rPr>
                <w:bCs/>
                <w:sz w:val="24"/>
              </w:rPr>
              <w:t>V=q×ψ×F×t×60÷1000</w:t>
            </w:r>
          </w:p>
          <w:p w14:paraId="5DF533FD">
            <w:pPr>
              <w:spacing w:line="360" w:lineRule="auto"/>
              <w:ind w:firstLine="480" w:firstLineChars="200"/>
              <w:rPr>
                <w:bCs/>
                <w:sz w:val="24"/>
              </w:rPr>
            </w:pPr>
            <w:r>
              <w:rPr>
                <w:bCs/>
                <w:sz w:val="24"/>
              </w:rPr>
              <w:t>式中：V-初期雨水最大量，m</w:t>
            </w:r>
            <w:r>
              <w:rPr>
                <w:bCs/>
                <w:sz w:val="24"/>
                <w:vertAlign w:val="superscript"/>
              </w:rPr>
              <w:t>3</w:t>
            </w:r>
            <w:r>
              <w:rPr>
                <w:bCs/>
                <w:sz w:val="24"/>
              </w:rPr>
              <w:t>；</w:t>
            </w:r>
          </w:p>
          <w:p w14:paraId="3215AB30">
            <w:pPr>
              <w:spacing w:line="360" w:lineRule="auto"/>
              <w:ind w:firstLine="480" w:firstLineChars="200"/>
              <w:rPr>
                <w:bCs/>
                <w:sz w:val="24"/>
              </w:rPr>
            </w:pPr>
            <w:r>
              <w:rPr>
                <w:bCs/>
                <w:sz w:val="24"/>
              </w:rPr>
              <w:t>t-降雨历时，min；</w:t>
            </w:r>
          </w:p>
          <w:p w14:paraId="32D5BB40">
            <w:pPr>
              <w:spacing w:line="360" w:lineRule="auto"/>
              <w:ind w:firstLine="480" w:firstLineChars="200"/>
              <w:rPr>
                <w:bCs/>
                <w:sz w:val="24"/>
              </w:rPr>
            </w:pPr>
            <w:r>
              <w:rPr>
                <w:bCs/>
                <w:sz w:val="24"/>
              </w:rPr>
              <w:t>ψ－径流系数，取0.85；</w:t>
            </w:r>
          </w:p>
          <w:p w14:paraId="635D05A6">
            <w:pPr>
              <w:spacing w:line="360" w:lineRule="auto"/>
              <w:ind w:firstLine="480" w:firstLineChars="200"/>
              <w:rPr>
                <w:bCs/>
                <w:sz w:val="24"/>
              </w:rPr>
            </w:pPr>
            <w:r>
              <w:rPr>
                <w:bCs/>
                <w:sz w:val="24"/>
              </w:rPr>
              <w:t>F－汇水面积，hm</w:t>
            </w:r>
            <w:r>
              <w:rPr>
                <w:bCs/>
                <w:sz w:val="24"/>
                <w:vertAlign w:val="superscript"/>
              </w:rPr>
              <w:t>2</w:t>
            </w:r>
            <w:r>
              <w:rPr>
                <w:bCs/>
                <w:sz w:val="24"/>
              </w:rPr>
              <w:t>，本次计算井架区域占地面积，合计按4000m</w:t>
            </w:r>
            <w:r>
              <w:rPr>
                <w:bCs/>
                <w:sz w:val="24"/>
                <w:vertAlign w:val="superscript"/>
              </w:rPr>
              <w:t>2</w:t>
            </w:r>
            <w:r>
              <w:rPr>
                <w:bCs/>
                <w:sz w:val="24"/>
              </w:rPr>
              <w:t>计，即0.4hm</w:t>
            </w:r>
            <w:r>
              <w:rPr>
                <w:bCs/>
                <w:sz w:val="24"/>
                <w:vertAlign w:val="superscript"/>
              </w:rPr>
              <w:t>2</w:t>
            </w:r>
            <w:r>
              <w:rPr>
                <w:bCs/>
                <w:sz w:val="24"/>
              </w:rPr>
              <w:t>。</w:t>
            </w:r>
          </w:p>
          <w:p w14:paraId="76A99238">
            <w:pPr>
              <w:spacing w:line="360" w:lineRule="auto"/>
              <w:ind w:firstLine="480" w:firstLineChars="200"/>
              <w:rPr>
                <w:bCs/>
                <w:sz w:val="24"/>
              </w:rPr>
            </w:pPr>
            <w:r>
              <w:rPr>
                <w:bCs/>
                <w:sz w:val="24"/>
              </w:rPr>
              <w:t>q－设计暴雨强度，L/（s·hm</w:t>
            </w:r>
            <w:r>
              <w:rPr>
                <w:bCs/>
                <w:sz w:val="24"/>
                <w:vertAlign w:val="superscript"/>
              </w:rPr>
              <w:t>2</w:t>
            </w:r>
            <w:r>
              <w:rPr>
                <w:bCs/>
                <w:sz w:val="24"/>
              </w:rPr>
              <w:t>）。</w:t>
            </w:r>
          </w:p>
          <w:p w14:paraId="686415F8">
            <w:pPr>
              <w:spacing w:line="360" w:lineRule="auto"/>
              <w:ind w:firstLine="480" w:firstLineChars="200"/>
              <w:rPr>
                <w:bCs/>
                <w:sz w:val="24"/>
              </w:rPr>
            </w:pPr>
            <w:r>
              <w:rPr>
                <w:bCs/>
                <w:sz w:val="24"/>
              </w:rPr>
              <w:t>设计暴雨强度公式如下：</w:t>
            </w:r>
          </w:p>
          <w:p w14:paraId="6F484DF6">
            <w:pPr>
              <w:spacing w:line="360" w:lineRule="auto"/>
              <w:ind w:firstLine="480" w:firstLineChars="200"/>
              <w:rPr>
                <w:bCs/>
                <w:sz w:val="24"/>
              </w:rPr>
            </w:pPr>
            <m:oMathPara>
              <m:oMath>
                <m:r>
                  <m:rPr>
                    <m:sty m:val="p"/>
                  </m:rPr>
                  <w:rPr>
                    <w:rFonts w:ascii="Cambria Math" w:hAnsi="Cambria Math"/>
                    <w:sz w:val="24"/>
                  </w:rPr>
                  <m:t>q=</m:t>
                </m:r>
                <m:f>
                  <m:fPr>
                    <m:ctrlPr>
                      <w:rPr>
                        <w:rFonts w:ascii="Cambria Math" w:hAnsi="Cambria Math"/>
                        <w:bCs/>
                        <w:sz w:val="24"/>
                      </w:rPr>
                    </m:ctrlPr>
                  </m:fPr>
                  <m:num>
                    <m:r>
                      <m:rPr>
                        <m:sty m:val="p"/>
                      </m:rPr>
                      <w:rPr>
                        <w:rFonts w:ascii="Cambria Math" w:hAnsi="Cambria Math"/>
                        <w:sz w:val="24"/>
                      </w:rPr>
                      <m:t>928.799(1+0.818LgP)</m:t>
                    </m:r>
                    <m:ctrlPr>
                      <w:rPr>
                        <w:rFonts w:ascii="Cambria Math" w:hAnsi="Cambria Math"/>
                        <w:bCs/>
                        <w:sz w:val="24"/>
                      </w:rPr>
                    </m:ctrlPr>
                  </m:num>
                  <m:den>
                    <m:r>
                      <m:rPr>
                        <m:sty m:val="p"/>
                      </m:rPr>
                      <w:rPr>
                        <w:rFonts w:ascii="Cambria Math" w:hAnsi="Cambria Math"/>
                        <w:sz w:val="24"/>
                      </w:rPr>
                      <m:t>(t+5.788</m:t>
                    </m:r>
                    <m:sSup>
                      <m:sSupPr>
                        <m:ctrlPr>
                          <w:rPr>
                            <w:rFonts w:ascii="Cambria Math" w:hAnsi="Cambria Math"/>
                            <w:bCs/>
                            <w:sz w:val="24"/>
                          </w:rPr>
                        </m:ctrlPr>
                      </m:sSupPr>
                      <m:e>
                        <m:r>
                          <m:rPr>
                            <m:sty m:val="p"/>
                          </m:rPr>
                          <w:rPr>
                            <w:rFonts w:ascii="Cambria Math" w:hAnsi="Cambria Math"/>
                            <w:sz w:val="24"/>
                          </w:rPr>
                          <m:t>)</m:t>
                        </m:r>
                        <m:ctrlPr>
                          <w:rPr>
                            <w:rFonts w:ascii="Cambria Math" w:hAnsi="Cambria Math"/>
                            <w:bCs/>
                            <w:sz w:val="24"/>
                          </w:rPr>
                        </m:ctrlPr>
                      </m:e>
                      <m:sup>
                        <m:r>
                          <m:rPr>
                            <m:sty m:val="p"/>
                          </m:rPr>
                          <w:rPr>
                            <w:rFonts w:ascii="Cambria Math" w:hAnsi="Cambria Math"/>
                            <w:sz w:val="24"/>
                          </w:rPr>
                          <m:t>0.565</m:t>
                        </m:r>
                        <m:ctrlPr>
                          <w:rPr>
                            <w:rFonts w:ascii="Cambria Math" w:hAnsi="Cambria Math"/>
                            <w:bCs/>
                            <w:sz w:val="24"/>
                          </w:rPr>
                        </m:ctrlPr>
                      </m:sup>
                    </m:sSup>
                    <m:ctrlPr>
                      <w:rPr>
                        <w:rFonts w:ascii="Cambria Math" w:hAnsi="Cambria Math"/>
                        <w:bCs/>
                        <w:sz w:val="24"/>
                      </w:rPr>
                    </m:ctrlPr>
                  </m:den>
                </m:f>
              </m:oMath>
            </m:oMathPara>
          </w:p>
          <w:p w14:paraId="31DB2EB3">
            <w:pPr>
              <w:spacing w:line="360" w:lineRule="auto"/>
              <w:ind w:firstLine="480" w:firstLineChars="200"/>
              <w:rPr>
                <w:bCs/>
                <w:sz w:val="24"/>
              </w:rPr>
            </w:pPr>
            <w:r>
              <w:rPr>
                <w:bCs/>
                <w:sz w:val="24"/>
              </w:rPr>
              <w:t>式中：</w:t>
            </w:r>
          </w:p>
          <w:p w14:paraId="317ACC23">
            <w:pPr>
              <w:spacing w:line="360" w:lineRule="auto"/>
              <w:ind w:firstLine="480" w:firstLineChars="200"/>
              <w:rPr>
                <w:bCs/>
                <w:sz w:val="24"/>
              </w:rPr>
            </w:pPr>
            <w:r>
              <w:rPr>
                <w:bCs/>
                <w:sz w:val="24"/>
              </w:rPr>
              <w:t>q—设计暴雨强度，L/（s·hm</w:t>
            </w:r>
            <w:r>
              <w:rPr>
                <w:bCs/>
                <w:sz w:val="24"/>
                <w:vertAlign w:val="superscript"/>
              </w:rPr>
              <w:t>2</w:t>
            </w:r>
            <w:r>
              <w:rPr>
                <w:bCs/>
                <w:sz w:val="24"/>
              </w:rPr>
              <w:t>）；</w:t>
            </w:r>
          </w:p>
          <w:p w14:paraId="4838D7B1">
            <w:pPr>
              <w:spacing w:line="360" w:lineRule="auto"/>
              <w:ind w:firstLine="480" w:firstLineChars="200"/>
              <w:rPr>
                <w:bCs/>
                <w:sz w:val="24"/>
              </w:rPr>
            </w:pPr>
            <w:r>
              <w:rPr>
                <w:bCs/>
                <w:sz w:val="24"/>
              </w:rPr>
              <w:t>p—设计暴雨重现期（年）：本次取值为2年；</w:t>
            </w:r>
          </w:p>
          <w:p w14:paraId="7481E8F5">
            <w:pPr>
              <w:spacing w:line="360" w:lineRule="auto"/>
              <w:ind w:firstLine="480" w:firstLineChars="200"/>
              <w:rPr>
                <w:bCs/>
                <w:sz w:val="24"/>
              </w:rPr>
            </w:pPr>
            <w:r>
              <w:rPr>
                <w:bCs/>
                <w:sz w:val="24"/>
              </w:rPr>
              <w:t>t—降雨历时（min）：取15min。</w:t>
            </w:r>
          </w:p>
          <w:p w14:paraId="7374E886">
            <w:pPr>
              <w:spacing w:line="360" w:lineRule="auto"/>
              <w:ind w:firstLine="480" w:firstLineChars="200"/>
              <w:rPr>
                <w:bCs/>
                <w:sz w:val="24"/>
              </w:rPr>
            </w:pPr>
            <w:r>
              <w:rPr>
                <w:bCs/>
                <w:sz w:val="24"/>
              </w:rPr>
              <w:t>经计算，本项目15min初期雨水产生量约为</w:t>
            </w:r>
            <w:r>
              <w:rPr>
                <w:rFonts w:hint="eastAsia"/>
                <w:bCs/>
                <w:sz w:val="24"/>
              </w:rPr>
              <w:t>63.8</w:t>
            </w:r>
            <w:r>
              <w:rPr>
                <w:bCs/>
                <w:sz w:val="24"/>
              </w:rPr>
              <w:t>m</w:t>
            </w:r>
            <w:r>
              <w:rPr>
                <w:bCs/>
                <w:sz w:val="24"/>
                <w:vertAlign w:val="superscript"/>
              </w:rPr>
              <w:t>3</w:t>
            </w:r>
            <w:r>
              <w:rPr>
                <w:bCs/>
                <w:sz w:val="24"/>
              </w:rPr>
              <w:t>。</w:t>
            </w:r>
          </w:p>
          <w:p w14:paraId="6AEDD346">
            <w:pPr>
              <w:spacing w:line="360" w:lineRule="auto"/>
              <w:ind w:firstLine="480" w:firstLineChars="200"/>
              <w:rPr>
                <w:bCs/>
                <w:sz w:val="24"/>
              </w:rPr>
            </w:pPr>
            <w:r>
              <w:rPr>
                <w:bCs/>
                <w:sz w:val="24"/>
              </w:rPr>
              <w:t>井场实行雨污分流，井场外四周设排水沟，井外雨水不得进入井场，井场内</w:t>
            </w:r>
            <w:r>
              <w:rPr>
                <w:rFonts w:hint="eastAsia"/>
                <w:bCs/>
                <w:sz w:val="24"/>
              </w:rPr>
              <w:t>设置排污沟，井场内产污区和泥浆不落地平台设置挡水墙与井场清洁区分隔</w:t>
            </w:r>
            <w:r>
              <w:rPr>
                <w:bCs/>
                <w:sz w:val="24"/>
              </w:rPr>
              <w:t>，井场雨水随</w:t>
            </w:r>
            <w:r>
              <w:rPr>
                <w:rFonts w:hint="eastAsia"/>
                <w:bCs/>
                <w:sz w:val="24"/>
              </w:rPr>
              <w:t>场内排污沟</w:t>
            </w:r>
            <w:r>
              <w:rPr>
                <w:bCs/>
                <w:sz w:val="24"/>
              </w:rPr>
              <w:t>汇至</w:t>
            </w:r>
            <w:r>
              <w:rPr>
                <w:rFonts w:hint="eastAsia"/>
                <w:bCs/>
                <w:sz w:val="24"/>
              </w:rPr>
              <w:t>井口区域集水坑</w:t>
            </w:r>
            <w:r>
              <w:rPr>
                <w:bCs/>
                <w:sz w:val="24"/>
              </w:rPr>
              <w:t>，</w:t>
            </w:r>
            <w:r>
              <w:rPr>
                <w:rFonts w:hint="eastAsia"/>
                <w:bCs/>
                <w:sz w:val="24"/>
              </w:rPr>
              <w:t>场内</w:t>
            </w:r>
            <w:r>
              <w:rPr>
                <w:bCs/>
                <w:sz w:val="24"/>
              </w:rPr>
              <w:t>初期雨水</w:t>
            </w:r>
            <w:r>
              <w:rPr>
                <w:rFonts w:hint="eastAsia"/>
                <w:bCs/>
                <w:sz w:val="24"/>
              </w:rPr>
              <w:t>经集水坑</w:t>
            </w:r>
            <w:r>
              <w:rPr>
                <w:bCs/>
                <w:sz w:val="24"/>
              </w:rPr>
              <w:t>收集后泵入泥浆不落地平台处理回用，现场不外排。</w:t>
            </w:r>
          </w:p>
          <w:p w14:paraId="18ED7962">
            <w:pPr>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bCs/>
                <w:sz w:val="24"/>
              </w:rPr>
              <w:t>②</w:t>
            </w:r>
            <w:r>
              <w:rPr>
                <w:bCs/>
                <w:sz w:val="24"/>
              </w:rPr>
              <w:fldChar w:fldCharType="end"/>
            </w:r>
            <w:r>
              <w:rPr>
                <w:bCs/>
                <w:sz w:val="24"/>
              </w:rPr>
              <w:t>钻井废水</w:t>
            </w:r>
          </w:p>
          <w:p w14:paraId="0C970411">
            <w:pPr>
              <w:spacing w:line="360" w:lineRule="auto"/>
              <w:ind w:firstLine="480" w:firstLineChars="200"/>
              <w:rPr>
                <w:bCs/>
                <w:sz w:val="24"/>
              </w:rPr>
            </w:pPr>
            <w:r>
              <w:rPr>
                <w:bCs/>
                <w:sz w:val="24"/>
              </w:rPr>
              <w:t>钻井过程中产生的钻井废水主要包括水基泥浆钻井阶段产生的废水，钻台及钻具等冲洗水。</w:t>
            </w:r>
          </w:p>
          <w:p w14:paraId="3588FDB6">
            <w:pPr>
              <w:spacing w:line="360" w:lineRule="auto"/>
              <w:ind w:firstLine="480" w:firstLineChars="200"/>
              <w:rPr>
                <w:bCs/>
                <w:sz w:val="24"/>
              </w:rPr>
            </w:pPr>
            <w:r>
              <w:rPr>
                <w:bCs/>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泥浆不落地平台。</w:t>
            </w:r>
          </w:p>
          <w:p w14:paraId="10A29839">
            <w:pPr>
              <w:spacing w:line="360" w:lineRule="auto"/>
              <w:ind w:firstLine="480" w:firstLineChars="200"/>
              <w:rPr>
                <w:bCs/>
                <w:color w:val="0000FF"/>
                <w:sz w:val="24"/>
              </w:rPr>
            </w:pPr>
            <w:r>
              <w:rPr>
                <w:bCs/>
                <w:color w:val="0000FF"/>
                <w:sz w:val="24"/>
              </w:rPr>
              <w:t>根据宣汉地区大量钻井数据的统计分析，常规钻井阶段钻进1000m废水产生量约为500m</w:t>
            </w:r>
            <w:r>
              <w:rPr>
                <w:bCs/>
                <w:color w:val="0000FF"/>
                <w:sz w:val="24"/>
                <w:vertAlign w:val="superscript"/>
              </w:rPr>
              <w:t>3</w:t>
            </w:r>
            <w:r>
              <w:rPr>
                <w:bCs/>
                <w:color w:val="0000FF"/>
                <w:sz w:val="24"/>
              </w:rPr>
              <w:t>钻井废水，本项目若全部考虑清水钻井+常规水基钻井，设计</w:t>
            </w:r>
            <w:r>
              <w:rPr>
                <w:rFonts w:hint="eastAsia"/>
                <w:bCs/>
                <w:color w:val="0000FF"/>
                <w:sz w:val="24"/>
              </w:rPr>
              <w:t>导眼</w:t>
            </w:r>
            <w:r>
              <w:rPr>
                <w:bCs/>
                <w:color w:val="0000FF"/>
                <w:sz w:val="24"/>
              </w:rPr>
              <w:t>井深约</w:t>
            </w:r>
            <w:r>
              <w:rPr>
                <w:rFonts w:hint="eastAsia"/>
                <w:bCs/>
                <w:color w:val="0000FF"/>
                <w:sz w:val="24"/>
              </w:rPr>
              <w:t>5080</w:t>
            </w:r>
            <w:r>
              <w:rPr>
                <w:bCs/>
                <w:color w:val="0000FF"/>
                <w:sz w:val="24"/>
              </w:rPr>
              <w:t>m，因此本项目钻井废水产生量约为</w:t>
            </w:r>
            <w:r>
              <w:rPr>
                <w:rFonts w:hint="eastAsia"/>
                <w:bCs/>
                <w:color w:val="0000FF"/>
                <w:sz w:val="24"/>
              </w:rPr>
              <w:t>2540</w:t>
            </w:r>
            <w:r>
              <w:rPr>
                <w:bCs/>
                <w:color w:val="0000FF"/>
                <w:sz w:val="24"/>
              </w:rPr>
              <w:t>m</w:t>
            </w:r>
            <w:r>
              <w:rPr>
                <w:bCs/>
                <w:color w:val="0000FF"/>
                <w:sz w:val="24"/>
                <w:vertAlign w:val="superscript"/>
              </w:rPr>
              <w:t>3</w:t>
            </w:r>
            <w:r>
              <w:rPr>
                <w:bCs/>
                <w:color w:val="0000FF"/>
                <w:sz w:val="24"/>
              </w:rPr>
              <w:t>，钻井过程中产生的废水经处理后回用于水基钻井液的配制。钻井废水回用率约为90%以上，循环过程中的损耗量</w:t>
            </w:r>
            <w:r>
              <w:rPr>
                <w:rFonts w:hint="eastAsia"/>
                <w:bCs/>
                <w:color w:val="0000FF"/>
                <w:sz w:val="24"/>
              </w:rPr>
              <w:t>及废水量各</w:t>
            </w:r>
            <w:r>
              <w:rPr>
                <w:bCs/>
                <w:color w:val="0000FF"/>
                <w:sz w:val="24"/>
              </w:rPr>
              <w:t>约为5%。因此钻井废水回用量为</w:t>
            </w:r>
            <w:r>
              <w:rPr>
                <w:rFonts w:hint="eastAsia"/>
                <w:bCs/>
                <w:color w:val="0000FF"/>
                <w:sz w:val="24"/>
              </w:rPr>
              <w:t>2286</w:t>
            </w:r>
            <w:r>
              <w:rPr>
                <w:bCs/>
                <w:color w:val="0000FF"/>
                <w:sz w:val="24"/>
              </w:rPr>
              <w:t>m</w:t>
            </w:r>
            <w:r>
              <w:rPr>
                <w:bCs/>
                <w:color w:val="0000FF"/>
                <w:sz w:val="24"/>
                <w:vertAlign w:val="superscript"/>
              </w:rPr>
              <w:t>3</w:t>
            </w:r>
            <w:r>
              <w:rPr>
                <w:bCs/>
                <w:color w:val="0000FF"/>
                <w:sz w:val="24"/>
              </w:rPr>
              <w:t>，剩余废水量为</w:t>
            </w:r>
            <w:r>
              <w:rPr>
                <w:rFonts w:hint="eastAsia"/>
                <w:bCs/>
                <w:color w:val="0000FF"/>
                <w:sz w:val="24"/>
              </w:rPr>
              <w:t>127</w:t>
            </w:r>
            <w:r>
              <w:rPr>
                <w:bCs/>
                <w:color w:val="0000FF"/>
                <w:sz w:val="24"/>
              </w:rPr>
              <w:t>m</w:t>
            </w:r>
            <w:r>
              <w:rPr>
                <w:bCs/>
                <w:color w:val="0000FF"/>
                <w:sz w:val="24"/>
                <w:vertAlign w:val="superscript"/>
              </w:rPr>
              <w:t>3</w:t>
            </w:r>
            <w:r>
              <w:rPr>
                <w:bCs/>
                <w:color w:val="0000FF"/>
                <w:sz w:val="24"/>
              </w:rPr>
              <w:t>。</w:t>
            </w:r>
            <w:r>
              <w:rPr>
                <w:rFonts w:hint="eastAsia"/>
                <w:bCs/>
                <w:color w:val="0000FF"/>
                <w:sz w:val="24"/>
              </w:rPr>
              <w:t>钻井新鲜水用量为损耗量及废水量总计为254m</w:t>
            </w:r>
            <w:r>
              <w:rPr>
                <w:rFonts w:hint="eastAsia"/>
                <w:bCs/>
                <w:color w:val="0000FF"/>
                <w:sz w:val="24"/>
                <w:vertAlign w:val="superscript"/>
              </w:rPr>
              <w:t>3</w:t>
            </w:r>
            <w:r>
              <w:rPr>
                <w:rFonts w:hint="eastAsia"/>
                <w:bCs/>
                <w:color w:val="0000FF"/>
                <w:sz w:val="24"/>
              </w:rPr>
              <w:t>，</w:t>
            </w:r>
            <w:r>
              <w:rPr>
                <w:bCs/>
                <w:color w:val="0000FF"/>
                <w:sz w:val="24"/>
              </w:rPr>
              <w:t>由于钻井用水量相对较少，因此钻井用水通过罐车取自井场附近的河流，然后通过罐车拉运至井场；本评价建议建设单位或施工单位在项目施工前办理相关取水许可，并节约用水。钻井过程中产生的废水经泥浆不落地平台处理后大部分回用于配制钻井液，若不能回用，则拉运至</w:t>
            </w:r>
            <w:r>
              <w:rPr>
                <w:rFonts w:hint="eastAsia"/>
                <w:bCs/>
                <w:color w:val="0000FF"/>
                <w:sz w:val="24"/>
              </w:rPr>
              <w:t>赵家坝污水处理站</w:t>
            </w:r>
            <w:r>
              <w:rPr>
                <w:bCs/>
                <w:color w:val="0000FF"/>
                <w:sz w:val="24"/>
              </w:rPr>
              <w:t>处理达标后</w:t>
            </w:r>
            <w:r>
              <w:rPr>
                <w:rFonts w:hint="eastAsia"/>
                <w:bCs/>
                <w:color w:val="0000FF"/>
                <w:sz w:val="24"/>
              </w:rPr>
              <w:t>由罐车拉运至普光3井等</w:t>
            </w:r>
            <w:r>
              <w:rPr>
                <w:bCs/>
                <w:color w:val="0000FF"/>
                <w:sz w:val="24"/>
              </w:rPr>
              <w:t>回注站回注，现场不外排。</w:t>
            </w:r>
          </w:p>
          <w:p w14:paraId="08F09E97">
            <w:pPr>
              <w:spacing w:line="360" w:lineRule="auto"/>
              <w:ind w:firstLine="480" w:firstLineChars="200"/>
              <w:rPr>
                <w:bCs/>
                <w:sz w:val="24"/>
              </w:rPr>
            </w:pPr>
            <w:r>
              <w:rPr>
                <w:bCs/>
                <w:sz w:val="24"/>
              </w:rPr>
              <w:t>本项目钻井废水主要污染物浓度根据普光气田钻井工程钻井废水类比，钻井工程废水水质情况见表4-4。</w:t>
            </w:r>
          </w:p>
          <w:p w14:paraId="6DC0E534">
            <w:pPr>
              <w:spacing w:line="360" w:lineRule="auto"/>
              <w:ind w:firstLine="422" w:firstLineChars="200"/>
              <w:jc w:val="center"/>
              <w:rPr>
                <w:bCs/>
                <w:szCs w:val="21"/>
              </w:rPr>
            </w:pPr>
            <w:r>
              <w:rPr>
                <w:b/>
                <w:bCs/>
                <w:szCs w:val="21"/>
              </w:rPr>
              <w:t>表4-4 钻井废水水质情况</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042"/>
              <w:gridCol w:w="1985"/>
              <w:gridCol w:w="1550"/>
            </w:tblGrid>
            <w:tr w14:paraId="2C14C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restart"/>
                  <w:tcBorders>
                    <w:tl2br w:val="nil"/>
                    <w:tr2bl w:val="nil"/>
                  </w:tcBorders>
                  <w:vAlign w:val="center"/>
                </w:tcPr>
                <w:p w14:paraId="4FFD99FC">
                  <w:pPr>
                    <w:jc w:val="center"/>
                    <w:rPr>
                      <w:bCs/>
                      <w:szCs w:val="21"/>
                    </w:rPr>
                  </w:pPr>
                  <w:r>
                    <w:rPr>
                      <w:bCs/>
                      <w:szCs w:val="21"/>
                    </w:rPr>
                    <w:t>废水种类</w:t>
                  </w:r>
                </w:p>
              </w:tc>
              <w:tc>
                <w:tcPr>
                  <w:tcW w:w="5577" w:type="dxa"/>
                  <w:gridSpan w:val="3"/>
                  <w:tcBorders>
                    <w:tl2br w:val="nil"/>
                    <w:tr2bl w:val="nil"/>
                  </w:tcBorders>
                  <w:vAlign w:val="center"/>
                </w:tcPr>
                <w:p w14:paraId="20EA8A12">
                  <w:pPr>
                    <w:jc w:val="center"/>
                    <w:rPr>
                      <w:bCs/>
                      <w:szCs w:val="21"/>
                    </w:rPr>
                  </w:pPr>
                  <w:r>
                    <w:rPr>
                      <w:bCs/>
                      <w:szCs w:val="21"/>
                    </w:rPr>
                    <w:t>主要污染物浓度（单位mg/L，pH无量纲）</w:t>
                  </w:r>
                </w:p>
              </w:tc>
            </w:tr>
            <w:tr w14:paraId="76DE5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continue"/>
                  <w:tcBorders>
                    <w:tl2br w:val="nil"/>
                    <w:tr2bl w:val="nil"/>
                  </w:tcBorders>
                  <w:vAlign w:val="center"/>
                </w:tcPr>
                <w:p w14:paraId="7C19507F">
                  <w:pPr>
                    <w:jc w:val="center"/>
                    <w:rPr>
                      <w:bCs/>
                      <w:szCs w:val="21"/>
                    </w:rPr>
                  </w:pPr>
                </w:p>
              </w:tc>
              <w:tc>
                <w:tcPr>
                  <w:tcW w:w="2042" w:type="dxa"/>
                  <w:tcBorders>
                    <w:tl2br w:val="nil"/>
                    <w:tr2bl w:val="nil"/>
                  </w:tcBorders>
                  <w:vAlign w:val="center"/>
                </w:tcPr>
                <w:p w14:paraId="189D1480">
                  <w:pPr>
                    <w:jc w:val="center"/>
                    <w:rPr>
                      <w:bCs/>
                      <w:szCs w:val="21"/>
                    </w:rPr>
                  </w:pPr>
                  <w:r>
                    <w:rPr>
                      <w:bCs/>
                      <w:szCs w:val="21"/>
                    </w:rPr>
                    <w:t>pH</w:t>
                  </w:r>
                </w:p>
              </w:tc>
              <w:tc>
                <w:tcPr>
                  <w:tcW w:w="1985" w:type="dxa"/>
                  <w:tcBorders>
                    <w:tl2br w:val="nil"/>
                    <w:tr2bl w:val="nil"/>
                  </w:tcBorders>
                  <w:vAlign w:val="center"/>
                </w:tcPr>
                <w:p w14:paraId="344563E6">
                  <w:pPr>
                    <w:jc w:val="center"/>
                    <w:rPr>
                      <w:bCs/>
                      <w:szCs w:val="21"/>
                    </w:rPr>
                  </w:pPr>
                  <w:r>
                    <w:rPr>
                      <w:bCs/>
                      <w:szCs w:val="21"/>
                    </w:rPr>
                    <w:t>石油类</w:t>
                  </w:r>
                </w:p>
              </w:tc>
              <w:tc>
                <w:tcPr>
                  <w:tcW w:w="1550" w:type="dxa"/>
                  <w:tcBorders>
                    <w:tl2br w:val="nil"/>
                    <w:tr2bl w:val="nil"/>
                  </w:tcBorders>
                  <w:vAlign w:val="center"/>
                </w:tcPr>
                <w:p w14:paraId="42F2DE95">
                  <w:pPr>
                    <w:jc w:val="center"/>
                    <w:rPr>
                      <w:bCs/>
                      <w:szCs w:val="21"/>
                    </w:rPr>
                  </w:pPr>
                  <w:r>
                    <w:rPr>
                      <w:bCs/>
                      <w:szCs w:val="21"/>
                    </w:rPr>
                    <w:t>SS</w:t>
                  </w:r>
                </w:p>
              </w:tc>
            </w:tr>
            <w:tr w14:paraId="7F556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tcBorders>
                    <w:tl2br w:val="nil"/>
                    <w:tr2bl w:val="nil"/>
                  </w:tcBorders>
                  <w:vAlign w:val="center"/>
                </w:tcPr>
                <w:p w14:paraId="2C50B65E">
                  <w:pPr>
                    <w:jc w:val="center"/>
                    <w:rPr>
                      <w:bCs/>
                      <w:szCs w:val="21"/>
                    </w:rPr>
                  </w:pPr>
                  <w:r>
                    <w:rPr>
                      <w:bCs/>
                      <w:szCs w:val="21"/>
                    </w:rPr>
                    <w:t>水基钻井液钻井后废水</w:t>
                  </w:r>
                </w:p>
              </w:tc>
              <w:tc>
                <w:tcPr>
                  <w:tcW w:w="2042" w:type="dxa"/>
                  <w:tcBorders>
                    <w:tl2br w:val="nil"/>
                    <w:tr2bl w:val="nil"/>
                  </w:tcBorders>
                  <w:vAlign w:val="center"/>
                </w:tcPr>
                <w:p w14:paraId="4C4A53F9">
                  <w:pPr>
                    <w:jc w:val="center"/>
                    <w:rPr>
                      <w:bCs/>
                      <w:szCs w:val="21"/>
                    </w:rPr>
                  </w:pPr>
                  <w:r>
                    <w:rPr>
                      <w:bCs/>
                      <w:szCs w:val="21"/>
                    </w:rPr>
                    <w:t>8.3</w:t>
                  </w:r>
                  <w:r>
                    <w:rPr>
                      <w:rFonts w:hint="eastAsia"/>
                      <w:bCs/>
                      <w:szCs w:val="21"/>
                    </w:rPr>
                    <w:t>~</w:t>
                  </w:r>
                  <w:r>
                    <w:rPr>
                      <w:bCs/>
                      <w:szCs w:val="21"/>
                    </w:rPr>
                    <w:t>12.5</w:t>
                  </w:r>
                </w:p>
              </w:tc>
              <w:tc>
                <w:tcPr>
                  <w:tcW w:w="1985" w:type="dxa"/>
                  <w:tcBorders>
                    <w:tl2br w:val="nil"/>
                    <w:tr2bl w:val="nil"/>
                  </w:tcBorders>
                  <w:vAlign w:val="center"/>
                </w:tcPr>
                <w:p w14:paraId="4B6FAD8D">
                  <w:pPr>
                    <w:jc w:val="center"/>
                    <w:rPr>
                      <w:bCs/>
                      <w:szCs w:val="21"/>
                    </w:rPr>
                  </w:pPr>
                  <w:r>
                    <w:rPr>
                      <w:bCs/>
                      <w:szCs w:val="21"/>
                    </w:rPr>
                    <w:t>≤200</w:t>
                  </w:r>
                </w:p>
              </w:tc>
              <w:tc>
                <w:tcPr>
                  <w:tcW w:w="1550" w:type="dxa"/>
                  <w:tcBorders>
                    <w:tl2br w:val="nil"/>
                    <w:tr2bl w:val="nil"/>
                  </w:tcBorders>
                  <w:vAlign w:val="center"/>
                </w:tcPr>
                <w:p w14:paraId="061A9FE3">
                  <w:pPr>
                    <w:jc w:val="center"/>
                    <w:rPr>
                      <w:bCs/>
                      <w:szCs w:val="21"/>
                    </w:rPr>
                  </w:pPr>
                  <w:r>
                    <w:rPr>
                      <w:bCs/>
                      <w:szCs w:val="21"/>
                    </w:rPr>
                    <w:t>≤7500</w:t>
                  </w:r>
                </w:p>
              </w:tc>
            </w:tr>
          </w:tbl>
          <w:p w14:paraId="55C7608C">
            <w:pPr>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bCs/>
                <w:sz w:val="24"/>
              </w:rPr>
              <w:t>③</w:t>
            </w:r>
            <w:r>
              <w:rPr>
                <w:bCs/>
                <w:sz w:val="24"/>
              </w:rPr>
              <w:fldChar w:fldCharType="end"/>
            </w:r>
            <w:r>
              <w:rPr>
                <w:bCs/>
                <w:sz w:val="24"/>
              </w:rPr>
              <w:t>生活污水</w:t>
            </w:r>
          </w:p>
          <w:p w14:paraId="34D1820F">
            <w:pPr>
              <w:spacing w:line="360" w:lineRule="auto"/>
              <w:ind w:firstLine="480" w:firstLineChars="200"/>
              <w:rPr>
                <w:bCs/>
                <w:sz w:val="24"/>
              </w:rPr>
            </w:pPr>
            <w:r>
              <w:rPr>
                <w:rFonts w:hint="eastAsia"/>
                <w:bCs/>
                <w:sz w:val="24"/>
              </w:rPr>
              <w:t>双庙页1HF井</w:t>
            </w:r>
            <w:r>
              <w:rPr>
                <w:bCs/>
                <w:sz w:val="24"/>
              </w:rPr>
              <w:t>井队人员为40人，类比其他井钻井情况，钻井期间施工人员生活用水按200L/d*人计，整个钻井周期约为</w:t>
            </w:r>
            <w:r>
              <w:rPr>
                <w:rFonts w:hint="eastAsia"/>
                <w:bCs/>
                <w:sz w:val="24"/>
              </w:rPr>
              <w:t>180</w:t>
            </w:r>
            <w:r>
              <w:rPr>
                <w:bCs/>
                <w:sz w:val="24"/>
              </w:rPr>
              <w:t>天，因此生活用水量约为</w:t>
            </w:r>
            <w:r>
              <w:rPr>
                <w:rFonts w:hint="eastAsia"/>
                <w:bCs/>
                <w:sz w:val="24"/>
              </w:rPr>
              <w:t>1440</w:t>
            </w:r>
            <w:r>
              <w:rPr>
                <w:bCs/>
                <w:sz w:val="24"/>
              </w:rPr>
              <w:t>m</w:t>
            </w:r>
            <w:r>
              <w:rPr>
                <w:bCs/>
                <w:sz w:val="24"/>
                <w:vertAlign w:val="superscript"/>
              </w:rPr>
              <w:t>3</w:t>
            </w:r>
            <w:r>
              <w:rPr>
                <w:bCs/>
                <w:sz w:val="24"/>
              </w:rPr>
              <w:t>，污水按用水量的90%计，则整个钻井工程期间生活污水产生量共计</w:t>
            </w:r>
            <w:r>
              <w:rPr>
                <w:rFonts w:hint="eastAsia"/>
                <w:bCs/>
                <w:sz w:val="24"/>
              </w:rPr>
              <w:t>1296</w:t>
            </w:r>
            <w:r>
              <w:rPr>
                <w:bCs/>
                <w:sz w:val="24"/>
              </w:rPr>
              <w:t>m</w:t>
            </w:r>
            <w:r>
              <w:rPr>
                <w:bCs/>
                <w:sz w:val="24"/>
                <w:vertAlign w:val="superscript"/>
              </w:rPr>
              <w:t>3</w:t>
            </w:r>
            <w:r>
              <w:rPr>
                <w:bCs/>
                <w:sz w:val="24"/>
              </w:rPr>
              <w:t>（约7.2m</w:t>
            </w:r>
            <w:r>
              <w:rPr>
                <w:bCs/>
                <w:sz w:val="24"/>
                <w:vertAlign w:val="superscript"/>
              </w:rPr>
              <w:t>3</w:t>
            </w:r>
            <w:r>
              <w:rPr>
                <w:bCs/>
                <w:sz w:val="24"/>
              </w:rPr>
              <w:t>/d），生活污水产生量较少，主要污染物为：SS、COD、BOD</w:t>
            </w:r>
            <w:r>
              <w:rPr>
                <w:bCs/>
                <w:sz w:val="24"/>
                <w:vertAlign w:val="subscript"/>
              </w:rPr>
              <w:t>5</w:t>
            </w:r>
            <w:r>
              <w:rPr>
                <w:bCs/>
                <w:sz w:val="24"/>
              </w:rPr>
              <w:t>、NH</w:t>
            </w:r>
            <w:r>
              <w:rPr>
                <w:bCs/>
                <w:sz w:val="24"/>
                <w:vertAlign w:val="subscript"/>
              </w:rPr>
              <w:t>3</w:t>
            </w:r>
            <w:r>
              <w:rPr>
                <w:bCs/>
                <w:sz w:val="24"/>
              </w:rPr>
              <w:t>-N。主要污染物COD约为400mg/L，BOD</w:t>
            </w:r>
            <w:r>
              <w:rPr>
                <w:bCs/>
                <w:sz w:val="24"/>
                <w:vertAlign w:val="subscript"/>
              </w:rPr>
              <w:t>5</w:t>
            </w:r>
            <w:r>
              <w:rPr>
                <w:bCs/>
                <w:sz w:val="24"/>
              </w:rPr>
              <w:t>约为200mg/L，SS约为250mg/L、NH</w:t>
            </w:r>
            <w:r>
              <w:rPr>
                <w:bCs/>
                <w:sz w:val="24"/>
                <w:vertAlign w:val="subscript"/>
              </w:rPr>
              <w:t>3</w:t>
            </w:r>
            <w:r>
              <w:rPr>
                <w:bCs/>
                <w:sz w:val="24"/>
              </w:rPr>
              <w:t>-N约为25mg/L。</w:t>
            </w:r>
          </w:p>
          <w:p w14:paraId="06F70350">
            <w:pPr>
              <w:spacing w:line="360" w:lineRule="auto"/>
              <w:ind w:firstLine="480" w:firstLineChars="200"/>
              <w:rPr>
                <w:bCs/>
                <w:sz w:val="24"/>
              </w:rPr>
            </w:pPr>
            <w:r>
              <w:rPr>
                <w:bCs/>
                <w:sz w:val="24"/>
              </w:rPr>
              <w:t>井场旁新建生态一体化厕所1座，生活污水经生态一体化厕所收集后由吸污车转运至</w:t>
            </w:r>
            <w:r>
              <w:rPr>
                <w:rFonts w:hint="eastAsia"/>
                <w:bCs/>
                <w:sz w:val="24"/>
              </w:rPr>
              <w:t>君塘镇</w:t>
            </w:r>
            <w:r>
              <w:rPr>
                <w:bCs/>
                <w:sz w:val="24"/>
              </w:rPr>
              <w:t>污水处理厂处理，现场不外排；生活区设1座污水隔油池处理后同生活污水处理，不外排。</w:t>
            </w:r>
          </w:p>
          <w:p w14:paraId="074661B4">
            <w:pPr>
              <w:pStyle w:val="19"/>
              <w:tabs>
                <w:tab w:val="left" w:pos="0"/>
                <w:tab w:val="left" w:pos="833"/>
              </w:tabs>
              <w:spacing w:before="0" w:after="0" w:line="360" w:lineRule="auto"/>
              <w:ind w:left="420" w:right="0"/>
              <w:jc w:val="center"/>
              <w:rPr>
                <w:b/>
                <w:bCs/>
                <w:sz w:val="21"/>
                <w:szCs w:val="21"/>
              </w:rPr>
            </w:pPr>
            <w:r>
              <w:rPr>
                <w:b/>
                <w:bCs/>
                <w:sz w:val="21"/>
                <w:szCs w:val="21"/>
              </w:rPr>
              <w:t>表4-5 生活污水产生量情况一览表    单位：mg/L，pH无量纲</w:t>
            </w:r>
          </w:p>
          <w:tbl>
            <w:tblPr>
              <w:tblStyle w:val="44"/>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14:paraId="73CF6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14:paraId="6869F5EB">
                  <w:pPr>
                    <w:pStyle w:val="26"/>
                    <w:tabs>
                      <w:tab w:val="left" w:pos="2321"/>
                    </w:tabs>
                    <w:spacing w:line="240" w:lineRule="auto"/>
                    <w:jc w:val="center"/>
                    <w:rPr>
                      <w:sz w:val="21"/>
                      <w:szCs w:val="21"/>
                    </w:rPr>
                  </w:pPr>
                  <w:r>
                    <w:rPr>
                      <w:sz w:val="21"/>
                      <w:szCs w:val="21"/>
                    </w:rPr>
                    <w:t>污染物</w:t>
                  </w:r>
                </w:p>
              </w:tc>
              <w:tc>
                <w:tcPr>
                  <w:tcW w:w="1277" w:type="dxa"/>
                  <w:tcBorders>
                    <w:tl2br w:val="nil"/>
                    <w:tr2bl w:val="nil"/>
                  </w:tcBorders>
                  <w:vAlign w:val="center"/>
                </w:tcPr>
                <w:p w14:paraId="4DE9A753">
                  <w:pPr>
                    <w:pStyle w:val="26"/>
                    <w:tabs>
                      <w:tab w:val="left" w:pos="2321"/>
                    </w:tabs>
                    <w:spacing w:line="240" w:lineRule="auto"/>
                    <w:jc w:val="center"/>
                    <w:rPr>
                      <w:sz w:val="21"/>
                      <w:szCs w:val="21"/>
                    </w:rPr>
                  </w:pPr>
                  <w:r>
                    <w:rPr>
                      <w:sz w:val="21"/>
                      <w:szCs w:val="21"/>
                    </w:rPr>
                    <w:t>污水量m</w:t>
                  </w:r>
                  <w:r>
                    <w:rPr>
                      <w:sz w:val="21"/>
                      <w:szCs w:val="21"/>
                      <w:vertAlign w:val="superscript"/>
                    </w:rPr>
                    <w:t>3</w:t>
                  </w:r>
                </w:p>
              </w:tc>
              <w:tc>
                <w:tcPr>
                  <w:tcW w:w="992" w:type="dxa"/>
                  <w:tcBorders>
                    <w:tl2br w:val="nil"/>
                    <w:tr2bl w:val="nil"/>
                  </w:tcBorders>
                  <w:vAlign w:val="center"/>
                </w:tcPr>
                <w:p w14:paraId="52DF7A10">
                  <w:pPr>
                    <w:pStyle w:val="26"/>
                    <w:tabs>
                      <w:tab w:val="left" w:pos="2321"/>
                    </w:tabs>
                    <w:spacing w:line="240" w:lineRule="auto"/>
                    <w:jc w:val="center"/>
                    <w:rPr>
                      <w:sz w:val="21"/>
                      <w:szCs w:val="21"/>
                    </w:rPr>
                  </w:pPr>
                  <w:r>
                    <w:rPr>
                      <w:sz w:val="21"/>
                      <w:szCs w:val="21"/>
                    </w:rPr>
                    <w:t>pH</w:t>
                  </w:r>
                </w:p>
              </w:tc>
              <w:tc>
                <w:tcPr>
                  <w:tcW w:w="1134" w:type="dxa"/>
                  <w:tcBorders>
                    <w:tl2br w:val="nil"/>
                    <w:tr2bl w:val="nil"/>
                  </w:tcBorders>
                  <w:vAlign w:val="center"/>
                </w:tcPr>
                <w:p w14:paraId="04F506CF">
                  <w:pPr>
                    <w:pStyle w:val="26"/>
                    <w:tabs>
                      <w:tab w:val="left" w:pos="2321"/>
                    </w:tabs>
                    <w:spacing w:line="240" w:lineRule="auto"/>
                    <w:jc w:val="center"/>
                    <w:rPr>
                      <w:sz w:val="21"/>
                      <w:szCs w:val="21"/>
                    </w:rPr>
                  </w:pPr>
                  <w:r>
                    <w:rPr>
                      <w:sz w:val="21"/>
                      <w:szCs w:val="21"/>
                    </w:rPr>
                    <w:t>COD</w:t>
                  </w:r>
                </w:p>
              </w:tc>
              <w:tc>
                <w:tcPr>
                  <w:tcW w:w="1277" w:type="dxa"/>
                  <w:tcBorders>
                    <w:tl2br w:val="nil"/>
                    <w:tr2bl w:val="nil"/>
                  </w:tcBorders>
                  <w:vAlign w:val="center"/>
                </w:tcPr>
                <w:p w14:paraId="5A3B4D6C">
                  <w:pPr>
                    <w:pStyle w:val="26"/>
                    <w:tabs>
                      <w:tab w:val="left" w:pos="2321"/>
                    </w:tabs>
                    <w:spacing w:line="240" w:lineRule="auto"/>
                    <w:jc w:val="center"/>
                    <w:rPr>
                      <w:sz w:val="21"/>
                      <w:szCs w:val="21"/>
                    </w:rPr>
                  </w:pPr>
                  <w:r>
                    <w:rPr>
                      <w:sz w:val="21"/>
                      <w:szCs w:val="21"/>
                    </w:rPr>
                    <w:t>BOD</w:t>
                  </w:r>
                  <w:r>
                    <w:rPr>
                      <w:sz w:val="21"/>
                      <w:szCs w:val="21"/>
                      <w:vertAlign w:val="subscript"/>
                    </w:rPr>
                    <w:t>5</w:t>
                  </w:r>
                </w:p>
              </w:tc>
              <w:tc>
                <w:tcPr>
                  <w:tcW w:w="1277" w:type="dxa"/>
                  <w:tcBorders>
                    <w:tl2br w:val="nil"/>
                    <w:tr2bl w:val="nil"/>
                  </w:tcBorders>
                  <w:vAlign w:val="center"/>
                </w:tcPr>
                <w:p w14:paraId="3A1F09CA">
                  <w:pPr>
                    <w:pStyle w:val="26"/>
                    <w:tabs>
                      <w:tab w:val="left" w:pos="2321"/>
                    </w:tabs>
                    <w:spacing w:line="240" w:lineRule="auto"/>
                    <w:jc w:val="center"/>
                    <w:rPr>
                      <w:sz w:val="21"/>
                      <w:szCs w:val="21"/>
                    </w:rPr>
                  </w:pPr>
                  <w:r>
                    <w:rPr>
                      <w:sz w:val="21"/>
                      <w:szCs w:val="21"/>
                    </w:rPr>
                    <w:t>NH</w:t>
                  </w:r>
                  <w:r>
                    <w:rPr>
                      <w:sz w:val="21"/>
                      <w:szCs w:val="21"/>
                      <w:vertAlign w:val="subscript"/>
                    </w:rPr>
                    <w:t>3</w:t>
                  </w:r>
                  <w:r>
                    <w:rPr>
                      <w:sz w:val="21"/>
                      <w:szCs w:val="21"/>
                    </w:rPr>
                    <w:t>-N</w:t>
                  </w:r>
                </w:p>
              </w:tc>
              <w:tc>
                <w:tcPr>
                  <w:tcW w:w="1002" w:type="dxa"/>
                  <w:tcBorders>
                    <w:tl2br w:val="nil"/>
                    <w:tr2bl w:val="nil"/>
                  </w:tcBorders>
                  <w:vAlign w:val="center"/>
                </w:tcPr>
                <w:p w14:paraId="566CD4C3">
                  <w:pPr>
                    <w:pStyle w:val="26"/>
                    <w:tabs>
                      <w:tab w:val="left" w:pos="2321"/>
                    </w:tabs>
                    <w:spacing w:line="240" w:lineRule="auto"/>
                    <w:jc w:val="center"/>
                    <w:rPr>
                      <w:sz w:val="21"/>
                      <w:szCs w:val="21"/>
                    </w:rPr>
                  </w:pPr>
                  <w:r>
                    <w:rPr>
                      <w:sz w:val="21"/>
                      <w:szCs w:val="21"/>
                    </w:rPr>
                    <w:t>SS</w:t>
                  </w:r>
                </w:p>
              </w:tc>
            </w:tr>
            <w:tr w14:paraId="72925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14:paraId="11FFF786">
                  <w:pPr>
                    <w:pStyle w:val="26"/>
                    <w:tabs>
                      <w:tab w:val="left" w:pos="2321"/>
                    </w:tabs>
                    <w:spacing w:line="240" w:lineRule="auto"/>
                    <w:jc w:val="center"/>
                    <w:rPr>
                      <w:sz w:val="21"/>
                      <w:szCs w:val="21"/>
                    </w:rPr>
                  </w:pPr>
                  <w:r>
                    <w:rPr>
                      <w:sz w:val="21"/>
                      <w:szCs w:val="21"/>
                    </w:rPr>
                    <w:t>生活污水</w:t>
                  </w:r>
                </w:p>
              </w:tc>
              <w:tc>
                <w:tcPr>
                  <w:tcW w:w="1277" w:type="dxa"/>
                  <w:tcBorders>
                    <w:tl2br w:val="nil"/>
                    <w:tr2bl w:val="nil"/>
                  </w:tcBorders>
                  <w:vAlign w:val="center"/>
                </w:tcPr>
                <w:p w14:paraId="41F974D7">
                  <w:pPr>
                    <w:pStyle w:val="26"/>
                    <w:tabs>
                      <w:tab w:val="left" w:pos="2321"/>
                    </w:tabs>
                    <w:spacing w:line="240" w:lineRule="auto"/>
                    <w:jc w:val="center"/>
                    <w:rPr>
                      <w:sz w:val="21"/>
                      <w:szCs w:val="21"/>
                    </w:rPr>
                  </w:pPr>
                  <w:r>
                    <w:rPr>
                      <w:rFonts w:hint="eastAsia"/>
                      <w:sz w:val="21"/>
                      <w:szCs w:val="21"/>
                    </w:rPr>
                    <w:t>1296</w:t>
                  </w:r>
                </w:p>
              </w:tc>
              <w:tc>
                <w:tcPr>
                  <w:tcW w:w="992" w:type="dxa"/>
                  <w:tcBorders>
                    <w:tl2br w:val="nil"/>
                    <w:tr2bl w:val="nil"/>
                  </w:tcBorders>
                  <w:vAlign w:val="center"/>
                </w:tcPr>
                <w:p w14:paraId="0A735BC6">
                  <w:pPr>
                    <w:pStyle w:val="26"/>
                    <w:tabs>
                      <w:tab w:val="left" w:pos="2321"/>
                    </w:tabs>
                    <w:spacing w:line="240" w:lineRule="auto"/>
                    <w:jc w:val="center"/>
                    <w:rPr>
                      <w:sz w:val="21"/>
                      <w:szCs w:val="21"/>
                    </w:rPr>
                  </w:pPr>
                  <w:r>
                    <w:rPr>
                      <w:sz w:val="21"/>
                      <w:szCs w:val="21"/>
                    </w:rPr>
                    <w:t>6~9</w:t>
                  </w:r>
                </w:p>
              </w:tc>
              <w:tc>
                <w:tcPr>
                  <w:tcW w:w="1134" w:type="dxa"/>
                  <w:tcBorders>
                    <w:tl2br w:val="nil"/>
                    <w:tr2bl w:val="nil"/>
                  </w:tcBorders>
                  <w:vAlign w:val="center"/>
                </w:tcPr>
                <w:p w14:paraId="3ACB8219">
                  <w:pPr>
                    <w:pStyle w:val="26"/>
                    <w:tabs>
                      <w:tab w:val="left" w:pos="2321"/>
                    </w:tabs>
                    <w:spacing w:line="240" w:lineRule="auto"/>
                    <w:jc w:val="center"/>
                    <w:rPr>
                      <w:sz w:val="21"/>
                      <w:szCs w:val="21"/>
                    </w:rPr>
                  </w:pPr>
                  <w:r>
                    <w:rPr>
                      <w:sz w:val="21"/>
                      <w:szCs w:val="21"/>
                    </w:rPr>
                    <w:t>400</w:t>
                  </w:r>
                </w:p>
              </w:tc>
              <w:tc>
                <w:tcPr>
                  <w:tcW w:w="1277" w:type="dxa"/>
                  <w:tcBorders>
                    <w:tl2br w:val="nil"/>
                    <w:tr2bl w:val="nil"/>
                  </w:tcBorders>
                  <w:vAlign w:val="center"/>
                </w:tcPr>
                <w:p w14:paraId="39EEFAAA">
                  <w:pPr>
                    <w:pStyle w:val="26"/>
                    <w:tabs>
                      <w:tab w:val="left" w:pos="2321"/>
                    </w:tabs>
                    <w:spacing w:line="240" w:lineRule="auto"/>
                    <w:jc w:val="center"/>
                    <w:rPr>
                      <w:sz w:val="21"/>
                      <w:szCs w:val="21"/>
                    </w:rPr>
                  </w:pPr>
                  <w:r>
                    <w:rPr>
                      <w:sz w:val="21"/>
                      <w:szCs w:val="21"/>
                    </w:rPr>
                    <w:t>200</w:t>
                  </w:r>
                </w:p>
              </w:tc>
              <w:tc>
                <w:tcPr>
                  <w:tcW w:w="1277" w:type="dxa"/>
                  <w:tcBorders>
                    <w:tl2br w:val="nil"/>
                    <w:tr2bl w:val="nil"/>
                  </w:tcBorders>
                  <w:vAlign w:val="center"/>
                </w:tcPr>
                <w:p w14:paraId="16033EA1">
                  <w:pPr>
                    <w:pStyle w:val="26"/>
                    <w:tabs>
                      <w:tab w:val="left" w:pos="2321"/>
                    </w:tabs>
                    <w:spacing w:line="240" w:lineRule="auto"/>
                    <w:jc w:val="center"/>
                    <w:rPr>
                      <w:sz w:val="21"/>
                      <w:szCs w:val="21"/>
                    </w:rPr>
                  </w:pPr>
                  <w:r>
                    <w:rPr>
                      <w:sz w:val="21"/>
                      <w:szCs w:val="21"/>
                    </w:rPr>
                    <w:t>25</w:t>
                  </w:r>
                </w:p>
              </w:tc>
              <w:tc>
                <w:tcPr>
                  <w:tcW w:w="1002" w:type="dxa"/>
                  <w:tcBorders>
                    <w:tl2br w:val="nil"/>
                    <w:tr2bl w:val="nil"/>
                  </w:tcBorders>
                  <w:vAlign w:val="center"/>
                </w:tcPr>
                <w:p w14:paraId="622B95E1">
                  <w:pPr>
                    <w:pStyle w:val="26"/>
                    <w:tabs>
                      <w:tab w:val="left" w:pos="2321"/>
                    </w:tabs>
                    <w:spacing w:line="240" w:lineRule="auto"/>
                    <w:jc w:val="center"/>
                    <w:rPr>
                      <w:sz w:val="21"/>
                      <w:szCs w:val="21"/>
                    </w:rPr>
                  </w:pPr>
                  <w:r>
                    <w:rPr>
                      <w:sz w:val="21"/>
                      <w:szCs w:val="21"/>
                    </w:rPr>
                    <w:t>250</w:t>
                  </w:r>
                </w:p>
              </w:tc>
            </w:tr>
          </w:tbl>
          <w:p w14:paraId="6FB8B7EB">
            <w:pPr>
              <w:tabs>
                <w:tab w:val="left" w:pos="2321"/>
              </w:tabs>
              <w:overflowPunct w:val="0"/>
              <w:autoSpaceDE w:val="0"/>
              <w:spacing w:line="360" w:lineRule="auto"/>
              <w:ind w:firstLine="480" w:firstLineChars="200"/>
              <w:rPr>
                <w:sz w:val="24"/>
              </w:rPr>
            </w:pPr>
            <w:r>
              <w:rPr>
                <w:sz w:val="24"/>
              </w:rPr>
              <w:t>（2）环境影响分析</w:t>
            </w:r>
          </w:p>
          <w:p w14:paraId="1EE9E825">
            <w:pPr>
              <w:tabs>
                <w:tab w:val="left" w:pos="2321"/>
              </w:tabs>
              <w:overflowPunct w:val="0"/>
              <w:autoSpaceDE w:val="0"/>
              <w:spacing w:line="360" w:lineRule="auto"/>
              <w:ind w:firstLine="480" w:firstLineChars="200"/>
              <w:rPr>
                <w:sz w:val="24"/>
              </w:rPr>
            </w:pPr>
            <w:r>
              <w:rPr>
                <w:sz w:val="24"/>
              </w:rPr>
              <w:t>本项目钻井阶段产生的废水主要包括钻井液钻进阶段产生的钻井废水、场地雨水及生活污水。</w:t>
            </w:r>
          </w:p>
          <w:p w14:paraId="672541A5">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场地雨水</w:t>
            </w:r>
          </w:p>
          <w:p w14:paraId="787D5344">
            <w:pPr>
              <w:tabs>
                <w:tab w:val="left" w:pos="2321"/>
              </w:tabs>
              <w:overflowPunct w:val="0"/>
              <w:autoSpaceDE w:val="0"/>
              <w:spacing w:line="360" w:lineRule="auto"/>
              <w:ind w:firstLine="480" w:firstLineChars="200"/>
              <w:rPr>
                <w:sz w:val="24"/>
              </w:rPr>
            </w:pPr>
            <w:r>
              <w:rPr>
                <w:sz w:val="24"/>
              </w:rPr>
              <w:t>本项目钻井期间井场方井区域产生的方井雨水约为6</w:t>
            </w:r>
            <w:r>
              <w:rPr>
                <w:rFonts w:hint="eastAsia"/>
                <w:sz w:val="24"/>
              </w:rPr>
              <w:t>3.8</w:t>
            </w:r>
            <w:r>
              <w:rPr>
                <w:sz w:val="24"/>
              </w:rPr>
              <w:t>m</w:t>
            </w:r>
            <w:r>
              <w:rPr>
                <w:sz w:val="24"/>
                <w:vertAlign w:val="superscript"/>
              </w:rPr>
              <w:t>3</w:t>
            </w:r>
            <w:r>
              <w:rPr>
                <w:sz w:val="24"/>
              </w:rPr>
              <w:t>，主要污染物为石油类和SS。方井雨水定期泵入循环罐中，用于项目后期配制压裂液，不外排，因此不会对周边地表水环境造成影响。</w:t>
            </w:r>
          </w:p>
          <w:p w14:paraId="777BD0AA">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钻井废水</w:t>
            </w:r>
          </w:p>
          <w:p w14:paraId="77763476">
            <w:pPr>
              <w:tabs>
                <w:tab w:val="left" w:pos="2321"/>
              </w:tabs>
              <w:overflowPunct w:val="0"/>
              <w:autoSpaceDE w:val="0"/>
              <w:spacing w:line="360" w:lineRule="auto"/>
              <w:ind w:firstLine="480" w:firstLineChars="200"/>
              <w:rPr>
                <w:color w:val="0000FF"/>
                <w:sz w:val="24"/>
              </w:rPr>
            </w:pPr>
            <w:r>
              <w:rPr>
                <w:color w:val="0000FF"/>
                <w:sz w:val="24"/>
              </w:rPr>
              <w:t>本项目钻井废水最终产生的量约</w:t>
            </w:r>
            <w:r>
              <w:rPr>
                <w:rFonts w:hint="eastAsia"/>
                <w:color w:val="0000FF"/>
                <w:sz w:val="24"/>
              </w:rPr>
              <w:t>127</w:t>
            </w:r>
            <w:r>
              <w:rPr>
                <w:color w:val="0000FF"/>
                <w:sz w:val="24"/>
              </w:rPr>
              <w:t>m</w:t>
            </w:r>
            <w:r>
              <w:rPr>
                <w:color w:val="0000FF"/>
                <w:sz w:val="24"/>
                <w:vertAlign w:val="superscript"/>
              </w:rPr>
              <w:t>3</w:t>
            </w:r>
            <w:r>
              <w:rPr>
                <w:color w:val="0000FF"/>
                <w:sz w:val="24"/>
              </w:rPr>
              <w:t>，</w:t>
            </w:r>
            <w:r>
              <w:rPr>
                <w:rFonts w:hint="eastAsia"/>
                <w:color w:val="0000FF"/>
                <w:sz w:val="24"/>
              </w:rPr>
              <w:t>采用</w:t>
            </w:r>
            <w:r>
              <w:rPr>
                <w:color w:val="0000FF"/>
                <w:sz w:val="24"/>
              </w:rPr>
              <w:t>密闭罐车拉运至</w:t>
            </w:r>
            <w:r>
              <w:rPr>
                <w:rFonts w:hint="eastAsia"/>
                <w:color w:val="0000FF"/>
                <w:sz w:val="24"/>
              </w:rPr>
              <w:t>赵家坝污水处理站</w:t>
            </w:r>
            <w:r>
              <w:rPr>
                <w:color w:val="0000FF"/>
                <w:sz w:val="24"/>
              </w:rPr>
              <w:t>处理达标后由罐车拉运至普光3井等回注站回注，不外排，因此不会对周边地表水环境造成影响。</w:t>
            </w:r>
          </w:p>
          <w:p w14:paraId="1E6FDE38">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生活污水</w:t>
            </w:r>
          </w:p>
          <w:p w14:paraId="4DCBE510">
            <w:pPr>
              <w:tabs>
                <w:tab w:val="left" w:pos="2321"/>
              </w:tabs>
              <w:overflowPunct w:val="0"/>
              <w:autoSpaceDE w:val="0"/>
              <w:spacing w:line="360" w:lineRule="auto"/>
              <w:ind w:firstLine="480" w:firstLineChars="200"/>
              <w:rPr>
                <w:sz w:val="24"/>
              </w:rPr>
            </w:pPr>
            <w:r>
              <w:rPr>
                <w:sz w:val="24"/>
              </w:rPr>
              <w:t>本项目井场及生活区设置生态一体化厕所，生活污水经生态一体化厕所收集后由吸污车运至</w:t>
            </w:r>
            <w:r>
              <w:rPr>
                <w:rFonts w:hint="eastAsia"/>
                <w:sz w:val="24"/>
              </w:rPr>
              <w:t>君塘镇</w:t>
            </w:r>
            <w:r>
              <w:rPr>
                <w:sz w:val="24"/>
              </w:rPr>
              <w:t>污水处理厂处理后排放，</w:t>
            </w:r>
            <w:r>
              <w:rPr>
                <w:bCs/>
                <w:sz w:val="24"/>
              </w:rPr>
              <w:t>对地表水环境影响小。</w:t>
            </w:r>
          </w:p>
          <w:p w14:paraId="4C5796EB">
            <w:pPr>
              <w:tabs>
                <w:tab w:val="left" w:pos="2321"/>
              </w:tabs>
              <w:overflowPunct w:val="0"/>
              <w:autoSpaceDE w:val="0"/>
              <w:spacing w:line="360" w:lineRule="auto"/>
              <w:ind w:firstLine="480" w:firstLineChars="200"/>
              <w:rPr>
                <w:sz w:val="24"/>
              </w:rPr>
            </w:pPr>
            <w:r>
              <w:rPr>
                <w:sz w:val="24"/>
              </w:rPr>
              <w:t>综上所述，采取以上措施后，废水对周边环境影响较小。</w:t>
            </w:r>
          </w:p>
          <w:p w14:paraId="33226265">
            <w:pPr>
              <w:spacing w:line="360" w:lineRule="auto"/>
              <w:rPr>
                <w:b/>
                <w:sz w:val="24"/>
              </w:rPr>
            </w:pPr>
            <w:r>
              <w:rPr>
                <w:b/>
                <w:sz w:val="24"/>
              </w:rPr>
              <w:t>4.2.3噪声环境影响分析</w:t>
            </w:r>
          </w:p>
          <w:p w14:paraId="1D4FF45A">
            <w:pPr>
              <w:tabs>
                <w:tab w:val="left" w:pos="2321"/>
              </w:tabs>
              <w:overflowPunct w:val="0"/>
              <w:autoSpaceDE w:val="0"/>
              <w:spacing w:line="360" w:lineRule="auto"/>
              <w:ind w:firstLine="480" w:firstLineChars="200"/>
              <w:rPr>
                <w:bCs/>
                <w:sz w:val="24"/>
              </w:rPr>
            </w:pPr>
            <w:r>
              <w:rPr>
                <w:bCs/>
                <w:sz w:val="24"/>
              </w:rPr>
              <w:t>（1）噪声源强</w:t>
            </w:r>
          </w:p>
          <w:p w14:paraId="7BC29DC9">
            <w:pPr>
              <w:spacing w:line="360" w:lineRule="auto"/>
              <w:ind w:firstLine="480" w:firstLineChars="200"/>
              <w:rPr>
                <w:sz w:val="24"/>
              </w:rPr>
            </w:pPr>
            <w:r>
              <w:rPr>
                <w:sz w:val="24"/>
              </w:rPr>
              <w:t>工程噪声主要为钻井作业过程的钻机、振动筛、离心机等设备运行产生的机械噪声等，由于本项目钻井过程为24小时连续运行，钻井工程主要噪声源设备噪声值见下表。</w:t>
            </w:r>
          </w:p>
          <w:p w14:paraId="4C9AAF55">
            <w:pPr>
              <w:pStyle w:val="19"/>
              <w:tabs>
                <w:tab w:val="left" w:pos="0"/>
                <w:tab w:val="left" w:pos="833"/>
              </w:tabs>
              <w:spacing w:before="0" w:after="0" w:line="360" w:lineRule="auto"/>
              <w:ind w:left="420" w:right="0"/>
              <w:jc w:val="center"/>
              <w:rPr>
                <w:b/>
                <w:sz w:val="21"/>
                <w:szCs w:val="21"/>
              </w:rPr>
            </w:pPr>
            <w:r>
              <w:rPr>
                <w:b/>
                <w:sz w:val="21"/>
                <w:szCs w:val="21"/>
              </w:rPr>
              <w:t xml:space="preserve">表4-6 </w:t>
            </w:r>
            <w:r>
              <w:rPr>
                <w:rFonts w:hint="eastAsia"/>
                <w:b/>
                <w:sz w:val="21"/>
                <w:szCs w:val="21"/>
              </w:rPr>
              <w:t xml:space="preserve">  </w:t>
            </w:r>
            <w:r>
              <w:rPr>
                <w:b/>
                <w:sz w:val="21"/>
                <w:szCs w:val="21"/>
              </w:rPr>
              <w:t>钻井工程主要噪声源特性</w:t>
            </w:r>
          </w:p>
          <w:tbl>
            <w:tblPr>
              <w:tblStyle w:val="44"/>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7"/>
              <w:gridCol w:w="550"/>
              <w:gridCol w:w="1108"/>
              <w:gridCol w:w="654"/>
              <w:gridCol w:w="600"/>
              <w:gridCol w:w="653"/>
              <w:gridCol w:w="750"/>
              <w:gridCol w:w="1425"/>
              <w:gridCol w:w="1097"/>
              <w:gridCol w:w="964"/>
            </w:tblGrid>
            <w:tr w14:paraId="76179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7" w:type="dxa"/>
                  <w:vMerge w:val="restart"/>
                  <w:tcBorders>
                    <w:tl2br w:val="nil"/>
                    <w:tr2bl w:val="nil"/>
                  </w:tcBorders>
                  <w:vAlign w:val="center"/>
                </w:tcPr>
                <w:p w14:paraId="01271510">
                  <w:pPr>
                    <w:contextualSpacing/>
                    <w:jc w:val="center"/>
                  </w:pPr>
                  <w:r>
                    <w:rPr>
                      <w:kern w:val="0"/>
                    </w:rPr>
                    <w:t>序号</w:t>
                  </w:r>
                </w:p>
              </w:tc>
              <w:tc>
                <w:tcPr>
                  <w:tcW w:w="1658" w:type="dxa"/>
                  <w:gridSpan w:val="2"/>
                  <w:vMerge w:val="restart"/>
                  <w:tcBorders>
                    <w:tl2br w:val="nil"/>
                    <w:tr2bl w:val="nil"/>
                  </w:tcBorders>
                  <w:vAlign w:val="center"/>
                </w:tcPr>
                <w:p w14:paraId="3CDDB0AB">
                  <w:pPr>
                    <w:contextualSpacing/>
                    <w:jc w:val="center"/>
                  </w:pPr>
                  <w:r>
                    <w:rPr>
                      <w:kern w:val="0"/>
                    </w:rPr>
                    <w:t>声源名称</w:t>
                  </w:r>
                </w:p>
              </w:tc>
              <w:tc>
                <w:tcPr>
                  <w:tcW w:w="654" w:type="dxa"/>
                  <w:vMerge w:val="restart"/>
                  <w:tcBorders>
                    <w:tl2br w:val="nil"/>
                    <w:tr2bl w:val="nil"/>
                  </w:tcBorders>
                  <w:vAlign w:val="center"/>
                </w:tcPr>
                <w:p w14:paraId="4B5CA1A1">
                  <w:pPr>
                    <w:contextualSpacing/>
                    <w:jc w:val="center"/>
                    <w:rPr>
                      <w:kern w:val="0"/>
                    </w:rPr>
                  </w:pPr>
                  <w:r>
                    <w:rPr>
                      <w:kern w:val="0"/>
                    </w:rPr>
                    <w:t>型号</w:t>
                  </w:r>
                </w:p>
              </w:tc>
              <w:tc>
                <w:tcPr>
                  <w:tcW w:w="2003" w:type="dxa"/>
                  <w:gridSpan w:val="3"/>
                  <w:tcBorders>
                    <w:tl2br w:val="nil"/>
                    <w:tr2bl w:val="nil"/>
                  </w:tcBorders>
                  <w:vAlign w:val="center"/>
                </w:tcPr>
                <w:p w14:paraId="4AC4CF57">
                  <w:pPr>
                    <w:contextualSpacing/>
                    <w:jc w:val="center"/>
                    <w:rPr>
                      <w:kern w:val="0"/>
                    </w:rPr>
                  </w:pPr>
                  <w:r>
                    <w:rPr>
                      <w:kern w:val="0"/>
                    </w:rPr>
                    <w:t>空间相对位置/m</w:t>
                  </w:r>
                </w:p>
              </w:tc>
              <w:tc>
                <w:tcPr>
                  <w:tcW w:w="1425" w:type="dxa"/>
                  <w:vMerge w:val="restart"/>
                  <w:tcBorders>
                    <w:tl2br w:val="nil"/>
                    <w:tr2bl w:val="nil"/>
                  </w:tcBorders>
                  <w:vAlign w:val="center"/>
                </w:tcPr>
                <w:p w14:paraId="1A68A6C9">
                  <w:pPr>
                    <w:contextualSpacing/>
                    <w:jc w:val="center"/>
                    <w:rPr>
                      <w:kern w:val="0"/>
                    </w:rPr>
                  </w:pPr>
                  <w:r>
                    <w:rPr>
                      <w:kern w:val="0"/>
                    </w:rPr>
                    <w:t>声源源强</w:t>
                  </w:r>
                </w:p>
                <w:p w14:paraId="608EC524">
                  <w:pPr>
                    <w:contextualSpacing/>
                    <w:jc w:val="center"/>
                  </w:pPr>
                  <w:r>
                    <w:rPr>
                      <w:kern w:val="0"/>
                    </w:rPr>
                    <w:t>（声压级/距声源距离）/（</w:t>
                  </w:r>
                  <w:r>
                    <w:rPr>
                      <w:rFonts w:hint="eastAsia"/>
                      <w:kern w:val="0"/>
                    </w:rPr>
                    <w:t>dB（A）</w:t>
                  </w:r>
                  <w:r>
                    <w:rPr>
                      <w:kern w:val="0"/>
                    </w:rPr>
                    <w:t>/m）</w:t>
                  </w:r>
                </w:p>
              </w:tc>
              <w:tc>
                <w:tcPr>
                  <w:tcW w:w="1097" w:type="dxa"/>
                  <w:vMerge w:val="restart"/>
                  <w:tcBorders>
                    <w:tl2br w:val="nil"/>
                    <w:tr2bl w:val="nil"/>
                  </w:tcBorders>
                  <w:vAlign w:val="center"/>
                </w:tcPr>
                <w:p w14:paraId="11065C11">
                  <w:pPr>
                    <w:contextualSpacing/>
                    <w:jc w:val="center"/>
                  </w:pPr>
                  <w:r>
                    <w:t>声源控制措施</w:t>
                  </w:r>
                </w:p>
              </w:tc>
              <w:tc>
                <w:tcPr>
                  <w:tcW w:w="964" w:type="dxa"/>
                  <w:vMerge w:val="restart"/>
                  <w:tcBorders>
                    <w:tl2br w:val="nil"/>
                    <w:tr2bl w:val="nil"/>
                  </w:tcBorders>
                  <w:vAlign w:val="center"/>
                </w:tcPr>
                <w:p w14:paraId="4335EE8B">
                  <w:pPr>
                    <w:contextualSpacing/>
                    <w:jc w:val="center"/>
                  </w:pPr>
                  <w:r>
                    <w:rPr>
                      <w:kern w:val="0"/>
                    </w:rPr>
                    <w:t>运行时间（h</w:t>
                  </w:r>
                  <w:r>
                    <w:rPr>
                      <w:rFonts w:hint="eastAsia"/>
                      <w:kern w:val="0"/>
                    </w:rPr>
                    <w:t>）</w:t>
                  </w:r>
                </w:p>
              </w:tc>
            </w:tr>
            <w:tr w14:paraId="05C01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7" w:type="dxa"/>
                  <w:vMerge w:val="continue"/>
                  <w:tcBorders>
                    <w:tl2br w:val="nil"/>
                    <w:tr2bl w:val="nil"/>
                  </w:tcBorders>
                  <w:vAlign w:val="center"/>
                </w:tcPr>
                <w:p w14:paraId="6822348C">
                  <w:pPr>
                    <w:contextualSpacing/>
                    <w:jc w:val="center"/>
                    <w:rPr>
                      <w:kern w:val="0"/>
                    </w:rPr>
                  </w:pPr>
                </w:p>
              </w:tc>
              <w:tc>
                <w:tcPr>
                  <w:tcW w:w="1658" w:type="dxa"/>
                  <w:gridSpan w:val="2"/>
                  <w:vMerge w:val="continue"/>
                  <w:tcBorders>
                    <w:tl2br w:val="nil"/>
                    <w:tr2bl w:val="nil"/>
                  </w:tcBorders>
                  <w:vAlign w:val="center"/>
                </w:tcPr>
                <w:p w14:paraId="7B020D87">
                  <w:pPr>
                    <w:contextualSpacing/>
                    <w:jc w:val="center"/>
                    <w:rPr>
                      <w:kern w:val="0"/>
                    </w:rPr>
                  </w:pPr>
                </w:p>
              </w:tc>
              <w:tc>
                <w:tcPr>
                  <w:tcW w:w="654" w:type="dxa"/>
                  <w:vMerge w:val="continue"/>
                  <w:tcBorders>
                    <w:tl2br w:val="nil"/>
                    <w:tr2bl w:val="nil"/>
                  </w:tcBorders>
                  <w:vAlign w:val="center"/>
                </w:tcPr>
                <w:p w14:paraId="21F899E3">
                  <w:pPr>
                    <w:contextualSpacing/>
                    <w:jc w:val="center"/>
                    <w:rPr>
                      <w:kern w:val="0"/>
                    </w:rPr>
                  </w:pPr>
                </w:p>
              </w:tc>
              <w:tc>
                <w:tcPr>
                  <w:tcW w:w="600" w:type="dxa"/>
                  <w:tcBorders>
                    <w:tl2br w:val="nil"/>
                    <w:tr2bl w:val="nil"/>
                  </w:tcBorders>
                  <w:vAlign w:val="center"/>
                </w:tcPr>
                <w:p w14:paraId="7D9DA22E">
                  <w:pPr>
                    <w:contextualSpacing/>
                    <w:jc w:val="center"/>
                  </w:pPr>
                  <w:r>
                    <w:t>X</w:t>
                  </w:r>
                </w:p>
              </w:tc>
              <w:tc>
                <w:tcPr>
                  <w:tcW w:w="653" w:type="dxa"/>
                  <w:tcBorders>
                    <w:tl2br w:val="nil"/>
                    <w:tr2bl w:val="nil"/>
                  </w:tcBorders>
                  <w:vAlign w:val="center"/>
                </w:tcPr>
                <w:p w14:paraId="127CC6C7">
                  <w:pPr>
                    <w:contextualSpacing/>
                    <w:jc w:val="center"/>
                  </w:pPr>
                  <w:r>
                    <w:t>Y</w:t>
                  </w:r>
                </w:p>
              </w:tc>
              <w:tc>
                <w:tcPr>
                  <w:tcW w:w="750" w:type="dxa"/>
                  <w:tcBorders>
                    <w:tl2br w:val="nil"/>
                    <w:tr2bl w:val="nil"/>
                  </w:tcBorders>
                  <w:vAlign w:val="center"/>
                </w:tcPr>
                <w:p w14:paraId="586F1F82">
                  <w:pPr>
                    <w:contextualSpacing/>
                    <w:jc w:val="center"/>
                    <w:rPr>
                      <w:kern w:val="0"/>
                    </w:rPr>
                  </w:pPr>
                  <w:r>
                    <w:rPr>
                      <w:kern w:val="0"/>
                    </w:rPr>
                    <w:t>Z</w:t>
                  </w:r>
                </w:p>
              </w:tc>
              <w:tc>
                <w:tcPr>
                  <w:tcW w:w="1425" w:type="dxa"/>
                  <w:vMerge w:val="continue"/>
                  <w:tcBorders>
                    <w:tl2br w:val="nil"/>
                    <w:tr2bl w:val="nil"/>
                  </w:tcBorders>
                  <w:vAlign w:val="center"/>
                </w:tcPr>
                <w:p w14:paraId="518BEE87">
                  <w:pPr>
                    <w:contextualSpacing/>
                    <w:jc w:val="center"/>
                    <w:rPr>
                      <w:kern w:val="0"/>
                    </w:rPr>
                  </w:pPr>
                </w:p>
              </w:tc>
              <w:tc>
                <w:tcPr>
                  <w:tcW w:w="1097" w:type="dxa"/>
                  <w:vMerge w:val="continue"/>
                  <w:tcBorders>
                    <w:tl2br w:val="nil"/>
                    <w:tr2bl w:val="nil"/>
                  </w:tcBorders>
                  <w:vAlign w:val="center"/>
                </w:tcPr>
                <w:p w14:paraId="7B575085">
                  <w:pPr>
                    <w:contextualSpacing/>
                    <w:jc w:val="center"/>
                    <w:rPr>
                      <w:kern w:val="0"/>
                    </w:rPr>
                  </w:pPr>
                </w:p>
              </w:tc>
              <w:tc>
                <w:tcPr>
                  <w:tcW w:w="964" w:type="dxa"/>
                  <w:vMerge w:val="continue"/>
                  <w:tcBorders>
                    <w:tl2br w:val="nil"/>
                    <w:tr2bl w:val="nil"/>
                  </w:tcBorders>
                  <w:vAlign w:val="center"/>
                </w:tcPr>
                <w:p w14:paraId="744244F9">
                  <w:pPr>
                    <w:contextualSpacing/>
                    <w:jc w:val="center"/>
                    <w:rPr>
                      <w:kern w:val="0"/>
                    </w:rPr>
                  </w:pPr>
                </w:p>
              </w:tc>
            </w:tr>
            <w:tr w14:paraId="55AE9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4ACC046B">
                  <w:pPr>
                    <w:contextualSpacing/>
                    <w:jc w:val="center"/>
                    <w:rPr>
                      <w:kern w:val="0"/>
                    </w:rPr>
                  </w:pPr>
                  <w:r>
                    <w:rPr>
                      <w:kern w:val="0"/>
                    </w:rPr>
                    <w:t>1</w:t>
                  </w:r>
                </w:p>
              </w:tc>
              <w:tc>
                <w:tcPr>
                  <w:tcW w:w="550" w:type="dxa"/>
                  <w:vMerge w:val="restart"/>
                  <w:tcBorders>
                    <w:tl2br w:val="nil"/>
                    <w:tr2bl w:val="nil"/>
                  </w:tcBorders>
                  <w:vAlign w:val="center"/>
                </w:tcPr>
                <w:p w14:paraId="0CF293EA">
                  <w:pPr>
                    <w:jc w:val="center"/>
                    <w:rPr>
                      <w:bCs/>
                      <w:szCs w:val="21"/>
                    </w:rPr>
                  </w:pPr>
                  <w:r>
                    <w:rPr>
                      <w:bCs/>
                      <w:szCs w:val="21"/>
                    </w:rPr>
                    <w:t>钻井阶段</w:t>
                  </w:r>
                </w:p>
              </w:tc>
              <w:tc>
                <w:tcPr>
                  <w:tcW w:w="1108" w:type="dxa"/>
                  <w:tcBorders>
                    <w:tl2br w:val="nil"/>
                    <w:tr2bl w:val="nil"/>
                  </w:tcBorders>
                  <w:vAlign w:val="center"/>
                </w:tcPr>
                <w:p w14:paraId="06FCC533">
                  <w:pPr>
                    <w:jc w:val="center"/>
                    <w:rPr>
                      <w:bCs/>
                      <w:szCs w:val="21"/>
                    </w:rPr>
                  </w:pPr>
                  <w:r>
                    <w:rPr>
                      <w:bCs/>
                      <w:szCs w:val="21"/>
                    </w:rPr>
                    <w:t>钻井设备</w:t>
                  </w:r>
                </w:p>
              </w:tc>
              <w:tc>
                <w:tcPr>
                  <w:tcW w:w="654" w:type="dxa"/>
                  <w:tcBorders>
                    <w:tl2br w:val="nil"/>
                    <w:tr2bl w:val="nil"/>
                  </w:tcBorders>
                  <w:vAlign w:val="center"/>
                </w:tcPr>
                <w:p w14:paraId="048B50CE">
                  <w:pPr>
                    <w:contextualSpacing/>
                    <w:jc w:val="center"/>
                    <w:rPr>
                      <w:kern w:val="0"/>
                    </w:rPr>
                  </w:pPr>
                  <w:r>
                    <w:rPr>
                      <w:kern w:val="0"/>
                    </w:rPr>
                    <w:t>/</w:t>
                  </w:r>
                </w:p>
              </w:tc>
              <w:tc>
                <w:tcPr>
                  <w:tcW w:w="600" w:type="dxa"/>
                  <w:tcBorders>
                    <w:tl2br w:val="nil"/>
                    <w:tr2bl w:val="nil"/>
                  </w:tcBorders>
                  <w:vAlign w:val="center"/>
                </w:tcPr>
                <w:p w14:paraId="4834B2B8">
                  <w:pPr>
                    <w:widowControl/>
                    <w:jc w:val="center"/>
                    <w:textAlignment w:val="center"/>
                    <w:rPr>
                      <w:bCs/>
                      <w:szCs w:val="21"/>
                    </w:rPr>
                  </w:pPr>
                  <w:r>
                    <w:rPr>
                      <w:rFonts w:hint="eastAsia"/>
                      <w:bCs/>
                      <w:szCs w:val="21"/>
                    </w:rPr>
                    <w:t>9</w:t>
                  </w:r>
                </w:p>
              </w:tc>
              <w:tc>
                <w:tcPr>
                  <w:tcW w:w="653" w:type="dxa"/>
                  <w:tcBorders>
                    <w:tl2br w:val="nil"/>
                    <w:tr2bl w:val="nil"/>
                  </w:tcBorders>
                  <w:vAlign w:val="center"/>
                </w:tcPr>
                <w:p w14:paraId="543FE125">
                  <w:pPr>
                    <w:widowControl/>
                    <w:jc w:val="center"/>
                    <w:textAlignment w:val="center"/>
                    <w:rPr>
                      <w:bCs/>
                      <w:szCs w:val="21"/>
                    </w:rPr>
                  </w:pPr>
                  <w:r>
                    <w:rPr>
                      <w:rFonts w:hint="eastAsia"/>
                      <w:bCs/>
                      <w:szCs w:val="21"/>
                    </w:rPr>
                    <w:t>24</w:t>
                  </w:r>
                </w:p>
              </w:tc>
              <w:tc>
                <w:tcPr>
                  <w:tcW w:w="750" w:type="dxa"/>
                  <w:tcBorders>
                    <w:tl2br w:val="nil"/>
                    <w:tr2bl w:val="nil"/>
                  </w:tcBorders>
                  <w:vAlign w:val="center"/>
                </w:tcPr>
                <w:p w14:paraId="08CD6909">
                  <w:pPr>
                    <w:widowControl/>
                    <w:jc w:val="center"/>
                    <w:textAlignment w:val="center"/>
                    <w:rPr>
                      <w:bCs/>
                      <w:szCs w:val="21"/>
                    </w:rPr>
                  </w:pPr>
                  <w:r>
                    <w:rPr>
                      <w:bCs/>
                      <w:szCs w:val="21"/>
                    </w:rPr>
                    <w:t>15</w:t>
                  </w:r>
                </w:p>
              </w:tc>
              <w:tc>
                <w:tcPr>
                  <w:tcW w:w="1425" w:type="dxa"/>
                  <w:tcBorders>
                    <w:tl2br w:val="nil"/>
                    <w:tr2bl w:val="nil"/>
                  </w:tcBorders>
                  <w:vAlign w:val="center"/>
                </w:tcPr>
                <w:p w14:paraId="55267F32">
                  <w:pPr>
                    <w:jc w:val="center"/>
                    <w:rPr>
                      <w:bCs/>
                      <w:szCs w:val="21"/>
                    </w:rPr>
                  </w:pPr>
                  <w:r>
                    <w:rPr>
                      <w:bCs/>
                      <w:szCs w:val="21"/>
                    </w:rPr>
                    <w:t>95/1</w:t>
                  </w:r>
                </w:p>
              </w:tc>
              <w:tc>
                <w:tcPr>
                  <w:tcW w:w="1097" w:type="dxa"/>
                  <w:tcBorders>
                    <w:tl2br w:val="nil"/>
                    <w:tr2bl w:val="nil"/>
                  </w:tcBorders>
                  <w:vAlign w:val="center"/>
                </w:tcPr>
                <w:p w14:paraId="7F268DCA">
                  <w:pPr>
                    <w:contextualSpacing/>
                    <w:jc w:val="center"/>
                  </w:pPr>
                  <w:r>
                    <w:t>基础减震、选用低噪声设备</w:t>
                  </w:r>
                </w:p>
              </w:tc>
              <w:tc>
                <w:tcPr>
                  <w:tcW w:w="964" w:type="dxa"/>
                  <w:tcBorders>
                    <w:tl2br w:val="nil"/>
                    <w:tr2bl w:val="nil"/>
                  </w:tcBorders>
                  <w:vAlign w:val="center"/>
                </w:tcPr>
                <w:p w14:paraId="032D359A">
                  <w:pPr>
                    <w:contextualSpacing/>
                    <w:jc w:val="center"/>
                  </w:pPr>
                  <w:r>
                    <w:t>720h</w:t>
                  </w:r>
                </w:p>
              </w:tc>
            </w:tr>
            <w:tr w14:paraId="74D0B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41C4ADEE">
                  <w:pPr>
                    <w:contextualSpacing/>
                    <w:jc w:val="center"/>
                    <w:rPr>
                      <w:kern w:val="0"/>
                    </w:rPr>
                  </w:pPr>
                  <w:r>
                    <w:rPr>
                      <w:kern w:val="0"/>
                    </w:rPr>
                    <w:t>2</w:t>
                  </w:r>
                </w:p>
              </w:tc>
              <w:tc>
                <w:tcPr>
                  <w:tcW w:w="550" w:type="dxa"/>
                  <w:vMerge w:val="continue"/>
                  <w:tcBorders>
                    <w:tl2br w:val="nil"/>
                    <w:tr2bl w:val="nil"/>
                  </w:tcBorders>
                  <w:vAlign w:val="center"/>
                </w:tcPr>
                <w:p w14:paraId="525C13EB">
                  <w:pPr>
                    <w:jc w:val="center"/>
                    <w:rPr>
                      <w:bCs/>
                      <w:szCs w:val="21"/>
                    </w:rPr>
                  </w:pPr>
                </w:p>
              </w:tc>
              <w:tc>
                <w:tcPr>
                  <w:tcW w:w="1108" w:type="dxa"/>
                  <w:tcBorders>
                    <w:tl2br w:val="nil"/>
                    <w:tr2bl w:val="nil"/>
                  </w:tcBorders>
                  <w:vAlign w:val="center"/>
                </w:tcPr>
                <w:p w14:paraId="46BEE92E">
                  <w:pPr>
                    <w:jc w:val="center"/>
                    <w:rPr>
                      <w:bCs/>
                      <w:szCs w:val="21"/>
                    </w:rPr>
                  </w:pPr>
                  <w:r>
                    <w:rPr>
                      <w:bCs/>
                      <w:szCs w:val="21"/>
                    </w:rPr>
                    <w:t>泥浆泵</w:t>
                  </w:r>
                </w:p>
              </w:tc>
              <w:tc>
                <w:tcPr>
                  <w:tcW w:w="654" w:type="dxa"/>
                  <w:tcBorders>
                    <w:tl2br w:val="nil"/>
                    <w:tr2bl w:val="nil"/>
                  </w:tcBorders>
                  <w:vAlign w:val="center"/>
                </w:tcPr>
                <w:p w14:paraId="630593D8">
                  <w:pPr>
                    <w:contextualSpacing/>
                    <w:jc w:val="center"/>
                    <w:rPr>
                      <w:kern w:val="0"/>
                    </w:rPr>
                  </w:pPr>
                  <w:r>
                    <w:rPr>
                      <w:kern w:val="0"/>
                    </w:rPr>
                    <w:t>/</w:t>
                  </w:r>
                </w:p>
              </w:tc>
              <w:tc>
                <w:tcPr>
                  <w:tcW w:w="600" w:type="dxa"/>
                  <w:tcBorders>
                    <w:tl2br w:val="nil"/>
                    <w:tr2bl w:val="nil"/>
                  </w:tcBorders>
                  <w:vAlign w:val="center"/>
                </w:tcPr>
                <w:p w14:paraId="2FA7C598">
                  <w:pPr>
                    <w:widowControl/>
                    <w:jc w:val="center"/>
                    <w:textAlignment w:val="center"/>
                    <w:rPr>
                      <w:bCs/>
                      <w:szCs w:val="21"/>
                    </w:rPr>
                  </w:pPr>
                  <w:r>
                    <w:rPr>
                      <w:rFonts w:hint="eastAsia"/>
                      <w:bCs/>
                      <w:szCs w:val="21"/>
                    </w:rPr>
                    <w:t>9</w:t>
                  </w:r>
                </w:p>
              </w:tc>
              <w:tc>
                <w:tcPr>
                  <w:tcW w:w="653" w:type="dxa"/>
                  <w:tcBorders>
                    <w:tl2br w:val="nil"/>
                    <w:tr2bl w:val="nil"/>
                  </w:tcBorders>
                  <w:vAlign w:val="center"/>
                </w:tcPr>
                <w:p w14:paraId="5AB33225">
                  <w:pPr>
                    <w:widowControl/>
                    <w:jc w:val="center"/>
                    <w:textAlignment w:val="center"/>
                    <w:rPr>
                      <w:bCs/>
                      <w:szCs w:val="21"/>
                    </w:rPr>
                  </w:pPr>
                  <w:r>
                    <w:rPr>
                      <w:rFonts w:hint="eastAsia"/>
                      <w:bCs/>
                      <w:szCs w:val="21"/>
                    </w:rPr>
                    <w:t>19</w:t>
                  </w:r>
                </w:p>
              </w:tc>
              <w:tc>
                <w:tcPr>
                  <w:tcW w:w="750" w:type="dxa"/>
                  <w:tcBorders>
                    <w:tl2br w:val="nil"/>
                    <w:tr2bl w:val="nil"/>
                  </w:tcBorders>
                  <w:vAlign w:val="center"/>
                </w:tcPr>
                <w:p w14:paraId="64A15125">
                  <w:pPr>
                    <w:widowControl/>
                    <w:jc w:val="center"/>
                    <w:textAlignment w:val="center"/>
                    <w:rPr>
                      <w:bCs/>
                      <w:szCs w:val="21"/>
                    </w:rPr>
                  </w:pPr>
                  <w:r>
                    <w:rPr>
                      <w:bCs/>
                      <w:szCs w:val="21"/>
                    </w:rPr>
                    <w:t>1.5</w:t>
                  </w:r>
                </w:p>
              </w:tc>
              <w:tc>
                <w:tcPr>
                  <w:tcW w:w="1425" w:type="dxa"/>
                  <w:tcBorders>
                    <w:tl2br w:val="nil"/>
                    <w:tr2bl w:val="nil"/>
                  </w:tcBorders>
                  <w:vAlign w:val="center"/>
                </w:tcPr>
                <w:p w14:paraId="64912612">
                  <w:pPr>
                    <w:jc w:val="center"/>
                    <w:rPr>
                      <w:bCs/>
                      <w:szCs w:val="21"/>
                    </w:rPr>
                  </w:pPr>
                  <w:r>
                    <w:rPr>
                      <w:bCs/>
                      <w:szCs w:val="21"/>
                    </w:rPr>
                    <w:t>85/1</w:t>
                  </w:r>
                </w:p>
              </w:tc>
              <w:tc>
                <w:tcPr>
                  <w:tcW w:w="1097" w:type="dxa"/>
                  <w:vMerge w:val="restart"/>
                  <w:tcBorders>
                    <w:tl2br w:val="nil"/>
                    <w:tr2bl w:val="nil"/>
                  </w:tcBorders>
                  <w:vAlign w:val="center"/>
                </w:tcPr>
                <w:p w14:paraId="33797D4A">
                  <w:pPr>
                    <w:contextualSpacing/>
                    <w:jc w:val="center"/>
                  </w:pPr>
                  <w:r>
                    <w:t>基础减震，置于泥浆不落地系统内</w:t>
                  </w:r>
                </w:p>
              </w:tc>
              <w:tc>
                <w:tcPr>
                  <w:tcW w:w="964" w:type="dxa"/>
                  <w:tcBorders>
                    <w:tl2br w:val="nil"/>
                    <w:tr2bl w:val="nil"/>
                  </w:tcBorders>
                  <w:vAlign w:val="center"/>
                </w:tcPr>
                <w:p w14:paraId="02F30812">
                  <w:pPr>
                    <w:contextualSpacing/>
                    <w:jc w:val="center"/>
                  </w:pPr>
                  <w:r>
                    <w:t>720h</w:t>
                  </w:r>
                </w:p>
              </w:tc>
            </w:tr>
            <w:tr w14:paraId="4DACC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19605798">
                  <w:pPr>
                    <w:contextualSpacing/>
                    <w:jc w:val="center"/>
                    <w:rPr>
                      <w:kern w:val="0"/>
                    </w:rPr>
                  </w:pPr>
                  <w:r>
                    <w:rPr>
                      <w:kern w:val="0"/>
                    </w:rPr>
                    <w:t>3</w:t>
                  </w:r>
                </w:p>
              </w:tc>
              <w:tc>
                <w:tcPr>
                  <w:tcW w:w="550" w:type="dxa"/>
                  <w:vMerge w:val="continue"/>
                  <w:tcBorders>
                    <w:tl2br w:val="nil"/>
                    <w:tr2bl w:val="nil"/>
                  </w:tcBorders>
                  <w:vAlign w:val="center"/>
                </w:tcPr>
                <w:p w14:paraId="3D219CA4">
                  <w:pPr>
                    <w:jc w:val="center"/>
                    <w:rPr>
                      <w:bCs/>
                      <w:szCs w:val="21"/>
                    </w:rPr>
                  </w:pPr>
                </w:p>
              </w:tc>
              <w:tc>
                <w:tcPr>
                  <w:tcW w:w="1108" w:type="dxa"/>
                  <w:tcBorders>
                    <w:tl2br w:val="nil"/>
                    <w:tr2bl w:val="nil"/>
                  </w:tcBorders>
                  <w:vAlign w:val="center"/>
                </w:tcPr>
                <w:p w14:paraId="2B52694C">
                  <w:pPr>
                    <w:jc w:val="center"/>
                    <w:rPr>
                      <w:bCs/>
                      <w:szCs w:val="21"/>
                    </w:rPr>
                  </w:pPr>
                  <w:r>
                    <w:rPr>
                      <w:bCs/>
                      <w:szCs w:val="21"/>
                    </w:rPr>
                    <w:t>振动筛</w:t>
                  </w:r>
                </w:p>
              </w:tc>
              <w:tc>
                <w:tcPr>
                  <w:tcW w:w="654" w:type="dxa"/>
                  <w:tcBorders>
                    <w:tl2br w:val="nil"/>
                    <w:tr2bl w:val="nil"/>
                  </w:tcBorders>
                  <w:vAlign w:val="center"/>
                </w:tcPr>
                <w:p w14:paraId="61759096">
                  <w:pPr>
                    <w:contextualSpacing/>
                    <w:jc w:val="center"/>
                    <w:rPr>
                      <w:kern w:val="0"/>
                    </w:rPr>
                  </w:pPr>
                  <w:r>
                    <w:rPr>
                      <w:kern w:val="0"/>
                    </w:rPr>
                    <w:t>/</w:t>
                  </w:r>
                </w:p>
              </w:tc>
              <w:tc>
                <w:tcPr>
                  <w:tcW w:w="600" w:type="dxa"/>
                  <w:tcBorders>
                    <w:tl2br w:val="nil"/>
                    <w:tr2bl w:val="nil"/>
                  </w:tcBorders>
                  <w:vAlign w:val="center"/>
                </w:tcPr>
                <w:p w14:paraId="1D011E75">
                  <w:pPr>
                    <w:widowControl/>
                    <w:jc w:val="center"/>
                    <w:textAlignment w:val="center"/>
                    <w:rPr>
                      <w:bCs/>
                      <w:szCs w:val="21"/>
                    </w:rPr>
                  </w:pPr>
                  <w:r>
                    <w:rPr>
                      <w:rFonts w:hint="eastAsia"/>
                      <w:bCs/>
                      <w:szCs w:val="21"/>
                    </w:rPr>
                    <w:t>28</w:t>
                  </w:r>
                </w:p>
              </w:tc>
              <w:tc>
                <w:tcPr>
                  <w:tcW w:w="653" w:type="dxa"/>
                  <w:tcBorders>
                    <w:tl2br w:val="nil"/>
                    <w:tr2bl w:val="nil"/>
                  </w:tcBorders>
                  <w:vAlign w:val="center"/>
                </w:tcPr>
                <w:p w14:paraId="185D66C1">
                  <w:pPr>
                    <w:widowControl/>
                    <w:jc w:val="center"/>
                    <w:textAlignment w:val="center"/>
                    <w:rPr>
                      <w:bCs/>
                      <w:szCs w:val="21"/>
                    </w:rPr>
                  </w:pPr>
                  <w:r>
                    <w:rPr>
                      <w:rFonts w:hint="eastAsia"/>
                      <w:bCs/>
                      <w:szCs w:val="21"/>
                    </w:rPr>
                    <w:t>16</w:t>
                  </w:r>
                </w:p>
              </w:tc>
              <w:tc>
                <w:tcPr>
                  <w:tcW w:w="750" w:type="dxa"/>
                  <w:tcBorders>
                    <w:tl2br w:val="nil"/>
                    <w:tr2bl w:val="nil"/>
                  </w:tcBorders>
                  <w:vAlign w:val="center"/>
                </w:tcPr>
                <w:p w14:paraId="0B5B57DE">
                  <w:pPr>
                    <w:widowControl/>
                    <w:jc w:val="center"/>
                    <w:textAlignment w:val="center"/>
                    <w:rPr>
                      <w:bCs/>
                      <w:szCs w:val="21"/>
                    </w:rPr>
                  </w:pPr>
                  <w:r>
                    <w:rPr>
                      <w:bCs/>
                      <w:szCs w:val="21"/>
                    </w:rPr>
                    <w:t>1.5</w:t>
                  </w:r>
                </w:p>
              </w:tc>
              <w:tc>
                <w:tcPr>
                  <w:tcW w:w="1425" w:type="dxa"/>
                  <w:tcBorders>
                    <w:tl2br w:val="nil"/>
                    <w:tr2bl w:val="nil"/>
                  </w:tcBorders>
                  <w:vAlign w:val="center"/>
                </w:tcPr>
                <w:p w14:paraId="2DA4D1CF">
                  <w:pPr>
                    <w:jc w:val="center"/>
                    <w:rPr>
                      <w:bCs/>
                      <w:szCs w:val="21"/>
                    </w:rPr>
                  </w:pPr>
                  <w:r>
                    <w:rPr>
                      <w:bCs/>
                      <w:szCs w:val="21"/>
                    </w:rPr>
                    <w:t>85/1</w:t>
                  </w:r>
                </w:p>
              </w:tc>
              <w:tc>
                <w:tcPr>
                  <w:tcW w:w="1097" w:type="dxa"/>
                  <w:vMerge w:val="continue"/>
                  <w:tcBorders>
                    <w:tl2br w:val="nil"/>
                    <w:tr2bl w:val="nil"/>
                  </w:tcBorders>
                  <w:vAlign w:val="center"/>
                </w:tcPr>
                <w:p w14:paraId="406F4234">
                  <w:pPr>
                    <w:contextualSpacing/>
                    <w:jc w:val="center"/>
                  </w:pPr>
                </w:p>
              </w:tc>
              <w:tc>
                <w:tcPr>
                  <w:tcW w:w="964" w:type="dxa"/>
                  <w:tcBorders>
                    <w:tl2br w:val="nil"/>
                    <w:tr2bl w:val="nil"/>
                  </w:tcBorders>
                  <w:vAlign w:val="center"/>
                </w:tcPr>
                <w:p w14:paraId="3CED1BE2">
                  <w:pPr>
                    <w:contextualSpacing/>
                    <w:jc w:val="center"/>
                  </w:pPr>
                  <w:r>
                    <w:t>720h</w:t>
                  </w:r>
                </w:p>
              </w:tc>
            </w:tr>
            <w:tr w14:paraId="2865F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7B6E7999">
                  <w:pPr>
                    <w:contextualSpacing/>
                    <w:jc w:val="center"/>
                    <w:rPr>
                      <w:kern w:val="0"/>
                    </w:rPr>
                  </w:pPr>
                  <w:r>
                    <w:rPr>
                      <w:kern w:val="0"/>
                    </w:rPr>
                    <w:t>4</w:t>
                  </w:r>
                </w:p>
              </w:tc>
              <w:tc>
                <w:tcPr>
                  <w:tcW w:w="550" w:type="dxa"/>
                  <w:vMerge w:val="continue"/>
                  <w:tcBorders>
                    <w:tl2br w:val="nil"/>
                    <w:tr2bl w:val="nil"/>
                  </w:tcBorders>
                  <w:vAlign w:val="center"/>
                </w:tcPr>
                <w:p w14:paraId="67C18A39">
                  <w:pPr>
                    <w:jc w:val="center"/>
                    <w:rPr>
                      <w:bCs/>
                      <w:szCs w:val="21"/>
                    </w:rPr>
                  </w:pPr>
                </w:p>
              </w:tc>
              <w:tc>
                <w:tcPr>
                  <w:tcW w:w="1108" w:type="dxa"/>
                  <w:tcBorders>
                    <w:tl2br w:val="nil"/>
                    <w:tr2bl w:val="nil"/>
                  </w:tcBorders>
                  <w:vAlign w:val="center"/>
                </w:tcPr>
                <w:p w14:paraId="183D55E9">
                  <w:pPr>
                    <w:jc w:val="center"/>
                    <w:rPr>
                      <w:bCs/>
                      <w:szCs w:val="21"/>
                    </w:rPr>
                  </w:pPr>
                  <w:r>
                    <w:rPr>
                      <w:bCs/>
                      <w:szCs w:val="21"/>
                    </w:rPr>
                    <w:t>离心机</w:t>
                  </w:r>
                </w:p>
              </w:tc>
              <w:tc>
                <w:tcPr>
                  <w:tcW w:w="654" w:type="dxa"/>
                  <w:tcBorders>
                    <w:tl2br w:val="nil"/>
                    <w:tr2bl w:val="nil"/>
                  </w:tcBorders>
                  <w:vAlign w:val="center"/>
                </w:tcPr>
                <w:p w14:paraId="3E5F7E90">
                  <w:pPr>
                    <w:jc w:val="center"/>
                  </w:pPr>
                  <w:r>
                    <w:rPr>
                      <w:kern w:val="0"/>
                    </w:rPr>
                    <w:t>/</w:t>
                  </w:r>
                </w:p>
              </w:tc>
              <w:tc>
                <w:tcPr>
                  <w:tcW w:w="600" w:type="dxa"/>
                  <w:tcBorders>
                    <w:tl2br w:val="nil"/>
                    <w:tr2bl w:val="nil"/>
                  </w:tcBorders>
                  <w:vAlign w:val="center"/>
                </w:tcPr>
                <w:p w14:paraId="623BC95B">
                  <w:pPr>
                    <w:widowControl/>
                    <w:jc w:val="center"/>
                    <w:textAlignment w:val="center"/>
                    <w:rPr>
                      <w:bCs/>
                      <w:szCs w:val="21"/>
                    </w:rPr>
                  </w:pPr>
                  <w:r>
                    <w:rPr>
                      <w:rFonts w:hint="eastAsia"/>
                      <w:bCs/>
                      <w:szCs w:val="21"/>
                    </w:rPr>
                    <w:t>34</w:t>
                  </w:r>
                </w:p>
              </w:tc>
              <w:tc>
                <w:tcPr>
                  <w:tcW w:w="653" w:type="dxa"/>
                  <w:tcBorders>
                    <w:tl2br w:val="nil"/>
                    <w:tr2bl w:val="nil"/>
                  </w:tcBorders>
                  <w:vAlign w:val="center"/>
                </w:tcPr>
                <w:p w14:paraId="27B58904">
                  <w:pPr>
                    <w:widowControl/>
                    <w:jc w:val="center"/>
                    <w:textAlignment w:val="center"/>
                    <w:rPr>
                      <w:bCs/>
                      <w:szCs w:val="21"/>
                    </w:rPr>
                  </w:pPr>
                  <w:r>
                    <w:rPr>
                      <w:rFonts w:hint="eastAsia"/>
                      <w:bCs/>
                      <w:szCs w:val="21"/>
                    </w:rPr>
                    <w:t>8</w:t>
                  </w:r>
                </w:p>
              </w:tc>
              <w:tc>
                <w:tcPr>
                  <w:tcW w:w="750" w:type="dxa"/>
                  <w:tcBorders>
                    <w:tl2br w:val="nil"/>
                    <w:tr2bl w:val="nil"/>
                  </w:tcBorders>
                  <w:vAlign w:val="center"/>
                </w:tcPr>
                <w:p w14:paraId="603069EC">
                  <w:pPr>
                    <w:widowControl/>
                    <w:jc w:val="center"/>
                    <w:textAlignment w:val="center"/>
                    <w:rPr>
                      <w:bCs/>
                      <w:szCs w:val="21"/>
                    </w:rPr>
                  </w:pPr>
                  <w:r>
                    <w:rPr>
                      <w:bCs/>
                      <w:szCs w:val="21"/>
                    </w:rPr>
                    <w:t>1.5</w:t>
                  </w:r>
                </w:p>
              </w:tc>
              <w:tc>
                <w:tcPr>
                  <w:tcW w:w="1425" w:type="dxa"/>
                  <w:tcBorders>
                    <w:tl2br w:val="nil"/>
                    <w:tr2bl w:val="nil"/>
                  </w:tcBorders>
                  <w:vAlign w:val="center"/>
                </w:tcPr>
                <w:p w14:paraId="485D0365">
                  <w:pPr>
                    <w:jc w:val="center"/>
                    <w:rPr>
                      <w:bCs/>
                      <w:szCs w:val="21"/>
                    </w:rPr>
                  </w:pPr>
                  <w:r>
                    <w:rPr>
                      <w:bCs/>
                      <w:szCs w:val="21"/>
                    </w:rPr>
                    <w:t>8</w:t>
                  </w:r>
                  <w:r>
                    <w:rPr>
                      <w:rFonts w:hint="eastAsia"/>
                      <w:bCs/>
                      <w:szCs w:val="21"/>
                    </w:rPr>
                    <w:t>3</w:t>
                  </w:r>
                  <w:r>
                    <w:rPr>
                      <w:bCs/>
                      <w:szCs w:val="21"/>
                    </w:rPr>
                    <w:t>/1</w:t>
                  </w:r>
                </w:p>
              </w:tc>
              <w:tc>
                <w:tcPr>
                  <w:tcW w:w="1097" w:type="dxa"/>
                  <w:vMerge w:val="continue"/>
                  <w:tcBorders>
                    <w:tl2br w:val="nil"/>
                    <w:tr2bl w:val="nil"/>
                  </w:tcBorders>
                  <w:vAlign w:val="center"/>
                </w:tcPr>
                <w:p w14:paraId="3CBB5FD4">
                  <w:pPr>
                    <w:contextualSpacing/>
                    <w:jc w:val="center"/>
                  </w:pPr>
                </w:p>
              </w:tc>
              <w:tc>
                <w:tcPr>
                  <w:tcW w:w="964" w:type="dxa"/>
                  <w:tcBorders>
                    <w:tl2br w:val="nil"/>
                    <w:tr2bl w:val="nil"/>
                  </w:tcBorders>
                  <w:vAlign w:val="center"/>
                </w:tcPr>
                <w:p w14:paraId="0976155F">
                  <w:pPr>
                    <w:contextualSpacing/>
                    <w:jc w:val="center"/>
                  </w:pPr>
                  <w:r>
                    <w:t>720h</w:t>
                  </w:r>
                </w:p>
              </w:tc>
            </w:tr>
            <w:tr w14:paraId="02EAF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07CBFBF2">
                  <w:pPr>
                    <w:contextualSpacing/>
                    <w:jc w:val="center"/>
                    <w:rPr>
                      <w:kern w:val="0"/>
                    </w:rPr>
                  </w:pPr>
                  <w:r>
                    <w:rPr>
                      <w:kern w:val="0"/>
                    </w:rPr>
                    <w:t>5</w:t>
                  </w:r>
                </w:p>
              </w:tc>
              <w:tc>
                <w:tcPr>
                  <w:tcW w:w="550" w:type="dxa"/>
                  <w:vMerge w:val="continue"/>
                  <w:tcBorders>
                    <w:tl2br w:val="nil"/>
                    <w:tr2bl w:val="nil"/>
                  </w:tcBorders>
                  <w:vAlign w:val="center"/>
                </w:tcPr>
                <w:p w14:paraId="243AAC15">
                  <w:pPr>
                    <w:jc w:val="center"/>
                    <w:rPr>
                      <w:bCs/>
                      <w:szCs w:val="21"/>
                    </w:rPr>
                  </w:pPr>
                </w:p>
              </w:tc>
              <w:tc>
                <w:tcPr>
                  <w:tcW w:w="1108" w:type="dxa"/>
                  <w:tcBorders>
                    <w:tl2br w:val="nil"/>
                    <w:tr2bl w:val="nil"/>
                  </w:tcBorders>
                  <w:vAlign w:val="center"/>
                </w:tcPr>
                <w:p w14:paraId="1ACAD090">
                  <w:pPr>
                    <w:jc w:val="center"/>
                    <w:rPr>
                      <w:bCs/>
                      <w:szCs w:val="21"/>
                    </w:rPr>
                  </w:pPr>
                  <w:r>
                    <w:rPr>
                      <w:bCs/>
                      <w:szCs w:val="21"/>
                    </w:rPr>
                    <w:t>搅拌机</w:t>
                  </w:r>
                </w:p>
              </w:tc>
              <w:tc>
                <w:tcPr>
                  <w:tcW w:w="654" w:type="dxa"/>
                  <w:tcBorders>
                    <w:tl2br w:val="nil"/>
                    <w:tr2bl w:val="nil"/>
                  </w:tcBorders>
                  <w:vAlign w:val="center"/>
                </w:tcPr>
                <w:p w14:paraId="6360326A">
                  <w:pPr>
                    <w:jc w:val="center"/>
                    <w:rPr>
                      <w:kern w:val="0"/>
                    </w:rPr>
                  </w:pPr>
                  <w:r>
                    <w:rPr>
                      <w:kern w:val="0"/>
                    </w:rPr>
                    <w:t>/</w:t>
                  </w:r>
                </w:p>
              </w:tc>
              <w:tc>
                <w:tcPr>
                  <w:tcW w:w="600" w:type="dxa"/>
                  <w:tcBorders>
                    <w:tl2br w:val="nil"/>
                    <w:tr2bl w:val="nil"/>
                  </w:tcBorders>
                  <w:vAlign w:val="center"/>
                </w:tcPr>
                <w:p w14:paraId="73935817">
                  <w:pPr>
                    <w:widowControl/>
                    <w:jc w:val="center"/>
                    <w:textAlignment w:val="center"/>
                    <w:rPr>
                      <w:bCs/>
                      <w:szCs w:val="21"/>
                    </w:rPr>
                  </w:pPr>
                  <w:r>
                    <w:rPr>
                      <w:rFonts w:hint="eastAsia"/>
                      <w:bCs/>
                      <w:szCs w:val="21"/>
                    </w:rPr>
                    <w:t>26</w:t>
                  </w:r>
                </w:p>
              </w:tc>
              <w:tc>
                <w:tcPr>
                  <w:tcW w:w="653" w:type="dxa"/>
                  <w:tcBorders>
                    <w:tl2br w:val="nil"/>
                    <w:tr2bl w:val="nil"/>
                  </w:tcBorders>
                  <w:vAlign w:val="center"/>
                </w:tcPr>
                <w:p w14:paraId="10FD3AAD">
                  <w:pPr>
                    <w:widowControl/>
                    <w:jc w:val="center"/>
                    <w:textAlignment w:val="center"/>
                    <w:rPr>
                      <w:bCs/>
                      <w:szCs w:val="21"/>
                    </w:rPr>
                  </w:pPr>
                  <w:r>
                    <w:rPr>
                      <w:rFonts w:hint="eastAsia"/>
                      <w:bCs/>
                      <w:szCs w:val="21"/>
                    </w:rPr>
                    <w:t>-7</w:t>
                  </w:r>
                </w:p>
              </w:tc>
              <w:tc>
                <w:tcPr>
                  <w:tcW w:w="750" w:type="dxa"/>
                  <w:tcBorders>
                    <w:tl2br w:val="nil"/>
                    <w:tr2bl w:val="nil"/>
                  </w:tcBorders>
                  <w:vAlign w:val="center"/>
                </w:tcPr>
                <w:p w14:paraId="29B9AD66">
                  <w:pPr>
                    <w:widowControl/>
                    <w:jc w:val="center"/>
                    <w:textAlignment w:val="center"/>
                    <w:rPr>
                      <w:bCs/>
                      <w:szCs w:val="21"/>
                    </w:rPr>
                  </w:pPr>
                  <w:r>
                    <w:rPr>
                      <w:bCs/>
                      <w:szCs w:val="21"/>
                    </w:rPr>
                    <w:t>1.5</w:t>
                  </w:r>
                </w:p>
              </w:tc>
              <w:tc>
                <w:tcPr>
                  <w:tcW w:w="1425" w:type="dxa"/>
                  <w:tcBorders>
                    <w:tl2br w:val="nil"/>
                    <w:tr2bl w:val="nil"/>
                  </w:tcBorders>
                  <w:vAlign w:val="center"/>
                </w:tcPr>
                <w:p w14:paraId="2EAFCC13">
                  <w:pPr>
                    <w:jc w:val="center"/>
                    <w:rPr>
                      <w:bCs/>
                      <w:szCs w:val="21"/>
                    </w:rPr>
                  </w:pPr>
                  <w:r>
                    <w:rPr>
                      <w:bCs/>
                      <w:szCs w:val="21"/>
                    </w:rPr>
                    <w:t>85/1</w:t>
                  </w:r>
                </w:p>
              </w:tc>
              <w:tc>
                <w:tcPr>
                  <w:tcW w:w="1097" w:type="dxa"/>
                  <w:vMerge w:val="continue"/>
                  <w:tcBorders>
                    <w:tl2br w:val="nil"/>
                    <w:tr2bl w:val="nil"/>
                  </w:tcBorders>
                  <w:vAlign w:val="center"/>
                </w:tcPr>
                <w:p w14:paraId="3471DDF8">
                  <w:pPr>
                    <w:contextualSpacing/>
                    <w:jc w:val="center"/>
                  </w:pPr>
                </w:p>
              </w:tc>
              <w:tc>
                <w:tcPr>
                  <w:tcW w:w="964" w:type="dxa"/>
                  <w:tcBorders>
                    <w:tl2br w:val="nil"/>
                    <w:tr2bl w:val="nil"/>
                  </w:tcBorders>
                  <w:vAlign w:val="center"/>
                </w:tcPr>
                <w:p w14:paraId="187E922D">
                  <w:pPr>
                    <w:contextualSpacing/>
                    <w:jc w:val="center"/>
                  </w:pPr>
                  <w:r>
                    <w:t>720h</w:t>
                  </w:r>
                </w:p>
              </w:tc>
            </w:tr>
            <w:tr w14:paraId="736DF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7FA61FCC">
                  <w:pPr>
                    <w:contextualSpacing/>
                    <w:jc w:val="center"/>
                    <w:rPr>
                      <w:kern w:val="0"/>
                    </w:rPr>
                  </w:pPr>
                  <w:r>
                    <w:rPr>
                      <w:kern w:val="0"/>
                    </w:rPr>
                    <w:t>6</w:t>
                  </w:r>
                </w:p>
              </w:tc>
              <w:tc>
                <w:tcPr>
                  <w:tcW w:w="550" w:type="dxa"/>
                  <w:vMerge w:val="continue"/>
                  <w:tcBorders>
                    <w:tl2br w:val="nil"/>
                    <w:tr2bl w:val="nil"/>
                  </w:tcBorders>
                  <w:vAlign w:val="center"/>
                </w:tcPr>
                <w:p w14:paraId="116393A7">
                  <w:pPr>
                    <w:jc w:val="center"/>
                    <w:rPr>
                      <w:bCs/>
                      <w:szCs w:val="21"/>
                    </w:rPr>
                  </w:pPr>
                </w:p>
              </w:tc>
              <w:tc>
                <w:tcPr>
                  <w:tcW w:w="1108" w:type="dxa"/>
                  <w:tcBorders>
                    <w:tl2br w:val="nil"/>
                    <w:tr2bl w:val="nil"/>
                  </w:tcBorders>
                  <w:vAlign w:val="center"/>
                </w:tcPr>
                <w:p w14:paraId="118B81FD">
                  <w:pPr>
                    <w:jc w:val="center"/>
                    <w:rPr>
                      <w:bCs/>
                      <w:sz w:val="20"/>
                      <w:szCs w:val="20"/>
                    </w:rPr>
                  </w:pPr>
                  <w:r>
                    <w:rPr>
                      <w:bCs/>
                      <w:sz w:val="20"/>
                      <w:szCs w:val="20"/>
                    </w:rPr>
                    <w:t>柴油发电机（备用）</w:t>
                  </w:r>
                </w:p>
              </w:tc>
              <w:tc>
                <w:tcPr>
                  <w:tcW w:w="654" w:type="dxa"/>
                  <w:tcBorders>
                    <w:tl2br w:val="nil"/>
                    <w:tr2bl w:val="nil"/>
                  </w:tcBorders>
                  <w:vAlign w:val="center"/>
                </w:tcPr>
                <w:p w14:paraId="40E0F7A4">
                  <w:pPr>
                    <w:jc w:val="center"/>
                    <w:rPr>
                      <w:kern w:val="0"/>
                    </w:rPr>
                  </w:pPr>
                  <w:r>
                    <w:rPr>
                      <w:kern w:val="0"/>
                    </w:rPr>
                    <w:t>/</w:t>
                  </w:r>
                </w:p>
              </w:tc>
              <w:tc>
                <w:tcPr>
                  <w:tcW w:w="600" w:type="dxa"/>
                  <w:tcBorders>
                    <w:tl2br w:val="nil"/>
                    <w:tr2bl w:val="nil"/>
                  </w:tcBorders>
                  <w:vAlign w:val="center"/>
                </w:tcPr>
                <w:p w14:paraId="275C12F2">
                  <w:pPr>
                    <w:widowControl/>
                    <w:jc w:val="center"/>
                    <w:textAlignment w:val="center"/>
                    <w:rPr>
                      <w:bCs/>
                      <w:szCs w:val="21"/>
                    </w:rPr>
                  </w:pPr>
                  <w:r>
                    <w:rPr>
                      <w:rFonts w:hint="eastAsia"/>
                      <w:bCs/>
                      <w:szCs w:val="21"/>
                    </w:rPr>
                    <w:t>8</w:t>
                  </w:r>
                </w:p>
              </w:tc>
              <w:tc>
                <w:tcPr>
                  <w:tcW w:w="653" w:type="dxa"/>
                  <w:tcBorders>
                    <w:tl2br w:val="nil"/>
                    <w:tr2bl w:val="nil"/>
                  </w:tcBorders>
                  <w:vAlign w:val="center"/>
                </w:tcPr>
                <w:p w14:paraId="22B57E5C">
                  <w:pPr>
                    <w:widowControl/>
                    <w:jc w:val="center"/>
                    <w:textAlignment w:val="center"/>
                    <w:rPr>
                      <w:bCs/>
                      <w:szCs w:val="21"/>
                    </w:rPr>
                  </w:pPr>
                  <w:r>
                    <w:rPr>
                      <w:rFonts w:hint="eastAsia"/>
                      <w:bCs/>
                      <w:szCs w:val="21"/>
                    </w:rPr>
                    <w:t>41</w:t>
                  </w:r>
                </w:p>
              </w:tc>
              <w:tc>
                <w:tcPr>
                  <w:tcW w:w="750" w:type="dxa"/>
                  <w:tcBorders>
                    <w:tl2br w:val="nil"/>
                    <w:tr2bl w:val="nil"/>
                  </w:tcBorders>
                  <w:vAlign w:val="center"/>
                </w:tcPr>
                <w:p w14:paraId="5DE3C462">
                  <w:pPr>
                    <w:widowControl/>
                    <w:jc w:val="center"/>
                    <w:textAlignment w:val="center"/>
                    <w:rPr>
                      <w:bCs/>
                      <w:szCs w:val="21"/>
                    </w:rPr>
                  </w:pPr>
                  <w:r>
                    <w:rPr>
                      <w:bCs/>
                      <w:szCs w:val="21"/>
                    </w:rPr>
                    <w:t>1.5</w:t>
                  </w:r>
                </w:p>
              </w:tc>
              <w:tc>
                <w:tcPr>
                  <w:tcW w:w="1425" w:type="dxa"/>
                  <w:tcBorders>
                    <w:tl2br w:val="nil"/>
                    <w:tr2bl w:val="nil"/>
                  </w:tcBorders>
                  <w:vAlign w:val="center"/>
                </w:tcPr>
                <w:p w14:paraId="3CB5F5A3">
                  <w:pPr>
                    <w:jc w:val="center"/>
                    <w:rPr>
                      <w:bCs/>
                      <w:szCs w:val="21"/>
                    </w:rPr>
                  </w:pPr>
                  <w:r>
                    <w:rPr>
                      <w:bCs/>
                      <w:szCs w:val="21"/>
                    </w:rPr>
                    <w:t>95/1</w:t>
                  </w:r>
                </w:p>
              </w:tc>
              <w:tc>
                <w:tcPr>
                  <w:tcW w:w="1097" w:type="dxa"/>
                  <w:tcBorders>
                    <w:tl2br w:val="nil"/>
                    <w:tr2bl w:val="nil"/>
                  </w:tcBorders>
                  <w:vAlign w:val="center"/>
                </w:tcPr>
                <w:p w14:paraId="7812E681">
                  <w:pPr>
                    <w:contextualSpacing/>
                    <w:jc w:val="center"/>
                  </w:pPr>
                  <w:r>
                    <w:t>基础减震</w:t>
                  </w:r>
                </w:p>
              </w:tc>
              <w:tc>
                <w:tcPr>
                  <w:tcW w:w="964" w:type="dxa"/>
                  <w:tcBorders>
                    <w:tl2br w:val="nil"/>
                    <w:tr2bl w:val="nil"/>
                  </w:tcBorders>
                  <w:vAlign w:val="center"/>
                </w:tcPr>
                <w:p w14:paraId="53CDC8F3">
                  <w:pPr>
                    <w:contextualSpacing/>
                    <w:jc w:val="center"/>
                  </w:pPr>
                  <w:r>
                    <w:t>停电时使用</w:t>
                  </w:r>
                </w:p>
              </w:tc>
            </w:tr>
            <w:tr w14:paraId="375E4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14:paraId="51C910CF">
                  <w:pPr>
                    <w:contextualSpacing/>
                    <w:jc w:val="center"/>
                    <w:rPr>
                      <w:kern w:val="0"/>
                    </w:rPr>
                  </w:pPr>
                  <w:r>
                    <w:rPr>
                      <w:kern w:val="0"/>
                    </w:rPr>
                    <w:t>7</w:t>
                  </w:r>
                </w:p>
              </w:tc>
              <w:tc>
                <w:tcPr>
                  <w:tcW w:w="550" w:type="dxa"/>
                  <w:vMerge w:val="continue"/>
                  <w:tcBorders>
                    <w:tl2br w:val="nil"/>
                    <w:tr2bl w:val="nil"/>
                  </w:tcBorders>
                  <w:vAlign w:val="center"/>
                </w:tcPr>
                <w:p w14:paraId="55F38555">
                  <w:pPr>
                    <w:jc w:val="center"/>
                    <w:rPr>
                      <w:bCs/>
                      <w:szCs w:val="21"/>
                    </w:rPr>
                  </w:pPr>
                </w:p>
              </w:tc>
              <w:tc>
                <w:tcPr>
                  <w:tcW w:w="1108" w:type="dxa"/>
                  <w:tcBorders>
                    <w:tl2br w:val="nil"/>
                    <w:tr2bl w:val="nil"/>
                  </w:tcBorders>
                  <w:vAlign w:val="center"/>
                </w:tcPr>
                <w:p w14:paraId="566AA85B">
                  <w:pPr>
                    <w:jc w:val="center"/>
                    <w:rPr>
                      <w:bCs/>
                      <w:sz w:val="20"/>
                      <w:szCs w:val="20"/>
                    </w:rPr>
                  </w:pPr>
                  <w:r>
                    <w:rPr>
                      <w:bCs/>
                      <w:sz w:val="20"/>
                      <w:szCs w:val="20"/>
                    </w:rPr>
                    <w:t>柴油动力机（备用）</w:t>
                  </w:r>
                </w:p>
              </w:tc>
              <w:tc>
                <w:tcPr>
                  <w:tcW w:w="654" w:type="dxa"/>
                  <w:tcBorders>
                    <w:tl2br w:val="nil"/>
                    <w:tr2bl w:val="nil"/>
                  </w:tcBorders>
                  <w:vAlign w:val="center"/>
                </w:tcPr>
                <w:p w14:paraId="5580E04F">
                  <w:pPr>
                    <w:jc w:val="center"/>
                    <w:rPr>
                      <w:kern w:val="0"/>
                    </w:rPr>
                  </w:pPr>
                  <w:r>
                    <w:rPr>
                      <w:kern w:val="0"/>
                    </w:rPr>
                    <w:t>/</w:t>
                  </w:r>
                </w:p>
              </w:tc>
              <w:tc>
                <w:tcPr>
                  <w:tcW w:w="600" w:type="dxa"/>
                  <w:tcBorders>
                    <w:tl2br w:val="nil"/>
                    <w:tr2bl w:val="nil"/>
                  </w:tcBorders>
                  <w:vAlign w:val="center"/>
                </w:tcPr>
                <w:p w14:paraId="7BB771CA">
                  <w:pPr>
                    <w:widowControl/>
                    <w:jc w:val="center"/>
                    <w:textAlignment w:val="center"/>
                    <w:rPr>
                      <w:bCs/>
                      <w:szCs w:val="21"/>
                    </w:rPr>
                  </w:pPr>
                  <w:r>
                    <w:rPr>
                      <w:rFonts w:hint="eastAsia"/>
                      <w:bCs/>
                      <w:szCs w:val="21"/>
                    </w:rPr>
                    <w:t>9</w:t>
                  </w:r>
                </w:p>
              </w:tc>
              <w:tc>
                <w:tcPr>
                  <w:tcW w:w="653" w:type="dxa"/>
                  <w:tcBorders>
                    <w:tl2br w:val="nil"/>
                    <w:tr2bl w:val="nil"/>
                  </w:tcBorders>
                  <w:vAlign w:val="center"/>
                </w:tcPr>
                <w:p w14:paraId="591C6EFC">
                  <w:pPr>
                    <w:widowControl/>
                    <w:jc w:val="center"/>
                    <w:textAlignment w:val="center"/>
                    <w:rPr>
                      <w:bCs/>
                      <w:szCs w:val="21"/>
                    </w:rPr>
                  </w:pPr>
                  <w:r>
                    <w:rPr>
                      <w:rFonts w:hint="eastAsia"/>
                      <w:bCs/>
                      <w:szCs w:val="21"/>
                    </w:rPr>
                    <w:t>32</w:t>
                  </w:r>
                </w:p>
              </w:tc>
              <w:tc>
                <w:tcPr>
                  <w:tcW w:w="750" w:type="dxa"/>
                  <w:tcBorders>
                    <w:tl2br w:val="nil"/>
                    <w:tr2bl w:val="nil"/>
                  </w:tcBorders>
                  <w:vAlign w:val="center"/>
                </w:tcPr>
                <w:p w14:paraId="3D981457">
                  <w:pPr>
                    <w:widowControl/>
                    <w:jc w:val="center"/>
                    <w:textAlignment w:val="center"/>
                    <w:rPr>
                      <w:bCs/>
                      <w:szCs w:val="21"/>
                    </w:rPr>
                  </w:pPr>
                  <w:r>
                    <w:rPr>
                      <w:bCs/>
                      <w:szCs w:val="21"/>
                    </w:rPr>
                    <w:t>1.5</w:t>
                  </w:r>
                </w:p>
              </w:tc>
              <w:tc>
                <w:tcPr>
                  <w:tcW w:w="1425" w:type="dxa"/>
                  <w:tcBorders>
                    <w:tl2br w:val="nil"/>
                    <w:tr2bl w:val="nil"/>
                  </w:tcBorders>
                  <w:vAlign w:val="center"/>
                </w:tcPr>
                <w:p w14:paraId="4A513B53">
                  <w:pPr>
                    <w:jc w:val="center"/>
                    <w:rPr>
                      <w:bCs/>
                      <w:szCs w:val="21"/>
                    </w:rPr>
                  </w:pPr>
                  <w:r>
                    <w:rPr>
                      <w:bCs/>
                      <w:szCs w:val="21"/>
                    </w:rPr>
                    <w:t>95/1</w:t>
                  </w:r>
                </w:p>
              </w:tc>
              <w:tc>
                <w:tcPr>
                  <w:tcW w:w="1097" w:type="dxa"/>
                  <w:tcBorders>
                    <w:tl2br w:val="nil"/>
                    <w:tr2bl w:val="nil"/>
                  </w:tcBorders>
                  <w:vAlign w:val="center"/>
                </w:tcPr>
                <w:p w14:paraId="0584E4DE">
                  <w:pPr>
                    <w:contextualSpacing/>
                    <w:jc w:val="center"/>
                  </w:pPr>
                  <w:r>
                    <w:t>基础减震</w:t>
                  </w:r>
                </w:p>
              </w:tc>
              <w:tc>
                <w:tcPr>
                  <w:tcW w:w="964" w:type="dxa"/>
                  <w:tcBorders>
                    <w:tl2br w:val="nil"/>
                    <w:tr2bl w:val="nil"/>
                  </w:tcBorders>
                  <w:vAlign w:val="center"/>
                </w:tcPr>
                <w:p w14:paraId="1F2E9721">
                  <w:pPr>
                    <w:contextualSpacing/>
                    <w:jc w:val="center"/>
                  </w:pPr>
                  <w:r>
                    <w:t>停电时使用</w:t>
                  </w:r>
                </w:p>
              </w:tc>
            </w:tr>
            <w:tr w14:paraId="29F50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18" w:type="dxa"/>
                  <w:gridSpan w:val="10"/>
                  <w:tcBorders>
                    <w:tl2br w:val="nil"/>
                    <w:tr2bl w:val="nil"/>
                  </w:tcBorders>
                  <w:vAlign w:val="center"/>
                </w:tcPr>
                <w:p w14:paraId="6064C976">
                  <w:pPr>
                    <w:contextualSpacing/>
                    <w:rPr>
                      <w:b/>
                    </w:rPr>
                  </w:pPr>
                  <w:r>
                    <w:rPr>
                      <w:b/>
                    </w:rPr>
                    <w:t>注：以井场中心为原点</w:t>
                  </w:r>
                </w:p>
              </w:tc>
            </w:tr>
          </w:tbl>
          <w:p w14:paraId="2FAAA2E2">
            <w:pPr>
              <w:tabs>
                <w:tab w:val="left" w:pos="2321"/>
              </w:tabs>
              <w:overflowPunct w:val="0"/>
              <w:autoSpaceDE w:val="0"/>
              <w:spacing w:line="360" w:lineRule="auto"/>
              <w:ind w:firstLine="480" w:firstLineChars="200"/>
              <w:rPr>
                <w:bCs/>
                <w:sz w:val="24"/>
              </w:rPr>
            </w:pPr>
            <w:r>
              <w:rPr>
                <w:bCs/>
                <w:sz w:val="24"/>
              </w:rPr>
              <w:t>（2）环境影响分析</w:t>
            </w:r>
          </w:p>
          <w:p w14:paraId="2A8B133B">
            <w:pPr>
              <w:spacing w:line="360" w:lineRule="auto"/>
              <w:ind w:firstLine="480" w:firstLineChars="200"/>
              <w:rPr>
                <w:sz w:val="24"/>
              </w:rPr>
            </w:pPr>
            <w:r>
              <w:rPr>
                <w:sz w:val="24"/>
              </w:rPr>
              <w:t>本项目主要为钻井作业过程的钻机、柴油发电机组、振动筛、离心机等设备运行产生的机械噪声等。</w:t>
            </w:r>
          </w:p>
          <w:p w14:paraId="66D0979B">
            <w:pPr>
              <w:spacing w:line="360" w:lineRule="auto"/>
              <w:ind w:firstLine="480" w:firstLineChars="200"/>
              <w:rPr>
                <w:sz w:val="24"/>
              </w:rPr>
            </w:pPr>
            <w:r>
              <w:rPr>
                <w:sz w:val="24"/>
              </w:rPr>
              <w:t>①预测范围、预测点位</w:t>
            </w:r>
          </w:p>
          <w:p w14:paraId="1B03DDBC">
            <w:pPr>
              <w:spacing w:line="360" w:lineRule="auto"/>
              <w:ind w:firstLine="480" w:firstLineChars="200"/>
              <w:rPr>
                <w:sz w:val="24"/>
              </w:rPr>
            </w:pPr>
            <w:r>
              <w:rPr>
                <w:sz w:val="24"/>
              </w:rPr>
              <w:t>井口周边200m范围的各居民点。</w:t>
            </w:r>
          </w:p>
          <w:p w14:paraId="512A8729">
            <w:pPr>
              <w:spacing w:line="360" w:lineRule="auto"/>
              <w:ind w:firstLine="480" w:firstLineChars="200"/>
              <w:rPr>
                <w:sz w:val="24"/>
              </w:rPr>
            </w:pPr>
            <w:r>
              <w:rPr>
                <w:sz w:val="24"/>
              </w:rPr>
              <w:t>②声源分析</w:t>
            </w:r>
          </w:p>
          <w:p w14:paraId="280F3B4D">
            <w:pPr>
              <w:spacing w:line="360" w:lineRule="auto"/>
              <w:ind w:firstLine="480" w:firstLineChars="200"/>
              <w:rPr>
                <w:sz w:val="24"/>
              </w:rPr>
            </w:pPr>
            <w:r>
              <w:rPr>
                <w:sz w:val="24"/>
              </w:rPr>
              <w:t>根据各噪声设备的噪声级和布置，噪声源主要分布于井场井口周边30m内，钻井过程中采取相应噪声防治措施，同时在钻井过程中平稳操作，避免特种作业时产生非正常的噪声</w:t>
            </w:r>
          </w:p>
          <w:p w14:paraId="67BE788A">
            <w:pPr>
              <w:spacing w:line="360" w:lineRule="auto"/>
              <w:ind w:firstLine="480" w:firstLineChars="200"/>
              <w:rPr>
                <w:sz w:val="24"/>
              </w:rPr>
            </w:pPr>
            <w:r>
              <w:rPr>
                <w:sz w:val="24"/>
              </w:rPr>
              <w:t>（3）预测模式</w:t>
            </w:r>
          </w:p>
          <w:p w14:paraId="76FF99CE">
            <w:pPr>
              <w:tabs>
                <w:tab w:val="left" w:pos="750"/>
              </w:tabs>
              <w:spacing w:line="360" w:lineRule="auto"/>
              <w:ind w:firstLine="480" w:firstLineChars="200"/>
              <w:contextualSpacing/>
              <w:rPr>
                <w:bCs/>
                <w:sz w:val="24"/>
              </w:rPr>
            </w:pPr>
            <w:r>
              <w:rPr>
                <w:bCs/>
                <w:sz w:val="24"/>
              </w:rPr>
              <w:t>预测时</w:t>
            </w:r>
            <w:r>
              <w:rPr>
                <w:sz w:val="24"/>
              </w:rPr>
              <w:t>考虑</w:t>
            </w:r>
            <w:r>
              <w:rPr>
                <w:bCs/>
                <w:sz w:val="24"/>
              </w:rPr>
              <w:t>声源在传播过程中经过距离衰减，采用《环境影响评价技术导则 声环境》（HJ2.4-2021）中的“点声源的几何发散衰减”模式下的“无指向性点声源几何发散衰减”进行计算，预测模式如下：</w:t>
            </w:r>
          </w:p>
          <w:p w14:paraId="4EFAF4FA">
            <w:pPr>
              <w:spacing w:line="360" w:lineRule="auto"/>
              <w:contextualSpacing/>
              <w:jc w:val="center"/>
              <w:rPr>
                <w:bCs/>
                <w:sz w:val="24"/>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m:t>
                </m:r>
                <m:r>
                  <m:rPr/>
                  <w:rPr>
                    <w:rFonts w:hint="eastAsia" w:hAnsi="Cambria Math"/>
                    <w:sz w:val="24"/>
                  </w:rPr>
                  <m:t>(</m:t>
                </m:r>
                <m:r>
                  <m:rPr>
                    <m:sty m:val="p"/>
                  </m:rPr>
                  <w:rPr>
                    <w:rFonts w:ascii="Cambria Math" w:hAnsi="Cambria Math"/>
                    <w:sz w:val="24"/>
                  </w:rPr>
                  <m:t>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w:rPr>
                    <w:rFonts w:hint="eastAsia" w:hAnsi="Cambria Math"/>
                    <w:sz w:val="24"/>
                  </w:rPr>
                  <m:t>)</m:t>
                </m:r>
              </m:oMath>
            </m:oMathPara>
          </w:p>
          <w:p w14:paraId="0BCEE7EE">
            <w:pPr>
              <w:tabs>
                <w:tab w:val="left" w:pos="750"/>
              </w:tabs>
              <w:spacing w:line="360" w:lineRule="auto"/>
              <w:ind w:firstLine="480" w:firstLineChars="200"/>
              <w:contextualSpacing/>
              <w:rPr>
                <w:sz w:val="24"/>
                <w:lang w:val="pt-BR"/>
              </w:rPr>
            </w:pPr>
            <w:r>
              <w:rPr>
                <w:sz w:val="24"/>
              </w:rPr>
              <w:t>式中</w:t>
            </w:r>
            <w:r>
              <w:rPr>
                <w:sz w:val="24"/>
                <w:lang w:val="pt-BR"/>
              </w:rPr>
              <w:t>：</w:t>
            </w:r>
            <w:r>
              <w:rPr>
                <w:i/>
                <w:iCs/>
                <w:sz w:val="24"/>
                <w:lang w:val="pt-BR"/>
              </w:rPr>
              <w:t>L</w:t>
            </w:r>
            <w:r>
              <w:rPr>
                <w:i/>
                <w:iCs/>
                <w:sz w:val="24"/>
                <w:vertAlign w:val="subscript"/>
                <w:lang w:val="pt-BR"/>
              </w:rPr>
              <w:t>P</w:t>
            </w:r>
            <w:r>
              <w:rPr>
                <w:i/>
                <w:iCs/>
                <w:sz w:val="24"/>
                <w:lang w:val="pt-BR"/>
              </w:rPr>
              <w:t>（r）</w:t>
            </w:r>
            <w:r>
              <w:rPr>
                <w:sz w:val="24"/>
                <w:lang w:val="pt-BR"/>
              </w:rPr>
              <w:t>—预测点处声压级，dB；</w:t>
            </w:r>
          </w:p>
          <w:p w14:paraId="392CF5BA">
            <w:pPr>
              <w:spacing w:line="360" w:lineRule="auto"/>
              <w:ind w:firstLine="1200" w:firstLineChars="500"/>
              <w:contextualSpacing/>
              <w:rPr>
                <w:sz w:val="24"/>
              </w:rPr>
            </w:pPr>
            <w:r>
              <w:rPr>
                <w:i/>
                <w:iCs/>
                <w:sz w:val="24"/>
              </w:rPr>
              <w:t>L</w:t>
            </w:r>
            <w:r>
              <w:rPr>
                <w:i/>
                <w:iCs/>
                <w:sz w:val="24"/>
                <w:vertAlign w:val="subscript"/>
              </w:rPr>
              <w:t>P</w:t>
            </w:r>
            <w:r>
              <w:rPr>
                <w:i/>
                <w:iCs/>
                <w:sz w:val="24"/>
              </w:rPr>
              <w:t>（r</w:t>
            </w:r>
            <w:r>
              <w:rPr>
                <w:i/>
                <w:iCs/>
                <w:sz w:val="24"/>
                <w:vertAlign w:val="subscript"/>
              </w:rPr>
              <w:t>0</w:t>
            </w:r>
            <w:r>
              <w:rPr>
                <w:i/>
                <w:iCs/>
                <w:sz w:val="24"/>
              </w:rPr>
              <w:t>）</w:t>
            </w:r>
            <w:r>
              <w:rPr>
                <w:sz w:val="24"/>
              </w:rPr>
              <w:t>—参考点r</w:t>
            </w:r>
            <w:r>
              <w:rPr>
                <w:sz w:val="24"/>
                <w:vertAlign w:val="subscript"/>
              </w:rPr>
              <w:t>0</w:t>
            </w:r>
            <w:r>
              <w:rPr>
                <w:sz w:val="24"/>
              </w:rPr>
              <w:t>处的声压级，dB；</w:t>
            </w:r>
          </w:p>
          <w:p w14:paraId="308B35D9">
            <w:pPr>
              <w:spacing w:line="360" w:lineRule="auto"/>
              <w:ind w:firstLine="1200" w:firstLineChars="500"/>
              <w:contextualSpacing/>
              <w:rPr>
                <w:sz w:val="24"/>
              </w:rPr>
            </w:pPr>
            <w:r>
              <w:rPr>
                <w:i/>
                <w:iCs/>
                <w:sz w:val="24"/>
              </w:rPr>
              <w:t xml:space="preserve">r </w:t>
            </w:r>
            <w:r>
              <w:rPr>
                <w:sz w:val="24"/>
              </w:rPr>
              <w:t>—预测点距声源的距离，m；</w:t>
            </w:r>
          </w:p>
          <w:p w14:paraId="299AAFD7">
            <w:pPr>
              <w:spacing w:line="360" w:lineRule="auto"/>
              <w:ind w:firstLine="1200" w:firstLineChars="500"/>
              <w:contextualSpacing/>
              <w:rPr>
                <w:sz w:val="24"/>
              </w:rPr>
            </w:pPr>
            <w:r>
              <w:rPr>
                <w:i/>
                <w:iCs/>
                <w:sz w:val="24"/>
              </w:rPr>
              <w:t>r</w:t>
            </w:r>
            <w:r>
              <w:rPr>
                <w:i/>
                <w:iCs/>
                <w:sz w:val="24"/>
                <w:vertAlign w:val="subscript"/>
              </w:rPr>
              <w:t>0</w:t>
            </w:r>
            <w:r>
              <w:rPr>
                <w:sz w:val="24"/>
              </w:rPr>
              <w:t>—参考位置距声源的距离，m；</w:t>
            </w:r>
          </w:p>
          <w:p w14:paraId="2788EA5E">
            <w:pPr>
              <w:tabs>
                <w:tab w:val="left" w:pos="750"/>
              </w:tabs>
              <w:spacing w:line="360" w:lineRule="auto"/>
              <w:ind w:firstLine="480" w:firstLineChars="200"/>
              <w:contextualSpacing/>
              <w:rPr>
                <w:sz w:val="24"/>
              </w:rPr>
            </w:pPr>
            <w:r>
              <w:rPr>
                <w:sz w:val="24"/>
              </w:rPr>
              <w:t>多个声源发出的噪声在同一受声点的共同影响，噪声在预测点处产生的等效声级贡献值叠加的计算公式如下：</w:t>
            </w:r>
          </w:p>
          <w:p w14:paraId="688BD040">
            <w:pPr>
              <w:spacing w:line="360" w:lineRule="auto"/>
              <w:ind w:firstLine="480" w:firstLineChars="200"/>
              <w:contextualSpacing/>
              <w:jc w:val="center"/>
              <w:rPr>
                <w:sz w:val="24"/>
              </w:rPr>
            </w:pPr>
            <w:r>
              <w:rPr>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14:paraId="3C8EAA87">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sz w:val="24"/>
              </w:rPr>
              <w:t>—建设项目在预测点的等效声级贡献值，dB；</w:t>
            </w:r>
          </w:p>
          <w:p w14:paraId="1D722620">
            <w:pPr>
              <w:tabs>
                <w:tab w:val="left" w:pos="750"/>
              </w:tabs>
              <w:spacing w:line="360" w:lineRule="auto"/>
              <w:ind w:firstLine="1200" w:firstLineChars="500"/>
              <w:contextualSpacing/>
              <w:rPr>
                <w:sz w:val="24"/>
              </w:rPr>
            </w:pPr>
            <w:r>
              <w:rPr>
                <w:i/>
                <w:iCs/>
                <w:sz w:val="24"/>
              </w:rPr>
              <w:t>L</w:t>
            </w:r>
            <w:r>
              <w:rPr>
                <w:i/>
                <w:iCs/>
                <w:sz w:val="24"/>
                <w:vertAlign w:val="subscript"/>
              </w:rPr>
              <w:t>Ai</w:t>
            </w:r>
            <w:r>
              <w:rPr>
                <w:sz w:val="24"/>
              </w:rPr>
              <w:t>—</w:t>
            </w:r>
            <w:r>
              <w:rPr>
                <w:i/>
                <w:iCs/>
                <w:sz w:val="24"/>
              </w:rPr>
              <w:t>i</w:t>
            </w:r>
            <w:r>
              <w:rPr>
                <w:sz w:val="24"/>
              </w:rPr>
              <w:t>声源在预测点产生的A声级，dB；</w:t>
            </w:r>
          </w:p>
          <w:p w14:paraId="2DCF3F45">
            <w:pPr>
              <w:tabs>
                <w:tab w:val="left" w:pos="750"/>
              </w:tabs>
              <w:spacing w:line="360" w:lineRule="auto"/>
              <w:ind w:firstLine="1200" w:firstLineChars="500"/>
              <w:contextualSpacing/>
              <w:rPr>
                <w:sz w:val="24"/>
              </w:rPr>
            </w:pPr>
            <w:r>
              <w:rPr>
                <w:i/>
                <w:iCs/>
                <w:sz w:val="24"/>
              </w:rPr>
              <w:t>T</w:t>
            </w:r>
            <w:r>
              <w:rPr>
                <w:sz w:val="24"/>
              </w:rPr>
              <w:t>—预测计算的时间段，s；</w:t>
            </w:r>
          </w:p>
          <w:p w14:paraId="6DFCE3F3">
            <w:pPr>
              <w:tabs>
                <w:tab w:val="left" w:pos="750"/>
              </w:tabs>
              <w:spacing w:line="360" w:lineRule="auto"/>
              <w:ind w:firstLine="1200" w:firstLineChars="500"/>
              <w:contextualSpacing/>
              <w:rPr>
                <w:sz w:val="24"/>
              </w:rPr>
            </w:pPr>
            <w:r>
              <w:rPr>
                <w:i/>
                <w:iCs/>
                <w:sz w:val="24"/>
              </w:rPr>
              <w:t>t</w:t>
            </w:r>
            <w:r>
              <w:rPr>
                <w:i/>
                <w:iCs/>
                <w:sz w:val="24"/>
                <w:vertAlign w:val="subscript"/>
              </w:rPr>
              <w:t>i</w:t>
            </w:r>
            <w:r>
              <w:rPr>
                <w:sz w:val="24"/>
              </w:rPr>
              <w:t>—</w:t>
            </w:r>
            <w:r>
              <w:rPr>
                <w:i/>
                <w:iCs/>
                <w:sz w:val="24"/>
              </w:rPr>
              <w:t>i</w:t>
            </w:r>
            <w:r>
              <w:rPr>
                <w:sz w:val="24"/>
              </w:rPr>
              <w:t>声源在T时段内的运行时间，s。</w:t>
            </w:r>
          </w:p>
          <w:p w14:paraId="5D4044B1">
            <w:pPr>
              <w:tabs>
                <w:tab w:val="left" w:pos="750"/>
              </w:tabs>
              <w:spacing w:line="360" w:lineRule="auto"/>
              <w:ind w:firstLine="480" w:firstLineChars="200"/>
              <w:contextualSpacing/>
              <w:rPr>
                <w:sz w:val="24"/>
              </w:rPr>
            </w:pPr>
            <w:r>
              <w:rPr>
                <w:sz w:val="24"/>
              </w:rPr>
              <w:t>声源在敏感点处的贡献值叠加背景值即为该敏感点处噪声预测值，计算</w:t>
            </w:r>
            <w:r>
              <w:rPr>
                <w:bCs/>
                <w:sz w:val="24"/>
              </w:rPr>
              <w:t>采用《环境影响评价技术导则 声环境》（HJ2.4-2021）</w:t>
            </w:r>
            <w:r>
              <w:rPr>
                <w:sz w:val="24"/>
              </w:rPr>
              <w:t>3.11中（3）式，公式为：</w:t>
            </w:r>
          </w:p>
          <w:p w14:paraId="05EE86BA">
            <w:pPr>
              <w:spacing w:line="360" w:lineRule="auto"/>
              <w:ind w:firstLine="480" w:firstLineChars="200"/>
              <w:contextualSpacing/>
              <w:jc w:val="center"/>
              <w:rPr>
                <w:sz w:val="24"/>
              </w:rPr>
            </w:pPr>
            <w:r>
              <w:rPr>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14:paraId="116DC5F6">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i/>
                <w:iCs/>
                <w:sz w:val="24"/>
              </w:rPr>
              <w:t xml:space="preserve"> </w:t>
            </w:r>
            <w:r>
              <w:rPr>
                <w:sz w:val="24"/>
              </w:rPr>
              <w:t>— 建设项目声源在预测点的等效声级贡献值，dB；</w:t>
            </w:r>
          </w:p>
          <w:p w14:paraId="46811FCE">
            <w:pPr>
              <w:spacing w:line="360" w:lineRule="auto"/>
              <w:ind w:firstLine="1200" w:firstLineChars="500"/>
              <w:contextualSpacing/>
              <w:rPr>
                <w:sz w:val="24"/>
              </w:rPr>
            </w:pPr>
            <w:r>
              <w:rPr>
                <w:i/>
                <w:iCs/>
                <w:sz w:val="24"/>
              </w:rPr>
              <w:t>L</w:t>
            </w:r>
            <w:r>
              <w:rPr>
                <w:i/>
                <w:iCs/>
                <w:sz w:val="24"/>
                <w:vertAlign w:val="subscript"/>
              </w:rPr>
              <w:t>eqb</w:t>
            </w:r>
            <w:r>
              <w:rPr>
                <w:sz w:val="24"/>
              </w:rPr>
              <w:t xml:space="preserve"> — 预测点的背景值，dB。</w:t>
            </w:r>
          </w:p>
          <w:p w14:paraId="01B18189">
            <w:pPr>
              <w:tabs>
                <w:tab w:val="left" w:pos="750"/>
              </w:tabs>
              <w:spacing w:line="360" w:lineRule="auto"/>
              <w:ind w:firstLine="480" w:firstLineChars="200"/>
              <w:contextualSpacing/>
              <w:rPr>
                <w:sz w:val="24"/>
              </w:rPr>
            </w:pPr>
            <w:r>
              <w:rPr>
                <w:sz w:val="24"/>
              </w:rPr>
              <w:t>预测结果见下表。</w:t>
            </w:r>
          </w:p>
          <w:p w14:paraId="3260C519">
            <w:pPr>
              <w:autoSpaceDE w:val="0"/>
              <w:autoSpaceDN w:val="0"/>
              <w:spacing w:line="360" w:lineRule="auto"/>
              <w:contextualSpacing/>
              <w:jc w:val="center"/>
              <w:rPr>
                <w:b/>
                <w:sz w:val="24"/>
              </w:rPr>
            </w:pPr>
            <w:r>
              <w:rPr>
                <w:b/>
                <w:sz w:val="24"/>
              </w:rPr>
              <w:t xml:space="preserve">表4-7 </w:t>
            </w:r>
            <w:r>
              <w:rPr>
                <w:rFonts w:hint="eastAsia"/>
                <w:b/>
                <w:sz w:val="24"/>
              </w:rPr>
              <w:t>使用网电情况下</w:t>
            </w:r>
            <w:r>
              <w:rPr>
                <w:b/>
                <w:sz w:val="24"/>
              </w:rPr>
              <w:t>厂界噪声预测结果与达标分析表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14:paraId="666DC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14:paraId="59B352EC">
                  <w:pPr>
                    <w:jc w:val="center"/>
                    <w:rPr>
                      <w:szCs w:val="21"/>
                    </w:rPr>
                  </w:pPr>
                  <w:r>
                    <w:rPr>
                      <w:b/>
                      <w:szCs w:val="21"/>
                    </w:rPr>
                    <w:t>预测方位</w:t>
                  </w:r>
                </w:p>
              </w:tc>
              <w:tc>
                <w:tcPr>
                  <w:tcW w:w="1318" w:type="dxa"/>
                  <w:vMerge w:val="restart"/>
                  <w:tcBorders>
                    <w:tl2br w:val="nil"/>
                    <w:tr2bl w:val="nil"/>
                  </w:tcBorders>
                  <w:vAlign w:val="center"/>
                </w:tcPr>
                <w:p w14:paraId="583C35B8">
                  <w:pPr>
                    <w:jc w:val="center"/>
                    <w:rPr>
                      <w:szCs w:val="21"/>
                    </w:rPr>
                  </w:pPr>
                  <w:r>
                    <w:rPr>
                      <w:b/>
                      <w:szCs w:val="21"/>
                    </w:rPr>
                    <w:t>时段</w:t>
                  </w:r>
                </w:p>
              </w:tc>
              <w:tc>
                <w:tcPr>
                  <w:tcW w:w="1880" w:type="dxa"/>
                  <w:vMerge w:val="restart"/>
                  <w:tcBorders>
                    <w:tl2br w:val="nil"/>
                    <w:tr2bl w:val="nil"/>
                  </w:tcBorders>
                  <w:vAlign w:val="center"/>
                </w:tcPr>
                <w:p w14:paraId="06D4F988">
                  <w:pPr>
                    <w:jc w:val="center"/>
                    <w:rPr>
                      <w:szCs w:val="21"/>
                    </w:rPr>
                  </w:pPr>
                  <w:r>
                    <w:rPr>
                      <w:b/>
                      <w:szCs w:val="21"/>
                    </w:rPr>
                    <w:t>厂界噪声贡献值</w:t>
                  </w:r>
                  <w:r>
                    <w:rPr>
                      <w:rFonts w:hint="eastAsia"/>
                      <w:b/>
                      <w:szCs w:val="21"/>
                    </w:rPr>
                    <w:t>dB（A）</w:t>
                  </w:r>
                </w:p>
              </w:tc>
              <w:tc>
                <w:tcPr>
                  <w:tcW w:w="1882" w:type="dxa"/>
                  <w:vMerge w:val="restart"/>
                  <w:tcBorders>
                    <w:tl2br w:val="nil"/>
                    <w:tr2bl w:val="nil"/>
                  </w:tcBorders>
                  <w:vAlign w:val="center"/>
                </w:tcPr>
                <w:p w14:paraId="73AA7B42">
                  <w:pPr>
                    <w:jc w:val="center"/>
                    <w:rPr>
                      <w:szCs w:val="21"/>
                    </w:rPr>
                  </w:pPr>
                  <w:r>
                    <w:rPr>
                      <w:b/>
                      <w:szCs w:val="21"/>
                    </w:rPr>
                    <w:t>标准限值</w:t>
                  </w:r>
                  <w:r>
                    <w:rPr>
                      <w:rFonts w:hint="eastAsia"/>
                      <w:b/>
                      <w:szCs w:val="21"/>
                    </w:rPr>
                    <w:t>dB（A）</w:t>
                  </w:r>
                </w:p>
              </w:tc>
              <w:tc>
                <w:tcPr>
                  <w:tcW w:w="1577" w:type="dxa"/>
                  <w:vMerge w:val="restart"/>
                  <w:tcBorders>
                    <w:tl2br w:val="nil"/>
                    <w:tr2bl w:val="nil"/>
                  </w:tcBorders>
                  <w:vAlign w:val="center"/>
                </w:tcPr>
                <w:p w14:paraId="7D6E4558">
                  <w:pPr>
                    <w:jc w:val="center"/>
                    <w:rPr>
                      <w:szCs w:val="21"/>
                    </w:rPr>
                  </w:pPr>
                  <w:r>
                    <w:rPr>
                      <w:b/>
                      <w:szCs w:val="21"/>
                    </w:rPr>
                    <w:t>达标情况</w:t>
                  </w:r>
                </w:p>
              </w:tc>
            </w:tr>
            <w:tr w14:paraId="44589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14:paraId="68E0C913">
                  <w:pPr>
                    <w:jc w:val="center"/>
                    <w:rPr>
                      <w:szCs w:val="21"/>
                    </w:rPr>
                  </w:pPr>
                </w:p>
              </w:tc>
              <w:tc>
                <w:tcPr>
                  <w:tcW w:w="1318" w:type="dxa"/>
                  <w:vMerge w:val="continue"/>
                  <w:tcBorders>
                    <w:tl2br w:val="nil"/>
                    <w:tr2bl w:val="nil"/>
                  </w:tcBorders>
                  <w:shd w:val="clear" w:color="auto" w:fill="FFFFFF"/>
                  <w:vAlign w:val="center"/>
                </w:tcPr>
                <w:p w14:paraId="17DCBA67">
                  <w:pPr>
                    <w:jc w:val="center"/>
                    <w:rPr>
                      <w:szCs w:val="21"/>
                    </w:rPr>
                  </w:pPr>
                </w:p>
              </w:tc>
              <w:tc>
                <w:tcPr>
                  <w:tcW w:w="1880" w:type="dxa"/>
                  <w:vMerge w:val="continue"/>
                  <w:tcBorders>
                    <w:tl2br w:val="nil"/>
                    <w:tr2bl w:val="nil"/>
                  </w:tcBorders>
                  <w:shd w:val="clear" w:color="auto" w:fill="FFFFFF"/>
                  <w:vAlign w:val="center"/>
                </w:tcPr>
                <w:p w14:paraId="5D9B3D64">
                  <w:pPr>
                    <w:jc w:val="center"/>
                    <w:rPr>
                      <w:szCs w:val="21"/>
                    </w:rPr>
                  </w:pPr>
                </w:p>
              </w:tc>
              <w:tc>
                <w:tcPr>
                  <w:tcW w:w="1882" w:type="dxa"/>
                  <w:vMerge w:val="continue"/>
                  <w:tcBorders>
                    <w:tl2br w:val="nil"/>
                    <w:tr2bl w:val="nil"/>
                  </w:tcBorders>
                  <w:shd w:val="clear" w:color="auto" w:fill="FFFFFF"/>
                  <w:vAlign w:val="center"/>
                </w:tcPr>
                <w:p w14:paraId="396034B6">
                  <w:pPr>
                    <w:jc w:val="center"/>
                    <w:rPr>
                      <w:szCs w:val="21"/>
                    </w:rPr>
                  </w:pPr>
                </w:p>
              </w:tc>
              <w:tc>
                <w:tcPr>
                  <w:tcW w:w="1577" w:type="dxa"/>
                  <w:vMerge w:val="continue"/>
                  <w:tcBorders>
                    <w:tl2br w:val="nil"/>
                    <w:tr2bl w:val="nil"/>
                  </w:tcBorders>
                  <w:shd w:val="clear" w:color="auto" w:fill="FFFFFF"/>
                  <w:vAlign w:val="center"/>
                </w:tcPr>
                <w:p w14:paraId="33170A63">
                  <w:pPr>
                    <w:jc w:val="center"/>
                    <w:rPr>
                      <w:szCs w:val="21"/>
                    </w:rPr>
                  </w:pPr>
                </w:p>
              </w:tc>
            </w:tr>
            <w:tr w14:paraId="3E794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0658D1A3">
                  <w:pPr>
                    <w:jc w:val="center"/>
                    <w:rPr>
                      <w:szCs w:val="21"/>
                    </w:rPr>
                  </w:pPr>
                  <w:r>
                    <w:rPr>
                      <w:szCs w:val="21"/>
                    </w:rPr>
                    <w:t>东侧</w:t>
                  </w:r>
                </w:p>
              </w:tc>
              <w:tc>
                <w:tcPr>
                  <w:tcW w:w="1318" w:type="dxa"/>
                  <w:tcBorders>
                    <w:tl2br w:val="nil"/>
                    <w:tr2bl w:val="nil"/>
                  </w:tcBorders>
                  <w:shd w:val="clear" w:color="auto" w:fill="FFFFFF"/>
                  <w:vAlign w:val="center"/>
                </w:tcPr>
                <w:p w14:paraId="6C6362B5">
                  <w:pPr>
                    <w:jc w:val="center"/>
                    <w:rPr>
                      <w:szCs w:val="21"/>
                    </w:rPr>
                  </w:pPr>
                  <w:r>
                    <w:rPr>
                      <w:szCs w:val="21"/>
                    </w:rPr>
                    <w:t>昼间</w:t>
                  </w:r>
                </w:p>
              </w:tc>
              <w:tc>
                <w:tcPr>
                  <w:tcW w:w="1880" w:type="dxa"/>
                  <w:tcBorders>
                    <w:tl2br w:val="nil"/>
                    <w:tr2bl w:val="nil"/>
                  </w:tcBorders>
                  <w:shd w:val="clear" w:color="auto" w:fill="FFFFFF"/>
                  <w:vAlign w:val="center"/>
                </w:tcPr>
                <w:p w14:paraId="618AD02B">
                  <w:pPr>
                    <w:widowControl/>
                    <w:jc w:val="center"/>
                    <w:textAlignment w:val="center"/>
                    <w:rPr>
                      <w:kern w:val="0"/>
                      <w:szCs w:val="21"/>
                      <w:lang w:bidi="ar"/>
                    </w:rPr>
                  </w:pPr>
                  <w:r>
                    <w:rPr>
                      <w:rFonts w:hint="eastAsia"/>
                      <w:kern w:val="0"/>
                      <w:szCs w:val="21"/>
                      <w:lang w:bidi="ar"/>
                    </w:rPr>
                    <w:t>63.8</w:t>
                  </w:r>
                </w:p>
              </w:tc>
              <w:tc>
                <w:tcPr>
                  <w:tcW w:w="1882" w:type="dxa"/>
                  <w:tcBorders>
                    <w:tl2br w:val="nil"/>
                    <w:tr2bl w:val="nil"/>
                  </w:tcBorders>
                  <w:shd w:val="clear" w:color="auto" w:fill="FFFFFF"/>
                  <w:vAlign w:val="center"/>
                </w:tcPr>
                <w:p w14:paraId="63CD07F7">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4281E365">
                  <w:pPr>
                    <w:jc w:val="center"/>
                    <w:rPr>
                      <w:szCs w:val="21"/>
                    </w:rPr>
                  </w:pPr>
                  <w:r>
                    <w:rPr>
                      <w:szCs w:val="21"/>
                    </w:rPr>
                    <w:t>达标</w:t>
                  </w:r>
                </w:p>
              </w:tc>
            </w:tr>
            <w:tr w14:paraId="5AF05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0A04471E">
                  <w:pPr>
                    <w:jc w:val="center"/>
                    <w:rPr>
                      <w:szCs w:val="21"/>
                    </w:rPr>
                  </w:pPr>
                </w:p>
              </w:tc>
              <w:tc>
                <w:tcPr>
                  <w:tcW w:w="1318" w:type="dxa"/>
                  <w:tcBorders>
                    <w:tl2br w:val="nil"/>
                    <w:tr2bl w:val="nil"/>
                  </w:tcBorders>
                  <w:shd w:val="clear" w:color="auto" w:fill="FFFFFF"/>
                  <w:vAlign w:val="center"/>
                </w:tcPr>
                <w:p w14:paraId="236BC1ED">
                  <w:pPr>
                    <w:jc w:val="center"/>
                    <w:rPr>
                      <w:szCs w:val="21"/>
                    </w:rPr>
                  </w:pPr>
                  <w:r>
                    <w:rPr>
                      <w:szCs w:val="21"/>
                    </w:rPr>
                    <w:t>夜间</w:t>
                  </w:r>
                </w:p>
              </w:tc>
              <w:tc>
                <w:tcPr>
                  <w:tcW w:w="1880" w:type="dxa"/>
                  <w:tcBorders>
                    <w:tl2br w:val="nil"/>
                    <w:tr2bl w:val="nil"/>
                  </w:tcBorders>
                  <w:shd w:val="clear" w:color="auto" w:fill="FFFFFF"/>
                  <w:vAlign w:val="center"/>
                </w:tcPr>
                <w:p w14:paraId="0B88B633">
                  <w:pPr>
                    <w:widowControl/>
                    <w:jc w:val="center"/>
                    <w:textAlignment w:val="center"/>
                    <w:rPr>
                      <w:kern w:val="0"/>
                      <w:szCs w:val="21"/>
                      <w:lang w:bidi="ar"/>
                    </w:rPr>
                  </w:pPr>
                  <w:r>
                    <w:rPr>
                      <w:rFonts w:hint="eastAsia"/>
                      <w:kern w:val="0"/>
                      <w:szCs w:val="21"/>
                      <w:lang w:bidi="ar"/>
                    </w:rPr>
                    <w:t>63.8</w:t>
                  </w:r>
                </w:p>
              </w:tc>
              <w:tc>
                <w:tcPr>
                  <w:tcW w:w="1882" w:type="dxa"/>
                  <w:tcBorders>
                    <w:tl2br w:val="nil"/>
                    <w:tr2bl w:val="nil"/>
                  </w:tcBorders>
                  <w:shd w:val="clear" w:color="auto" w:fill="FFFFFF"/>
                  <w:vAlign w:val="center"/>
                </w:tcPr>
                <w:p w14:paraId="76EFA6FC">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4E135859">
                  <w:pPr>
                    <w:jc w:val="center"/>
                    <w:rPr>
                      <w:szCs w:val="21"/>
                    </w:rPr>
                  </w:pPr>
                  <w:r>
                    <w:rPr>
                      <w:szCs w:val="21"/>
                    </w:rPr>
                    <w:t>不达标</w:t>
                  </w:r>
                </w:p>
              </w:tc>
            </w:tr>
            <w:tr w14:paraId="16839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08FBD589">
                  <w:pPr>
                    <w:jc w:val="center"/>
                    <w:rPr>
                      <w:szCs w:val="21"/>
                    </w:rPr>
                  </w:pPr>
                  <w:r>
                    <w:rPr>
                      <w:szCs w:val="21"/>
                    </w:rPr>
                    <w:t>南侧</w:t>
                  </w:r>
                </w:p>
              </w:tc>
              <w:tc>
                <w:tcPr>
                  <w:tcW w:w="1318" w:type="dxa"/>
                  <w:tcBorders>
                    <w:tl2br w:val="nil"/>
                    <w:tr2bl w:val="nil"/>
                  </w:tcBorders>
                  <w:shd w:val="clear" w:color="auto" w:fill="FFFFFF"/>
                  <w:vAlign w:val="center"/>
                </w:tcPr>
                <w:p w14:paraId="1BCA3617">
                  <w:pPr>
                    <w:jc w:val="center"/>
                    <w:rPr>
                      <w:szCs w:val="21"/>
                    </w:rPr>
                  </w:pPr>
                  <w:r>
                    <w:rPr>
                      <w:szCs w:val="21"/>
                    </w:rPr>
                    <w:t>昼间</w:t>
                  </w:r>
                </w:p>
              </w:tc>
              <w:tc>
                <w:tcPr>
                  <w:tcW w:w="1880" w:type="dxa"/>
                  <w:tcBorders>
                    <w:tl2br w:val="nil"/>
                    <w:tr2bl w:val="nil"/>
                  </w:tcBorders>
                  <w:shd w:val="clear" w:color="auto" w:fill="FFFFFF"/>
                  <w:vAlign w:val="center"/>
                </w:tcPr>
                <w:p w14:paraId="418B12D2">
                  <w:pPr>
                    <w:widowControl/>
                    <w:jc w:val="center"/>
                    <w:textAlignment w:val="center"/>
                    <w:rPr>
                      <w:kern w:val="0"/>
                      <w:szCs w:val="21"/>
                      <w:lang w:bidi="ar"/>
                    </w:rPr>
                  </w:pPr>
                  <w:r>
                    <w:rPr>
                      <w:rFonts w:hint="eastAsia"/>
                      <w:kern w:val="0"/>
                      <w:szCs w:val="21"/>
                      <w:lang w:bidi="ar"/>
                    </w:rPr>
                    <w:t>53.4</w:t>
                  </w:r>
                </w:p>
              </w:tc>
              <w:tc>
                <w:tcPr>
                  <w:tcW w:w="1882" w:type="dxa"/>
                  <w:tcBorders>
                    <w:tl2br w:val="nil"/>
                    <w:tr2bl w:val="nil"/>
                  </w:tcBorders>
                  <w:shd w:val="clear" w:color="auto" w:fill="FFFFFF"/>
                  <w:vAlign w:val="center"/>
                </w:tcPr>
                <w:p w14:paraId="3225D055">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71EF1C7F">
                  <w:pPr>
                    <w:jc w:val="center"/>
                    <w:rPr>
                      <w:szCs w:val="21"/>
                    </w:rPr>
                  </w:pPr>
                  <w:r>
                    <w:rPr>
                      <w:szCs w:val="21"/>
                    </w:rPr>
                    <w:t>达标</w:t>
                  </w:r>
                </w:p>
              </w:tc>
            </w:tr>
            <w:tr w14:paraId="14C17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3F561DCE">
                  <w:pPr>
                    <w:jc w:val="center"/>
                    <w:rPr>
                      <w:szCs w:val="21"/>
                    </w:rPr>
                  </w:pPr>
                </w:p>
              </w:tc>
              <w:tc>
                <w:tcPr>
                  <w:tcW w:w="1318" w:type="dxa"/>
                  <w:tcBorders>
                    <w:tl2br w:val="nil"/>
                    <w:tr2bl w:val="nil"/>
                  </w:tcBorders>
                  <w:shd w:val="clear" w:color="auto" w:fill="FFFFFF"/>
                  <w:vAlign w:val="center"/>
                </w:tcPr>
                <w:p w14:paraId="1D1C46F4">
                  <w:pPr>
                    <w:jc w:val="center"/>
                    <w:rPr>
                      <w:szCs w:val="21"/>
                    </w:rPr>
                  </w:pPr>
                  <w:r>
                    <w:rPr>
                      <w:szCs w:val="21"/>
                    </w:rPr>
                    <w:t>夜间</w:t>
                  </w:r>
                </w:p>
              </w:tc>
              <w:tc>
                <w:tcPr>
                  <w:tcW w:w="1880" w:type="dxa"/>
                  <w:tcBorders>
                    <w:tl2br w:val="nil"/>
                    <w:tr2bl w:val="nil"/>
                  </w:tcBorders>
                  <w:shd w:val="clear" w:color="auto" w:fill="FFFFFF"/>
                  <w:vAlign w:val="center"/>
                </w:tcPr>
                <w:p w14:paraId="290F82FF">
                  <w:pPr>
                    <w:widowControl/>
                    <w:jc w:val="center"/>
                    <w:textAlignment w:val="center"/>
                    <w:rPr>
                      <w:kern w:val="0"/>
                      <w:szCs w:val="21"/>
                      <w:lang w:bidi="ar"/>
                    </w:rPr>
                  </w:pPr>
                  <w:r>
                    <w:rPr>
                      <w:rFonts w:hint="eastAsia"/>
                      <w:kern w:val="0"/>
                      <w:szCs w:val="21"/>
                      <w:lang w:bidi="ar"/>
                    </w:rPr>
                    <w:t>53.4</w:t>
                  </w:r>
                </w:p>
              </w:tc>
              <w:tc>
                <w:tcPr>
                  <w:tcW w:w="1882" w:type="dxa"/>
                  <w:tcBorders>
                    <w:tl2br w:val="nil"/>
                    <w:tr2bl w:val="nil"/>
                  </w:tcBorders>
                  <w:shd w:val="clear" w:color="auto" w:fill="FFFFFF"/>
                  <w:vAlign w:val="center"/>
                </w:tcPr>
                <w:p w14:paraId="536414FD">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61BCE42A">
                  <w:pPr>
                    <w:jc w:val="center"/>
                    <w:rPr>
                      <w:szCs w:val="21"/>
                    </w:rPr>
                  </w:pPr>
                  <w:r>
                    <w:rPr>
                      <w:szCs w:val="21"/>
                    </w:rPr>
                    <w:t>达标</w:t>
                  </w:r>
                </w:p>
              </w:tc>
            </w:tr>
            <w:tr w14:paraId="2A639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20E20FA0">
                  <w:pPr>
                    <w:jc w:val="center"/>
                    <w:rPr>
                      <w:szCs w:val="21"/>
                    </w:rPr>
                  </w:pPr>
                  <w:r>
                    <w:rPr>
                      <w:szCs w:val="21"/>
                    </w:rPr>
                    <w:t>西侧</w:t>
                  </w:r>
                </w:p>
              </w:tc>
              <w:tc>
                <w:tcPr>
                  <w:tcW w:w="1318" w:type="dxa"/>
                  <w:tcBorders>
                    <w:tl2br w:val="nil"/>
                    <w:tr2bl w:val="nil"/>
                  </w:tcBorders>
                  <w:shd w:val="clear" w:color="auto" w:fill="FFFFFF"/>
                  <w:vAlign w:val="center"/>
                </w:tcPr>
                <w:p w14:paraId="63C584C7">
                  <w:pPr>
                    <w:jc w:val="center"/>
                    <w:rPr>
                      <w:szCs w:val="21"/>
                    </w:rPr>
                  </w:pPr>
                  <w:r>
                    <w:rPr>
                      <w:szCs w:val="21"/>
                    </w:rPr>
                    <w:t>昼间</w:t>
                  </w:r>
                </w:p>
              </w:tc>
              <w:tc>
                <w:tcPr>
                  <w:tcW w:w="1880" w:type="dxa"/>
                  <w:tcBorders>
                    <w:tl2br w:val="nil"/>
                    <w:tr2bl w:val="nil"/>
                  </w:tcBorders>
                  <w:shd w:val="clear" w:color="auto" w:fill="FFFFFF"/>
                  <w:vAlign w:val="center"/>
                </w:tcPr>
                <w:p w14:paraId="0F4FE0EF">
                  <w:pPr>
                    <w:widowControl/>
                    <w:jc w:val="center"/>
                    <w:textAlignment w:val="center"/>
                    <w:rPr>
                      <w:kern w:val="0"/>
                      <w:szCs w:val="21"/>
                      <w:lang w:bidi="ar"/>
                    </w:rPr>
                  </w:pPr>
                  <w:r>
                    <w:rPr>
                      <w:rFonts w:hint="eastAsia"/>
                      <w:kern w:val="0"/>
                      <w:szCs w:val="21"/>
                      <w:lang w:bidi="ar"/>
                    </w:rPr>
                    <w:t>60.2</w:t>
                  </w:r>
                </w:p>
              </w:tc>
              <w:tc>
                <w:tcPr>
                  <w:tcW w:w="1882" w:type="dxa"/>
                  <w:tcBorders>
                    <w:tl2br w:val="nil"/>
                    <w:tr2bl w:val="nil"/>
                  </w:tcBorders>
                  <w:shd w:val="clear" w:color="auto" w:fill="FFFFFF"/>
                  <w:vAlign w:val="center"/>
                </w:tcPr>
                <w:p w14:paraId="5A0A94B8">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345CEADC">
                  <w:pPr>
                    <w:jc w:val="center"/>
                    <w:rPr>
                      <w:szCs w:val="21"/>
                    </w:rPr>
                  </w:pPr>
                  <w:r>
                    <w:rPr>
                      <w:szCs w:val="21"/>
                    </w:rPr>
                    <w:t>达标</w:t>
                  </w:r>
                </w:p>
              </w:tc>
            </w:tr>
            <w:tr w14:paraId="27732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32027F79">
                  <w:pPr>
                    <w:jc w:val="center"/>
                    <w:rPr>
                      <w:szCs w:val="21"/>
                    </w:rPr>
                  </w:pPr>
                </w:p>
              </w:tc>
              <w:tc>
                <w:tcPr>
                  <w:tcW w:w="1318" w:type="dxa"/>
                  <w:tcBorders>
                    <w:tl2br w:val="nil"/>
                    <w:tr2bl w:val="nil"/>
                  </w:tcBorders>
                  <w:shd w:val="clear" w:color="auto" w:fill="FFFFFF"/>
                  <w:vAlign w:val="center"/>
                </w:tcPr>
                <w:p w14:paraId="4FEF41F0">
                  <w:pPr>
                    <w:jc w:val="center"/>
                    <w:rPr>
                      <w:szCs w:val="21"/>
                    </w:rPr>
                  </w:pPr>
                  <w:r>
                    <w:rPr>
                      <w:szCs w:val="21"/>
                    </w:rPr>
                    <w:t>夜间</w:t>
                  </w:r>
                </w:p>
              </w:tc>
              <w:tc>
                <w:tcPr>
                  <w:tcW w:w="1880" w:type="dxa"/>
                  <w:tcBorders>
                    <w:tl2br w:val="nil"/>
                    <w:tr2bl w:val="nil"/>
                  </w:tcBorders>
                  <w:shd w:val="clear" w:color="auto" w:fill="FFFFFF"/>
                  <w:vAlign w:val="center"/>
                </w:tcPr>
                <w:p w14:paraId="5E30F502">
                  <w:pPr>
                    <w:widowControl/>
                    <w:jc w:val="center"/>
                    <w:textAlignment w:val="center"/>
                    <w:rPr>
                      <w:kern w:val="0"/>
                      <w:szCs w:val="21"/>
                      <w:lang w:bidi="ar"/>
                    </w:rPr>
                  </w:pPr>
                  <w:r>
                    <w:rPr>
                      <w:rFonts w:hint="eastAsia"/>
                      <w:kern w:val="0"/>
                      <w:szCs w:val="21"/>
                      <w:lang w:bidi="ar"/>
                    </w:rPr>
                    <w:t>60.2</w:t>
                  </w:r>
                </w:p>
              </w:tc>
              <w:tc>
                <w:tcPr>
                  <w:tcW w:w="1882" w:type="dxa"/>
                  <w:tcBorders>
                    <w:tl2br w:val="nil"/>
                    <w:tr2bl w:val="nil"/>
                  </w:tcBorders>
                  <w:shd w:val="clear" w:color="auto" w:fill="FFFFFF"/>
                  <w:vAlign w:val="center"/>
                </w:tcPr>
                <w:p w14:paraId="72B01BED">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5B322CAB">
                  <w:pPr>
                    <w:jc w:val="center"/>
                    <w:rPr>
                      <w:szCs w:val="21"/>
                    </w:rPr>
                  </w:pPr>
                  <w:r>
                    <w:rPr>
                      <w:szCs w:val="21"/>
                    </w:rPr>
                    <w:t>不达标</w:t>
                  </w:r>
                </w:p>
              </w:tc>
            </w:tr>
            <w:tr w14:paraId="28793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576FCED1">
                  <w:pPr>
                    <w:jc w:val="center"/>
                    <w:rPr>
                      <w:szCs w:val="21"/>
                    </w:rPr>
                  </w:pPr>
                  <w:r>
                    <w:rPr>
                      <w:szCs w:val="21"/>
                    </w:rPr>
                    <w:t>北侧</w:t>
                  </w:r>
                </w:p>
              </w:tc>
              <w:tc>
                <w:tcPr>
                  <w:tcW w:w="1318" w:type="dxa"/>
                  <w:tcBorders>
                    <w:tl2br w:val="nil"/>
                    <w:tr2bl w:val="nil"/>
                  </w:tcBorders>
                  <w:shd w:val="clear" w:color="auto" w:fill="FFFFFF"/>
                  <w:vAlign w:val="center"/>
                </w:tcPr>
                <w:p w14:paraId="5B771B69">
                  <w:pPr>
                    <w:jc w:val="center"/>
                    <w:rPr>
                      <w:szCs w:val="21"/>
                    </w:rPr>
                  </w:pPr>
                  <w:r>
                    <w:rPr>
                      <w:szCs w:val="21"/>
                    </w:rPr>
                    <w:t>昼间</w:t>
                  </w:r>
                </w:p>
              </w:tc>
              <w:tc>
                <w:tcPr>
                  <w:tcW w:w="1880" w:type="dxa"/>
                  <w:tcBorders>
                    <w:tl2br w:val="nil"/>
                    <w:tr2bl w:val="nil"/>
                  </w:tcBorders>
                  <w:shd w:val="clear" w:color="auto" w:fill="FFFFFF"/>
                  <w:vAlign w:val="center"/>
                </w:tcPr>
                <w:p w14:paraId="78535FCC">
                  <w:pPr>
                    <w:widowControl/>
                    <w:jc w:val="center"/>
                    <w:textAlignment w:val="center"/>
                    <w:rPr>
                      <w:kern w:val="0"/>
                      <w:szCs w:val="21"/>
                      <w:lang w:bidi="ar"/>
                    </w:rPr>
                  </w:pPr>
                  <w:r>
                    <w:rPr>
                      <w:rFonts w:hint="eastAsia"/>
                      <w:kern w:val="0"/>
                      <w:szCs w:val="21"/>
                      <w:lang w:bidi="ar"/>
                    </w:rPr>
                    <w:t>57.2</w:t>
                  </w:r>
                </w:p>
              </w:tc>
              <w:tc>
                <w:tcPr>
                  <w:tcW w:w="1882" w:type="dxa"/>
                  <w:tcBorders>
                    <w:tl2br w:val="nil"/>
                    <w:tr2bl w:val="nil"/>
                  </w:tcBorders>
                  <w:shd w:val="clear" w:color="auto" w:fill="FFFFFF"/>
                  <w:vAlign w:val="center"/>
                </w:tcPr>
                <w:p w14:paraId="3849ADEE">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3D9AD2D0">
                  <w:pPr>
                    <w:jc w:val="center"/>
                    <w:rPr>
                      <w:szCs w:val="21"/>
                    </w:rPr>
                  </w:pPr>
                  <w:r>
                    <w:rPr>
                      <w:szCs w:val="21"/>
                    </w:rPr>
                    <w:t>达标</w:t>
                  </w:r>
                </w:p>
              </w:tc>
            </w:tr>
            <w:tr w14:paraId="73F5F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661F27B7">
                  <w:pPr>
                    <w:jc w:val="center"/>
                    <w:rPr>
                      <w:szCs w:val="21"/>
                    </w:rPr>
                  </w:pPr>
                </w:p>
              </w:tc>
              <w:tc>
                <w:tcPr>
                  <w:tcW w:w="1318" w:type="dxa"/>
                  <w:tcBorders>
                    <w:tl2br w:val="nil"/>
                    <w:tr2bl w:val="nil"/>
                  </w:tcBorders>
                  <w:shd w:val="clear" w:color="auto" w:fill="FFFFFF"/>
                  <w:vAlign w:val="center"/>
                </w:tcPr>
                <w:p w14:paraId="45C1ED9A">
                  <w:pPr>
                    <w:jc w:val="center"/>
                    <w:rPr>
                      <w:szCs w:val="21"/>
                    </w:rPr>
                  </w:pPr>
                  <w:r>
                    <w:rPr>
                      <w:szCs w:val="21"/>
                    </w:rPr>
                    <w:t>夜间</w:t>
                  </w:r>
                </w:p>
              </w:tc>
              <w:tc>
                <w:tcPr>
                  <w:tcW w:w="1880" w:type="dxa"/>
                  <w:tcBorders>
                    <w:tl2br w:val="nil"/>
                    <w:tr2bl w:val="nil"/>
                  </w:tcBorders>
                  <w:shd w:val="clear" w:color="auto" w:fill="FFFFFF"/>
                  <w:vAlign w:val="center"/>
                </w:tcPr>
                <w:p w14:paraId="06209877">
                  <w:pPr>
                    <w:widowControl/>
                    <w:jc w:val="center"/>
                    <w:textAlignment w:val="center"/>
                    <w:rPr>
                      <w:kern w:val="0"/>
                      <w:szCs w:val="21"/>
                      <w:lang w:bidi="ar"/>
                    </w:rPr>
                  </w:pPr>
                  <w:r>
                    <w:rPr>
                      <w:rFonts w:hint="eastAsia"/>
                      <w:kern w:val="0"/>
                      <w:szCs w:val="21"/>
                      <w:lang w:bidi="ar"/>
                    </w:rPr>
                    <w:t>57.2</w:t>
                  </w:r>
                </w:p>
              </w:tc>
              <w:tc>
                <w:tcPr>
                  <w:tcW w:w="1882" w:type="dxa"/>
                  <w:tcBorders>
                    <w:tl2br w:val="nil"/>
                    <w:tr2bl w:val="nil"/>
                  </w:tcBorders>
                  <w:shd w:val="clear" w:color="auto" w:fill="FFFFFF"/>
                  <w:vAlign w:val="center"/>
                </w:tcPr>
                <w:p w14:paraId="1BDC9FEA">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0D091543">
                  <w:pPr>
                    <w:jc w:val="center"/>
                    <w:rPr>
                      <w:szCs w:val="21"/>
                    </w:rPr>
                  </w:pPr>
                  <w:r>
                    <w:rPr>
                      <w:szCs w:val="21"/>
                    </w:rPr>
                    <w:t>不达标</w:t>
                  </w:r>
                </w:p>
              </w:tc>
            </w:tr>
            <w:tr w14:paraId="083AF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14:paraId="00276FF0">
                  <w:pPr>
                    <w:rPr>
                      <w:szCs w:val="21"/>
                    </w:rPr>
                  </w:pPr>
                  <w:r>
                    <w:rPr>
                      <w:szCs w:val="21"/>
                    </w:rPr>
                    <w:t>注：以</w:t>
                  </w:r>
                  <w:r>
                    <w:rPr>
                      <w:rFonts w:hint="eastAsia"/>
                      <w:szCs w:val="21"/>
                    </w:rPr>
                    <w:t>双庙页1HF井为</w:t>
                  </w:r>
                  <w:r>
                    <w:rPr>
                      <w:szCs w:val="21"/>
                    </w:rPr>
                    <w:t>中心。</w:t>
                  </w:r>
                </w:p>
              </w:tc>
            </w:tr>
          </w:tbl>
          <w:p w14:paraId="7AA0DB4F">
            <w:pPr>
              <w:autoSpaceDE w:val="0"/>
              <w:autoSpaceDN w:val="0"/>
              <w:spacing w:line="360" w:lineRule="auto"/>
              <w:contextualSpacing/>
              <w:jc w:val="center"/>
              <w:rPr>
                <w:b/>
                <w:sz w:val="24"/>
              </w:rPr>
            </w:pPr>
            <w:r>
              <w:rPr>
                <w:b/>
                <w:sz w:val="24"/>
              </w:rPr>
              <w:t>表4-</w:t>
            </w:r>
            <w:r>
              <w:rPr>
                <w:rFonts w:hint="eastAsia"/>
                <w:b/>
                <w:sz w:val="24"/>
              </w:rPr>
              <w:t>8</w:t>
            </w:r>
            <w:r>
              <w:rPr>
                <w:b/>
                <w:sz w:val="24"/>
              </w:rPr>
              <w:t>使用柴油发电机设备厂界噪声预测结果与达标分析表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14:paraId="1FB81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14:paraId="20E1A0B9">
                  <w:pPr>
                    <w:widowControl/>
                    <w:jc w:val="center"/>
                    <w:textAlignment w:val="center"/>
                    <w:rPr>
                      <w:kern w:val="0"/>
                      <w:szCs w:val="21"/>
                      <w:lang w:bidi="ar"/>
                    </w:rPr>
                  </w:pPr>
                  <w:r>
                    <w:rPr>
                      <w:kern w:val="0"/>
                      <w:szCs w:val="21"/>
                      <w:lang w:bidi="ar"/>
                    </w:rPr>
                    <w:t>预测方位</w:t>
                  </w:r>
                </w:p>
              </w:tc>
              <w:tc>
                <w:tcPr>
                  <w:tcW w:w="1318" w:type="dxa"/>
                  <w:vMerge w:val="restart"/>
                  <w:tcBorders>
                    <w:tl2br w:val="nil"/>
                    <w:tr2bl w:val="nil"/>
                  </w:tcBorders>
                  <w:vAlign w:val="center"/>
                </w:tcPr>
                <w:p w14:paraId="7F6BA94F">
                  <w:pPr>
                    <w:widowControl/>
                    <w:jc w:val="center"/>
                    <w:textAlignment w:val="center"/>
                    <w:rPr>
                      <w:kern w:val="0"/>
                      <w:szCs w:val="21"/>
                      <w:lang w:bidi="ar"/>
                    </w:rPr>
                  </w:pPr>
                  <w:r>
                    <w:rPr>
                      <w:kern w:val="0"/>
                      <w:szCs w:val="21"/>
                      <w:lang w:bidi="ar"/>
                    </w:rPr>
                    <w:t>时段</w:t>
                  </w:r>
                </w:p>
              </w:tc>
              <w:tc>
                <w:tcPr>
                  <w:tcW w:w="1880" w:type="dxa"/>
                  <w:vMerge w:val="restart"/>
                  <w:tcBorders>
                    <w:tl2br w:val="nil"/>
                    <w:tr2bl w:val="nil"/>
                  </w:tcBorders>
                  <w:vAlign w:val="center"/>
                </w:tcPr>
                <w:p w14:paraId="6705B0D3">
                  <w:pPr>
                    <w:widowControl/>
                    <w:jc w:val="center"/>
                    <w:textAlignment w:val="center"/>
                    <w:rPr>
                      <w:kern w:val="0"/>
                      <w:szCs w:val="21"/>
                      <w:lang w:bidi="ar"/>
                    </w:rPr>
                  </w:pPr>
                  <w:r>
                    <w:rPr>
                      <w:kern w:val="0"/>
                      <w:szCs w:val="21"/>
                      <w:lang w:bidi="ar"/>
                    </w:rPr>
                    <w:t>厂界噪声贡献值</w:t>
                  </w:r>
                  <w:r>
                    <w:rPr>
                      <w:rFonts w:hint="eastAsia"/>
                      <w:kern w:val="0"/>
                      <w:szCs w:val="21"/>
                      <w:lang w:bidi="ar"/>
                    </w:rPr>
                    <w:t>dB（A）</w:t>
                  </w:r>
                </w:p>
              </w:tc>
              <w:tc>
                <w:tcPr>
                  <w:tcW w:w="1882" w:type="dxa"/>
                  <w:vMerge w:val="restart"/>
                  <w:tcBorders>
                    <w:tl2br w:val="nil"/>
                    <w:tr2bl w:val="nil"/>
                  </w:tcBorders>
                  <w:vAlign w:val="center"/>
                </w:tcPr>
                <w:p w14:paraId="260259E3">
                  <w:pPr>
                    <w:widowControl/>
                    <w:jc w:val="center"/>
                    <w:textAlignment w:val="center"/>
                    <w:rPr>
                      <w:kern w:val="0"/>
                      <w:szCs w:val="21"/>
                      <w:lang w:bidi="ar"/>
                    </w:rPr>
                  </w:pPr>
                  <w:r>
                    <w:rPr>
                      <w:kern w:val="0"/>
                      <w:szCs w:val="21"/>
                      <w:lang w:bidi="ar"/>
                    </w:rPr>
                    <w:t>标准限值</w:t>
                  </w:r>
                  <w:r>
                    <w:rPr>
                      <w:rFonts w:hint="eastAsia"/>
                      <w:kern w:val="0"/>
                      <w:szCs w:val="21"/>
                      <w:lang w:bidi="ar"/>
                    </w:rPr>
                    <w:t>dB（A）</w:t>
                  </w:r>
                </w:p>
              </w:tc>
              <w:tc>
                <w:tcPr>
                  <w:tcW w:w="1577" w:type="dxa"/>
                  <w:vMerge w:val="restart"/>
                  <w:tcBorders>
                    <w:tl2br w:val="nil"/>
                    <w:tr2bl w:val="nil"/>
                  </w:tcBorders>
                  <w:vAlign w:val="center"/>
                </w:tcPr>
                <w:p w14:paraId="75412C8C">
                  <w:pPr>
                    <w:widowControl/>
                    <w:jc w:val="center"/>
                    <w:textAlignment w:val="center"/>
                    <w:rPr>
                      <w:kern w:val="0"/>
                      <w:szCs w:val="21"/>
                      <w:lang w:bidi="ar"/>
                    </w:rPr>
                  </w:pPr>
                  <w:r>
                    <w:rPr>
                      <w:kern w:val="0"/>
                      <w:szCs w:val="21"/>
                      <w:lang w:bidi="ar"/>
                    </w:rPr>
                    <w:t>达标情况</w:t>
                  </w:r>
                </w:p>
              </w:tc>
            </w:tr>
            <w:tr w14:paraId="5AAB5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14:paraId="032C1650">
                  <w:pPr>
                    <w:widowControl/>
                    <w:jc w:val="center"/>
                    <w:textAlignment w:val="center"/>
                    <w:rPr>
                      <w:kern w:val="0"/>
                      <w:szCs w:val="21"/>
                      <w:lang w:bidi="ar"/>
                    </w:rPr>
                  </w:pPr>
                </w:p>
              </w:tc>
              <w:tc>
                <w:tcPr>
                  <w:tcW w:w="1318" w:type="dxa"/>
                  <w:vMerge w:val="continue"/>
                  <w:tcBorders>
                    <w:tl2br w:val="nil"/>
                    <w:tr2bl w:val="nil"/>
                  </w:tcBorders>
                  <w:shd w:val="clear" w:color="auto" w:fill="FFFFFF"/>
                  <w:vAlign w:val="center"/>
                </w:tcPr>
                <w:p w14:paraId="45DC16DF">
                  <w:pPr>
                    <w:widowControl/>
                    <w:jc w:val="center"/>
                    <w:textAlignment w:val="center"/>
                    <w:rPr>
                      <w:kern w:val="0"/>
                      <w:szCs w:val="21"/>
                      <w:lang w:bidi="ar"/>
                    </w:rPr>
                  </w:pPr>
                </w:p>
              </w:tc>
              <w:tc>
                <w:tcPr>
                  <w:tcW w:w="1880" w:type="dxa"/>
                  <w:vMerge w:val="continue"/>
                  <w:tcBorders>
                    <w:tl2br w:val="nil"/>
                    <w:tr2bl w:val="nil"/>
                  </w:tcBorders>
                  <w:shd w:val="clear" w:color="auto" w:fill="FFFFFF"/>
                  <w:vAlign w:val="center"/>
                </w:tcPr>
                <w:p w14:paraId="6678046B">
                  <w:pPr>
                    <w:widowControl/>
                    <w:jc w:val="center"/>
                    <w:textAlignment w:val="center"/>
                    <w:rPr>
                      <w:kern w:val="0"/>
                      <w:szCs w:val="21"/>
                      <w:lang w:bidi="ar"/>
                    </w:rPr>
                  </w:pPr>
                </w:p>
              </w:tc>
              <w:tc>
                <w:tcPr>
                  <w:tcW w:w="1882" w:type="dxa"/>
                  <w:vMerge w:val="continue"/>
                  <w:tcBorders>
                    <w:tl2br w:val="nil"/>
                    <w:tr2bl w:val="nil"/>
                  </w:tcBorders>
                  <w:shd w:val="clear" w:color="auto" w:fill="FFFFFF"/>
                  <w:vAlign w:val="center"/>
                </w:tcPr>
                <w:p w14:paraId="2244877B">
                  <w:pPr>
                    <w:widowControl/>
                    <w:jc w:val="center"/>
                    <w:textAlignment w:val="center"/>
                    <w:rPr>
                      <w:kern w:val="0"/>
                      <w:szCs w:val="21"/>
                      <w:lang w:bidi="ar"/>
                    </w:rPr>
                  </w:pPr>
                </w:p>
              </w:tc>
              <w:tc>
                <w:tcPr>
                  <w:tcW w:w="1577" w:type="dxa"/>
                  <w:vMerge w:val="continue"/>
                  <w:tcBorders>
                    <w:tl2br w:val="nil"/>
                    <w:tr2bl w:val="nil"/>
                  </w:tcBorders>
                  <w:shd w:val="clear" w:color="auto" w:fill="FFFFFF"/>
                  <w:vAlign w:val="center"/>
                </w:tcPr>
                <w:p w14:paraId="0AE2144A">
                  <w:pPr>
                    <w:widowControl/>
                    <w:jc w:val="center"/>
                    <w:textAlignment w:val="center"/>
                    <w:rPr>
                      <w:kern w:val="0"/>
                      <w:szCs w:val="21"/>
                      <w:lang w:bidi="ar"/>
                    </w:rPr>
                  </w:pPr>
                </w:p>
              </w:tc>
            </w:tr>
            <w:tr w14:paraId="229F4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0DB4301B">
                  <w:pPr>
                    <w:widowControl/>
                    <w:jc w:val="center"/>
                    <w:textAlignment w:val="center"/>
                    <w:rPr>
                      <w:kern w:val="0"/>
                      <w:szCs w:val="21"/>
                      <w:lang w:bidi="ar"/>
                    </w:rPr>
                  </w:pPr>
                  <w:r>
                    <w:rPr>
                      <w:kern w:val="0"/>
                      <w:szCs w:val="21"/>
                      <w:lang w:bidi="ar"/>
                    </w:rPr>
                    <w:t>东侧</w:t>
                  </w:r>
                </w:p>
              </w:tc>
              <w:tc>
                <w:tcPr>
                  <w:tcW w:w="1318" w:type="dxa"/>
                  <w:tcBorders>
                    <w:tl2br w:val="nil"/>
                    <w:tr2bl w:val="nil"/>
                  </w:tcBorders>
                  <w:shd w:val="clear" w:color="auto" w:fill="FFFFFF"/>
                  <w:vAlign w:val="center"/>
                </w:tcPr>
                <w:p w14:paraId="0C086D09">
                  <w:pPr>
                    <w:widowControl/>
                    <w:jc w:val="center"/>
                    <w:textAlignment w:val="center"/>
                    <w:rPr>
                      <w:kern w:val="0"/>
                      <w:szCs w:val="21"/>
                      <w:lang w:bidi="ar"/>
                    </w:rPr>
                  </w:pPr>
                  <w:r>
                    <w:rPr>
                      <w:kern w:val="0"/>
                      <w:szCs w:val="21"/>
                      <w:lang w:bidi="ar"/>
                    </w:rPr>
                    <w:t>昼间</w:t>
                  </w:r>
                </w:p>
              </w:tc>
              <w:tc>
                <w:tcPr>
                  <w:tcW w:w="1880" w:type="dxa"/>
                  <w:tcBorders>
                    <w:tl2br w:val="nil"/>
                    <w:tr2bl w:val="nil"/>
                  </w:tcBorders>
                  <w:shd w:val="clear" w:color="auto" w:fill="FFFFFF"/>
                  <w:vAlign w:val="center"/>
                </w:tcPr>
                <w:p w14:paraId="2956584C">
                  <w:pPr>
                    <w:widowControl/>
                    <w:jc w:val="center"/>
                    <w:textAlignment w:val="center"/>
                    <w:rPr>
                      <w:kern w:val="0"/>
                      <w:szCs w:val="21"/>
                      <w:lang w:bidi="ar"/>
                    </w:rPr>
                  </w:pPr>
                  <w:r>
                    <w:rPr>
                      <w:rFonts w:hint="eastAsia"/>
                      <w:kern w:val="0"/>
                      <w:szCs w:val="21"/>
                      <w:lang w:bidi="ar"/>
                    </w:rPr>
                    <w:t>67.9</w:t>
                  </w:r>
                </w:p>
              </w:tc>
              <w:tc>
                <w:tcPr>
                  <w:tcW w:w="1882" w:type="dxa"/>
                  <w:tcBorders>
                    <w:tl2br w:val="nil"/>
                    <w:tr2bl w:val="nil"/>
                  </w:tcBorders>
                  <w:shd w:val="clear" w:color="auto" w:fill="FFFFFF"/>
                  <w:vAlign w:val="center"/>
                </w:tcPr>
                <w:p w14:paraId="55542E2A">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3349630A">
                  <w:pPr>
                    <w:widowControl/>
                    <w:jc w:val="center"/>
                    <w:textAlignment w:val="center"/>
                    <w:rPr>
                      <w:kern w:val="0"/>
                      <w:szCs w:val="21"/>
                      <w:lang w:bidi="ar"/>
                    </w:rPr>
                  </w:pPr>
                  <w:r>
                    <w:rPr>
                      <w:kern w:val="0"/>
                      <w:szCs w:val="21"/>
                      <w:lang w:bidi="ar"/>
                    </w:rPr>
                    <w:t>达标</w:t>
                  </w:r>
                </w:p>
              </w:tc>
            </w:tr>
            <w:tr w14:paraId="456A0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5BF96E5C">
                  <w:pPr>
                    <w:widowControl/>
                    <w:jc w:val="center"/>
                    <w:textAlignment w:val="center"/>
                    <w:rPr>
                      <w:kern w:val="0"/>
                      <w:szCs w:val="21"/>
                      <w:lang w:bidi="ar"/>
                    </w:rPr>
                  </w:pPr>
                </w:p>
              </w:tc>
              <w:tc>
                <w:tcPr>
                  <w:tcW w:w="1318" w:type="dxa"/>
                  <w:tcBorders>
                    <w:tl2br w:val="nil"/>
                    <w:tr2bl w:val="nil"/>
                  </w:tcBorders>
                  <w:shd w:val="clear" w:color="auto" w:fill="FFFFFF"/>
                  <w:vAlign w:val="center"/>
                </w:tcPr>
                <w:p w14:paraId="2C5E501F">
                  <w:pPr>
                    <w:widowControl/>
                    <w:jc w:val="center"/>
                    <w:textAlignment w:val="center"/>
                    <w:rPr>
                      <w:kern w:val="0"/>
                      <w:szCs w:val="21"/>
                      <w:lang w:bidi="ar"/>
                    </w:rPr>
                  </w:pPr>
                  <w:r>
                    <w:rPr>
                      <w:kern w:val="0"/>
                      <w:szCs w:val="21"/>
                      <w:lang w:bidi="ar"/>
                    </w:rPr>
                    <w:t>夜间</w:t>
                  </w:r>
                </w:p>
              </w:tc>
              <w:tc>
                <w:tcPr>
                  <w:tcW w:w="1880" w:type="dxa"/>
                  <w:tcBorders>
                    <w:tl2br w:val="nil"/>
                    <w:tr2bl w:val="nil"/>
                  </w:tcBorders>
                  <w:shd w:val="clear" w:color="auto" w:fill="FFFFFF"/>
                  <w:vAlign w:val="center"/>
                </w:tcPr>
                <w:p w14:paraId="7C082063">
                  <w:pPr>
                    <w:widowControl/>
                    <w:jc w:val="center"/>
                    <w:textAlignment w:val="center"/>
                    <w:rPr>
                      <w:kern w:val="0"/>
                      <w:szCs w:val="21"/>
                      <w:lang w:bidi="ar"/>
                    </w:rPr>
                  </w:pPr>
                  <w:r>
                    <w:rPr>
                      <w:rFonts w:hint="eastAsia"/>
                      <w:kern w:val="0"/>
                      <w:szCs w:val="21"/>
                      <w:lang w:bidi="ar"/>
                    </w:rPr>
                    <w:t>67.9</w:t>
                  </w:r>
                </w:p>
              </w:tc>
              <w:tc>
                <w:tcPr>
                  <w:tcW w:w="1882" w:type="dxa"/>
                  <w:tcBorders>
                    <w:tl2br w:val="nil"/>
                    <w:tr2bl w:val="nil"/>
                  </w:tcBorders>
                  <w:shd w:val="clear" w:color="auto" w:fill="FFFFFF"/>
                  <w:vAlign w:val="center"/>
                </w:tcPr>
                <w:p w14:paraId="6ACB16AC">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60890954">
                  <w:pPr>
                    <w:widowControl/>
                    <w:jc w:val="center"/>
                    <w:textAlignment w:val="center"/>
                    <w:rPr>
                      <w:kern w:val="0"/>
                      <w:szCs w:val="21"/>
                      <w:lang w:bidi="ar"/>
                    </w:rPr>
                  </w:pPr>
                  <w:r>
                    <w:rPr>
                      <w:kern w:val="0"/>
                      <w:szCs w:val="21"/>
                      <w:lang w:bidi="ar"/>
                    </w:rPr>
                    <w:t>不达标</w:t>
                  </w:r>
                </w:p>
              </w:tc>
            </w:tr>
            <w:tr w14:paraId="536B0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5A5C1E8B">
                  <w:pPr>
                    <w:widowControl/>
                    <w:jc w:val="center"/>
                    <w:textAlignment w:val="center"/>
                    <w:rPr>
                      <w:kern w:val="0"/>
                      <w:szCs w:val="21"/>
                      <w:lang w:bidi="ar"/>
                    </w:rPr>
                  </w:pPr>
                  <w:r>
                    <w:rPr>
                      <w:kern w:val="0"/>
                      <w:szCs w:val="21"/>
                      <w:lang w:bidi="ar"/>
                    </w:rPr>
                    <w:t>南侧</w:t>
                  </w:r>
                </w:p>
              </w:tc>
              <w:tc>
                <w:tcPr>
                  <w:tcW w:w="1318" w:type="dxa"/>
                  <w:tcBorders>
                    <w:tl2br w:val="nil"/>
                    <w:tr2bl w:val="nil"/>
                  </w:tcBorders>
                  <w:shd w:val="clear" w:color="auto" w:fill="FFFFFF"/>
                  <w:vAlign w:val="center"/>
                </w:tcPr>
                <w:p w14:paraId="08D5BB43">
                  <w:pPr>
                    <w:widowControl/>
                    <w:jc w:val="center"/>
                    <w:textAlignment w:val="center"/>
                    <w:rPr>
                      <w:kern w:val="0"/>
                      <w:szCs w:val="21"/>
                      <w:lang w:bidi="ar"/>
                    </w:rPr>
                  </w:pPr>
                  <w:r>
                    <w:rPr>
                      <w:kern w:val="0"/>
                      <w:szCs w:val="21"/>
                      <w:lang w:bidi="ar"/>
                    </w:rPr>
                    <w:t>昼间</w:t>
                  </w:r>
                </w:p>
              </w:tc>
              <w:tc>
                <w:tcPr>
                  <w:tcW w:w="1880" w:type="dxa"/>
                  <w:tcBorders>
                    <w:tl2br w:val="nil"/>
                    <w:tr2bl w:val="nil"/>
                  </w:tcBorders>
                  <w:shd w:val="clear" w:color="auto" w:fill="FFFFFF"/>
                  <w:vAlign w:val="center"/>
                </w:tcPr>
                <w:p w14:paraId="79644460">
                  <w:pPr>
                    <w:widowControl/>
                    <w:jc w:val="center"/>
                    <w:textAlignment w:val="center"/>
                    <w:rPr>
                      <w:kern w:val="0"/>
                      <w:szCs w:val="21"/>
                      <w:lang w:bidi="ar"/>
                    </w:rPr>
                  </w:pPr>
                  <w:r>
                    <w:rPr>
                      <w:rFonts w:hint="eastAsia"/>
                      <w:kern w:val="0"/>
                      <w:szCs w:val="21"/>
                      <w:lang w:bidi="ar"/>
                    </w:rPr>
                    <w:t>60.4</w:t>
                  </w:r>
                </w:p>
              </w:tc>
              <w:tc>
                <w:tcPr>
                  <w:tcW w:w="1882" w:type="dxa"/>
                  <w:tcBorders>
                    <w:tl2br w:val="nil"/>
                    <w:tr2bl w:val="nil"/>
                  </w:tcBorders>
                  <w:shd w:val="clear" w:color="auto" w:fill="FFFFFF"/>
                  <w:vAlign w:val="center"/>
                </w:tcPr>
                <w:p w14:paraId="3DCAD19F">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67E4E681">
                  <w:pPr>
                    <w:widowControl/>
                    <w:jc w:val="center"/>
                    <w:textAlignment w:val="center"/>
                    <w:rPr>
                      <w:kern w:val="0"/>
                      <w:szCs w:val="21"/>
                      <w:lang w:bidi="ar"/>
                    </w:rPr>
                  </w:pPr>
                  <w:r>
                    <w:rPr>
                      <w:kern w:val="0"/>
                      <w:szCs w:val="21"/>
                      <w:lang w:bidi="ar"/>
                    </w:rPr>
                    <w:t>达标</w:t>
                  </w:r>
                </w:p>
              </w:tc>
            </w:tr>
            <w:tr w14:paraId="328C3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0EC69143">
                  <w:pPr>
                    <w:widowControl/>
                    <w:jc w:val="center"/>
                    <w:textAlignment w:val="center"/>
                    <w:rPr>
                      <w:kern w:val="0"/>
                      <w:szCs w:val="21"/>
                      <w:lang w:bidi="ar"/>
                    </w:rPr>
                  </w:pPr>
                </w:p>
              </w:tc>
              <w:tc>
                <w:tcPr>
                  <w:tcW w:w="1318" w:type="dxa"/>
                  <w:tcBorders>
                    <w:tl2br w:val="nil"/>
                    <w:tr2bl w:val="nil"/>
                  </w:tcBorders>
                  <w:shd w:val="clear" w:color="auto" w:fill="FFFFFF"/>
                  <w:vAlign w:val="center"/>
                </w:tcPr>
                <w:p w14:paraId="0D39D3DF">
                  <w:pPr>
                    <w:widowControl/>
                    <w:jc w:val="center"/>
                    <w:textAlignment w:val="center"/>
                    <w:rPr>
                      <w:kern w:val="0"/>
                      <w:szCs w:val="21"/>
                      <w:lang w:bidi="ar"/>
                    </w:rPr>
                  </w:pPr>
                  <w:r>
                    <w:rPr>
                      <w:kern w:val="0"/>
                      <w:szCs w:val="21"/>
                      <w:lang w:bidi="ar"/>
                    </w:rPr>
                    <w:t>夜间</w:t>
                  </w:r>
                </w:p>
              </w:tc>
              <w:tc>
                <w:tcPr>
                  <w:tcW w:w="1880" w:type="dxa"/>
                  <w:tcBorders>
                    <w:tl2br w:val="nil"/>
                    <w:tr2bl w:val="nil"/>
                  </w:tcBorders>
                  <w:shd w:val="clear" w:color="auto" w:fill="FFFFFF"/>
                  <w:vAlign w:val="center"/>
                </w:tcPr>
                <w:p w14:paraId="14FE583F">
                  <w:pPr>
                    <w:widowControl/>
                    <w:jc w:val="center"/>
                    <w:textAlignment w:val="center"/>
                    <w:rPr>
                      <w:kern w:val="0"/>
                      <w:szCs w:val="21"/>
                      <w:lang w:bidi="ar"/>
                    </w:rPr>
                  </w:pPr>
                  <w:r>
                    <w:rPr>
                      <w:rFonts w:hint="eastAsia"/>
                      <w:kern w:val="0"/>
                      <w:szCs w:val="21"/>
                      <w:lang w:bidi="ar"/>
                    </w:rPr>
                    <w:t>60.4</w:t>
                  </w:r>
                </w:p>
              </w:tc>
              <w:tc>
                <w:tcPr>
                  <w:tcW w:w="1882" w:type="dxa"/>
                  <w:tcBorders>
                    <w:tl2br w:val="nil"/>
                    <w:tr2bl w:val="nil"/>
                  </w:tcBorders>
                  <w:shd w:val="clear" w:color="auto" w:fill="FFFFFF"/>
                  <w:vAlign w:val="center"/>
                </w:tcPr>
                <w:p w14:paraId="23FD5A48">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3E4C5B5F">
                  <w:pPr>
                    <w:widowControl/>
                    <w:jc w:val="center"/>
                    <w:textAlignment w:val="center"/>
                    <w:rPr>
                      <w:kern w:val="0"/>
                      <w:szCs w:val="21"/>
                      <w:lang w:bidi="ar"/>
                    </w:rPr>
                  </w:pPr>
                  <w:r>
                    <w:rPr>
                      <w:kern w:val="0"/>
                      <w:szCs w:val="21"/>
                      <w:lang w:bidi="ar"/>
                    </w:rPr>
                    <w:t>不达标</w:t>
                  </w:r>
                </w:p>
              </w:tc>
            </w:tr>
            <w:tr w14:paraId="6CDA1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1D165B4E">
                  <w:pPr>
                    <w:widowControl/>
                    <w:jc w:val="center"/>
                    <w:textAlignment w:val="center"/>
                    <w:rPr>
                      <w:kern w:val="0"/>
                      <w:szCs w:val="21"/>
                      <w:lang w:bidi="ar"/>
                    </w:rPr>
                  </w:pPr>
                  <w:r>
                    <w:rPr>
                      <w:kern w:val="0"/>
                      <w:szCs w:val="21"/>
                      <w:lang w:bidi="ar"/>
                    </w:rPr>
                    <w:t>西侧</w:t>
                  </w:r>
                </w:p>
              </w:tc>
              <w:tc>
                <w:tcPr>
                  <w:tcW w:w="1318" w:type="dxa"/>
                  <w:tcBorders>
                    <w:tl2br w:val="nil"/>
                    <w:tr2bl w:val="nil"/>
                  </w:tcBorders>
                  <w:shd w:val="clear" w:color="auto" w:fill="FFFFFF"/>
                  <w:vAlign w:val="center"/>
                </w:tcPr>
                <w:p w14:paraId="5B6EA426">
                  <w:pPr>
                    <w:widowControl/>
                    <w:jc w:val="center"/>
                    <w:textAlignment w:val="center"/>
                    <w:rPr>
                      <w:kern w:val="0"/>
                      <w:szCs w:val="21"/>
                      <w:lang w:bidi="ar"/>
                    </w:rPr>
                  </w:pPr>
                  <w:r>
                    <w:rPr>
                      <w:kern w:val="0"/>
                      <w:szCs w:val="21"/>
                      <w:lang w:bidi="ar"/>
                    </w:rPr>
                    <w:t>昼间</w:t>
                  </w:r>
                </w:p>
              </w:tc>
              <w:tc>
                <w:tcPr>
                  <w:tcW w:w="1880" w:type="dxa"/>
                  <w:tcBorders>
                    <w:tl2br w:val="nil"/>
                    <w:tr2bl w:val="nil"/>
                  </w:tcBorders>
                  <w:shd w:val="clear" w:color="auto" w:fill="FFFFFF"/>
                  <w:vAlign w:val="center"/>
                </w:tcPr>
                <w:p w14:paraId="38D2F9DD">
                  <w:pPr>
                    <w:widowControl/>
                    <w:jc w:val="center"/>
                    <w:textAlignment w:val="center"/>
                    <w:rPr>
                      <w:kern w:val="0"/>
                      <w:szCs w:val="21"/>
                      <w:lang w:bidi="ar"/>
                    </w:rPr>
                  </w:pPr>
                  <w:r>
                    <w:rPr>
                      <w:rFonts w:hint="eastAsia"/>
                      <w:kern w:val="0"/>
                      <w:szCs w:val="21"/>
                      <w:lang w:bidi="ar"/>
                    </w:rPr>
                    <w:t>69.7</w:t>
                  </w:r>
                </w:p>
              </w:tc>
              <w:tc>
                <w:tcPr>
                  <w:tcW w:w="1882" w:type="dxa"/>
                  <w:tcBorders>
                    <w:tl2br w:val="nil"/>
                    <w:tr2bl w:val="nil"/>
                  </w:tcBorders>
                  <w:shd w:val="clear" w:color="auto" w:fill="FFFFFF"/>
                  <w:vAlign w:val="center"/>
                </w:tcPr>
                <w:p w14:paraId="20A63DE6">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58DE429A">
                  <w:pPr>
                    <w:widowControl/>
                    <w:jc w:val="center"/>
                    <w:textAlignment w:val="center"/>
                    <w:rPr>
                      <w:kern w:val="0"/>
                      <w:szCs w:val="21"/>
                      <w:lang w:bidi="ar"/>
                    </w:rPr>
                  </w:pPr>
                  <w:r>
                    <w:rPr>
                      <w:kern w:val="0"/>
                      <w:szCs w:val="21"/>
                      <w:lang w:bidi="ar"/>
                    </w:rPr>
                    <w:t>达标</w:t>
                  </w:r>
                </w:p>
              </w:tc>
            </w:tr>
            <w:tr w14:paraId="660AC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4698791B">
                  <w:pPr>
                    <w:widowControl/>
                    <w:jc w:val="center"/>
                    <w:textAlignment w:val="center"/>
                    <w:rPr>
                      <w:kern w:val="0"/>
                      <w:szCs w:val="21"/>
                      <w:lang w:bidi="ar"/>
                    </w:rPr>
                  </w:pPr>
                </w:p>
              </w:tc>
              <w:tc>
                <w:tcPr>
                  <w:tcW w:w="1318" w:type="dxa"/>
                  <w:tcBorders>
                    <w:tl2br w:val="nil"/>
                    <w:tr2bl w:val="nil"/>
                  </w:tcBorders>
                  <w:shd w:val="clear" w:color="auto" w:fill="FFFFFF"/>
                  <w:vAlign w:val="center"/>
                </w:tcPr>
                <w:p w14:paraId="6D64BB10">
                  <w:pPr>
                    <w:widowControl/>
                    <w:jc w:val="center"/>
                    <w:textAlignment w:val="center"/>
                    <w:rPr>
                      <w:kern w:val="0"/>
                      <w:szCs w:val="21"/>
                      <w:lang w:bidi="ar"/>
                    </w:rPr>
                  </w:pPr>
                  <w:r>
                    <w:rPr>
                      <w:kern w:val="0"/>
                      <w:szCs w:val="21"/>
                      <w:lang w:bidi="ar"/>
                    </w:rPr>
                    <w:t>夜间</w:t>
                  </w:r>
                </w:p>
              </w:tc>
              <w:tc>
                <w:tcPr>
                  <w:tcW w:w="1880" w:type="dxa"/>
                  <w:tcBorders>
                    <w:tl2br w:val="nil"/>
                    <w:tr2bl w:val="nil"/>
                  </w:tcBorders>
                  <w:shd w:val="clear" w:color="auto" w:fill="FFFFFF"/>
                  <w:vAlign w:val="center"/>
                </w:tcPr>
                <w:p w14:paraId="0FD8F8A1">
                  <w:pPr>
                    <w:widowControl/>
                    <w:jc w:val="center"/>
                    <w:textAlignment w:val="center"/>
                    <w:rPr>
                      <w:kern w:val="0"/>
                      <w:szCs w:val="21"/>
                      <w:lang w:bidi="ar"/>
                    </w:rPr>
                  </w:pPr>
                  <w:r>
                    <w:rPr>
                      <w:rFonts w:hint="eastAsia"/>
                      <w:kern w:val="0"/>
                      <w:szCs w:val="21"/>
                      <w:lang w:bidi="ar"/>
                    </w:rPr>
                    <w:t>69.7</w:t>
                  </w:r>
                </w:p>
              </w:tc>
              <w:tc>
                <w:tcPr>
                  <w:tcW w:w="1882" w:type="dxa"/>
                  <w:tcBorders>
                    <w:tl2br w:val="nil"/>
                    <w:tr2bl w:val="nil"/>
                  </w:tcBorders>
                  <w:shd w:val="clear" w:color="auto" w:fill="FFFFFF"/>
                  <w:vAlign w:val="center"/>
                </w:tcPr>
                <w:p w14:paraId="3127E4F0">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135758E4">
                  <w:pPr>
                    <w:widowControl/>
                    <w:jc w:val="center"/>
                    <w:textAlignment w:val="center"/>
                    <w:rPr>
                      <w:kern w:val="0"/>
                      <w:szCs w:val="21"/>
                      <w:lang w:bidi="ar"/>
                    </w:rPr>
                  </w:pPr>
                  <w:r>
                    <w:rPr>
                      <w:kern w:val="0"/>
                      <w:szCs w:val="21"/>
                      <w:lang w:bidi="ar"/>
                    </w:rPr>
                    <w:t>不达标</w:t>
                  </w:r>
                </w:p>
              </w:tc>
            </w:tr>
            <w:tr w14:paraId="10323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14:paraId="5A5D994B">
                  <w:pPr>
                    <w:widowControl/>
                    <w:jc w:val="center"/>
                    <w:textAlignment w:val="center"/>
                    <w:rPr>
                      <w:kern w:val="0"/>
                      <w:szCs w:val="21"/>
                      <w:lang w:bidi="ar"/>
                    </w:rPr>
                  </w:pPr>
                  <w:r>
                    <w:rPr>
                      <w:kern w:val="0"/>
                      <w:szCs w:val="21"/>
                      <w:lang w:bidi="ar"/>
                    </w:rPr>
                    <w:t>北侧</w:t>
                  </w:r>
                </w:p>
              </w:tc>
              <w:tc>
                <w:tcPr>
                  <w:tcW w:w="1318" w:type="dxa"/>
                  <w:tcBorders>
                    <w:tl2br w:val="nil"/>
                    <w:tr2bl w:val="nil"/>
                  </w:tcBorders>
                  <w:shd w:val="clear" w:color="auto" w:fill="FFFFFF"/>
                  <w:vAlign w:val="center"/>
                </w:tcPr>
                <w:p w14:paraId="37681058">
                  <w:pPr>
                    <w:widowControl/>
                    <w:jc w:val="center"/>
                    <w:textAlignment w:val="center"/>
                    <w:rPr>
                      <w:kern w:val="0"/>
                      <w:szCs w:val="21"/>
                      <w:lang w:bidi="ar"/>
                    </w:rPr>
                  </w:pPr>
                  <w:r>
                    <w:rPr>
                      <w:kern w:val="0"/>
                      <w:szCs w:val="21"/>
                      <w:lang w:bidi="ar"/>
                    </w:rPr>
                    <w:t>昼间</w:t>
                  </w:r>
                </w:p>
              </w:tc>
              <w:tc>
                <w:tcPr>
                  <w:tcW w:w="1880" w:type="dxa"/>
                  <w:tcBorders>
                    <w:tl2br w:val="nil"/>
                    <w:tr2bl w:val="nil"/>
                  </w:tcBorders>
                  <w:shd w:val="clear" w:color="auto" w:fill="FFFFFF"/>
                  <w:vAlign w:val="center"/>
                </w:tcPr>
                <w:p w14:paraId="6A348D9F">
                  <w:pPr>
                    <w:widowControl/>
                    <w:jc w:val="center"/>
                    <w:textAlignment w:val="center"/>
                    <w:rPr>
                      <w:kern w:val="0"/>
                      <w:szCs w:val="21"/>
                      <w:lang w:bidi="ar"/>
                    </w:rPr>
                  </w:pPr>
                  <w:r>
                    <w:rPr>
                      <w:rFonts w:hint="eastAsia"/>
                      <w:kern w:val="0"/>
                      <w:szCs w:val="21"/>
                      <w:lang w:bidi="ar"/>
                    </w:rPr>
                    <w:t>66.1</w:t>
                  </w:r>
                </w:p>
              </w:tc>
              <w:tc>
                <w:tcPr>
                  <w:tcW w:w="1882" w:type="dxa"/>
                  <w:tcBorders>
                    <w:tl2br w:val="nil"/>
                    <w:tr2bl w:val="nil"/>
                  </w:tcBorders>
                  <w:shd w:val="clear" w:color="auto" w:fill="FFFFFF"/>
                  <w:vAlign w:val="center"/>
                </w:tcPr>
                <w:p w14:paraId="1CCC69C3">
                  <w:pPr>
                    <w:widowControl/>
                    <w:jc w:val="center"/>
                    <w:textAlignment w:val="center"/>
                    <w:rPr>
                      <w:kern w:val="0"/>
                      <w:szCs w:val="21"/>
                      <w:lang w:bidi="ar"/>
                    </w:rPr>
                  </w:pPr>
                  <w:r>
                    <w:rPr>
                      <w:kern w:val="0"/>
                      <w:szCs w:val="21"/>
                      <w:lang w:bidi="ar"/>
                    </w:rPr>
                    <w:t>70</w:t>
                  </w:r>
                </w:p>
              </w:tc>
              <w:tc>
                <w:tcPr>
                  <w:tcW w:w="1577" w:type="dxa"/>
                  <w:tcBorders>
                    <w:tl2br w:val="nil"/>
                    <w:tr2bl w:val="nil"/>
                  </w:tcBorders>
                  <w:shd w:val="clear" w:color="auto" w:fill="FFFFFF"/>
                  <w:vAlign w:val="center"/>
                </w:tcPr>
                <w:p w14:paraId="55F23031">
                  <w:pPr>
                    <w:widowControl/>
                    <w:jc w:val="center"/>
                    <w:textAlignment w:val="center"/>
                    <w:rPr>
                      <w:kern w:val="0"/>
                      <w:szCs w:val="21"/>
                      <w:lang w:bidi="ar"/>
                    </w:rPr>
                  </w:pPr>
                  <w:r>
                    <w:rPr>
                      <w:kern w:val="0"/>
                      <w:szCs w:val="21"/>
                      <w:lang w:bidi="ar"/>
                    </w:rPr>
                    <w:t>达标</w:t>
                  </w:r>
                </w:p>
              </w:tc>
            </w:tr>
            <w:tr w14:paraId="7BB7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14:paraId="314BC431">
                  <w:pPr>
                    <w:widowControl/>
                    <w:jc w:val="center"/>
                    <w:textAlignment w:val="center"/>
                    <w:rPr>
                      <w:kern w:val="0"/>
                      <w:szCs w:val="21"/>
                      <w:lang w:bidi="ar"/>
                    </w:rPr>
                  </w:pPr>
                </w:p>
              </w:tc>
              <w:tc>
                <w:tcPr>
                  <w:tcW w:w="1318" w:type="dxa"/>
                  <w:tcBorders>
                    <w:tl2br w:val="nil"/>
                    <w:tr2bl w:val="nil"/>
                  </w:tcBorders>
                  <w:shd w:val="clear" w:color="auto" w:fill="FFFFFF"/>
                  <w:vAlign w:val="center"/>
                </w:tcPr>
                <w:p w14:paraId="48EF8A16">
                  <w:pPr>
                    <w:widowControl/>
                    <w:jc w:val="center"/>
                    <w:textAlignment w:val="center"/>
                    <w:rPr>
                      <w:kern w:val="0"/>
                      <w:szCs w:val="21"/>
                      <w:lang w:bidi="ar"/>
                    </w:rPr>
                  </w:pPr>
                  <w:r>
                    <w:rPr>
                      <w:kern w:val="0"/>
                      <w:szCs w:val="21"/>
                      <w:lang w:bidi="ar"/>
                    </w:rPr>
                    <w:t>夜间</w:t>
                  </w:r>
                </w:p>
              </w:tc>
              <w:tc>
                <w:tcPr>
                  <w:tcW w:w="1880" w:type="dxa"/>
                  <w:tcBorders>
                    <w:tl2br w:val="nil"/>
                    <w:tr2bl w:val="nil"/>
                  </w:tcBorders>
                  <w:shd w:val="clear" w:color="auto" w:fill="FFFFFF"/>
                  <w:vAlign w:val="center"/>
                </w:tcPr>
                <w:p w14:paraId="155EA21E">
                  <w:pPr>
                    <w:widowControl/>
                    <w:jc w:val="center"/>
                    <w:textAlignment w:val="center"/>
                    <w:rPr>
                      <w:kern w:val="0"/>
                      <w:szCs w:val="21"/>
                      <w:lang w:bidi="ar"/>
                    </w:rPr>
                  </w:pPr>
                  <w:r>
                    <w:rPr>
                      <w:rFonts w:hint="eastAsia"/>
                      <w:kern w:val="0"/>
                      <w:szCs w:val="21"/>
                      <w:lang w:bidi="ar"/>
                    </w:rPr>
                    <w:t>66.1</w:t>
                  </w:r>
                </w:p>
              </w:tc>
              <w:tc>
                <w:tcPr>
                  <w:tcW w:w="1882" w:type="dxa"/>
                  <w:tcBorders>
                    <w:tl2br w:val="nil"/>
                    <w:tr2bl w:val="nil"/>
                  </w:tcBorders>
                  <w:shd w:val="clear" w:color="auto" w:fill="FFFFFF"/>
                  <w:vAlign w:val="center"/>
                </w:tcPr>
                <w:p w14:paraId="18C2C9A6">
                  <w:pPr>
                    <w:widowControl/>
                    <w:jc w:val="center"/>
                    <w:textAlignment w:val="center"/>
                    <w:rPr>
                      <w:kern w:val="0"/>
                      <w:szCs w:val="21"/>
                      <w:lang w:bidi="ar"/>
                    </w:rPr>
                  </w:pPr>
                  <w:r>
                    <w:rPr>
                      <w:kern w:val="0"/>
                      <w:szCs w:val="21"/>
                      <w:lang w:bidi="ar"/>
                    </w:rPr>
                    <w:t>55</w:t>
                  </w:r>
                </w:p>
              </w:tc>
              <w:tc>
                <w:tcPr>
                  <w:tcW w:w="1577" w:type="dxa"/>
                  <w:tcBorders>
                    <w:tl2br w:val="nil"/>
                    <w:tr2bl w:val="nil"/>
                  </w:tcBorders>
                  <w:shd w:val="clear" w:color="auto" w:fill="FFFFFF"/>
                  <w:vAlign w:val="center"/>
                </w:tcPr>
                <w:p w14:paraId="5EB601BE">
                  <w:pPr>
                    <w:widowControl/>
                    <w:jc w:val="center"/>
                    <w:textAlignment w:val="center"/>
                    <w:rPr>
                      <w:kern w:val="0"/>
                      <w:szCs w:val="21"/>
                      <w:lang w:bidi="ar"/>
                    </w:rPr>
                  </w:pPr>
                  <w:r>
                    <w:rPr>
                      <w:kern w:val="0"/>
                      <w:szCs w:val="21"/>
                      <w:lang w:bidi="ar"/>
                    </w:rPr>
                    <w:t>不达标</w:t>
                  </w:r>
                </w:p>
              </w:tc>
            </w:tr>
            <w:tr w14:paraId="206F5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14:paraId="1F58CD77">
                  <w:pPr>
                    <w:widowControl/>
                    <w:textAlignment w:val="center"/>
                    <w:rPr>
                      <w:kern w:val="0"/>
                      <w:szCs w:val="21"/>
                      <w:lang w:bidi="ar"/>
                    </w:rPr>
                  </w:pPr>
                  <w:r>
                    <w:rPr>
                      <w:kern w:val="0"/>
                      <w:szCs w:val="21"/>
                      <w:lang w:bidi="ar"/>
                    </w:rPr>
                    <w:t>注：以</w:t>
                  </w:r>
                  <w:r>
                    <w:rPr>
                      <w:rFonts w:hint="eastAsia"/>
                      <w:kern w:val="0"/>
                      <w:szCs w:val="21"/>
                      <w:lang w:bidi="ar"/>
                    </w:rPr>
                    <w:t>双庙页1HF井为</w:t>
                  </w:r>
                  <w:r>
                    <w:rPr>
                      <w:kern w:val="0"/>
                      <w:szCs w:val="21"/>
                      <w:lang w:bidi="ar"/>
                    </w:rPr>
                    <w:t>中心。</w:t>
                  </w:r>
                </w:p>
              </w:tc>
            </w:tr>
          </w:tbl>
          <w:p w14:paraId="3EAEBD99">
            <w:pPr>
              <w:tabs>
                <w:tab w:val="left" w:pos="750"/>
              </w:tabs>
              <w:spacing w:line="360" w:lineRule="auto"/>
              <w:contextualSpacing/>
              <w:rPr>
                <w:sz w:val="24"/>
              </w:rPr>
            </w:pPr>
            <w:r>
              <w:rPr>
                <w:sz w:val="24"/>
              </w:rPr>
              <w:drawing>
                <wp:inline distT="0" distB="0" distL="114300" distR="114300">
                  <wp:extent cx="5172710" cy="3611245"/>
                  <wp:effectExtent l="0" t="0" r="889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172710" cy="3611245"/>
                          </a:xfrm>
                          <a:prstGeom prst="rect">
                            <a:avLst/>
                          </a:prstGeom>
                          <a:noFill/>
                          <a:ln>
                            <a:noFill/>
                          </a:ln>
                        </pic:spPr>
                      </pic:pic>
                    </a:graphicData>
                  </a:graphic>
                </wp:inline>
              </w:drawing>
            </w:r>
          </w:p>
          <w:p w14:paraId="147B16F5">
            <w:pPr>
              <w:spacing w:line="360" w:lineRule="auto"/>
              <w:ind w:firstLine="480" w:firstLineChars="200"/>
              <w:contextualSpacing/>
              <w:jc w:val="center"/>
              <w:rPr>
                <w:bCs/>
                <w:sz w:val="24"/>
              </w:rPr>
            </w:pPr>
            <w:r>
              <w:rPr>
                <w:rFonts w:hint="eastAsia"/>
                <w:bCs/>
                <w:sz w:val="24"/>
              </w:rPr>
              <w:t>图4-1 使用网电情况下噪声预测结果示意图</w:t>
            </w:r>
          </w:p>
          <w:p w14:paraId="23D0F56B">
            <w:pPr>
              <w:spacing w:line="360" w:lineRule="auto"/>
              <w:contextualSpacing/>
              <w:rPr>
                <w:bCs/>
                <w:sz w:val="24"/>
              </w:rPr>
            </w:pPr>
            <w:r>
              <w:rPr>
                <w:bCs/>
                <w:sz w:val="24"/>
              </w:rPr>
              <w:drawing>
                <wp:inline distT="0" distB="0" distL="114300" distR="114300">
                  <wp:extent cx="5167630" cy="3599180"/>
                  <wp:effectExtent l="0" t="0" r="1397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167630" cy="3599180"/>
                          </a:xfrm>
                          <a:prstGeom prst="rect">
                            <a:avLst/>
                          </a:prstGeom>
                          <a:noFill/>
                          <a:ln>
                            <a:noFill/>
                          </a:ln>
                        </pic:spPr>
                      </pic:pic>
                    </a:graphicData>
                  </a:graphic>
                </wp:inline>
              </w:drawing>
            </w:r>
          </w:p>
          <w:p w14:paraId="52A24822">
            <w:pPr>
              <w:spacing w:line="360" w:lineRule="auto"/>
              <w:ind w:firstLine="480" w:firstLineChars="200"/>
              <w:contextualSpacing/>
              <w:jc w:val="center"/>
              <w:rPr>
                <w:bCs/>
                <w:sz w:val="24"/>
              </w:rPr>
            </w:pPr>
            <w:r>
              <w:rPr>
                <w:bCs/>
                <w:sz w:val="24"/>
              </w:rPr>
              <w:t>图4-</w:t>
            </w:r>
            <w:r>
              <w:rPr>
                <w:rFonts w:hint="eastAsia"/>
                <w:bCs/>
                <w:sz w:val="24"/>
              </w:rPr>
              <w:t>2</w:t>
            </w:r>
            <w:r>
              <w:rPr>
                <w:bCs/>
                <w:sz w:val="24"/>
              </w:rPr>
              <w:t xml:space="preserve"> 使用</w:t>
            </w:r>
            <w:r>
              <w:rPr>
                <w:rFonts w:hint="eastAsia"/>
                <w:bCs/>
                <w:sz w:val="24"/>
              </w:rPr>
              <w:t>柴油发电机</w:t>
            </w:r>
            <w:r>
              <w:rPr>
                <w:bCs/>
                <w:sz w:val="24"/>
              </w:rPr>
              <w:t>情况下噪声预测结果示意图</w:t>
            </w:r>
          </w:p>
          <w:p w14:paraId="6AED3747">
            <w:pPr>
              <w:spacing w:line="360" w:lineRule="auto"/>
              <w:ind w:firstLine="480" w:firstLineChars="200"/>
              <w:contextualSpacing/>
              <w:rPr>
                <w:bCs/>
                <w:sz w:val="24"/>
              </w:rPr>
            </w:pPr>
            <w:r>
              <w:rPr>
                <w:bCs/>
                <w:sz w:val="24"/>
              </w:rPr>
              <w:t>本次噪声预测最近居民点，其预测结果如下所示：</w:t>
            </w:r>
          </w:p>
          <w:p w14:paraId="79F0A06D">
            <w:pPr>
              <w:autoSpaceDE w:val="0"/>
              <w:autoSpaceDN w:val="0"/>
              <w:spacing w:line="360" w:lineRule="auto"/>
              <w:contextualSpacing/>
              <w:jc w:val="center"/>
              <w:rPr>
                <w:b/>
                <w:sz w:val="24"/>
              </w:rPr>
            </w:pPr>
            <w:r>
              <w:rPr>
                <w:b/>
                <w:sz w:val="24"/>
              </w:rPr>
              <w:t>表4-</w:t>
            </w:r>
            <w:r>
              <w:rPr>
                <w:rFonts w:hint="eastAsia"/>
                <w:b/>
                <w:sz w:val="24"/>
              </w:rPr>
              <w:t>9</w:t>
            </w:r>
            <w:r>
              <w:rPr>
                <w:b/>
                <w:sz w:val="24"/>
              </w:rPr>
              <w:t xml:space="preserve"> 网电情况下噪声对周围居民影响预测</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525"/>
              <w:gridCol w:w="528"/>
              <w:gridCol w:w="527"/>
              <w:gridCol w:w="529"/>
              <w:gridCol w:w="454"/>
              <w:gridCol w:w="455"/>
              <w:gridCol w:w="528"/>
              <w:gridCol w:w="529"/>
              <w:gridCol w:w="528"/>
              <w:gridCol w:w="529"/>
              <w:gridCol w:w="511"/>
              <w:gridCol w:w="512"/>
              <w:gridCol w:w="457"/>
              <w:gridCol w:w="458"/>
            </w:tblGrid>
            <w:tr w14:paraId="3FBD6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47" w:type="dxa"/>
                  <w:vMerge w:val="restart"/>
                  <w:tcBorders>
                    <w:tl2br w:val="nil"/>
                    <w:tr2bl w:val="nil"/>
                  </w:tcBorders>
                  <w:vAlign w:val="center"/>
                </w:tcPr>
                <w:p w14:paraId="272AB1D8">
                  <w:pPr>
                    <w:jc w:val="center"/>
                    <w:rPr>
                      <w:sz w:val="18"/>
                      <w:szCs w:val="18"/>
                    </w:rPr>
                  </w:pPr>
                  <w:r>
                    <w:rPr>
                      <w:b/>
                      <w:sz w:val="18"/>
                      <w:szCs w:val="18"/>
                    </w:rPr>
                    <w:t>声环境保护目标名称</w:t>
                  </w:r>
                </w:p>
              </w:tc>
              <w:tc>
                <w:tcPr>
                  <w:tcW w:w="1053" w:type="dxa"/>
                  <w:gridSpan w:val="2"/>
                  <w:tcBorders>
                    <w:tl2br w:val="nil"/>
                    <w:tr2bl w:val="nil"/>
                  </w:tcBorders>
                  <w:vAlign w:val="center"/>
                </w:tcPr>
                <w:p w14:paraId="2369FC66">
                  <w:pPr>
                    <w:jc w:val="center"/>
                    <w:rPr>
                      <w:sz w:val="18"/>
                      <w:szCs w:val="18"/>
                    </w:rPr>
                  </w:pPr>
                  <w:r>
                    <w:rPr>
                      <w:b/>
                      <w:sz w:val="18"/>
                      <w:szCs w:val="18"/>
                    </w:rPr>
                    <w:t>噪声背景值/dB(A)</w:t>
                  </w:r>
                </w:p>
              </w:tc>
              <w:tc>
                <w:tcPr>
                  <w:tcW w:w="1056" w:type="dxa"/>
                  <w:gridSpan w:val="2"/>
                  <w:tcBorders>
                    <w:tl2br w:val="nil"/>
                    <w:tr2bl w:val="nil"/>
                  </w:tcBorders>
                  <w:vAlign w:val="center"/>
                </w:tcPr>
                <w:p w14:paraId="0E186AF8">
                  <w:pPr>
                    <w:jc w:val="center"/>
                    <w:rPr>
                      <w:sz w:val="18"/>
                      <w:szCs w:val="18"/>
                    </w:rPr>
                  </w:pPr>
                  <w:r>
                    <w:rPr>
                      <w:b/>
                      <w:sz w:val="18"/>
                      <w:szCs w:val="18"/>
                    </w:rPr>
                    <w:t>噪声现状值/dB(A)</w:t>
                  </w:r>
                </w:p>
              </w:tc>
              <w:tc>
                <w:tcPr>
                  <w:tcW w:w="909" w:type="dxa"/>
                  <w:gridSpan w:val="2"/>
                  <w:tcBorders>
                    <w:tl2br w:val="nil"/>
                    <w:tr2bl w:val="nil"/>
                  </w:tcBorders>
                  <w:vAlign w:val="center"/>
                </w:tcPr>
                <w:p w14:paraId="7D16581A">
                  <w:pPr>
                    <w:jc w:val="center"/>
                    <w:rPr>
                      <w:sz w:val="18"/>
                      <w:szCs w:val="18"/>
                    </w:rPr>
                  </w:pPr>
                  <w:r>
                    <w:rPr>
                      <w:b/>
                      <w:sz w:val="18"/>
                      <w:szCs w:val="18"/>
                    </w:rPr>
                    <w:t>噪声标准/dB(A)</w:t>
                  </w:r>
                </w:p>
              </w:tc>
              <w:tc>
                <w:tcPr>
                  <w:tcW w:w="1057" w:type="dxa"/>
                  <w:gridSpan w:val="2"/>
                  <w:tcBorders>
                    <w:tl2br w:val="nil"/>
                    <w:tr2bl w:val="nil"/>
                  </w:tcBorders>
                  <w:vAlign w:val="center"/>
                </w:tcPr>
                <w:p w14:paraId="1D4614A5">
                  <w:pPr>
                    <w:jc w:val="center"/>
                    <w:rPr>
                      <w:sz w:val="18"/>
                      <w:szCs w:val="18"/>
                    </w:rPr>
                  </w:pPr>
                  <w:r>
                    <w:rPr>
                      <w:b/>
                      <w:sz w:val="18"/>
                      <w:szCs w:val="18"/>
                    </w:rPr>
                    <w:t>噪声贡献值/dB(A)</w:t>
                  </w:r>
                </w:p>
              </w:tc>
              <w:tc>
                <w:tcPr>
                  <w:tcW w:w="1057" w:type="dxa"/>
                  <w:gridSpan w:val="2"/>
                  <w:tcBorders>
                    <w:tl2br w:val="nil"/>
                    <w:tr2bl w:val="nil"/>
                  </w:tcBorders>
                  <w:vAlign w:val="center"/>
                </w:tcPr>
                <w:p w14:paraId="309ADA94">
                  <w:pPr>
                    <w:jc w:val="center"/>
                    <w:rPr>
                      <w:sz w:val="18"/>
                      <w:szCs w:val="18"/>
                    </w:rPr>
                  </w:pPr>
                  <w:r>
                    <w:rPr>
                      <w:b/>
                      <w:sz w:val="18"/>
                      <w:szCs w:val="18"/>
                    </w:rPr>
                    <w:t>噪声预测值/dB(A)</w:t>
                  </w:r>
                </w:p>
              </w:tc>
              <w:tc>
                <w:tcPr>
                  <w:tcW w:w="1023" w:type="dxa"/>
                  <w:gridSpan w:val="2"/>
                  <w:tcBorders>
                    <w:tl2br w:val="nil"/>
                    <w:tr2bl w:val="nil"/>
                  </w:tcBorders>
                  <w:vAlign w:val="center"/>
                </w:tcPr>
                <w:p w14:paraId="38C9EC4C">
                  <w:pPr>
                    <w:jc w:val="center"/>
                    <w:rPr>
                      <w:sz w:val="18"/>
                      <w:szCs w:val="18"/>
                    </w:rPr>
                  </w:pPr>
                  <w:r>
                    <w:rPr>
                      <w:b/>
                      <w:sz w:val="18"/>
                      <w:szCs w:val="18"/>
                    </w:rPr>
                    <w:t>较现状增量/dB(A)</w:t>
                  </w:r>
                </w:p>
              </w:tc>
              <w:tc>
                <w:tcPr>
                  <w:tcW w:w="915" w:type="dxa"/>
                  <w:gridSpan w:val="2"/>
                  <w:tcBorders>
                    <w:tl2br w:val="nil"/>
                    <w:tr2bl w:val="nil"/>
                  </w:tcBorders>
                  <w:vAlign w:val="center"/>
                </w:tcPr>
                <w:p w14:paraId="6DF52450">
                  <w:pPr>
                    <w:jc w:val="center"/>
                    <w:rPr>
                      <w:sz w:val="18"/>
                      <w:szCs w:val="18"/>
                    </w:rPr>
                  </w:pPr>
                  <w:r>
                    <w:rPr>
                      <w:b/>
                      <w:sz w:val="18"/>
                      <w:szCs w:val="18"/>
                    </w:rPr>
                    <w:t>超标和达标情况</w:t>
                  </w:r>
                </w:p>
              </w:tc>
            </w:tr>
            <w:tr w14:paraId="5DA62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47" w:type="dxa"/>
                  <w:vMerge w:val="continue"/>
                  <w:tcBorders>
                    <w:tl2br w:val="nil"/>
                    <w:tr2bl w:val="nil"/>
                  </w:tcBorders>
                  <w:shd w:val="clear" w:color="auto" w:fill="FFFFFF"/>
                  <w:vAlign w:val="center"/>
                </w:tcPr>
                <w:p w14:paraId="54BEC734">
                  <w:pPr>
                    <w:jc w:val="center"/>
                    <w:rPr>
                      <w:sz w:val="18"/>
                      <w:szCs w:val="18"/>
                    </w:rPr>
                  </w:pPr>
                </w:p>
              </w:tc>
              <w:tc>
                <w:tcPr>
                  <w:tcW w:w="525" w:type="dxa"/>
                  <w:tcBorders>
                    <w:tl2br w:val="nil"/>
                    <w:tr2bl w:val="nil"/>
                  </w:tcBorders>
                  <w:shd w:val="clear" w:color="auto" w:fill="FFFFFF"/>
                  <w:vAlign w:val="center"/>
                </w:tcPr>
                <w:p w14:paraId="5F2DDEB6">
                  <w:pPr>
                    <w:jc w:val="center"/>
                    <w:rPr>
                      <w:rFonts w:hint="eastAsia" w:eastAsia="宋体"/>
                      <w:sz w:val="18"/>
                      <w:szCs w:val="18"/>
                      <w:lang w:val="en-US" w:eastAsia="zh-CN"/>
                    </w:rPr>
                  </w:pPr>
                  <w:r>
                    <w:rPr>
                      <w:sz w:val="18"/>
                      <w:szCs w:val="18"/>
                    </w:rPr>
                    <w:t>昼间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1A48FBFF">
                  <w:pPr>
                    <w:jc w:val="center"/>
                    <w:rPr>
                      <w:rFonts w:hint="eastAsia" w:eastAsia="宋体"/>
                      <w:sz w:val="18"/>
                      <w:szCs w:val="18"/>
                      <w:lang w:val="en-US" w:eastAsia="zh-CN"/>
                    </w:rPr>
                  </w:pPr>
                  <w:r>
                    <w:rPr>
                      <w:sz w:val="18"/>
                      <w:szCs w:val="18"/>
                    </w:rPr>
                    <w:t>夜间</w:t>
                  </w:r>
                  <w:r>
                    <w:rPr>
                      <w:rFonts w:hint="eastAsia"/>
                      <w:sz w:val="18"/>
                      <w:szCs w:val="18"/>
                      <w:lang w:val="en-US" w:eastAsia="zh-CN"/>
                    </w:rPr>
                    <w:t xml:space="preserve"> </w:t>
                  </w:r>
                </w:p>
              </w:tc>
              <w:tc>
                <w:tcPr>
                  <w:tcW w:w="527" w:type="dxa"/>
                  <w:tcBorders>
                    <w:tl2br w:val="nil"/>
                    <w:tr2bl w:val="nil"/>
                  </w:tcBorders>
                  <w:shd w:val="clear" w:color="auto" w:fill="FFFFFF"/>
                  <w:vAlign w:val="center"/>
                </w:tcPr>
                <w:p w14:paraId="79E38B04">
                  <w:pPr>
                    <w:jc w:val="center"/>
                    <w:rPr>
                      <w:rFonts w:hint="eastAsia" w:eastAsia="宋体"/>
                      <w:sz w:val="18"/>
                      <w:szCs w:val="18"/>
                      <w:lang w:val="en-US" w:eastAsia="zh-CN"/>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5FF34426">
                  <w:pPr>
                    <w:jc w:val="center"/>
                    <w:rPr>
                      <w:rFonts w:hint="eastAsia" w:eastAsia="宋体"/>
                      <w:sz w:val="18"/>
                      <w:szCs w:val="18"/>
                      <w:lang w:val="en-US" w:eastAsia="zh-CN"/>
                    </w:rPr>
                  </w:pPr>
                  <w:r>
                    <w:rPr>
                      <w:sz w:val="18"/>
                      <w:szCs w:val="18"/>
                    </w:rPr>
                    <w:t>夜间</w:t>
                  </w:r>
                  <w:r>
                    <w:rPr>
                      <w:rFonts w:hint="eastAsia"/>
                      <w:sz w:val="18"/>
                      <w:szCs w:val="18"/>
                      <w:lang w:val="en-US" w:eastAsia="zh-CN"/>
                    </w:rPr>
                    <w:t xml:space="preserve"> </w:t>
                  </w:r>
                </w:p>
              </w:tc>
              <w:tc>
                <w:tcPr>
                  <w:tcW w:w="454" w:type="dxa"/>
                  <w:tcBorders>
                    <w:tl2br w:val="nil"/>
                    <w:tr2bl w:val="nil"/>
                  </w:tcBorders>
                  <w:shd w:val="clear" w:color="auto" w:fill="FFFFFF"/>
                  <w:vAlign w:val="center"/>
                </w:tcPr>
                <w:p w14:paraId="68F4BBFC">
                  <w:pPr>
                    <w:jc w:val="center"/>
                    <w:rPr>
                      <w:rFonts w:hint="eastAsia" w:eastAsia="宋体"/>
                      <w:sz w:val="18"/>
                      <w:szCs w:val="18"/>
                      <w:lang w:val="en-US" w:eastAsia="zh-CN"/>
                    </w:rPr>
                  </w:pPr>
                  <w:r>
                    <w:rPr>
                      <w:sz w:val="18"/>
                      <w:szCs w:val="18"/>
                    </w:rPr>
                    <w:t>昼间</w:t>
                  </w:r>
                  <w:r>
                    <w:rPr>
                      <w:rFonts w:hint="eastAsia"/>
                      <w:sz w:val="18"/>
                      <w:szCs w:val="18"/>
                      <w:lang w:val="en-US" w:eastAsia="zh-CN"/>
                    </w:rPr>
                    <w:t xml:space="preserve"> </w:t>
                  </w:r>
                </w:p>
              </w:tc>
              <w:tc>
                <w:tcPr>
                  <w:tcW w:w="455" w:type="dxa"/>
                  <w:tcBorders>
                    <w:tl2br w:val="nil"/>
                    <w:tr2bl w:val="nil"/>
                  </w:tcBorders>
                  <w:shd w:val="clear" w:color="auto" w:fill="FFFFFF"/>
                  <w:vAlign w:val="center"/>
                </w:tcPr>
                <w:p w14:paraId="7AE8AD62">
                  <w:pPr>
                    <w:jc w:val="center"/>
                    <w:rPr>
                      <w:rFonts w:hint="eastAsia" w:eastAsia="宋体"/>
                      <w:sz w:val="18"/>
                      <w:szCs w:val="18"/>
                      <w:lang w:val="en-US" w:eastAsia="zh-CN"/>
                    </w:rPr>
                  </w:pPr>
                  <w:r>
                    <w:rPr>
                      <w:sz w:val="18"/>
                      <w:szCs w:val="18"/>
                    </w:rPr>
                    <w:t>夜间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7A7B437B">
                  <w:pPr>
                    <w:jc w:val="center"/>
                    <w:rPr>
                      <w:sz w:val="18"/>
                      <w:szCs w:val="18"/>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1EA718F2">
                  <w:pPr>
                    <w:jc w:val="center"/>
                    <w:rPr>
                      <w:sz w:val="18"/>
                      <w:szCs w:val="18"/>
                    </w:rPr>
                  </w:pPr>
                  <w:r>
                    <w:rPr>
                      <w:sz w:val="18"/>
                      <w:szCs w:val="18"/>
                    </w:rPr>
                    <w:t>夜间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1A9B79D0">
                  <w:pPr>
                    <w:jc w:val="center"/>
                    <w:rPr>
                      <w:sz w:val="18"/>
                      <w:szCs w:val="18"/>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27D388AA">
                  <w:pPr>
                    <w:jc w:val="center"/>
                    <w:rPr>
                      <w:sz w:val="18"/>
                      <w:szCs w:val="18"/>
                    </w:rPr>
                  </w:pPr>
                  <w:r>
                    <w:rPr>
                      <w:sz w:val="18"/>
                      <w:szCs w:val="18"/>
                    </w:rPr>
                    <w:t>夜间</w:t>
                  </w:r>
                  <w:r>
                    <w:rPr>
                      <w:rFonts w:hint="eastAsia"/>
                      <w:sz w:val="18"/>
                      <w:szCs w:val="18"/>
                      <w:lang w:val="en-US" w:eastAsia="zh-CN"/>
                    </w:rPr>
                    <w:t xml:space="preserve"> </w:t>
                  </w:r>
                </w:p>
              </w:tc>
              <w:tc>
                <w:tcPr>
                  <w:tcW w:w="511" w:type="dxa"/>
                  <w:tcBorders>
                    <w:tl2br w:val="nil"/>
                    <w:tr2bl w:val="nil"/>
                  </w:tcBorders>
                  <w:shd w:val="clear" w:color="auto" w:fill="FFFFFF"/>
                  <w:vAlign w:val="center"/>
                </w:tcPr>
                <w:p w14:paraId="00B1B1F8">
                  <w:pPr>
                    <w:jc w:val="center"/>
                    <w:rPr>
                      <w:sz w:val="18"/>
                      <w:szCs w:val="18"/>
                    </w:rPr>
                  </w:pPr>
                  <w:r>
                    <w:rPr>
                      <w:sz w:val="18"/>
                      <w:szCs w:val="18"/>
                    </w:rPr>
                    <w:t>昼间</w:t>
                  </w:r>
                  <w:r>
                    <w:rPr>
                      <w:rFonts w:hint="eastAsia"/>
                      <w:sz w:val="18"/>
                      <w:szCs w:val="18"/>
                      <w:lang w:val="en-US" w:eastAsia="zh-CN"/>
                    </w:rPr>
                    <w:t xml:space="preserve"> </w:t>
                  </w:r>
                </w:p>
              </w:tc>
              <w:tc>
                <w:tcPr>
                  <w:tcW w:w="512" w:type="dxa"/>
                  <w:tcBorders>
                    <w:tl2br w:val="nil"/>
                    <w:tr2bl w:val="nil"/>
                  </w:tcBorders>
                  <w:shd w:val="clear" w:color="auto" w:fill="FFFFFF"/>
                  <w:vAlign w:val="center"/>
                </w:tcPr>
                <w:p w14:paraId="76A84763">
                  <w:pPr>
                    <w:jc w:val="center"/>
                    <w:rPr>
                      <w:sz w:val="18"/>
                      <w:szCs w:val="18"/>
                    </w:rPr>
                  </w:pPr>
                  <w:r>
                    <w:rPr>
                      <w:sz w:val="18"/>
                      <w:szCs w:val="18"/>
                    </w:rPr>
                    <w:t>夜间</w:t>
                  </w:r>
                  <w:r>
                    <w:rPr>
                      <w:rFonts w:hint="eastAsia"/>
                      <w:sz w:val="18"/>
                      <w:szCs w:val="18"/>
                      <w:lang w:val="en-US" w:eastAsia="zh-CN"/>
                    </w:rPr>
                    <w:t xml:space="preserve"> </w:t>
                  </w:r>
                </w:p>
              </w:tc>
              <w:tc>
                <w:tcPr>
                  <w:tcW w:w="457" w:type="dxa"/>
                  <w:tcBorders>
                    <w:tl2br w:val="nil"/>
                    <w:tr2bl w:val="nil"/>
                  </w:tcBorders>
                  <w:shd w:val="clear" w:color="auto" w:fill="FFFFFF"/>
                  <w:vAlign w:val="center"/>
                </w:tcPr>
                <w:p w14:paraId="306FBC6D">
                  <w:pPr>
                    <w:jc w:val="center"/>
                    <w:rPr>
                      <w:sz w:val="18"/>
                      <w:szCs w:val="18"/>
                    </w:rPr>
                  </w:pPr>
                  <w:r>
                    <w:rPr>
                      <w:sz w:val="18"/>
                      <w:szCs w:val="18"/>
                    </w:rPr>
                    <w:t>昼间</w:t>
                  </w:r>
                  <w:r>
                    <w:rPr>
                      <w:rFonts w:hint="eastAsia"/>
                      <w:sz w:val="18"/>
                      <w:szCs w:val="18"/>
                      <w:lang w:val="en-US" w:eastAsia="zh-CN"/>
                    </w:rPr>
                    <w:t xml:space="preserve"> </w:t>
                  </w:r>
                </w:p>
              </w:tc>
              <w:tc>
                <w:tcPr>
                  <w:tcW w:w="458" w:type="dxa"/>
                  <w:tcBorders>
                    <w:tl2br w:val="nil"/>
                    <w:tr2bl w:val="nil"/>
                  </w:tcBorders>
                  <w:shd w:val="clear" w:color="auto" w:fill="FFFFFF"/>
                  <w:vAlign w:val="center"/>
                </w:tcPr>
                <w:p w14:paraId="699A8D42">
                  <w:pPr>
                    <w:jc w:val="center"/>
                    <w:rPr>
                      <w:sz w:val="18"/>
                      <w:szCs w:val="18"/>
                    </w:rPr>
                  </w:pPr>
                  <w:r>
                    <w:rPr>
                      <w:sz w:val="18"/>
                      <w:szCs w:val="18"/>
                    </w:rPr>
                    <w:t>夜间</w:t>
                  </w:r>
                  <w:r>
                    <w:rPr>
                      <w:rFonts w:hint="eastAsia"/>
                      <w:sz w:val="18"/>
                      <w:szCs w:val="18"/>
                      <w:lang w:val="en-US" w:eastAsia="zh-CN"/>
                    </w:rPr>
                    <w:t xml:space="preserve"> </w:t>
                  </w:r>
                </w:p>
              </w:tc>
            </w:tr>
            <w:tr w14:paraId="70AD2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14:paraId="15B78084">
                  <w:pPr>
                    <w:widowControl/>
                    <w:jc w:val="center"/>
                    <w:textAlignment w:val="center"/>
                    <w:rPr>
                      <w:kern w:val="0"/>
                      <w:sz w:val="18"/>
                      <w:szCs w:val="18"/>
                      <w:lang w:bidi="ar"/>
                    </w:rPr>
                  </w:pPr>
                  <w:r>
                    <w:rPr>
                      <w:rFonts w:hint="eastAsia"/>
                      <w:kern w:val="0"/>
                      <w:sz w:val="18"/>
                      <w:szCs w:val="18"/>
                      <w:lang w:bidi="ar"/>
                    </w:rPr>
                    <w:t>1#散户居民</w:t>
                  </w:r>
                </w:p>
              </w:tc>
              <w:tc>
                <w:tcPr>
                  <w:tcW w:w="525" w:type="dxa"/>
                  <w:tcBorders>
                    <w:tl2br w:val="nil"/>
                    <w:tr2bl w:val="nil"/>
                  </w:tcBorders>
                  <w:shd w:val="clear" w:color="auto" w:fill="FFFFFF"/>
                  <w:vAlign w:val="center"/>
                </w:tcPr>
                <w:p w14:paraId="31733D5A">
                  <w:pPr>
                    <w:widowControl/>
                    <w:jc w:val="center"/>
                    <w:textAlignment w:val="center"/>
                    <w:rPr>
                      <w:kern w:val="0"/>
                      <w:sz w:val="18"/>
                      <w:szCs w:val="18"/>
                      <w:lang w:bidi="ar"/>
                    </w:rPr>
                  </w:pPr>
                  <w:r>
                    <w:rPr>
                      <w:rFonts w:hint="eastAsia"/>
                      <w:kern w:val="0"/>
                      <w:sz w:val="18"/>
                      <w:szCs w:val="18"/>
                      <w:lang w:bidi="ar"/>
                    </w:rPr>
                    <w:t>55</w:t>
                  </w:r>
                </w:p>
              </w:tc>
              <w:tc>
                <w:tcPr>
                  <w:tcW w:w="528" w:type="dxa"/>
                  <w:tcBorders>
                    <w:tl2br w:val="nil"/>
                    <w:tr2bl w:val="nil"/>
                  </w:tcBorders>
                  <w:shd w:val="clear" w:color="auto" w:fill="FFFFFF"/>
                  <w:vAlign w:val="center"/>
                </w:tcPr>
                <w:p w14:paraId="0911D035">
                  <w:pPr>
                    <w:widowControl/>
                    <w:jc w:val="center"/>
                    <w:textAlignment w:val="center"/>
                    <w:rPr>
                      <w:kern w:val="0"/>
                      <w:sz w:val="18"/>
                      <w:szCs w:val="18"/>
                      <w:lang w:bidi="ar"/>
                    </w:rPr>
                  </w:pPr>
                  <w:r>
                    <w:rPr>
                      <w:rFonts w:hint="eastAsia"/>
                      <w:kern w:val="0"/>
                      <w:sz w:val="18"/>
                      <w:szCs w:val="18"/>
                      <w:lang w:bidi="ar"/>
                    </w:rPr>
                    <w:t>44</w:t>
                  </w:r>
                </w:p>
              </w:tc>
              <w:tc>
                <w:tcPr>
                  <w:tcW w:w="527" w:type="dxa"/>
                  <w:tcBorders>
                    <w:tl2br w:val="nil"/>
                    <w:tr2bl w:val="nil"/>
                  </w:tcBorders>
                  <w:shd w:val="clear" w:color="auto" w:fill="FFFFFF"/>
                  <w:vAlign w:val="center"/>
                </w:tcPr>
                <w:p w14:paraId="5A071044">
                  <w:pPr>
                    <w:widowControl/>
                    <w:jc w:val="center"/>
                    <w:textAlignment w:val="center"/>
                    <w:rPr>
                      <w:kern w:val="0"/>
                      <w:sz w:val="18"/>
                      <w:szCs w:val="18"/>
                      <w:lang w:bidi="ar"/>
                    </w:rPr>
                  </w:pPr>
                  <w:r>
                    <w:rPr>
                      <w:rFonts w:hint="eastAsia"/>
                      <w:kern w:val="0"/>
                      <w:sz w:val="18"/>
                      <w:szCs w:val="18"/>
                      <w:lang w:bidi="ar"/>
                    </w:rPr>
                    <w:t>55</w:t>
                  </w:r>
                </w:p>
              </w:tc>
              <w:tc>
                <w:tcPr>
                  <w:tcW w:w="529" w:type="dxa"/>
                  <w:tcBorders>
                    <w:tl2br w:val="nil"/>
                    <w:tr2bl w:val="nil"/>
                  </w:tcBorders>
                  <w:shd w:val="clear" w:color="auto" w:fill="FFFFFF"/>
                  <w:vAlign w:val="center"/>
                </w:tcPr>
                <w:p w14:paraId="0D9CDE94">
                  <w:pPr>
                    <w:widowControl/>
                    <w:jc w:val="center"/>
                    <w:textAlignment w:val="center"/>
                    <w:rPr>
                      <w:kern w:val="0"/>
                      <w:sz w:val="18"/>
                      <w:szCs w:val="18"/>
                      <w:lang w:bidi="ar"/>
                    </w:rPr>
                  </w:pPr>
                  <w:r>
                    <w:rPr>
                      <w:rFonts w:hint="eastAsia"/>
                      <w:kern w:val="0"/>
                      <w:sz w:val="18"/>
                      <w:szCs w:val="18"/>
                      <w:lang w:bidi="ar"/>
                    </w:rPr>
                    <w:t>44</w:t>
                  </w:r>
                </w:p>
              </w:tc>
              <w:tc>
                <w:tcPr>
                  <w:tcW w:w="454" w:type="dxa"/>
                  <w:tcBorders>
                    <w:tl2br w:val="nil"/>
                    <w:tr2bl w:val="nil"/>
                  </w:tcBorders>
                  <w:shd w:val="clear" w:color="auto" w:fill="FFFFFF"/>
                  <w:vAlign w:val="center"/>
                </w:tcPr>
                <w:p w14:paraId="65994C63">
                  <w:pPr>
                    <w:widowControl/>
                    <w:jc w:val="center"/>
                    <w:textAlignment w:val="center"/>
                    <w:rPr>
                      <w:kern w:val="0"/>
                      <w:sz w:val="18"/>
                      <w:szCs w:val="18"/>
                      <w:lang w:bidi="ar"/>
                    </w:rPr>
                  </w:pPr>
                  <w:r>
                    <w:rPr>
                      <w:rFonts w:hint="eastAsia"/>
                      <w:kern w:val="0"/>
                      <w:sz w:val="18"/>
                      <w:szCs w:val="18"/>
                      <w:lang w:bidi="ar"/>
                    </w:rPr>
                    <w:t>60</w:t>
                  </w:r>
                </w:p>
              </w:tc>
              <w:tc>
                <w:tcPr>
                  <w:tcW w:w="455" w:type="dxa"/>
                  <w:tcBorders>
                    <w:tl2br w:val="nil"/>
                    <w:tr2bl w:val="nil"/>
                  </w:tcBorders>
                  <w:shd w:val="clear" w:color="auto" w:fill="FFFFFF"/>
                  <w:vAlign w:val="center"/>
                </w:tcPr>
                <w:p w14:paraId="5CDB257D">
                  <w:pPr>
                    <w:widowControl/>
                    <w:jc w:val="center"/>
                    <w:textAlignment w:val="center"/>
                    <w:rPr>
                      <w:kern w:val="0"/>
                      <w:sz w:val="18"/>
                      <w:szCs w:val="18"/>
                      <w:lang w:bidi="ar"/>
                    </w:rPr>
                  </w:pPr>
                  <w:r>
                    <w:rPr>
                      <w:rFonts w:hint="eastAsia"/>
                      <w:kern w:val="0"/>
                      <w:sz w:val="18"/>
                      <w:szCs w:val="18"/>
                      <w:lang w:bidi="ar"/>
                    </w:rPr>
                    <w:t>50</w:t>
                  </w:r>
                </w:p>
              </w:tc>
              <w:tc>
                <w:tcPr>
                  <w:tcW w:w="528" w:type="dxa"/>
                  <w:tcBorders>
                    <w:tl2br w:val="nil"/>
                    <w:tr2bl w:val="nil"/>
                  </w:tcBorders>
                  <w:shd w:val="clear" w:color="auto" w:fill="FFFFFF"/>
                  <w:vAlign w:val="center"/>
                </w:tcPr>
                <w:p w14:paraId="68C727E7">
                  <w:pPr>
                    <w:widowControl/>
                    <w:jc w:val="center"/>
                    <w:textAlignment w:val="center"/>
                    <w:rPr>
                      <w:kern w:val="0"/>
                      <w:sz w:val="18"/>
                      <w:szCs w:val="18"/>
                      <w:lang w:bidi="ar"/>
                    </w:rPr>
                  </w:pPr>
                  <w:r>
                    <w:rPr>
                      <w:kern w:val="0"/>
                      <w:sz w:val="18"/>
                      <w:szCs w:val="18"/>
                      <w:lang w:bidi="ar"/>
                    </w:rPr>
                    <w:t xml:space="preserve">45.3 </w:t>
                  </w:r>
                </w:p>
              </w:tc>
              <w:tc>
                <w:tcPr>
                  <w:tcW w:w="529" w:type="dxa"/>
                  <w:tcBorders>
                    <w:tl2br w:val="nil"/>
                    <w:tr2bl w:val="nil"/>
                  </w:tcBorders>
                  <w:shd w:val="clear" w:color="auto" w:fill="FFFFFF"/>
                  <w:vAlign w:val="center"/>
                </w:tcPr>
                <w:p w14:paraId="1BB858EA">
                  <w:pPr>
                    <w:widowControl/>
                    <w:jc w:val="center"/>
                    <w:textAlignment w:val="center"/>
                    <w:rPr>
                      <w:kern w:val="0"/>
                      <w:sz w:val="18"/>
                      <w:szCs w:val="18"/>
                      <w:lang w:bidi="ar"/>
                    </w:rPr>
                  </w:pPr>
                  <w:r>
                    <w:rPr>
                      <w:kern w:val="0"/>
                      <w:sz w:val="18"/>
                      <w:szCs w:val="18"/>
                      <w:lang w:bidi="ar"/>
                    </w:rPr>
                    <w:t xml:space="preserve">45.3 </w:t>
                  </w:r>
                </w:p>
              </w:tc>
              <w:tc>
                <w:tcPr>
                  <w:tcW w:w="528" w:type="dxa"/>
                  <w:tcBorders>
                    <w:tl2br w:val="nil"/>
                    <w:tr2bl w:val="nil"/>
                  </w:tcBorders>
                  <w:shd w:val="clear" w:color="auto" w:fill="FFFFFF"/>
                  <w:vAlign w:val="center"/>
                </w:tcPr>
                <w:p w14:paraId="242C60E4">
                  <w:pPr>
                    <w:widowControl/>
                    <w:jc w:val="center"/>
                    <w:textAlignment w:val="center"/>
                    <w:rPr>
                      <w:kern w:val="0"/>
                      <w:sz w:val="18"/>
                      <w:szCs w:val="18"/>
                      <w:lang w:bidi="ar"/>
                    </w:rPr>
                  </w:pPr>
                  <w:r>
                    <w:rPr>
                      <w:kern w:val="0"/>
                      <w:sz w:val="18"/>
                      <w:szCs w:val="18"/>
                      <w:lang w:bidi="ar"/>
                    </w:rPr>
                    <w:t>55</w:t>
                  </w:r>
                </w:p>
              </w:tc>
              <w:tc>
                <w:tcPr>
                  <w:tcW w:w="529" w:type="dxa"/>
                  <w:tcBorders>
                    <w:tl2br w:val="nil"/>
                    <w:tr2bl w:val="nil"/>
                  </w:tcBorders>
                  <w:shd w:val="clear" w:color="auto" w:fill="FFFFFF"/>
                  <w:vAlign w:val="center"/>
                </w:tcPr>
                <w:p w14:paraId="54539FAB">
                  <w:pPr>
                    <w:widowControl/>
                    <w:jc w:val="center"/>
                    <w:textAlignment w:val="center"/>
                    <w:rPr>
                      <w:kern w:val="0"/>
                      <w:sz w:val="18"/>
                      <w:szCs w:val="18"/>
                      <w:lang w:bidi="ar"/>
                    </w:rPr>
                  </w:pPr>
                  <w:r>
                    <w:rPr>
                      <w:kern w:val="0"/>
                      <w:sz w:val="18"/>
                      <w:szCs w:val="18"/>
                      <w:lang w:bidi="ar"/>
                    </w:rPr>
                    <w:t>4</w:t>
                  </w:r>
                  <w:r>
                    <w:rPr>
                      <w:rFonts w:hint="eastAsia"/>
                      <w:kern w:val="0"/>
                      <w:sz w:val="18"/>
                      <w:szCs w:val="18"/>
                      <w:lang w:bidi="ar"/>
                    </w:rPr>
                    <w:t>8</w:t>
                  </w:r>
                </w:p>
              </w:tc>
              <w:tc>
                <w:tcPr>
                  <w:tcW w:w="511" w:type="dxa"/>
                  <w:tcBorders>
                    <w:tl2br w:val="nil"/>
                    <w:tr2bl w:val="nil"/>
                  </w:tcBorders>
                  <w:shd w:val="clear" w:color="auto" w:fill="FFFFFF"/>
                  <w:vAlign w:val="center"/>
                </w:tcPr>
                <w:p w14:paraId="2716D25F">
                  <w:pPr>
                    <w:widowControl/>
                    <w:jc w:val="center"/>
                    <w:textAlignment w:val="center"/>
                    <w:rPr>
                      <w:kern w:val="0"/>
                      <w:sz w:val="18"/>
                      <w:szCs w:val="18"/>
                      <w:lang w:bidi="ar"/>
                    </w:rPr>
                  </w:pPr>
                  <w:r>
                    <w:rPr>
                      <w:kern w:val="0"/>
                      <w:sz w:val="18"/>
                      <w:szCs w:val="18"/>
                      <w:lang w:bidi="ar"/>
                    </w:rPr>
                    <w:t xml:space="preserve">0 </w:t>
                  </w:r>
                </w:p>
              </w:tc>
              <w:tc>
                <w:tcPr>
                  <w:tcW w:w="512" w:type="dxa"/>
                  <w:tcBorders>
                    <w:tl2br w:val="nil"/>
                    <w:tr2bl w:val="nil"/>
                  </w:tcBorders>
                  <w:shd w:val="clear" w:color="auto" w:fill="FFFFFF"/>
                  <w:vAlign w:val="center"/>
                </w:tcPr>
                <w:p w14:paraId="2525FF93">
                  <w:pPr>
                    <w:widowControl/>
                    <w:jc w:val="center"/>
                    <w:textAlignment w:val="center"/>
                    <w:rPr>
                      <w:kern w:val="0"/>
                      <w:sz w:val="18"/>
                      <w:szCs w:val="18"/>
                      <w:lang w:bidi="ar"/>
                    </w:rPr>
                  </w:pPr>
                  <w:r>
                    <w:rPr>
                      <w:rFonts w:hint="eastAsia"/>
                      <w:kern w:val="0"/>
                      <w:sz w:val="18"/>
                      <w:szCs w:val="18"/>
                      <w:lang w:bidi="ar"/>
                    </w:rPr>
                    <w:t>4</w:t>
                  </w:r>
                  <w:r>
                    <w:rPr>
                      <w:kern w:val="0"/>
                      <w:sz w:val="18"/>
                      <w:szCs w:val="18"/>
                      <w:lang w:bidi="ar"/>
                    </w:rPr>
                    <w:t xml:space="preserve"> </w:t>
                  </w:r>
                </w:p>
              </w:tc>
              <w:tc>
                <w:tcPr>
                  <w:tcW w:w="457" w:type="dxa"/>
                  <w:tcBorders>
                    <w:tl2br w:val="nil"/>
                    <w:tr2bl w:val="nil"/>
                  </w:tcBorders>
                  <w:shd w:val="clear" w:color="auto" w:fill="FFFFFF"/>
                  <w:vAlign w:val="center"/>
                </w:tcPr>
                <w:p w14:paraId="1D4B5C85">
                  <w:pPr>
                    <w:widowControl/>
                    <w:jc w:val="left"/>
                    <w:textAlignment w:val="center"/>
                    <w:rPr>
                      <w:rFonts w:hint="eastAsia" w:eastAsia="宋体"/>
                      <w:sz w:val="18"/>
                      <w:szCs w:val="18"/>
                      <w:lang w:val="en-US" w:eastAsia="zh-CN"/>
                    </w:rPr>
                  </w:pPr>
                  <w:r>
                    <w:rPr>
                      <w:kern w:val="0"/>
                      <w:sz w:val="18"/>
                      <w:szCs w:val="18"/>
                      <w:lang w:bidi="ar"/>
                    </w:rPr>
                    <w:t>达标</w:t>
                  </w:r>
                  <w:r>
                    <w:rPr>
                      <w:rFonts w:hint="eastAsia"/>
                      <w:kern w:val="0"/>
                      <w:sz w:val="18"/>
                      <w:szCs w:val="18"/>
                      <w:lang w:val="en-US" w:eastAsia="zh-CN" w:bidi="ar"/>
                    </w:rPr>
                    <w:t xml:space="preserve"> </w:t>
                  </w:r>
                </w:p>
              </w:tc>
              <w:tc>
                <w:tcPr>
                  <w:tcW w:w="458" w:type="dxa"/>
                  <w:tcBorders>
                    <w:tl2br w:val="nil"/>
                    <w:tr2bl w:val="nil"/>
                  </w:tcBorders>
                  <w:shd w:val="clear" w:color="auto" w:fill="FFFFFF"/>
                  <w:vAlign w:val="center"/>
                </w:tcPr>
                <w:p w14:paraId="658AB968">
                  <w:pPr>
                    <w:widowControl/>
                    <w:jc w:val="left"/>
                    <w:textAlignment w:val="center"/>
                    <w:rPr>
                      <w:rFonts w:hint="eastAsia" w:eastAsia="宋体"/>
                      <w:sz w:val="18"/>
                      <w:szCs w:val="18"/>
                      <w:lang w:val="en-US" w:eastAsia="zh-CN"/>
                    </w:rPr>
                  </w:pPr>
                  <w:r>
                    <w:rPr>
                      <w:kern w:val="0"/>
                      <w:sz w:val="18"/>
                      <w:szCs w:val="18"/>
                      <w:lang w:bidi="ar"/>
                    </w:rPr>
                    <w:t>达标</w:t>
                  </w:r>
                  <w:r>
                    <w:rPr>
                      <w:rFonts w:hint="eastAsia"/>
                      <w:kern w:val="0"/>
                      <w:sz w:val="18"/>
                      <w:szCs w:val="18"/>
                      <w:lang w:val="en-US" w:eastAsia="zh-CN" w:bidi="ar"/>
                    </w:rPr>
                    <w:t xml:space="preserve"> </w:t>
                  </w:r>
                </w:p>
              </w:tc>
            </w:tr>
          </w:tbl>
          <w:p w14:paraId="1621A36E">
            <w:pPr>
              <w:autoSpaceDE w:val="0"/>
              <w:autoSpaceDN w:val="0"/>
              <w:spacing w:line="360" w:lineRule="auto"/>
              <w:contextualSpacing/>
              <w:jc w:val="center"/>
              <w:rPr>
                <w:b/>
                <w:sz w:val="24"/>
              </w:rPr>
            </w:pPr>
            <w:r>
              <w:rPr>
                <w:b/>
                <w:sz w:val="24"/>
              </w:rPr>
              <w:t>表4-</w:t>
            </w:r>
            <w:r>
              <w:rPr>
                <w:rFonts w:hint="eastAsia"/>
                <w:b/>
                <w:sz w:val="24"/>
              </w:rPr>
              <w:t>10</w:t>
            </w:r>
            <w:r>
              <w:rPr>
                <w:b/>
                <w:sz w:val="24"/>
              </w:rPr>
              <w:t xml:space="preserve"> 使用柴油发电机情况下噪声对周围居民影响预测</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525"/>
              <w:gridCol w:w="528"/>
              <w:gridCol w:w="527"/>
              <w:gridCol w:w="529"/>
              <w:gridCol w:w="454"/>
              <w:gridCol w:w="455"/>
              <w:gridCol w:w="528"/>
              <w:gridCol w:w="529"/>
              <w:gridCol w:w="528"/>
              <w:gridCol w:w="529"/>
              <w:gridCol w:w="511"/>
              <w:gridCol w:w="512"/>
              <w:gridCol w:w="457"/>
              <w:gridCol w:w="458"/>
            </w:tblGrid>
            <w:tr w14:paraId="581EA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47" w:type="dxa"/>
                  <w:vMerge w:val="restart"/>
                  <w:tcBorders>
                    <w:tl2br w:val="nil"/>
                    <w:tr2bl w:val="nil"/>
                  </w:tcBorders>
                  <w:vAlign w:val="center"/>
                </w:tcPr>
                <w:p w14:paraId="790E76E2">
                  <w:pPr>
                    <w:widowControl/>
                    <w:jc w:val="center"/>
                    <w:textAlignment w:val="center"/>
                    <w:rPr>
                      <w:kern w:val="0"/>
                      <w:sz w:val="22"/>
                      <w:szCs w:val="22"/>
                      <w:lang w:bidi="ar"/>
                    </w:rPr>
                  </w:pPr>
                  <w:r>
                    <w:rPr>
                      <w:kern w:val="0"/>
                      <w:sz w:val="22"/>
                      <w:szCs w:val="22"/>
                      <w:lang w:bidi="ar"/>
                    </w:rPr>
                    <w:t>声环境保护目标名称</w:t>
                  </w:r>
                </w:p>
              </w:tc>
              <w:tc>
                <w:tcPr>
                  <w:tcW w:w="1053" w:type="dxa"/>
                  <w:gridSpan w:val="2"/>
                  <w:tcBorders>
                    <w:tl2br w:val="nil"/>
                    <w:tr2bl w:val="nil"/>
                  </w:tcBorders>
                  <w:vAlign w:val="center"/>
                </w:tcPr>
                <w:p w14:paraId="628DE7B3">
                  <w:pPr>
                    <w:widowControl/>
                    <w:jc w:val="center"/>
                    <w:textAlignment w:val="center"/>
                    <w:rPr>
                      <w:kern w:val="0"/>
                      <w:sz w:val="22"/>
                      <w:szCs w:val="22"/>
                      <w:lang w:bidi="ar"/>
                    </w:rPr>
                  </w:pPr>
                  <w:r>
                    <w:rPr>
                      <w:kern w:val="0"/>
                      <w:sz w:val="22"/>
                      <w:szCs w:val="22"/>
                      <w:lang w:bidi="ar"/>
                    </w:rPr>
                    <w:t>噪声背景值/dB(A)</w:t>
                  </w:r>
                </w:p>
              </w:tc>
              <w:tc>
                <w:tcPr>
                  <w:tcW w:w="1056" w:type="dxa"/>
                  <w:gridSpan w:val="2"/>
                  <w:tcBorders>
                    <w:tl2br w:val="nil"/>
                    <w:tr2bl w:val="nil"/>
                  </w:tcBorders>
                  <w:vAlign w:val="center"/>
                </w:tcPr>
                <w:p w14:paraId="6DFFD9A1">
                  <w:pPr>
                    <w:widowControl/>
                    <w:jc w:val="center"/>
                    <w:textAlignment w:val="center"/>
                    <w:rPr>
                      <w:kern w:val="0"/>
                      <w:sz w:val="22"/>
                      <w:szCs w:val="22"/>
                      <w:lang w:bidi="ar"/>
                    </w:rPr>
                  </w:pPr>
                  <w:r>
                    <w:rPr>
                      <w:kern w:val="0"/>
                      <w:sz w:val="22"/>
                      <w:szCs w:val="22"/>
                      <w:lang w:bidi="ar"/>
                    </w:rPr>
                    <w:t>噪声现状值/dB(A)</w:t>
                  </w:r>
                </w:p>
              </w:tc>
              <w:tc>
                <w:tcPr>
                  <w:tcW w:w="909" w:type="dxa"/>
                  <w:gridSpan w:val="2"/>
                  <w:tcBorders>
                    <w:tl2br w:val="nil"/>
                    <w:tr2bl w:val="nil"/>
                  </w:tcBorders>
                  <w:vAlign w:val="center"/>
                </w:tcPr>
                <w:p w14:paraId="7ED97C14">
                  <w:pPr>
                    <w:widowControl/>
                    <w:jc w:val="center"/>
                    <w:textAlignment w:val="center"/>
                    <w:rPr>
                      <w:kern w:val="0"/>
                      <w:sz w:val="22"/>
                      <w:szCs w:val="22"/>
                      <w:lang w:bidi="ar"/>
                    </w:rPr>
                  </w:pPr>
                  <w:r>
                    <w:rPr>
                      <w:kern w:val="0"/>
                      <w:sz w:val="22"/>
                      <w:szCs w:val="22"/>
                      <w:lang w:bidi="ar"/>
                    </w:rPr>
                    <w:t>噪声标准/dB(A)</w:t>
                  </w:r>
                </w:p>
              </w:tc>
              <w:tc>
                <w:tcPr>
                  <w:tcW w:w="1057" w:type="dxa"/>
                  <w:gridSpan w:val="2"/>
                  <w:tcBorders>
                    <w:tl2br w:val="nil"/>
                    <w:tr2bl w:val="nil"/>
                  </w:tcBorders>
                  <w:vAlign w:val="center"/>
                </w:tcPr>
                <w:p w14:paraId="097074A1">
                  <w:pPr>
                    <w:widowControl/>
                    <w:jc w:val="center"/>
                    <w:textAlignment w:val="center"/>
                    <w:rPr>
                      <w:kern w:val="0"/>
                      <w:sz w:val="22"/>
                      <w:szCs w:val="22"/>
                      <w:lang w:bidi="ar"/>
                    </w:rPr>
                  </w:pPr>
                  <w:r>
                    <w:rPr>
                      <w:kern w:val="0"/>
                      <w:sz w:val="22"/>
                      <w:szCs w:val="22"/>
                      <w:lang w:bidi="ar"/>
                    </w:rPr>
                    <w:t>噪声贡献值/dB(A)</w:t>
                  </w:r>
                </w:p>
              </w:tc>
              <w:tc>
                <w:tcPr>
                  <w:tcW w:w="1057" w:type="dxa"/>
                  <w:gridSpan w:val="2"/>
                  <w:tcBorders>
                    <w:tl2br w:val="nil"/>
                    <w:tr2bl w:val="nil"/>
                  </w:tcBorders>
                  <w:vAlign w:val="center"/>
                </w:tcPr>
                <w:p w14:paraId="1C243010">
                  <w:pPr>
                    <w:widowControl/>
                    <w:jc w:val="center"/>
                    <w:textAlignment w:val="center"/>
                    <w:rPr>
                      <w:kern w:val="0"/>
                      <w:sz w:val="22"/>
                      <w:szCs w:val="22"/>
                      <w:lang w:bidi="ar"/>
                    </w:rPr>
                  </w:pPr>
                  <w:r>
                    <w:rPr>
                      <w:kern w:val="0"/>
                      <w:sz w:val="22"/>
                      <w:szCs w:val="22"/>
                      <w:lang w:bidi="ar"/>
                    </w:rPr>
                    <w:t>噪声预测值/dB(A)</w:t>
                  </w:r>
                </w:p>
              </w:tc>
              <w:tc>
                <w:tcPr>
                  <w:tcW w:w="1023" w:type="dxa"/>
                  <w:gridSpan w:val="2"/>
                  <w:tcBorders>
                    <w:tl2br w:val="nil"/>
                    <w:tr2bl w:val="nil"/>
                  </w:tcBorders>
                  <w:vAlign w:val="center"/>
                </w:tcPr>
                <w:p w14:paraId="5FE70950">
                  <w:pPr>
                    <w:widowControl/>
                    <w:jc w:val="center"/>
                    <w:textAlignment w:val="center"/>
                    <w:rPr>
                      <w:kern w:val="0"/>
                      <w:sz w:val="22"/>
                      <w:szCs w:val="22"/>
                      <w:lang w:bidi="ar"/>
                    </w:rPr>
                  </w:pPr>
                  <w:r>
                    <w:rPr>
                      <w:kern w:val="0"/>
                      <w:sz w:val="22"/>
                      <w:szCs w:val="22"/>
                      <w:lang w:bidi="ar"/>
                    </w:rPr>
                    <w:t>较现状增量/dB(A)</w:t>
                  </w:r>
                </w:p>
              </w:tc>
              <w:tc>
                <w:tcPr>
                  <w:tcW w:w="915" w:type="dxa"/>
                  <w:gridSpan w:val="2"/>
                  <w:tcBorders>
                    <w:tl2br w:val="nil"/>
                    <w:tr2bl w:val="nil"/>
                  </w:tcBorders>
                  <w:vAlign w:val="center"/>
                </w:tcPr>
                <w:p w14:paraId="3CF698A5">
                  <w:pPr>
                    <w:widowControl/>
                    <w:jc w:val="center"/>
                    <w:textAlignment w:val="center"/>
                    <w:rPr>
                      <w:kern w:val="0"/>
                      <w:sz w:val="22"/>
                      <w:szCs w:val="22"/>
                      <w:lang w:bidi="ar"/>
                    </w:rPr>
                  </w:pPr>
                  <w:r>
                    <w:rPr>
                      <w:kern w:val="0"/>
                      <w:sz w:val="22"/>
                      <w:szCs w:val="22"/>
                      <w:lang w:bidi="ar"/>
                    </w:rPr>
                    <w:t>超标和达标情况</w:t>
                  </w:r>
                </w:p>
              </w:tc>
            </w:tr>
            <w:tr w14:paraId="7DDAD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47" w:type="dxa"/>
                  <w:vMerge w:val="continue"/>
                  <w:tcBorders>
                    <w:tl2br w:val="nil"/>
                    <w:tr2bl w:val="nil"/>
                  </w:tcBorders>
                  <w:shd w:val="clear" w:color="auto" w:fill="FFFFFF"/>
                  <w:vAlign w:val="center"/>
                </w:tcPr>
                <w:p w14:paraId="2FE72B95">
                  <w:pPr>
                    <w:widowControl/>
                    <w:jc w:val="center"/>
                    <w:textAlignment w:val="center"/>
                    <w:rPr>
                      <w:kern w:val="0"/>
                      <w:sz w:val="22"/>
                      <w:szCs w:val="22"/>
                      <w:lang w:bidi="ar"/>
                    </w:rPr>
                  </w:pPr>
                </w:p>
              </w:tc>
              <w:tc>
                <w:tcPr>
                  <w:tcW w:w="525" w:type="dxa"/>
                  <w:tcBorders>
                    <w:tl2br w:val="nil"/>
                    <w:tr2bl w:val="nil"/>
                  </w:tcBorders>
                  <w:shd w:val="clear" w:color="auto" w:fill="FFFFFF"/>
                  <w:vAlign w:val="center"/>
                </w:tcPr>
                <w:p w14:paraId="0DE0165F">
                  <w:pPr>
                    <w:jc w:val="center"/>
                    <w:rPr>
                      <w:kern w:val="0"/>
                      <w:sz w:val="22"/>
                      <w:szCs w:val="22"/>
                      <w:lang w:bidi="ar"/>
                    </w:rPr>
                  </w:pPr>
                  <w:r>
                    <w:rPr>
                      <w:sz w:val="18"/>
                      <w:szCs w:val="18"/>
                    </w:rPr>
                    <w:t>昼间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115EAA95">
                  <w:pPr>
                    <w:jc w:val="center"/>
                    <w:rPr>
                      <w:kern w:val="0"/>
                      <w:sz w:val="22"/>
                      <w:szCs w:val="22"/>
                      <w:lang w:bidi="ar"/>
                    </w:rPr>
                  </w:pPr>
                  <w:r>
                    <w:rPr>
                      <w:sz w:val="18"/>
                      <w:szCs w:val="18"/>
                    </w:rPr>
                    <w:t>夜间</w:t>
                  </w:r>
                  <w:r>
                    <w:rPr>
                      <w:rFonts w:hint="eastAsia"/>
                      <w:sz w:val="18"/>
                      <w:szCs w:val="18"/>
                      <w:lang w:val="en-US" w:eastAsia="zh-CN"/>
                    </w:rPr>
                    <w:t xml:space="preserve"> </w:t>
                  </w:r>
                </w:p>
              </w:tc>
              <w:tc>
                <w:tcPr>
                  <w:tcW w:w="527" w:type="dxa"/>
                  <w:tcBorders>
                    <w:tl2br w:val="nil"/>
                    <w:tr2bl w:val="nil"/>
                  </w:tcBorders>
                  <w:shd w:val="clear" w:color="auto" w:fill="FFFFFF"/>
                  <w:vAlign w:val="center"/>
                </w:tcPr>
                <w:p w14:paraId="3A3B1D11">
                  <w:pPr>
                    <w:jc w:val="center"/>
                    <w:rPr>
                      <w:kern w:val="0"/>
                      <w:sz w:val="22"/>
                      <w:szCs w:val="22"/>
                      <w:lang w:bidi="ar"/>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06B3B7FF">
                  <w:pPr>
                    <w:jc w:val="center"/>
                    <w:rPr>
                      <w:kern w:val="0"/>
                      <w:sz w:val="22"/>
                      <w:szCs w:val="22"/>
                      <w:lang w:bidi="ar"/>
                    </w:rPr>
                  </w:pPr>
                  <w:r>
                    <w:rPr>
                      <w:sz w:val="18"/>
                      <w:szCs w:val="18"/>
                    </w:rPr>
                    <w:t>夜间</w:t>
                  </w:r>
                  <w:r>
                    <w:rPr>
                      <w:rFonts w:hint="eastAsia"/>
                      <w:sz w:val="18"/>
                      <w:szCs w:val="18"/>
                      <w:lang w:val="en-US" w:eastAsia="zh-CN"/>
                    </w:rPr>
                    <w:t xml:space="preserve"> </w:t>
                  </w:r>
                </w:p>
              </w:tc>
              <w:tc>
                <w:tcPr>
                  <w:tcW w:w="454" w:type="dxa"/>
                  <w:tcBorders>
                    <w:tl2br w:val="nil"/>
                    <w:tr2bl w:val="nil"/>
                  </w:tcBorders>
                  <w:shd w:val="clear" w:color="auto" w:fill="FFFFFF"/>
                  <w:vAlign w:val="center"/>
                </w:tcPr>
                <w:p w14:paraId="64160B6C">
                  <w:pPr>
                    <w:jc w:val="center"/>
                    <w:rPr>
                      <w:kern w:val="0"/>
                      <w:sz w:val="22"/>
                      <w:szCs w:val="22"/>
                      <w:lang w:bidi="ar"/>
                    </w:rPr>
                  </w:pPr>
                  <w:r>
                    <w:rPr>
                      <w:sz w:val="18"/>
                      <w:szCs w:val="18"/>
                    </w:rPr>
                    <w:t>昼间</w:t>
                  </w:r>
                  <w:r>
                    <w:rPr>
                      <w:rFonts w:hint="eastAsia"/>
                      <w:sz w:val="18"/>
                      <w:szCs w:val="18"/>
                      <w:lang w:val="en-US" w:eastAsia="zh-CN"/>
                    </w:rPr>
                    <w:t xml:space="preserve"> </w:t>
                  </w:r>
                </w:p>
              </w:tc>
              <w:tc>
                <w:tcPr>
                  <w:tcW w:w="455" w:type="dxa"/>
                  <w:tcBorders>
                    <w:tl2br w:val="nil"/>
                    <w:tr2bl w:val="nil"/>
                  </w:tcBorders>
                  <w:shd w:val="clear" w:color="auto" w:fill="FFFFFF"/>
                  <w:vAlign w:val="center"/>
                </w:tcPr>
                <w:p w14:paraId="1D680A46">
                  <w:pPr>
                    <w:jc w:val="center"/>
                    <w:rPr>
                      <w:kern w:val="0"/>
                      <w:sz w:val="22"/>
                      <w:szCs w:val="22"/>
                      <w:lang w:bidi="ar"/>
                    </w:rPr>
                  </w:pPr>
                  <w:r>
                    <w:rPr>
                      <w:sz w:val="18"/>
                      <w:szCs w:val="18"/>
                    </w:rPr>
                    <w:t>夜间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51369417">
                  <w:pPr>
                    <w:jc w:val="center"/>
                    <w:rPr>
                      <w:kern w:val="0"/>
                      <w:sz w:val="22"/>
                      <w:szCs w:val="22"/>
                      <w:lang w:bidi="ar"/>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6578B705">
                  <w:pPr>
                    <w:jc w:val="center"/>
                    <w:rPr>
                      <w:kern w:val="0"/>
                      <w:sz w:val="22"/>
                      <w:szCs w:val="22"/>
                      <w:lang w:bidi="ar"/>
                    </w:rPr>
                  </w:pPr>
                  <w:r>
                    <w:rPr>
                      <w:sz w:val="18"/>
                      <w:szCs w:val="18"/>
                    </w:rPr>
                    <w:t>夜间</w:t>
                  </w:r>
                  <w:r>
                    <w:rPr>
                      <w:rFonts w:hint="eastAsia"/>
                      <w:sz w:val="18"/>
                      <w:szCs w:val="18"/>
                      <w:lang w:val="en-US" w:eastAsia="zh-CN"/>
                    </w:rPr>
                    <w:t xml:space="preserve"> </w:t>
                  </w:r>
                </w:p>
              </w:tc>
              <w:tc>
                <w:tcPr>
                  <w:tcW w:w="528" w:type="dxa"/>
                  <w:tcBorders>
                    <w:tl2br w:val="nil"/>
                    <w:tr2bl w:val="nil"/>
                  </w:tcBorders>
                  <w:shd w:val="clear" w:color="auto" w:fill="FFFFFF"/>
                  <w:vAlign w:val="center"/>
                </w:tcPr>
                <w:p w14:paraId="072B4BE1">
                  <w:pPr>
                    <w:jc w:val="center"/>
                    <w:rPr>
                      <w:kern w:val="0"/>
                      <w:sz w:val="22"/>
                      <w:szCs w:val="22"/>
                      <w:lang w:bidi="ar"/>
                    </w:rPr>
                  </w:pPr>
                  <w:r>
                    <w:rPr>
                      <w:sz w:val="18"/>
                      <w:szCs w:val="18"/>
                    </w:rPr>
                    <w:t>昼间</w:t>
                  </w:r>
                  <w:r>
                    <w:rPr>
                      <w:rFonts w:hint="eastAsia"/>
                      <w:sz w:val="18"/>
                      <w:szCs w:val="18"/>
                      <w:lang w:val="en-US" w:eastAsia="zh-CN"/>
                    </w:rPr>
                    <w:t xml:space="preserve"> </w:t>
                  </w:r>
                </w:p>
              </w:tc>
              <w:tc>
                <w:tcPr>
                  <w:tcW w:w="529" w:type="dxa"/>
                  <w:tcBorders>
                    <w:tl2br w:val="nil"/>
                    <w:tr2bl w:val="nil"/>
                  </w:tcBorders>
                  <w:shd w:val="clear" w:color="auto" w:fill="FFFFFF"/>
                  <w:vAlign w:val="center"/>
                </w:tcPr>
                <w:p w14:paraId="1AA21862">
                  <w:pPr>
                    <w:jc w:val="center"/>
                    <w:rPr>
                      <w:kern w:val="0"/>
                      <w:sz w:val="22"/>
                      <w:szCs w:val="22"/>
                      <w:lang w:bidi="ar"/>
                    </w:rPr>
                  </w:pPr>
                  <w:r>
                    <w:rPr>
                      <w:sz w:val="18"/>
                      <w:szCs w:val="18"/>
                    </w:rPr>
                    <w:t>夜间</w:t>
                  </w:r>
                  <w:r>
                    <w:rPr>
                      <w:rFonts w:hint="eastAsia"/>
                      <w:sz w:val="18"/>
                      <w:szCs w:val="18"/>
                      <w:lang w:val="en-US" w:eastAsia="zh-CN"/>
                    </w:rPr>
                    <w:t xml:space="preserve"> </w:t>
                  </w:r>
                </w:p>
              </w:tc>
              <w:tc>
                <w:tcPr>
                  <w:tcW w:w="511" w:type="dxa"/>
                  <w:tcBorders>
                    <w:tl2br w:val="nil"/>
                    <w:tr2bl w:val="nil"/>
                  </w:tcBorders>
                  <w:shd w:val="clear" w:color="auto" w:fill="FFFFFF"/>
                  <w:vAlign w:val="center"/>
                </w:tcPr>
                <w:p w14:paraId="6A61582B">
                  <w:pPr>
                    <w:jc w:val="center"/>
                    <w:rPr>
                      <w:kern w:val="0"/>
                      <w:sz w:val="22"/>
                      <w:szCs w:val="22"/>
                      <w:lang w:bidi="ar"/>
                    </w:rPr>
                  </w:pPr>
                  <w:r>
                    <w:rPr>
                      <w:sz w:val="18"/>
                      <w:szCs w:val="18"/>
                    </w:rPr>
                    <w:t>昼间</w:t>
                  </w:r>
                  <w:r>
                    <w:rPr>
                      <w:rFonts w:hint="eastAsia"/>
                      <w:sz w:val="18"/>
                      <w:szCs w:val="18"/>
                      <w:lang w:val="en-US" w:eastAsia="zh-CN"/>
                    </w:rPr>
                    <w:t xml:space="preserve"> </w:t>
                  </w:r>
                </w:p>
              </w:tc>
              <w:tc>
                <w:tcPr>
                  <w:tcW w:w="512" w:type="dxa"/>
                  <w:tcBorders>
                    <w:tl2br w:val="nil"/>
                    <w:tr2bl w:val="nil"/>
                  </w:tcBorders>
                  <w:shd w:val="clear" w:color="auto" w:fill="FFFFFF"/>
                  <w:vAlign w:val="center"/>
                </w:tcPr>
                <w:p w14:paraId="7AFD4A06">
                  <w:pPr>
                    <w:jc w:val="center"/>
                    <w:rPr>
                      <w:kern w:val="0"/>
                      <w:sz w:val="22"/>
                      <w:szCs w:val="22"/>
                      <w:lang w:bidi="ar"/>
                    </w:rPr>
                  </w:pPr>
                  <w:r>
                    <w:rPr>
                      <w:sz w:val="18"/>
                      <w:szCs w:val="18"/>
                    </w:rPr>
                    <w:t>夜间</w:t>
                  </w:r>
                  <w:r>
                    <w:rPr>
                      <w:rFonts w:hint="eastAsia"/>
                      <w:sz w:val="18"/>
                      <w:szCs w:val="18"/>
                      <w:lang w:val="en-US" w:eastAsia="zh-CN"/>
                    </w:rPr>
                    <w:t xml:space="preserve"> </w:t>
                  </w:r>
                </w:p>
              </w:tc>
              <w:tc>
                <w:tcPr>
                  <w:tcW w:w="457" w:type="dxa"/>
                  <w:tcBorders>
                    <w:tl2br w:val="nil"/>
                    <w:tr2bl w:val="nil"/>
                  </w:tcBorders>
                  <w:shd w:val="clear" w:color="auto" w:fill="FFFFFF"/>
                  <w:vAlign w:val="center"/>
                </w:tcPr>
                <w:p w14:paraId="684A3435">
                  <w:pPr>
                    <w:jc w:val="center"/>
                    <w:rPr>
                      <w:kern w:val="0"/>
                      <w:sz w:val="22"/>
                      <w:szCs w:val="22"/>
                      <w:lang w:bidi="ar"/>
                    </w:rPr>
                  </w:pPr>
                  <w:r>
                    <w:rPr>
                      <w:sz w:val="18"/>
                      <w:szCs w:val="18"/>
                    </w:rPr>
                    <w:t>昼间</w:t>
                  </w:r>
                  <w:r>
                    <w:rPr>
                      <w:rFonts w:hint="eastAsia"/>
                      <w:sz w:val="18"/>
                      <w:szCs w:val="18"/>
                      <w:lang w:val="en-US" w:eastAsia="zh-CN"/>
                    </w:rPr>
                    <w:t xml:space="preserve"> </w:t>
                  </w:r>
                </w:p>
              </w:tc>
              <w:tc>
                <w:tcPr>
                  <w:tcW w:w="458" w:type="dxa"/>
                  <w:tcBorders>
                    <w:tl2br w:val="nil"/>
                    <w:tr2bl w:val="nil"/>
                  </w:tcBorders>
                  <w:shd w:val="clear" w:color="auto" w:fill="FFFFFF"/>
                  <w:vAlign w:val="center"/>
                </w:tcPr>
                <w:p w14:paraId="236C6448">
                  <w:pPr>
                    <w:jc w:val="center"/>
                    <w:rPr>
                      <w:kern w:val="0"/>
                      <w:sz w:val="22"/>
                      <w:szCs w:val="22"/>
                      <w:lang w:bidi="ar"/>
                    </w:rPr>
                  </w:pPr>
                  <w:r>
                    <w:rPr>
                      <w:sz w:val="18"/>
                      <w:szCs w:val="18"/>
                    </w:rPr>
                    <w:t>夜间</w:t>
                  </w:r>
                  <w:r>
                    <w:rPr>
                      <w:rFonts w:hint="eastAsia"/>
                      <w:sz w:val="18"/>
                      <w:szCs w:val="18"/>
                      <w:lang w:val="en-US" w:eastAsia="zh-CN"/>
                    </w:rPr>
                    <w:t xml:space="preserve"> </w:t>
                  </w:r>
                </w:p>
              </w:tc>
            </w:tr>
            <w:tr w14:paraId="5B413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14:paraId="2F127C74">
                  <w:pPr>
                    <w:widowControl/>
                    <w:jc w:val="center"/>
                    <w:textAlignment w:val="center"/>
                    <w:rPr>
                      <w:kern w:val="0"/>
                      <w:sz w:val="18"/>
                      <w:szCs w:val="18"/>
                      <w:lang w:bidi="ar"/>
                    </w:rPr>
                  </w:pPr>
                  <w:r>
                    <w:rPr>
                      <w:rFonts w:hint="eastAsia"/>
                      <w:kern w:val="0"/>
                      <w:sz w:val="18"/>
                      <w:szCs w:val="18"/>
                      <w:lang w:bidi="ar"/>
                    </w:rPr>
                    <w:t>1#散户居民</w:t>
                  </w:r>
                </w:p>
              </w:tc>
              <w:tc>
                <w:tcPr>
                  <w:tcW w:w="525" w:type="dxa"/>
                  <w:tcBorders>
                    <w:tl2br w:val="nil"/>
                    <w:tr2bl w:val="nil"/>
                  </w:tcBorders>
                  <w:shd w:val="clear" w:color="auto" w:fill="FFFFFF"/>
                  <w:vAlign w:val="center"/>
                </w:tcPr>
                <w:p w14:paraId="39040ACA">
                  <w:pPr>
                    <w:widowControl/>
                    <w:jc w:val="center"/>
                    <w:textAlignment w:val="center"/>
                    <w:rPr>
                      <w:kern w:val="0"/>
                      <w:sz w:val="18"/>
                      <w:szCs w:val="18"/>
                      <w:lang w:bidi="ar"/>
                    </w:rPr>
                  </w:pPr>
                  <w:r>
                    <w:rPr>
                      <w:rFonts w:hint="eastAsia"/>
                      <w:kern w:val="0"/>
                      <w:sz w:val="18"/>
                      <w:szCs w:val="18"/>
                      <w:lang w:bidi="ar"/>
                    </w:rPr>
                    <w:t>55</w:t>
                  </w:r>
                </w:p>
              </w:tc>
              <w:tc>
                <w:tcPr>
                  <w:tcW w:w="528" w:type="dxa"/>
                  <w:tcBorders>
                    <w:tl2br w:val="nil"/>
                    <w:tr2bl w:val="nil"/>
                  </w:tcBorders>
                  <w:shd w:val="clear" w:color="auto" w:fill="FFFFFF"/>
                  <w:vAlign w:val="center"/>
                </w:tcPr>
                <w:p w14:paraId="03242AA7">
                  <w:pPr>
                    <w:widowControl/>
                    <w:jc w:val="center"/>
                    <w:textAlignment w:val="center"/>
                    <w:rPr>
                      <w:kern w:val="0"/>
                      <w:sz w:val="18"/>
                      <w:szCs w:val="18"/>
                      <w:lang w:bidi="ar"/>
                    </w:rPr>
                  </w:pPr>
                  <w:r>
                    <w:rPr>
                      <w:rFonts w:hint="eastAsia"/>
                      <w:kern w:val="0"/>
                      <w:sz w:val="18"/>
                      <w:szCs w:val="18"/>
                      <w:lang w:bidi="ar"/>
                    </w:rPr>
                    <w:t>44</w:t>
                  </w:r>
                </w:p>
              </w:tc>
              <w:tc>
                <w:tcPr>
                  <w:tcW w:w="527" w:type="dxa"/>
                  <w:tcBorders>
                    <w:tl2br w:val="nil"/>
                    <w:tr2bl w:val="nil"/>
                  </w:tcBorders>
                  <w:shd w:val="clear" w:color="auto" w:fill="FFFFFF"/>
                  <w:vAlign w:val="center"/>
                </w:tcPr>
                <w:p w14:paraId="2AB2F530">
                  <w:pPr>
                    <w:widowControl/>
                    <w:jc w:val="center"/>
                    <w:textAlignment w:val="center"/>
                    <w:rPr>
                      <w:kern w:val="0"/>
                      <w:sz w:val="18"/>
                      <w:szCs w:val="18"/>
                      <w:lang w:bidi="ar"/>
                    </w:rPr>
                  </w:pPr>
                  <w:r>
                    <w:rPr>
                      <w:rFonts w:hint="eastAsia"/>
                      <w:kern w:val="0"/>
                      <w:sz w:val="18"/>
                      <w:szCs w:val="18"/>
                      <w:lang w:bidi="ar"/>
                    </w:rPr>
                    <w:t>55</w:t>
                  </w:r>
                </w:p>
              </w:tc>
              <w:tc>
                <w:tcPr>
                  <w:tcW w:w="529" w:type="dxa"/>
                  <w:tcBorders>
                    <w:tl2br w:val="nil"/>
                    <w:tr2bl w:val="nil"/>
                  </w:tcBorders>
                  <w:shd w:val="clear" w:color="auto" w:fill="FFFFFF"/>
                  <w:vAlign w:val="center"/>
                </w:tcPr>
                <w:p w14:paraId="6825F910">
                  <w:pPr>
                    <w:widowControl/>
                    <w:jc w:val="center"/>
                    <w:textAlignment w:val="center"/>
                    <w:rPr>
                      <w:kern w:val="0"/>
                      <w:sz w:val="18"/>
                      <w:szCs w:val="18"/>
                      <w:lang w:bidi="ar"/>
                    </w:rPr>
                  </w:pPr>
                  <w:r>
                    <w:rPr>
                      <w:rFonts w:hint="eastAsia"/>
                      <w:kern w:val="0"/>
                      <w:sz w:val="18"/>
                      <w:szCs w:val="18"/>
                      <w:lang w:bidi="ar"/>
                    </w:rPr>
                    <w:t>44</w:t>
                  </w:r>
                </w:p>
              </w:tc>
              <w:tc>
                <w:tcPr>
                  <w:tcW w:w="454" w:type="dxa"/>
                  <w:tcBorders>
                    <w:tl2br w:val="nil"/>
                    <w:tr2bl w:val="nil"/>
                  </w:tcBorders>
                  <w:shd w:val="clear" w:color="auto" w:fill="FFFFFF"/>
                  <w:vAlign w:val="center"/>
                </w:tcPr>
                <w:p w14:paraId="7903BD87">
                  <w:pPr>
                    <w:widowControl/>
                    <w:jc w:val="center"/>
                    <w:textAlignment w:val="center"/>
                    <w:rPr>
                      <w:kern w:val="0"/>
                      <w:sz w:val="18"/>
                      <w:szCs w:val="18"/>
                      <w:lang w:bidi="ar"/>
                    </w:rPr>
                  </w:pPr>
                  <w:r>
                    <w:rPr>
                      <w:rFonts w:hint="eastAsia"/>
                      <w:kern w:val="0"/>
                      <w:sz w:val="18"/>
                      <w:szCs w:val="18"/>
                      <w:lang w:bidi="ar"/>
                    </w:rPr>
                    <w:t>60</w:t>
                  </w:r>
                </w:p>
              </w:tc>
              <w:tc>
                <w:tcPr>
                  <w:tcW w:w="455" w:type="dxa"/>
                  <w:tcBorders>
                    <w:tl2br w:val="nil"/>
                    <w:tr2bl w:val="nil"/>
                  </w:tcBorders>
                  <w:shd w:val="clear" w:color="auto" w:fill="FFFFFF"/>
                  <w:vAlign w:val="center"/>
                </w:tcPr>
                <w:p w14:paraId="0780FBF4">
                  <w:pPr>
                    <w:widowControl/>
                    <w:jc w:val="center"/>
                    <w:textAlignment w:val="center"/>
                    <w:rPr>
                      <w:kern w:val="0"/>
                      <w:sz w:val="18"/>
                      <w:szCs w:val="18"/>
                      <w:lang w:bidi="ar"/>
                    </w:rPr>
                  </w:pPr>
                  <w:r>
                    <w:rPr>
                      <w:rFonts w:hint="eastAsia"/>
                      <w:kern w:val="0"/>
                      <w:sz w:val="18"/>
                      <w:szCs w:val="18"/>
                      <w:lang w:bidi="ar"/>
                    </w:rPr>
                    <w:t>50</w:t>
                  </w:r>
                </w:p>
              </w:tc>
              <w:tc>
                <w:tcPr>
                  <w:tcW w:w="528" w:type="dxa"/>
                  <w:tcBorders>
                    <w:tl2br w:val="nil"/>
                    <w:tr2bl w:val="nil"/>
                  </w:tcBorders>
                  <w:shd w:val="clear" w:color="auto" w:fill="FFFFFF"/>
                  <w:vAlign w:val="center"/>
                </w:tcPr>
                <w:p w14:paraId="30CAF8D7">
                  <w:pPr>
                    <w:widowControl/>
                    <w:jc w:val="center"/>
                    <w:textAlignment w:val="center"/>
                    <w:rPr>
                      <w:kern w:val="0"/>
                      <w:sz w:val="18"/>
                      <w:szCs w:val="18"/>
                      <w:lang w:bidi="ar"/>
                    </w:rPr>
                  </w:pPr>
                  <w:r>
                    <w:rPr>
                      <w:kern w:val="0"/>
                      <w:sz w:val="18"/>
                      <w:szCs w:val="18"/>
                      <w:lang w:bidi="ar"/>
                    </w:rPr>
                    <w:t xml:space="preserve">54.3 </w:t>
                  </w:r>
                </w:p>
              </w:tc>
              <w:tc>
                <w:tcPr>
                  <w:tcW w:w="529" w:type="dxa"/>
                  <w:tcBorders>
                    <w:tl2br w:val="nil"/>
                    <w:tr2bl w:val="nil"/>
                  </w:tcBorders>
                  <w:shd w:val="clear" w:color="auto" w:fill="FFFFFF"/>
                  <w:vAlign w:val="center"/>
                </w:tcPr>
                <w:p w14:paraId="4DAB7E7A">
                  <w:pPr>
                    <w:widowControl/>
                    <w:jc w:val="center"/>
                    <w:textAlignment w:val="center"/>
                    <w:rPr>
                      <w:kern w:val="0"/>
                      <w:sz w:val="18"/>
                      <w:szCs w:val="18"/>
                      <w:lang w:bidi="ar"/>
                    </w:rPr>
                  </w:pPr>
                  <w:r>
                    <w:rPr>
                      <w:kern w:val="0"/>
                      <w:sz w:val="18"/>
                      <w:szCs w:val="18"/>
                      <w:lang w:bidi="ar"/>
                    </w:rPr>
                    <w:t xml:space="preserve">54.3 </w:t>
                  </w:r>
                </w:p>
              </w:tc>
              <w:tc>
                <w:tcPr>
                  <w:tcW w:w="528" w:type="dxa"/>
                  <w:tcBorders>
                    <w:tl2br w:val="nil"/>
                    <w:tr2bl w:val="nil"/>
                  </w:tcBorders>
                  <w:shd w:val="clear" w:color="auto" w:fill="FFFFFF"/>
                  <w:vAlign w:val="center"/>
                </w:tcPr>
                <w:p w14:paraId="56F25503">
                  <w:pPr>
                    <w:widowControl/>
                    <w:jc w:val="center"/>
                    <w:textAlignment w:val="center"/>
                    <w:rPr>
                      <w:kern w:val="0"/>
                      <w:sz w:val="18"/>
                      <w:szCs w:val="18"/>
                      <w:lang w:bidi="ar"/>
                    </w:rPr>
                  </w:pPr>
                  <w:r>
                    <w:rPr>
                      <w:kern w:val="0"/>
                      <w:sz w:val="18"/>
                      <w:szCs w:val="18"/>
                      <w:lang w:bidi="ar"/>
                    </w:rPr>
                    <w:t xml:space="preserve">58 </w:t>
                  </w:r>
                </w:p>
              </w:tc>
              <w:tc>
                <w:tcPr>
                  <w:tcW w:w="529" w:type="dxa"/>
                  <w:tcBorders>
                    <w:tl2br w:val="nil"/>
                    <w:tr2bl w:val="nil"/>
                  </w:tcBorders>
                  <w:shd w:val="clear" w:color="auto" w:fill="FFFFFF"/>
                  <w:vAlign w:val="center"/>
                </w:tcPr>
                <w:p w14:paraId="1DF57642">
                  <w:pPr>
                    <w:widowControl/>
                    <w:jc w:val="center"/>
                    <w:textAlignment w:val="center"/>
                    <w:rPr>
                      <w:kern w:val="0"/>
                      <w:sz w:val="18"/>
                      <w:szCs w:val="18"/>
                      <w:lang w:bidi="ar"/>
                    </w:rPr>
                  </w:pPr>
                  <w:r>
                    <w:rPr>
                      <w:kern w:val="0"/>
                      <w:sz w:val="18"/>
                      <w:szCs w:val="18"/>
                      <w:lang w:bidi="ar"/>
                    </w:rPr>
                    <w:t xml:space="preserve">55 </w:t>
                  </w:r>
                </w:p>
              </w:tc>
              <w:tc>
                <w:tcPr>
                  <w:tcW w:w="511" w:type="dxa"/>
                  <w:tcBorders>
                    <w:tl2br w:val="nil"/>
                    <w:tr2bl w:val="nil"/>
                  </w:tcBorders>
                  <w:shd w:val="clear" w:color="auto" w:fill="FFFFFF"/>
                  <w:vAlign w:val="center"/>
                </w:tcPr>
                <w:p w14:paraId="1A508F35">
                  <w:pPr>
                    <w:widowControl/>
                    <w:jc w:val="center"/>
                    <w:textAlignment w:val="center"/>
                    <w:rPr>
                      <w:kern w:val="0"/>
                      <w:sz w:val="18"/>
                      <w:szCs w:val="18"/>
                      <w:lang w:bidi="ar"/>
                    </w:rPr>
                  </w:pPr>
                  <w:r>
                    <w:rPr>
                      <w:kern w:val="0"/>
                      <w:sz w:val="18"/>
                      <w:szCs w:val="18"/>
                      <w:lang w:bidi="ar"/>
                    </w:rPr>
                    <w:t xml:space="preserve">3 </w:t>
                  </w:r>
                </w:p>
              </w:tc>
              <w:tc>
                <w:tcPr>
                  <w:tcW w:w="512" w:type="dxa"/>
                  <w:tcBorders>
                    <w:tl2br w:val="nil"/>
                    <w:tr2bl w:val="nil"/>
                  </w:tcBorders>
                  <w:shd w:val="clear" w:color="auto" w:fill="FFFFFF"/>
                  <w:vAlign w:val="center"/>
                </w:tcPr>
                <w:p w14:paraId="6EAFBE1C">
                  <w:pPr>
                    <w:widowControl/>
                    <w:jc w:val="center"/>
                    <w:textAlignment w:val="center"/>
                    <w:rPr>
                      <w:kern w:val="0"/>
                      <w:sz w:val="18"/>
                      <w:szCs w:val="18"/>
                      <w:lang w:bidi="ar"/>
                    </w:rPr>
                  </w:pPr>
                  <w:r>
                    <w:rPr>
                      <w:kern w:val="0"/>
                      <w:sz w:val="18"/>
                      <w:szCs w:val="18"/>
                      <w:lang w:bidi="ar"/>
                    </w:rPr>
                    <w:t xml:space="preserve">11 </w:t>
                  </w:r>
                </w:p>
              </w:tc>
              <w:tc>
                <w:tcPr>
                  <w:tcW w:w="457" w:type="dxa"/>
                  <w:tcBorders>
                    <w:tl2br w:val="nil"/>
                    <w:tr2bl w:val="nil"/>
                  </w:tcBorders>
                  <w:shd w:val="clear" w:color="auto" w:fill="FFFFFF"/>
                  <w:vAlign w:val="center"/>
                </w:tcPr>
                <w:p w14:paraId="2D73A052">
                  <w:pPr>
                    <w:widowControl/>
                    <w:jc w:val="center"/>
                    <w:textAlignment w:val="center"/>
                    <w:rPr>
                      <w:rFonts w:hint="eastAsia" w:eastAsia="宋体"/>
                      <w:kern w:val="0"/>
                      <w:sz w:val="18"/>
                      <w:szCs w:val="18"/>
                      <w:lang w:val="en-US" w:eastAsia="zh-CN" w:bidi="ar"/>
                    </w:rPr>
                  </w:pPr>
                  <w:r>
                    <w:rPr>
                      <w:kern w:val="0"/>
                      <w:sz w:val="18"/>
                      <w:szCs w:val="18"/>
                      <w:lang w:bidi="ar"/>
                    </w:rPr>
                    <w:t>达标</w:t>
                  </w:r>
                  <w:r>
                    <w:rPr>
                      <w:rFonts w:hint="eastAsia"/>
                      <w:kern w:val="0"/>
                      <w:sz w:val="18"/>
                      <w:szCs w:val="18"/>
                      <w:lang w:val="en-US" w:eastAsia="zh-CN" w:bidi="ar"/>
                    </w:rPr>
                    <w:t xml:space="preserve"> </w:t>
                  </w:r>
                </w:p>
              </w:tc>
              <w:tc>
                <w:tcPr>
                  <w:tcW w:w="458" w:type="dxa"/>
                  <w:tcBorders>
                    <w:tl2br w:val="nil"/>
                    <w:tr2bl w:val="nil"/>
                  </w:tcBorders>
                  <w:shd w:val="clear" w:color="auto" w:fill="FFFFFF"/>
                  <w:vAlign w:val="center"/>
                </w:tcPr>
                <w:p w14:paraId="1682A494">
                  <w:pPr>
                    <w:widowControl/>
                    <w:jc w:val="center"/>
                    <w:textAlignment w:val="center"/>
                    <w:rPr>
                      <w:rFonts w:hint="eastAsia" w:eastAsia="宋体"/>
                      <w:kern w:val="0"/>
                      <w:sz w:val="18"/>
                      <w:szCs w:val="18"/>
                      <w:lang w:val="en-US" w:eastAsia="zh-CN" w:bidi="ar"/>
                    </w:rPr>
                  </w:pPr>
                  <w:r>
                    <w:rPr>
                      <w:kern w:val="0"/>
                      <w:sz w:val="18"/>
                      <w:szCs w:val="18"/>
                      <w:lang w:bidi="ar"/>
                    </w:rPr>
                    <w:t>超标</w:t>
                  </w:r>
                  <w:r>
                    <w:rPr>
                      <w:rFonts w:hint="eastAsia"/>
                      <w:kern w:val="0"/>
                      <w:sz w:val="18"/>
                      <w:szCs w:val="18"/>
                      <w:lang w:val="en-US" w:eastAsia="zh-CN" w:bidi="ar"/>
                    </w:rPr>
                    <w:t xml:space="preserve"> </w:t>
                  </w:r>
                </w:p>
              </w:tc>
            </w:tr>
          </w:tbl>
          <w:p w14:paraId="25A7E45E">
            <w:pPr>
              <w:spacing w:line="360" w:lineRule="auto"/>
              <w:ind w:firstLine="480" w:firstLineChars="200"/>
              <w:rPr>
                <w:color w:val="0000FF"/>
                <w:sz w:val="24"/>
              </w:rPr>
            </w:pPr>
            <w:r>
              <w:rPr>
                <w:color w:val="0000FF"/>
                <w:sz w:val="24"/>
              </w:rPr>
              <w:t>由预测结果可知，采用网电钻井施工期间，周边200m范围内居民点昼间</w:t>
            </w:r>
            <w:r>
              <w:rPr>
                <w:rFonts w:hint="eastAsia"/>
                <w:color w:val="0000FF"/>
                <w:sz w:val="24"/>
              </w:rPr>
              <w:t>、夜间</w:t>
            </w:r>
            <w:r>
              <w:rPr>
                <w:color w:val="0000FF"/>
                <w:sz w:val="24"/>
              </w:rPr>
              <w:t>声环境预测值均满足《声环境质量标准》（GB3096-2008），采用柴油发电机情况下，</w:t>
            </w:r>
            <w:r>
              <w:rPr>
                <w:rFonts w:hint="eastAsia"/>
                <w:color w:val="0000FF"/>
                <w:sz w:val="24"/>
              </w:rPr>
              <w:t>周边居民点</w:t>
            </w:r>
            <w:r>
              <w:rPr>
                <w:color w:val="0000FF"/>
                <w:sz w:val="24"/>
              </w:rPr>
              <w:t>昼间声环境预测值</w:t>
            </w:r>
            <w:r>
              <w:rPr>
                <w:rFonts w:hint="eastAsia"/>
                <w:color w:val="0000FF"/>
                <w:sz w:val="24"/>
              </w:rPr>
              <w:t>均</w:t>
            </w:r>
            <w:r>
              <w:rPr>
                <w:color w:val="0000FF"/>
                <w:sz w:val="24"/>
              </w:rPr>
              <w:t>满足《声环境质量标准》（GB3096-2008），夜间不能满足《声环境质量标准》（GB3096-2008）</w:t>
            </w:r>
            <w:r>
              <w:rPr>
                <w:rFonts w:hint="eastAsia"/>
                <w:color w:val="0000FF"/>
                <w:sz w:val="24"/>
              </w:rPr>
              <w:t>中2类区标准值。由于井场内沿井场边缘布置活动板房，且井场周边存在山坡、树林等条件，因此昼间达标距离约为63m，夜间达标距离为119m。若不考虑上述因素（障碍物、地形、树林等因素），昼间达标距离约为99m，夜间达标距离为313m</w:t>
            </w:r>
            <w:r>
              <w:rPr>
                <w:color w:val="0000FF"/>
                <w:sz w:val="24"/>
              </w:rPr>
              <w:t>。</w:t>
            </w:r>
          </w:p>
          <w:p w14:paraId="44E1FD0A">
            <w:pPr>
              <w:spacing w:line="360" w:lineRule="auto"/>
              <w:ind w:firstLine="480" w:firstLineChars="200"/>
              <w:rPr>
                <w:color w:val="0000FF"/>
                <w:sz w:val="24"/>
              </w:rPr>
            </w:pPr>
            <w:r>
              <w:rPr>
                <w:rFonts w:hint="eastAsia"/>
                <w:color w:val="0000FF"/>
                <w:sz w:val="24"/>
              </w:rPr>
              <w:t>综上所述</w:t>
            </w:r>
            <w:r>
              <w:rPr>
                <w:color w:val="0000FF"/>
                <w:sz w:val="24"/>
              </w:rPr>
              <w:t>，网电供电时场界噪声明显小于柴油发电机供电，</w:t>
            </w:r>
            <w:r>
              <w:rPr>
                <w:rFonts w:hint="eastAsia"/>
                <w:color w:val="0000FF"/>
                <w:sz w:val="24"/>
              </w:rPr>
              <w:t>本项目钻井</w:t>
            </w:r>
            <w:r>
              <w:rPr>
                <w:color w:val="0000FF"/>
                <w:sz w:val="24"/>
              </w:rPr>
              <w:t>期间采用网电供电，钻井期噪声仅限于钻机施工，随钻井结束而结束，对周边声环境影响可以接受。根据对周围敏感点预测可知，周边敏感点处均满足《声环境质量标准》</w:t>
            </w:r>
            <w:r>
              <w:rPr>
                <w:rFonts w:hint="eastAsia"/>
                <w:color w:val="0000FF"/>
                <w:sz w:val="24"/>
              </w:rPr>
              <w:t>（</w:t>
            </w:r>
            <w:r>
              <w:rPr>
                <w:color w:val="0000FF"/>
                <w:sz w:val="24"/>
              </w:rPr>
              <w:t>GB3096-2008）中2 类区标准值，因此对周边敏感点造成影响较小。此外，建设单位在实际施工中，应对周边距离较近的农户重点关注，根据噪声排放情况和监测结果，加强沟通协调工作，若出现噪声超标的情况，需</w:t>
            </w:r>
            <w:r>
              <w:rPr>
                <w:rFonts w:hint="eastAsia"/>
                <w:color w:val="0000FF"/>
                <w:sz w:val="24"/>
              </w:rPr>
              <w:t>进一步</w:t>
            </w:r>
            <w:r>
              <w:rPr>
                <w:color w:val="0000FF"/>
                <w:sz w:val="24"/>
              </w:rPr>
              <w:t>采取</w:t>
            </w:r>
            <w:r>
              <w:rPr>
                <w:rFonts w:hint="eastAsia"/>
                <w:color w:val="0000FF"/>
                <w:sz w:val="24"/>
              </w:rPr>
              <w:t>临时安置</w:t>
            </w:r>
            <w:r>
              <w:rPr>
                <w:color w:val="0000FF"/>
                <w:sz w:val="24"/>
              </w:rPr>
              <w:t>措施，</w:t>
            </w:r>
            <w:r>
              <w:rPr>
                <w:rFonts w:hint="eastAsia"/>
                <w:color w:val="0000FF"/>
                <w:sz w:val="24"/>
              </w:rPr>
              <w:t>减小对周边居民点的影响</w:t>
            </w:r>
            <w:r>
              <w:rPr>
                <w:color w:val="0000FF"/>
                <w:sz w:val="24"/>
              </w:rPr>
              <w:t>。</w:t>
            </w:r>
          </w:p>
          <w:p w14:paraId="55020AE8">
            <w:pPr>
              <w:spacing w:line="360" w:lineRule="auto"/>
              <w:rPr>
                <w:b/>
                <w:sz w:val="24"/>
              </w:rPr>
            </w:pPr>
            <w:r>
              <w:rPr>
                <w:b/>
                <w:sz w:val="24"/>
              </w:rPr>
              <w:t>4.2.4固体废物环境影响分析</w:t>
            </w:r>
          </w:p>
          <w:p w14:paraId="1374C075">
            <w:pPr>
              <w:spacing w:line="360" w:lineRule="auto"/>
              <w:ind w:firstLine="480" w:firstLineChars="200"/>
              <w:rPr>
                <w:sz w:val="24"/>
              </w:rPr>
            </w:pPr>
            <w:r>
              <w:rPr>
                <w:sz w:val="24"/>
              </w:rPr>
              <w:t>钻井过程中产生的固体废物主要有废水基泥浆、一般钻井岩屑、废油、废油桶、废包装材料、废棉纱/手套等，还有井队员工产生的生活垃圾。</w:t>
            </w:r>
          </w:p>
          <w:p w14:paraId="54F609DC">
            <w:pPr>
              <w:spacing w:line="360" w:lineRule="auto"/>
              <w:ind w:firstLine="480" w:firstLineChars="200"/>
              <w:rPr>
                <w:sz w:val="24"/>
              </w:rPr>
            </w:pPr>
            <w:r>
              <w:rPr>
                <w:sz w:val="24"/>
              </w:rPr>
              <w:t>（1）一般固体废物</w:t>
            </w:r>
          </w:p>
          <w:p w14:paraId="7683A652">
            <w:pPr>
              <w:spacing w:line="360" w:lineRule="auto"/>
              <w:ind w:firstLine="480" w:firstLineChars="200"/>
              <w:rPr>
                <w:color w:val="0000FF"/>
                <w:sz w:val="24"/>
              </w:rPr>
            </w:pPr>
            <w:r>
              <w:rPr>
                <w:sz w:val="24"/>
              </w:rPr>
              <w:t>1）</w:t>
            </w:r>
            <w:r>
              <w:rPr>
                <w:rFonts w:hint="eastAsia"/>
                <w:color w:val="0000FF"/>
                <w:sz w:val="24"/>
              </w:rPr>
              <w:t>水基钻井固废（钻井岩屑及</w:t>
            </w:r>
            <w:r>
              <w:rPr>
                <w:color w:val="0000FF"/>
                <w:sz w:val="24"/>
              </w:rPr>
              <w:t>废水基泥浆</w:t>
            </w:r>
            <w:r>
              <w:rPr>
                <w:rFonts w:hint="eastAsia"/>
                <w:color w:val="0000FF"/>
                <w:sz w:val="24"/>
              </w:rPr>
              <w:t>）</w:t>
            </w:r>
          </w:p>
          <w:p w14:paraId="35503F34">
            <w:pPr>
              <w:spacing w:line="360" w:lineRule="auto"/>
              <w:ind w:firstLine="480" w:firstLineChars="200"/>
              <w:rPr>
                <w:sz w:val="24"/>
              </w:rPr>
            </w:pPr>
            <w:r>
              <w:rPr>
                <w:sz w:val="24"/>
              </w:rPr>
              <w:t>为达到安全、快速钻井的目的，钻井泥浆常使用各类的钻井液添加剂。钻井过程中产生的废钻井泥浆主要来源于以下情况：</w:t>
            </w:r>
          </w:p>
          <w:p w14:paraId="26E4C5F2">
            <w:pPr>
              <w:spacing w:line="360" w:lineRule="auto"/>
              <w:ind w:firstLine="480" w:firstLineChars="200"/>
              <w:rPr>
                <w:sz w:val="24"/>
              </w:rPr>
            </w:pPr>
            <w:r>
              <w:rPr>
                <w:sz w:val="24"/>
              </w:rPr>
              <w:t>①被更换的不适于钻井工程和地质要求的钻井泥浆。</w:t>
            </w:r>
          </w:p>
          <w:p w14:paraId="7E5A8706">
            <w:pPr>
              <w:spacing w:line="360" w:lineRule="auto"/>
              <w:ind w:firstLine="480" w:firstLineChars="200"/>
              <w:rPr>
                <w:sz w:val="24"/>
              </w:rPr>
            </w:pPr>
            <w:r>
              <w:rPr>
                <w:sz w:val="24"/>
              </w:rPr>
              <w:t>②在钻井过程中，因部分性能不合格而被排放的钻井泥浆。</w:t>
            </w:r>
          </w:p>
          <w:p w14:paraId="620463FB">
            <w:pPr>
              <w:spacing w:line="360" w:lineRule="auto"/>
              <w:ind w:firstLine="480" w:firstLineChars="200"/>
              <w:rPr>
                <w:sz w:val="24"/>
              </w:rPr>
            </w:pPr>
            <w:r>
              <w:rPr>
                <w:sz w:val="24"/>
              </w:rPr>
              <w:t>③完井时井筒内被清水替出的钻井泥浆。</w:t>
            </w:r>
          </w:p>
          <w:p w14:paraId="3F0ACAD3">
            <w:pPr>
              <w:spacing w:line="360" w:lineRule="auto"/>
              <w:ind w:firstLine="480" w:firstLineChars="200"/>
              <w:rPr>
                <w:sz w:val="24"/>
              </w:rPr>
            </w:pPr>
            <w:r>
              <w:rPr>
                <w:sz w:val="24"/>
              </w:rPr>
              <w:t>④由钻井泥浆循环系统跑、冒、滴、漏而排出的钻井泥浆。</w:t>
            </w:r>
          </w:p>
          <w:p w14:paraId="3B075380">
            <w:pPr>
              <w:spacing w:line="360" w:lineRule="auto"/>
              <w:ind w:firstLine="480" w:firstLineChars="200"/>
              <w:rPr>
                <w:sz w:val="24"/>
              </w:rPr>
            </w:pPr>
            <w:r>
              <w:rPr>
                <w:sz w:val="24"/>
              </w:rPr>
              <w:t>⑤钻屑与钻井液分离时，钻屑表面黏附的钻井液。</w:t>
            </w:r>
          </w:p>
          <w:p w14:paraId="68AFF0A9">
            <w:pPr>
              <w:spacing w:line="360" w:lineRule="auto"/>
              <w:ind w:firstLine="480" w:firstLineChars="200"/>
              <w:rPr>
                <w:sz w:val="24"/>
              </w:rPr>
            </w:pPr>
            <w:r>
              <w:rPr>
                <w:sz w:val="24"/>
              </w:rPr>
              <w:t>本工程采用随钻不落地处理技术，根据建设单位统计经验数据，钻井过程中水基泥浆的回收利用率为95%，其余为废水基泥浆。根据建设单位提供资料本项目清水钻井液及水基钻井液用量为</w:t>
            </w:r>
            <w:r>
              <w:rPr>
                <w:rFonts w:hint="eastAsia"/>
                <w:sz w:val="24"/>
              </w:rPr>
              <w:t>3184</w:t>
            </w:r>
            <w:r>
              <w:rPr>
                <w:sz w:val="24"/>
              </w:rPr>
              <w:t>m</w:t>
            </w:r>
            <w:r>
              <w:rPr>
                <w:sz w:val="24"/>
                <w:vertAlign w:val="superscript"/>
              </w:rPr>
              <w:t>3</w:t>
            </w:r>
            <w:r>
              <w:rPr>
                <w:sz w:val="24"/>
              </w:rPr>
              <w:t>，则废弃水基泥浆产生量为</w:t>
            </w:r>
            <w:r>
              <w:rPr>
                <w:rFonts w:hint="eastAsia"/>
                <w:sz w:val="24"/>
              </w:rPr>
              <w:t>159.2</w:t>
            </w:r>
            <w:r>
              <w:rPr>
                <w:sz w:val="24"/>
              </w:rPr>
              <w:t>m</w:t>
            </w:r>
            <w:r>
              <w:rPr>
                <w:sz w:val="24"/>
                <w:vertAlign w:val="superscript"/>
              </w:rPr>
              <w:t>3</w:t>
            </w:r>
            <w:r>
              <w:rPr>
                <w:sz w:val="24"/>
              </w:rPr>
              <w:t>。</w:t>
            </w:r>
          </w:p>
          <w:p w14:paraId="0521CC14">
            <w:pPr>
              <w:spacing w:line="360" w:lineRule="auto"/>
              <w:ind w:firstLine="480" w:firstLineChars="200"/>
              <w:rPr>
                <w:sz w:val="24"/>
              </w:rPr>
            </w:pPr>
            <w:r>
              <w:rPr>
                <w:sz w:val="24"/>
              </w:rPr>
              <w:t>2）清水钻屑及水基钻井岩屑</w:t>
            </w:r>
          </w:p>
          <w:p w14:paraId="10B7705B">
            <w:pPr>
              <w:spacing w:line="360" w:lineRule="auto"/>
              <w:ind w:firstLine="480" w:firstLineChars="200"/>
              <w:rPr>
                <w:sz w:val="24"/>
              </w:rPr>
            </w:pPr>
            <w:r>
              <w:rPr>
                <w:sz w:val="24"/>
              </w:rPr>
              <w:t>清水钻屑及水基钻井岩屑是在钻井过程中钻头切碎地层岩石而产生的碎屑，其产生量与井眼长度，平均井径及岩性有关。</w:t>
            </w:r>
          </w:p>
          <w:p w14:paraId="687BAFF2">
            <w:pPr>
              <w:spacing w:line="360" w:lineRule="auto"/>
              <w:ind w:firstLine="480" w:firstLineChars="200"/>
              <w:rPr>
                <w:sz w:val="24"/>
              </w:rPr>
            </w:pPr>
            <w:r>
              <w:rPr>
                <w:sz w:val="24"/>
              </w:rPr>
              <w:t>水基钻井液钻井阶段从振动筛收集岩屑含水率高（水基钻井岩屑含水率约80%），施工单位将固体大颗粒岩屑进入泥浆不落地平台中水基岩屑收集罐自然沉淀后固相物质进入搅拌罐。根据建设单位统计经验数据，减量装置处理后清水钻屑及水基钻井岩屑产生量约为每米井身0.5t。</w:t>
            </w:r>
            <w:r>
              <w:rPr>
                <w:rFonts w:hint="eastAsia"/>
                <w:sz w:val="24"/>
              </w:rPr>
              <w:t>本项目</w:t>
            </w:r>
            <w:r>
              <w:rPr>
                <w:sz w:val="24"/>
              </w:rPr>
              <w:t>常规钻井清水钻井及水基泥浆钻井深度约为</w:t>
            </w:r>
            <w:r>
              <w:rPr>
                <w:rFonts w:hint="eastAsia"/>
                <w:sz w:val="24"/>
              </w:rPr>
              <w:t>5080</w:t>
            </w:r>
            <w:r>
              <w:rPr>
                <w:sz w:val="24"/>
              </w:rPr>
              <w:t>m，产生量约</w:t>
            </w:r>
            <w:r>
              <w:rPr>
                <w:rFonts w:hint="eastAsia"/>
                <w:sz w:val="24"/>
              </w:rPr>
              <w:t>2540</w:t>
            </w:r>
            <w:r>
              <w:rPr>
                <w:sz w:val="24"/>
              </w:rPr>
              <w:t>t。</w:t>
            </w:r>
            <w:r>
              <w:rPr>
                <w:color w:val="0000FF"/>
                <w:sz w:val="24"/>
              </w:rPr>
              <w:t>其性质为第Ⅱ类一般工业固体废物，其产生情况数据需全部录入四川省固废系统</w:t>
            </w:r>
            <w:r>
              <w:rPr>
                <w:rFonts w:hint="eastAsia"/>
                <w:color w:val="0000FF"/>
                <w:sz w:val="24"/>
              </w:rPr>
              <w:t>。</w:t>
            </w:r>
          </w:p>
          <w:p w14:paraId="46426CA0">
            <w:pPr>
              <w:spacing w:line="360" w:lineRule="auto"/>
              <w:ind w:firstLine="480" w:firstLineChars="200"/>
              <w:rPr>
                <w:color w:val="0000FF"/>
                <w:sz w:val="24"/>
              </w:rPr>
            </w:pPr>
            <w:r>
              <w:rPr>
                <w:color w:val="0000FF"/>
                <w:sz w:val="24"/>
              </w:rPr>
              <w:t>水基钻井固废（钻井岩屑和废弃泥浆）在钻井现场经泥浆不落地工艺经脱稳-板框压滤进行固液分离后产生的固态钻井固废，主要成分为废钻井泥浆、岩屑、无机盐、普通有机聚合物，本项目钻井泥浆为水基钻井泥浆，不添加重金属等，不具有危险特性，依据《一般工业固体废物贮存和填埋污染控制标准》（GB18599-2020）的相关规定，本项目水基岩屑和泥浆属于第Ⅱ类一般工业固体废物，完井后及时就近交给依法取得生态环境部门关于利用和处置相关工业固体废物项目环评批复、具有处理处置相应固体废物能力并配套建设有废气、废水、固废等污染物治理设施的单位进行资源化利用。同时对钻井固废暂存区进行防渗，设置雨棚及排水沟。通过以上措施，水基钻井固废全部综合利用，完钻后现场无遗留</w:t>
            </w:r>
            <w:r>
              <w:rPr>
                <w:rFonts w:hint="eastAsia"/>
                <w:color w:val="0000FF"/>
                <w:sz w:val="24"/>
              </w:rPr>
              <w:t>。</w:t>
            </w:r>
          </w:p>
          <w:p w14:paraId="07058BF6">
            <w:pPr>
              <w:spacing w:line="360" w:lineRule="auto"/>
              <w:ind w:firstLine="480" w:firstLineChars="200"/>
              <w:rPr>
                <w:sz w:val="24"/>
              </w:rPr>
            </w:pPr>
            <w:r>
              <w:rPr>
                <w:sz w:val="24"/>
              </w:rPr>
              <w:t>3）废包装材料</w:t>
            </w:r>
          </w:p>
          <w:p w14:paraId="36E01802">
            <w:pPr>
              <w:spacing w:line="360" w:lineRule="auto"/>
              <w:ind w:firstLine="480" w:firstLineChars="200"/>
              <w:rPr>
                <w:sz w:val="24"/>
              </w:rPr>
            </w:pPr>
            <w:r>
              <w:rPr>
                <w:sz w:val="24"/>
              </w:rPr>
              <w:t>钻井期间产生的废包装材料主要为各原辅材料的包装袋/箱，为一般工业固废，其产生量约1.0t，集中收集后定期运至就近的废品回收站进行处理。</w:t>
            </w:r>
          </w:p>
          <w:p w14:paraId="2286855C">
            <w:pPr>
              <w:spacing w:line="360" w:lineRule="auto"/>
              <w:ind w:firstLine="480" w:firstLineChars="200"/>
              <w:rPr>
                <w:sz w:val="24"/>
              </w:rPr>
            </w:pPr>
            <w:r>
              <w:rPr>
                <w:sz w:val="24"/>
              </w:rPr>
              <w:t>（2）危险废物</w:t>
            </w:r>
          </w:p>
          <w:p w14:paraId="6F246B2F">
            <w:pPr>
              <w:spacing w:line="360" w:lineRule="auto"/>
              <w:ind w:firstLine="480" w:firstLineChars="200"/>
              <w:rPr>
                <w:sz w:val="24"/>
              </w:rPr>
            </w:pPr>
            <w:r>
              <w:rPr>
                <w:sz w:val="24"/>
              </w:rPr>
              <w:t>1）废油</w:t>
            </w:r>
          </w:p>
          <w:p w14:paraId="11C357DC">
            <w:pPr>
              <w:spacing w:line="360" w:lineRule="auto"/>
              <w:ind w:firstLine="480" w:firstLineChars="200"/>
              <w:rPr>
                <w:sz w:val="24"/>
              </w:rPr>
            </w:pPr>
            <w:r>
              <w:rPr>
                <w:sz w:val="24"/>
              </w:rPr>
              <w:t>钻井过程中废油的主要来源为机械（柴油发电机、泥浆泵等）润滑废油；本工程共产生废油约0.5t。废油属于危险废物（HW08）。</w:t>
            </w:r>
          </w:p>
          <w:p w14:paraId="1C0CB393">
            <w:pPr>
              <w:spacing w:line="360" w:lineRule="auto"/>
              <w:ind w:firstLine="480" w:firstLineChars="200"/>
              <w:rPr>
                <w:sz w:val="24"/>
              </w:rPr>
            </w:pPr>
            <w:r>
              <w:rPr>
                <w:sz w:val="24"/>
              </w:rPr>
              <w:t>2）废油桶</w:t>
            </w:r>
          </w:p>
          <w:p w14:paraId="358E7B02">
            <w:pPr>
              <w:spacing w:line="360" w:lineRule="auto"/>
              <w:ind w:firstLine="480" w:firstLineChars="200"/>
              <w:rPr>
                <w:sz w:val="24"/>
              </w:rPr>
            </w:pPr>
            <w:r>
              <w:rPr>
                <w:sz w:val="24"/>
              </w:rPr>
              <w:t>钻井设备维护保养过程产生的废油桶，约0.1t。属于危险废物（HW49）。</w:t>
            </w:r>
          </w:p>
          <w:p w14:paraId="0C971034">
            <w:pPr>
              <w:spacing w:line="360" w:lineRule="auto"/>
              <w:ind w:firstLine="480" w:firstLineChars="200"/>
              <w:rPr>
                <w:sz w:val="24"/>
              </w:rPr>
            </w:pPr>
            <w:r>
              <w:rPr>
                <w:sz w:val="24"/>
              </w:rPr>
              <w:t>3）废棉纱/手套</w:t>
            </w:r>
          </w:p>
          <w:p w14:paraId="152ADC7E">
            <w:pPr>
              <w:spacing w:line="360" w:lineRule="auto"/>
              <w:ind w:firstLine="480" w:firstLineChars="200"/>
              <w:rPr>
                <w:sz w:val="24"/>
              </w:rPr>
            </w:pPr>
            <w:r>
              <w:rPr>
                <w:sz w:val="24"/>
              </w:rPr>
              <w:t>钻井过程中钻机等设备维护保养会产生废棉纱/手套，类比区域内已完钻的探井，本工程废棉纱/手套产生量约0.1t。属于危险废物（HW49）。</w:t>
            </w:r>
          </w:p>
          <w:p w14:paraId="28EB2AAF">
            <w:pPr>
              <w:spacing w:line="360" w:lineRule="auto"/>
              <w:ind w:firstLine="480" w:firstLineChars="200"/>
              <w:rPr>
                <w:sz w:val="24"/>
              </w:rPr>
            </w:pPr>
            <w:r>
              <w:rPr>
                <w:rFonts w:hint="eastAsia"/>
                <w:sz w:val="24"/>
              </w:rPr>
              <w:t>4）环境监测池污泥</w:t>
            </w:r>
          </w:p>
          <w:p w14:paraId="69A0CD1D">
            <w:pPr>
              <w:spacing w:line="360" w:lineRule="auto"/>
              <w:ind w:firstLine="480" w:firstLineChars="200"/>
              <w:rPr>
                <w:sz w:val="24"/>
              </w:rPr>
            </w:pPr>
            <w:r>
              <w:rPr>
                <w:rFonts w:hint="eastAsia"/>
                <w:sz w:val="24"/>
              </w:rPr>
              <w:t>钻井过程中若含油废水经环境监测池处理后将会有部分污泥产生，污泥产生量约为0.1t，属于危险废物（HW49）。</w:t>
            </w:r>
          </w:p>
          <w:p w14:paraId="4E8F646F">
            <w:pPr>
              <w:spacing w:line="360" w:lineRule="auto"/>
              <w:ind w:firstLine="480" w:firstLineChars="200"/>
              <w:rPr>
                <w:sz w:val="24"/>
              </w:rPr>
            </w:pPr>
            <w:r>
              <w:rPr>
                <w:rFonts w:hint="eastAsia"/>
                <w:sz w:val="24"/>
              </w:rPr>
              <w:t>（3）油基钻井固废（油基岩屑及废油基泥浆）</w:t>
            </w:r>
          </w:p>
          <w:p w14:paraId="4C623723">
            <w:pPr>
              <w:spacing w:line="360" w:lineRule="auto"/>
              <w:ind w:firstLine="480" w:firstLineChars="200"/>
              <w:rPr>
                <w:sz w:val="24"/>
              </w:rPr>
            </w:pPr>
            <w:r>
              <w:rPr>
                <w:sz w:val="24"/>
              </w:rPr>
              <w:t>1）油基岩屑</w:t>
            </w:r>
          </w:p>
          <w:p w14:paraId="64B6C0E1">
            <w:pPr>
              <w:spacing w:line="360" w:lineRule="auto"/>
              <w:ind w:firstLine="480" w:firstLineChars="200"/>
              <w:rPr>
                <w:sz w:val="24"/>
              </w:rPr>
            </w:pPr>
            <w:r>
              <w:rPr>
                <w:rFonts w:hint="eastAsia"/>
                <w:sz w:val="24"/>
              </w:rPr>
              <w:t>四开水平段钻井液采用</w:t>
            </w:r>
            <w:r>
              <w:rPr>
                <w:sz w:val="24"/>
              </w:rPr>
              <w:t>白油基钻井液体系。根据建设单位统计经验数据，减量装置处理后</w:t>
            </w:r>
            <w:r>
              <w:rPr>
                <w:rFonts w:hint="eastAsia"/>
                <w:sz w:val="24"/>
              </w:rPr>
              <w:t>油基</w:t>
            </w:r>
            <w:r>
              <w:rPr>
                <w:sz w:val="24"/>
              </w:rPr>
              <w:t>岩屑产生量约为每米井身0.6t。</w:t>
            </w:r>
            <w:r>
              <w:rPr>
                <w:rFonts w:hint="eastAsia"/>
                <w:sz w:val="24"/>
              </w:rPr>
              <w:t>本项目四开水平段</w:t>
            </w:r>
            <w:r>
              <w:rPr>
                <w:sz w:val="24"/>
              </w:rPr>
              <w:t>钻井长度约为</w:t>
            </w:r>
            <w:r>
              <w:rPr>
                <w:rFonts w:hint="eastAsia"/>
                <w:sz w:val="24"/>
              </w:rPr>
              <w:t>2447.87</w:t>
            </w:r>
            <w:r>
              <w:rPr>
                <w:sz w:val="24"/>
              </w:rPr>
              <w:t>m，因此油基岩屑产生量约</w:t>
            </w:r>
            <w:r>
              <w:rPr>
                <w:rFonts w:hint="eastAsia"/>
                <w:sz w:val="24"/>
              </w:rPr>
              <w:t>1468.7</w:t>
            </w:r>
            <w:r>
              <w:rPr>
                <w:sz w:val="24"/>
              </w:rPr>
              <w:t>t。本项目采用清洁化操作平台，并采取泥浆不落地措施，水基岩</w:t>
            </w:r>
            <w:r>
              <w:rPr>
                <w:rFonts w:hint="eastAsia"/>
                <w:sz w:val="24"/>
              </w:rPr>
              <w:t>屑按</w:t>
            </w:r>
            <w:r>
              <w:rPr>
                <w:sz w:val="24"/>
              </w:rPr>
              <w:t>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w:t>
            </w:r>
            <w:r>
              <w:rPr>
                <w:rFonts w:hint="eastAsia"/>
                <w:sz w:val="24"/>
              </w:rPr>
              <w:t>贮存点</w:t>
            </w:r>
            <w:r>
              <w:rPr>
                <w:sz w:val="24"/>
              </w:rPr>
              <w:t>，</w:t>
            </w:r>
            <w:r>
              <w:rPr>
                <w:rFonts w:hint="eastAsia"/>
                <w:sz w:val="24"/>
              </w:rPr>
              <w:t>贮存点</w:t>
            </w:r>
            <w:r>
              <w:rPr>
                <w:sz w:val="24"/>
              </w:rPr>
              <w:t>地面采取必要的防护措施（防风、防雨、防晒、防渗、防漏、防腐）及其他环境污染防护措施，委托有资质单位处理，委托有资质单位处理</w:t>
            </w:r>
            <w:r>
              <w:rPr>
                <w:rFonts w:hint="eastAsia"/>
                <w:sz w:val="24"/>
              </w:rPr>
              <w:t>。</w:t>
            </w:r>
          </w:p>
          <w:p w14:paraId="2F1F67B6">
            <w:pPr>
              <w:spacing w:line="360" w:lineRule="auto"/>
              <w:ind w:firstLine="480" w:firstLineChars="200"/>
              <w:rPr>
                <w:sz w:val="24"/>
              </w:rPr>
            </w:pPr>
            <w:r>
              <w:rPr>
                <w:sz w:val="24"/>
              </w:rPr>
              <w:t>2）油基泥浆</w:t>
            </w:r>
          </w:p>
          <w:p w14:paraId="5AF5AF86">
            <w:pPr>
              <w:spacing w:line="360" w:lineRule="auto"/>
              <w:ind w:firstLine="480" w:firstLineChars="200"/>
              <w:rPr>
                <w:sz w:val="24"/>
              </w:rPr>
            </w:pPr>
            <w:r>
              <w:rPr>
                <w:sz w:val="24"/>
              </w:rPr>
              <w:t>本项目</w:t>
            </w:r>
            <w:r>
              <w:rPr>
                <w:rFonts w:hint="eastAsia"/>
                <w:sz w:val="24"/>
              </w:rPr>
              <w:t>四开水平段采用</w:t>
            </w:r>
            <w:r>
              <w:rPr>
                <w:sz w:val="24"/>
              </w:rPr>
              <w:t>白油基钻井液体系</w:t>
            </w:r>
            <w:r>
              <w:rPr>
                <w:rFonts w:hint="eastAsia"/>
                <w:sz w:val="24"/>
              </w:rPr>
              <w:t>进行钻井</w:t>
            </w:r>
            <w:r>
              <w:rPr>
                <w:sz w:val="24"/>
              </w:rPr>
              <w:t>。根据</w:t>
            </w:r>
            <w:r>
              <w:rPr>
                <w:rFonts w:hint="eastAsia"/>
                <w:sz w:val="24"/>
              </w:rPr>
              <w:t>表2-6</w:t>
            </w:r>
            <w:r>
              <w:rPr>
                <w:sz w:val="24"/>
              </w:rPr>
              <w:t>钻井液预计消耗情况</w:t>
            </w:r>
            <w:r>
              <w:rPr>
                <w:rFonts w:hint="eastAsia"/>
                <w:sz w:val="24"/>
              </w:rPr>
              <w:t>四开侧钻水平段</w:t>
            </w:r>
            <w:r>
              <w:rPr>
                <w:sz w:val="24"/>
              </w:rPr>
              <w:t>钻井液需要量为</w:t>
            </w:r>
            <w:r>
              <w:rPr>
                <w:rFonts w:hint="eastAsia"/>
                <w:sz w:val="24"/>
              </w:rPr>
              <w:t>548</w:t>
            </w:r>
            <w:r>
              <w:rPr>
                <w:sz w:val="24"/>
              </w:rPr>
              <w:t>m</w:t>
            </w:r>
            <w:r>
              <w:rPr>
                <w:sz w:val="24"/>
                <w:vertAlign w:val="superscript"/>
              </w:rPr>
              <w:t>3</w:t>
            </w:r>
            <w:r>
              <w:rPr>
                <w:sz w:val="24"/>
              </w:rPr>
              <w:t>，根据建设单位提供资料，在区域内相同钻井的白油基钻井液回收利用率约为95%，因此油基泥浆产生量约为</w:t>
            </w:r>
            <w:r>
              <w:rPr>
                <w:rFonts w:hint="eastAsia"/>
                <w:sz w:val="24"/>
              </w:rPr>
              <w:t>27.4</w:t>
            </w:r>
            <w:r>
              <w:rPr>
                <w:sz w:val="24"/>
              </w:rPr>
              <w:t>m</w:t>
            </w:r>
            <w:r>
              <w:rPr>
                <w:sz w:val="24"/>
                <w:vertAlign w:val="superscript"/>
              </w:rPr>
              <w:t>3</w:t>
            </w:r>
            <w:r>
              <w:rPr>
                <w:sz w:val="24"/>
              </w:rPr>
              <w:t>。本项目采用泥浆不落地平台，并采取泥浆不落地措施，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经</w:t>
            </w:r>
            <w:r>
              <w:rPr>
                <w:rFonts w:hint="eastAsia"/>
                <w:sz w:val="24"/>
              </w:rPr>
              <w:t>吨桶</w:t>
            </w:r>
            <w:r>
              <w:rPr>
                <w:sz w:val="24"/>
              </w:rPr>
              <w:t>收集后暂存于危废贮存点，贮存点地面采取必要的防护措施（防风、防雨、防晒、防渗、防漏、防腐）及其他环境污染防护措施，委托有资质单位处理。</w:t>
            </w:r>
          </w:p>
          <w:p w14:paraId="04F1A237">
            <w:pPr>
              <w:spacing w:line="360" w:lineRule="auto"/>
              <w:ind w:firstLine="480" w:firstLineChars="200"/>
              <w:rPr>
                <w:bCs/>
                <w:sz w:val="24"/>
              </w:rPr>
            </w:pPr>
            <w:r>
              <w:rPr>
                <w:sz w:val="24"/>
              </w:rPr>
              <w:t>（</w:t>
            </w:r>
            <w:r>
              <w:rPr>
                <w:rFonts w:hint="eastAsia"/>
                <w:sz w:val="24"/>
              </w:rPr>
              <w:t>4</w:t>
            </w:r>
            <w:r>
              <w:rPr>
                <w:sz w:val="24"/>
              </w:rPr>
              <w:t>）</w:t>
            </w:r>
            <w:r>
              <w:rPr>
                <w:bCs/>
                <w:sz w:val="24"/>
              </w:rPr>
              <w:t>生活垃圾</w:t>
            </w:r>
          </w:p>
          <w:p w14:paraId="75D3B0B8">
            <w:pPr>
              <w:spacing w:line="360" w:lineRule="auto"/>
              <w:ind w:firstLine="480" w:firstLineChars="200"/>
              <w:rPr>
                <w:sz w:val="24"/>
              </w:rPr>
            </w:pPr>
            <w:r>
              <w:rPr>
                <w:sz w:val="24"/>
              </w:rPr>
              <w:t>钻井期，生活垃圾按0.5kg/人•d计算，钻井人员40人，产生量约20kg/d</w:t>
            </w:r>
            <w:r>
              <w:rPr>
                <w:rFonts w:hint="eastAsia"/>
                <w:sz w:val="24"/>
              </w:rPr>
              <w:t>，施工时间约为180天，因此产生量</w:t>
            </w:r>
            <w:r>
              <w:rPr>
                <w:sz w:val="24"/>
              </w:rPr>
              <w:t>共</w:t>
            </w:r>
            <w:r>
              <w:rPr>
                <w:rFonts w:hint="eastAsia"/>
                <w:sz w:val="24"/>
              </w:rPr>
              <w:t>3.6</w:t>
            </w:r>
            <w:r>
              <w:rPr>
                <w:sz w:val="24"/>
              </w:rPr>
              <w:t>t。均存放在井场区域和生活区垃圾箱内，定期外运当地环卫部门集中收集处置。</w:t>
            </w:r>
          </w:p>
          <w:p w14:paraId="4EE95EA5">
            <w:pPr>
              <w:spacing w:line="360" w:lineRule="auto"/>
              <w:ind w:firstLine="480" w:firstLineChars="200"/>
              <w:rPr>
                <w:sz w:val="24"/>
              </w:rPr>
            </w:pPr>
            <w:r>
              <w:rPr>
                <w:rFonts w:hint="eastAsia"/>
                <w:sz w:val="24"/>
              </w:rPr>
              <w:t>（5）生活区隔油池污泥</w:t>
            </w:r>
          </w:p>
          <w:p w14:paraId="761AAE9B">
            <w:pPr>
              <w:spacing w:line="360" w:lineRule="auto"/>
              <w:ind w:firstLine="480" w:firstLineChars="200"/>
              <w:rPr>
                <w:sz w:val="24"/>
              </w:rPr>
            </w:pPr>
            <w:r>
              <w:rPr>
                <w:rFonts w:hint="eastAsia"/>
                <w:sz w:val="24"/>
              </w:rPr>
              <w:t>厨房废水经隔油池处理后将形成污泥，生活区隔油池污泥产生量约为0.2t，定期外运当地环卫部门集中收集处置。</w:t>
            </w:r>
          </w:p>
          <w:p w14:paraId="44A3FD50">
            <w:pPr>
              <w:pStyle w:val="19"/>
              <w:tabs>
                <w:tab w:val="left" w:pos="0"/>
                <w:tab w:val="left" w:pos="833"/>
              </w:tabs>
              <w:spacing w:before="0" w:after="0" w:line="360" w:lineRule="auto"/>
              <w:ind w:left="840" w:right="0"/>
              <w:jc w:val="center"/>
              <w:rPr>
                <w:b/>
                <w:sz w:val="24"/>
                <w:szCs w:val="24"/>
              </w:rPr>
            </w:pPr>
            <w:r>
              <w:rPr>
                <w:b/>
                <w:sz w:val="24"/>
                <w:szCs w:val="24"/>
              </w:rPr>
              <w:t>表4-10 危险废物统计表</w:t>
            </w:r>
          </w:p>
          <w:tbl>
            <w:tblPr>
              <w:tblStyle w:val="44"/>
              <w:tblW w:w="81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2"/>
              <w:gridCol w:w="992"/>
              <w:gridCol w:w="544"/>
              <w:gridCol w:w="645"/>
              <w:gridCol w:w="653"/>
              <w:gridCol w:w="645"/>
              <w:gridCol w:w="645"/>
              <w:gridCol w:w="406"/>
              <w:gridCol w:w="653"/>
              <w:gridCol w:w="518"/>
              <w:gridCol w:w="510"/>
              <w:gridCol w:w="552"/>
              <w:gridCol w:w="1072"/>
            </w:tblGrid>
            <w:tr w14:paraId="6E1FB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1" w:type="pct"/>
                  <w:tcBorders>
                    <w:left w:val="single" w:color="auto" w:sz="0" w:space="0"/>
                  </w:tcBorders>
                  <w:shd w:val="clear" w:color="auto" w:fill="FFFFFF" w:themeFill="background1"/>
                  <w:vAlign w:val="center"/>
                </w:tcPr>
                <w:p w14:paraId="3988552D">
                  <w:pPr>
                    <w:pStyle w:val="401"/>
                    <w:jc w:val="center"/>
                    <w:rPr>
                      <w:b/>
                      <w:szCs w:val="21"/>
                    </w:rPr>
                  </w:pPr>
                  <w:r>
                    <w:rPr>
                      <w:b/>
                      <w:szCs w:val="21"/>
                    </w:rPr>
                    <w:t>序号</w:t>
                  </w:r>
                </w:p>
              </w:tc>
              <w:tc>
                <w:tcPr>
                  <w:tcW w:w="608" w:type="pct"/>
                  <w:shd w:val="clear" w:color="auto" w:fill="FFFFFF" w:themeFill="background1"/>
                  <w:vAlign w:val="center"/>
                </w:tcPr>
                <w:p w14:paraId="083F628F">
                  <w:pPr>
                    <w:pStyle w:val="401"/>
                    <w:jc w:val="center"/>
                    <w:rPr>
                      <w:b/>
                      <w:szCs w:val="21"/>
                    </w:rPr>
                  </w:pPr>
                  <w:r>
                    <w:rPr>
                      <w:b/>
                      <w:szCs w:val="21"/>
                    </w:rPr>
                    <w:t>废物名称</w:t>
                  </w:r>
                </w:p>
              </w:tc>
              <w:tc>
                <w:tcPr>
                  <w:tcW w:w="333" w:type="pct"/>
                  <w:shd w:val="clear" w:color="auto" w:fill="FFFFFF" w:themeFill="background1"/>
                  <w:vAlign w:val="center"/>
                </w:tcPr>
                <w:p w14:paraId="10EA0980">
                  <w:pPr>
                    <w:pStyle w:val="401"/>
                    <w:jc w:val="center"/>
                    <w:rPr>
                      <w:b/>
                      <w:szCs w:val="21"/>
                    </w:rPr>
                  </w:pPr>
                  <w:r>
                    <w:rPr>
                      <w:b/>
                      <w:szCs w:val="21"/>
                    </w:rPr>
                    <w:t>废物类别</w:t>
                  </w:r>
                </w:p>
              </w:tc>
              <w:tc>
                <w:tcPr>
                  <w:tcW w:w="395" w:type="pct"/>
                  <w:shd w:val="clear" w:color="auto" w:fill="FFFFFF" w:themeFill="background1"/>
                  <w:vAlign w:val="center"/>
                </w:tcPr>
                <w:p w14:paraId="06ACB876">
                  <w:pPr>
                    <w:pStyle w:val="401"/>
                    <w:jc w:val="center"/>
                    <w:rPr>
                      <w:b/>
                      <w:szCs w:val="21"/>
                    </w:rPr>
                  </w:pPr>
                  <w:r>
                    <w:rPr>
                      <w:b/>
                      <w:szCs w:val="21"/>
                    </w:rPr>
                    <w:t>废物代码</w:t>
                  </w:r>
                </w:p>
              </w:tc>
              <w:tc>
                <w:tcPr>
                  <w:tcW w:w="400" w:type="pct"/>
                  <w:shd w:val="clear" w:color="auto" w:fill="FFFFFF" w:themeFill="background1"/>
                  <w:vAlign w:val="center"/>
                </w:tcPr>
                <w:p w14:paraId="4966EB55">
                  <w:pPr>
                    <w:pStyle w:val="401"/>
                    <w:jc w:val="center"/>
                    <w:rPr>
                      <w:b/>
                      <w:szCs w:val="21"/>
                    </w:rPr>
                  </w:pPr>
                  <w:r>
                    <w:rPr>
                      <w:b/>
                      <w:szCs w:val="21"/>
                    </w:rPr>
                    <w:t>性质判断</w:t>
                  </w:r>
                </w:p>
              </w:tc>
              <w:tc>
                <w:tcPr>
                  <w:tcW w:w="395" w:type="pct"/>
                  <w:shd w:val="clear" w:color="auto" w:fill="FFFFFF" w:themeFill="background1"/>
                  <w:vAlign w:val="center"/>
                </w:tcPr>
                <w:p w14:paraId="43611307">
                  <w:pPr>
                    <w:pStyle w:val="401"/>
                    <w:jc w:val="center"/>
                    <w:rPr>
                      <w:b/>
                      <w:szCs w:val="21"/>
                    </w:rPr>
                  </w:pPr>
                  <w:r>
                    <w:rPr>
                      <w:b/>
                      <w:szCs w:val="21"/>
                    </w:rPr>
                    <w:t>产生量</w:t>
                  </w:r>
                </w:p>
              </w:tc>
              <w:tc>
                <w:tcPr>
                  <w:tcW w:w="395" w:type="pct"/>
                  <w:shd w:val="clear" w:color="auto" w:fill="FFFFFF" w:themeFill="background1"/>
                  <w:vAlign w:val="center"/>
                </w:tcPr>
                <w:p w14:paraId="44C2DEF2">
                  <w:pPr>
                    <w:pStyle w:val="401"/>
                    <w:jc w:val="center"/>
                    <w:rPr>
                      <w:b/>
                      <w:szCs w:val="21"/>
                    </w:rPr>
                  </w:pPr>
                  <w:r>
                    <w:rPr>
                      <w:b/>
                      <w:szCs w:val="21"/>
                    </w:rPr>
                    <w:t>产生工序及装置</w:t>
                  </w:r>
                </w:p>
              </w:tc>
              <w:tc>
                <w:tcPr>
                  <w:tcW w:w="249" w:type="pct"/>
                  <w:shd w:val="clear" w:color="auto" w:fill="FFFFFF" w:themeFill="background1"/>
                  <w:vAlign w:val="center"/>
                </w:tcPr>
                <w:p w14:paraId="536154A5">
                  <w:pPr>
                    <w:pStyle w:val="401"/>
                    <w:jc w:val="center"/>
                    <w:rPr>
                      <w:b/>
                      <w:szCs w:val="21"/>
                    </w:rPr>
                  </w:pPr>
                  <w:r>
                    <w:rPr>
                      <w:b/>
                      <w:szCs w:val="21"/>
                    </w:rPr>
                    <w:t>形态</w:t>
                  </w:r>
                </w:p>
              </w:tc>
              <w:tc>
                <w:tcPr>
                  <w:tcW w:w="400" w:type="pct"/>
                  <w:shd w:val="clear" w:color="auto" w:fill="FFFFFF" w:themeFill="background1"/>
                  <w:vAlign w:val="center"/>
                </w:tcPr>
                <w:p w14:paraId="098E7A3D">
                  <w:pPr>
                    <w:pStyle w:val="401"/>
                    <w:jc w:val="center"/>
                    <w:rPr>
                      <w:b/>
                      <w:szCs w:val="21"/>
                    </w:rPr>
                  </w:pPr>
                  <w:r>
                    <w:rPr>
                      <w:b/>
                      <w:szCs w:val="21"/>
                    </w:rPr>
                    <w:t>主要成分</w:t>
                  </w:r>
                </w:p>
              </w:tc>
              <w:tc>
                <w:tcPr>
                  <w:tcW w:w="317" w:type="pct"/>
                  <w:shd w:val="clear" w:color="auto" w:fill="FFFFFF" w:themeFill="background1"/>
                  <w:vAlign w:val="center"/>
                </w:tcPr>
                <w:p w14:paraId="495F9623">
                  <w:pPr>
                    <w:pStyle w:val="401"/>
                    <w:jc w:val="center"/>
                    <w:rPr>
                      <w:b/>
                      <w:szCs w:val="21"/>
                    </w:rPr>
                  </w:pPr>
                  <w:r>
                    <w:rPr>
                      <w:b/>
                      <w:szCs w:val="21"/>
                    </w:rPr>
                    <w:t>有害成分</w:t>
                  </w:r>
                </w:p>
              </w:tc>
              <w:tc>
                <w:tcPr>
                  <w:tcW w:w="312" w:type="pct"/>
                  <w:shd w:val="clear" w:color="auto" w:fill="FFFFFF" w:themeFill="background1"/>
                  <w:vAlign w:val="center"/>
                </w:tcPr>
                <w:p w14:paraId="4261099D">
                  <w:pPr>
                    <w:pStyle w:val="401"/>
                    <w:jc w:val="center"/>
                    <w:rPr>
                      <w:b/>
                      <w:szCs w:val="21"/>
                    </w:rPr>
                  </w:pPr>
                  <w:r>
                    <w:rPr>
                      <w:b/>
                      <w:szCs w:val="21"/>
                    </w:rPr>
                    <w:t>产废周期</w:t>
                  </w:r>
                </w:p>
              </w:tc>
              <w:tc>
                <w:tcPr>
                  <w:tcW w:w="338" w:type="pct"/>
                  <w:shd w:val="clear" w:color="auto" w:fill="FFFFFF" w:themeFill="background1"/>
                  <w:vAlign w:val="center"/>
                </w:tcPr>
                <w:p w14:paraId="7A0EB93D">
                  <w:pPr>
                    <w:pStyle w:val="401"/>
                    <w:jc w:val="center"/>
                    <w:rPr>
                      <w:b/>
                      <w:szCs w:val="21"/>
                    </w:rPr>
                  </w:pPr>
                  <w:r>
                    <w:rPr>
                      <w:b/>
                      <w:szCs w:val="21"/>
                    </w:rPr>
                    <w:t>危险特性</w:t>
                  </w:r>
                </w:p>
              </w:tc>
              <w:tc>
                <w:tcPr>
                  <w:tcW w:w="657" w:type="pct"/>
                  <w:tcBorders>
                    <w:right w:val="single" w:color="auto" w:sz="12" w:space="0"/>
                  </w:tcBorders>
                  <w:shd w:val="clear" w:color="auto" w:fill="FFFFFF" w:themeFill="background1"/>
                  <w:vAlign w:val="center"/>
                </w:tcPr>
                <w:p w14:paraId="47308568">
                  <w:pPr>
                    <w:pStyle w:val="401"/>
                    <w:jc w:val="center"/>
                    <w:rPr>
                      <w:b/>
                      <w:szCs w:val="21"/>
                    </w:rPr>
                  </w:pPr>
                  <w:r>
                    <w:rPr>
                      <w:b/>
                      <w:szCs w:val="21"/>
                    </w:rPr>
                    <w:t>污染防治措施</w:t>
                  </w:r>
                </w:p>
              </w:tc>
            </w:tr>
            <w:tr w14:paraId="2C57C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43AC88C1">
                  <w:pPr>
                    <w:pStyle w:val="401"/>
                    <w:jc w:val="center"/>
                    <w:rPr>
                      <w:bCs/>
                      <w:szCs w:val="21"/>
                    </w:rPr>
                  </w:pPr>
                  <w:r>
                    <w:rPr>
                      <w:bCs/>
                      <w:szCs w:val="21"/>
                    </w:rPr>
                    <w:t>1</w:t>
                  </w:r>
                </w:p>
              </w:tc>
              <w:tc>
                <w:tcPr>
                  <w:tcW w:w="608" w:type="pct"/>
                  <w:vAlign w:val="center"/>
                </w:tcPr>
                <w:p w14:paraId="15D16FF2">
                  <w:pPr>
                    <w:pStyle w:val="401"/>
                    <w:jc w:val="center"/>
                    <w:rPr>
                      <w:bCs/>
                      <w:szCs w:val="21"/>
                    </w:rPr>
                  </w:pPr>
                  <w:r>
                    <w:rPr>
                      <w:bCs/>
                      <w:szCs w:val="21"/>
                    </w:rPr>
                    <w:t>废油</w:t>
                  </w:r>
                </w:p>
              </w:tc>
              <w:tc>
                <w:tcPr>
                  <w:tcW w:w="333" w:type="pct"/>
                  <w:vAlign w:val="center"/>
                </w:tcPr>
                <w:p w14:paraId="58FD1EBA">
                  <w:pPr>
                    <w:pStyle w:val="401"/>
                    <w:jc w:val="center"/>
                    <w:rPr>
                      <w:bCs/>
                      <w:szCs w:val="21"/>
                    </w:rPr>
                  </w:pPr>
                  <w:r>
                    <w:rPr>
                      <w:bCs/>
                      <w:szCs w:val="21"/>
                    </w:rPr>
                    <w:t>HW08</w:t>
                  </w:r>
                </w:p>
              </w:tc>
              <w:tc>
                <w:tcPr>
                  <w:tcW w:w="395" w:type="pct"/>
                  <w:vAlign w:val="center"/>
                </w:tcPr>
                <w:p w14:paraId="14E839D1">
                  <w:pPr>
                    <w:pStyle w:val="401"/>
                    <w:jc w:val="center"/>
                    <w:rPr>
                      <w:bCs/>
                      <w:szCs w:val="21"/>
                    </w:rPr>
                  </w:pPr>
                  <w:r>
                    <w:rPr>
                      <w:bCs/>
                      <w:szCs w:val="21"/>
                    </w:rPr>
                    <w:t>900-249-08</w:t>
                  </w:r>
                </w:p>
              </w:tc>
              <w:tc>
                <w:tcPr>
                  <w:tcW w:w="400" w:type="pct"/>
                  <w:vAlign w:val="center"/>
                </w:tcPr>
                <w:p w14:paraId="4E7376E9">
                  <w:pPr>
                    <w:pStyle w:val="401"/>
                    <w:jc w:val="center"/>
                    <w:rPr>
                      <w:bCs/>
                      <w:szCs w:val="21"/>
                    </w:rPr>
                  </w:pPr>
                  <w:r>
                    <w:rPr>
                      <w:bCs/>
                      <w:szCs w:val="21"/>
                    </w:rPr>
                    <w:t>危险废物</w:t>
                  </w:r>
                </w:p>
              </w:tc>
              <w:tc>
                <w:tcPr>
                  <w:tcW w:w="395" w:type="pct"/>
                  <w:vAlign w:val="center"/>
                </w:tcPr>
                <w:p w14:paraId="572D068B">
                  <w:pPr>
                    <w:pStyle w:val="401"/>
                    <w:jc w:val="center"/>
                    <w:rPr>
                      <w:bCs/>
                      <w:szCs w:val="21"/>
                    </w:rPr>
                  </w:pPr>
                  <w:r>
                    <w:rPr>
                      <w:bCs/>
                      <w:szCs w:val="21"/>
                    </w:rPr>
                    <w:t>0.5t</w:t>
                  </w:r>
                </w:p>
              </w:tc>
              <w:tc>
                <w:tcPr>
                  <w:tcW w:w="395" w:type="pct"/>
                  <w:vAlign w:val="center"/>
                </w:tcPr>
                <w:p w14:paraId="6473C81B">
                  <w:pPr>
                    <w:pStyle w:val="401"/>
                    <w:jc w:val="center"/>
                    <w:rPr>
                      <w:bCs/>
                      <w:szCs w:val="21"/>
                    </w:rPr>
                  </w:pPr>
                  <w:r>
                    <w:rPr>
                      <w:bCs/>
                      <w:szCs w:val="21"/>
                    </w:rPr>
                    <w:t>钻井机具</w:t>
                  </w:r>
                </w:p>
              </w:tc>
              <w:tc>
                <w:tcPr>
                  <w:tcW w:w="249" w:type="pct"/>
                  <w:vAlign w:val="center"/>
                </w:tcPr>
                <w:p w14:paraId="7BD01A4D">
                  <w:pPr>
                    <w:pStyle w:val="401"/>
                    <w:jc w:val="center"/>
                    <w:rPr>
                      <w:bCs/>
                      <w:szCs w:val="21"/>
                    </w:rPr>
                  </w:pPr>
                  <w:r>
                    <w:rPr>
                      <w:bCs/>
                      <w:szCs w:val="21"/>
                    </w:rPr>
                    <w:t>液态</w:t>
                  </w:r>
                </w:p>
              </w:tc>
              <w:tc>
                <w:tcPr>
                  <w:tcW w:w="400" w:type="pct"/>
                  <w:vAlign w:val="center"/>
                </w:tcPr>
                <w:p w14:paraId="47B37102">
                  <w:pPr>
                    <w:pStyle w:val="401"/>
                    <w:jc w:val="center"/>
                    <w:rPr>
                      <w:rFonts w:hint="eastAsia" w:eastAsia="宋体"/>
                      <w:bCs/>
                      <w:szCs w:val="21"/>
                      <w:lang w:val="en-US" w:eastAsia="zh-CN"/>
                    </w:rPr>
                  </w:pPr>
                  <w:r>
                    <w:rPr>
                      <w:bCs/>
                      <w:szCs w:val="21"/>
                    </w:rPr>
                    <w:t>废润滑油</w:t>
                  </w:r>
                  <w:r>
                    <w:rPr>
                      <w:rFonts w:hint="eastAsia"/>
                      <w:bCs/>
                      <w:szCs w:val="21"/>
                      <w:lang w:val="en-US" w:eastAsia="zh-CN"/>
                    </w:rPr>
                    <w:t xml:space="preserve"> </w:t>
                  </w:r>
                </w:p>
              </w:tc>
              <w:tc>
                <w:tcPr>
                  <w:tcW w:w="317" w:type="pct"/>
                  <w:vAlign w:val="center"/>
                </w:tcPr>
                <w:p w14:paraId="625D40E5">
                  <w:pPr>
                    <w:pStyle w:val="401"/>
                    <w:jc w:val="center"/>
                    <w:rPr>
                      <w:bCs/>
                      <w:szCs w:val="21"/>
                    </w:rPr>
                  </w:pPr>
                  <w:r>
                    <w:rPr>
                      <w:bCs/>
                      <w:szCs w:val="21"/>
                    </w:rPr>
                    <w:t>润滑油</w:t>
                  </w:r>
                </w:p>
              </w:tc>
              <w:tc>
                <w:tcPr>
                  <w:tcW w:w="312" w:type="pct"/>
                  <w:vAlign w:val="center"/>
                </w:tcPr>
                <w:p w14:paraId="2425E1B0">
                  <w:pPr>
                    <w:pStyle w:val="401"/>
                    <w:jc w:val="center"/>
                    <w:rPr>
                      <w:bCs/>
                      <w:szCs w:val="21"/>
                    </w:rPr>
                  </w:pPr>
                  <w:r>
                    <w:rPr>
                      <w:bCs/>
                      <w:szCs w:val="21"/>
                    </w:rPr>
                    <w:t>钻井期间</w:t>
                  </w:r>
                </w:p>
              </w:tc>
              <w:tc>
                <w:tcPr>
                  <w:tcW w:w="338" w:type="pct"/>
                  <w:vAlign w:val="center"/>
                </w:tcPr>
                <w:p w14:paraId="6D51A308">
                  <w:pPr>
                    <w:pStyle w:val="401"/>
                    <w:jc w:val="center"/>
                    <w:rPr>
                      <w:bCs/>
                      <w:szCs w:val="21"/>
                    </w:rPr>
                  </w:pPr>
                  <w:r>
                    <w:rPr>
                      <w:bCs/>
                      <w:szCs w:val="21"/>
                    </w:rPr>
                    <w:t>T/I</w:t>
                  </w:r>
                </w:p>
              </w:tc>
              <w:tc>
                <w:tcPr>
                  <w:tcW w:w="657" w:type="pct"/>
                  <w:vMerge w:val="restart"/>
                  <w:tcBorders>
                    <w:right w:val="single" w:color="auto" w:sz="12" w:space="0"/>
                  </w:tcBorders>
                  <w:vAlign w:val="center"/>
                </w:tcPr>
                <w:p w14:paraId="3DE30854">
                  <w:pPr>
                    <w:pStyle w:val="401"/>
                    <w:jc w:val="center"/>
                    <w:rPr>
                      <w:bCs/>
                      <w:szCs w:val="21"/>
                    </w:rPr>
                  </w:pPr>
                  <w:r>
                    <w:rPr>
                      <w:bCs/>
                      <w:szCs w:val="21"/>
                    </w:rPr>
                    <w:t>废油桶收集，暂存于危险废物贮存点，就近委托有资质单位处理</w:t>
                  </w:r>
                </w:p>
              </w:tc>
            </w:tr>
            <w:tr w14:paraId="3DBB6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61E65736">
                  <w:pPr>
                    <w:pStyle w:val="401"/>
                    <w:jc w:val="center"/>
                    <w:rPr>
                      <w:bCs/>
                      <w:szCs w:val="21"/>
                    </w:rPr>
                  </w:pPr>
                  <w:r>
                    <w:rPr>
                      <w:rFonts w:hint="eastAsia"/>
                      <w:bCs/>
                      <w:szCs w:val="21"/>
                    </w:rPr>
                    <w:t>2</w:t>
                  </w:r>
                </w:p>
              </w:tc>
              <w:tc>
                <w:tcPr>
                  <w:tcW w:w="608" w:type="pct"/>
                  <w:shd w:val="clear" w:color="auto" w:fill="auto"/>
                  <w:vAlign w:val="center"/>
                </w:tcPr>
                <w:p w14:paraId="2472A9AA">
                  <w:pPr>
                    <w:pStyle w:val="401"/>
                    <w:jc w:val="center"/>
                    <w:rPr>
                      <w:bCs/>
                      <w:szCs w:val="21"/>
                    </w:rPr>
                  </w:pPr>
                  <w:r>
                    <w:rPr>
                      <w:bCs/>
                      <w:szCs w:val="21"/>
                    </w:rPr>
                    <w:t>油基岩屑</w:t>
                  </w:r>
                </w:p>
              </w:tc>
              <w:tc>
                <w:tcPr>
                  <w:tcW w:w="333" w:type="pct"/>
                  <w:shd w:val="clear" w:color="auto" w:fill="auto"/>
                  <w:vAlign w:val="center"/>
                </w:tcPr>
                <w:p w14:paraId="69B6439F">
                  <w:pPr>
                    <w:pStyle w:val="401"/>
                    <w:jc w:val="center"/>
                    <w:rPr>
                      <w:bCs/>
                      <w:szCs w:val="21"/>
                    </w:rPr>
                  </w:pPr>
                  <w:r>
                    <w:rPr>
                      <w:rFonts w:hint="eastAsia"/>
                      <w:bCs/>
                      <w:szCs w:val="21"/>
                    </w:rPr>
                    <w:t>HW08</w:t>
                  </w:r>
                </w:p>
              </w:tc>
              <w:tc>
                <w:tcPr>
                  <w:tcW w:w="395" w:type="pct"/>
                  <w:shd w:val="clear" w:color="auto" w:fill="auto"/>
                  <w:vAlign w:val="center"/>
                </w:tcPr>
                <w:p w14:paraId="75A0EB51">
                  <w:pPr>
                    <w:pStyle w:val="401"/>
                    <w:jc w:val="center"/>
                    <w:rPr>
                      <w:bCs/>
                      <w:szCs w:val="21"/>
                    </w:rPr>
                  </w:pPr>
                  <w:r>
                    <w:rPr>
                      <w:bCs/>
                      <w:szCs w:val="21"/>
                    </w:rPr>
                    <w:t>072-001-08</w:t>
                  </w:r>
                </w:p>
              </w:tc>
              <w:tc>
                <w:tcPr>
                  <w:tcW w:w="400" w:type="pct"/>
                  <w:shd w:val="clear" w:color="auto" w:fill="auto"/>
                  <w:vAlign w:val="center"/>
                </w:tcPr>
                <w:p w14:paraId="678B5E5F">
                  <w:pPr>
                    <w:pStyle w:val="401"/>
                    <w:jc w:val="center"/>
                    <w:rPr>
                      <w:bCs/>
                      <w:szCs w:val="21"/>
                    </w:rPr>
                  </w:pPr>
                  <w:r>
                    <w:rPr>
                      <w:rFonts w:hint="eastAsia"/>
                      <w:bCs/>
                      <w:szCs w:val="21"/>
                    </w:rPr>
                    <w:t>危险废物</w:t>
                  </w:r>
                </w:p>
              </w:tc>
              <w:tc>
                <w:tcPr>
                  <w:tcW w:w="395" w:type="pct"/>
                  <w:vAlign w:val="center"/>
                </w:tcPr>
                <w:p w14:paraId="579D5D6B">
                  <w:pPr>
                    <w:pStyle w:val="401"/>
                    <w:jc w:val="center"/>
                    <w:rPr>
                      <w:bCs/>
                      <w:szCs w:val="21"/>
                    </w:rPr>
                  </w:pPr>
                  <w:r>
                    <w:rPr>
                      <w:rFonts w:hint="eastAsia"/>
                      <w:bCs/>
                      <w:szCs w:val="21"/>
                    </w:rPr>
                    <w:t>1468.7t</w:t>
                  </w:r>
                </w:p>
              </w:tc>
              <w:tc>
                <w:tcPr>
                  <w:tcW w:w="395" w:type="pct"/>
                  <w:shd w:val="clear" w:color="auto" w:fill="auto"/>
                  <w:vAlign w:val="center"/>
                </w:tcPr>
                <w:p w14:paraId="6E64F1EE">
                  <w:pPr>
                    <w:pStyle w:val="401"/>
                    <w:jc w:val="center"/>
                    <w:rPr>
                      <w:bCs/>
                      <w:szCs w:val="21"/>
                    </w:rPr>
                  </w:pPr>
                  <w:r>
                    <w:rPr>
                      <w:rFonts w:hint="eastAsia"/>
                      <w:bCs/>
                      <w:szCs w:val="21"/>
                    </w:rPr>
                    <w:t>四开钻井</w:t>
                  </w:r>
                </w:p>
              </w:tc>
              <w:tc>
                <w:tcPr>
                  <w:tcW w:w="249" w:type="pct"/>
                  <w:shd w:val="clear" w:color="auto" w:fill="auto"/>
                  <w:vAlign w:val="center"/>
                </w:tcPr>
                <w:p w14:paraId="136C5B6D">
                  <w:pPr>
                    <w:pStyle w:val="401"/>
                    <w:jc w:val="center"/>
                    <w:rPr>
                      <w:bCs/>
                      <w:szCs w:val="21"/>
                    </w:rPr>
                  </w:pPr>
                  <w:r>
                    <w:rPr>
                      <w:rFonts w:hint="eastAsia"/>
                      <w:bCs/>
                      <w:szCs w:val="21"/>
                    </w:rPr>
                    <w:t>半固态</w:t>
                  </w:r>
                </w:p>
              </w:tc>
              <w:tc>
                <w:tcPr>
                  <w:tcW w:w="400" w:type="pct"/>
                  <w:shd w:val="clear" w:color="auto" w:fill="auto"/>
                  <w:vAlign w:val="center"/>
                </w:tcPr>
                <w:p w14:paraId="498B7D4C">
                  <w:pPr>
                    <w:pStyle w:val="401"/>
                    <w:jc w:val="center"/>
                    <w:rPr>
                      <w:bCs/>
                      <w:szCs w:val="21"/>
                    </w:rPr>
                  </w:pPr>
                  <w:r>
                    <w:rPr>
                      <w:bCs/>
                      <w:szCs w:val="21"/>
                    </w:rPr>
                    <w:t>含油岩屑</w:t>
                  </w:r>
                </w:p>
              </w:tc>
              <w:tc>
                <w:tcPr>
                  <w:tcW w:w="317" w:type="pct"/>
                  <w:shd w:val="clear" w:color="auto" w:fill="auto"/>
                  <w:vAlign w:val="center"/>
                </w:tcPr>
                <w:p w14:paraId="7D2E7F5E">
                  <w:pPr>
                    <w:pStyle w:val="401"/>
                    <w:jc w:val="center"/>
                    <w:rPr>
                      <w:bCs/>
                      <w:szCs w:val="21"/>
                    </w:rPr>
                  </w:pPr>
                  <w:r>
                    <w:rPr>
                      <w:rFonts w:hint="eastAsia"/>
                      <w:bCs/>
                      <w:szCs w:val="21"/>
                    </w:rPr>
                    <w:t>油类</w:t>
                  </w:r>
                </w:p>
              </w:tc>
              <w:tc>
                <w:tcPr>
                  <w:tcW w:w="312" w:type="pct"/>
                  <w:shd w:val="clear" w:color="auto" w:fill="auto"/>
                  <w:vAlign w:val="center"/>
                </w:tcPr>
                <w:p w14:paraId="2FE9F431">
                  <w:pPr>
                    <w:pStyle w:val="401"/>
                    <w:jc w:val="center"/>
                    <w:rPr>
                      <w:bCs/>
                      <w:szCs w:val="21"/>
                    </w:rPr>
                  </w:pPr>
                  <w:r>
                    <w:rPr>
                      <w:rFonts w:hint="eastAsia"/>
                      <w:bCs/>
                      <w:szCs w:val="21"/>
                    </w:rPr>
                    <w:t>钻井期间</w:t>
                  </w:r>
                </w:p>
              </w:tc>
              <w:tc>
                <w:tcPr>
                  <w:tcW w:w="338" w:type="pct"/>
                  <w:shd w:val="clear" w:color="auto" w:fill="auto"/>
                  <w:vAlign w:val="center"/>
                </w:tcPr>
                <w:p w14:paraId="18394C0E">
                  <w:pPr>
                    <w:pStyle w:val="401"/>
                    <w:jc w:val="center"/>
                    <w:rPr>
                      <w:bCs/>
                      <w:szCs w:val="21"/>
                    </w:rPr>
                  </w:pPr>
                  <w:r>
                    <w:rPr>
                      <w:bCs/>
                      <w:szCs w:val="21"/>
                    </w:rPr>
                    <w:t>T</w:t>
                  </w:r>
                </w:p>
              </w:tc>
              <w:tc>
                <w:tcPr>
                  <w:tcW w:w="657" w:type="pct"/>
                  <w:vMerge w:val="continue"/>
                  <w:tcBorders>
                    <w:right w:val="single" w:color="auto" w:sz="12" w:space="0"/>
                  </w:tcBorders>
                  <w:vAlign w:val="center"/>
                </w:tcPr>
                <w:p w14:paraId="420ABBF1">
                  <w:pPr>
                    <w:pStyle w:val="401"/>
                    <w:jc w:val="center"/>
                    <w:rPr>
                      <w:bCs/>
                      <w:szCs w:val="21"/>
                    </w:rPr>
                  </w:pPr>
                </w:p>
              </w:tc>
            </w:tr>
            <w:tr w14:paraId="3576B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427EBD2B">
                  <w:pPr>
                    <w:pStyle w:val="401"/>
                    <w:jc w:val="center"/>
                    <w:rPr>
                      <w:bCs/>
                      <w:szCs w:val="21"/>
                    </w:rPr>
                  </w:pPr>
                  <w:r>
                    <w:rPr>
                      <w:rFonts w:hint="eastAsia"/>
                      <w:bCs/>
                      <w:szCs w:val="21"/>
                    </w:rPr>
                    <w:t>3</w:t>
                  </w:r>
                </w:p>
              </w:tc>
              <w:tc>
                <w:tcPr>
                  <w:tcW w:w="608" w:type="pct"/>
                  <w:shd w:val="clear" w:color="auto" w:fill="auto"/>
                  <w:vAlign w:val="center"/>
                </w:tcPr>
                <w:p w14:paraId="6BE14D27">
                  <w:pPr>
                    <w:pStyle w:val="401"/>
                    <w:jc w:val="center"/>
                    <w:rPr>
                      <w:bCs/>
                      <w:szCs w:val="21"/>
                    </w:rPr>
                  </w:pPr>
                  <w:r>
                    <w:rPr>
                      <w:rFonts w:hint="eastAsia"/>
                      <w:bCs/>
                      <w:szCs w:val="21"/>
                    </w:rPr>
                    <w:t>油基泥浆</w:t>
                  </w:r>
                </w:p>
              </w:tc>
              <w:tc>
                <w:tcPr>
                  <w:tcW w:w="333" w:type="pct"/>
                  <w:shd w:val="clear" w:color="auto" w:fill="auto"/>
                  <w:vAlign w:val="center"/>
                </w:tcPr>
                <w:p w14:paraId="5DE485CF">
                  <w:pPr>
                    <w:pStyle w:val="401"/>
                    <w:jc w:val="center"/>
                    <w:rPr>
                      <w:bCs/>
                      <w:szCs w:val="21"/>
                    </w:rPr>
                  </w:pPr>
                  <w:r>
                    <w:rPr>
                      <w:rFonts w:hint="eastAsia"/>
                      <w:bCs/>
                      <w:szCs w:val="21"/>
                    </w:rPr>
                    <w:t>HW08</w:t>
                  </w:r>
                </w:p>
              </w:tc>
              <w:tc>
                <w:tcPr>
                  <w:tcW w:w="395" w:type="pct"/>
                  <w:shd w:val="clear" w:color="auto" w:fill="auto"/>
                  <w:vAlign w:val="center"/>
                </w:tcPr>
                <w:p w14:paraId="6A36DF69">
                  <w:pPr>
                    <w:pStyle w:val="401"/>
                    <w:jc w:val="center"/>
                    <w:rPr>
                      <w:bCs/>
                      <w:szCs w:val="21"/>
                    </w:rPr>
                  </w:pPr>
                  <w:r>
                    <w:rPr>
                      <w:bCs/>
                      <w:szCs w:val="21"/>
                    </w:rPr>
                    <w:t>072-001-08</w:t>
                  </w:r>
                </w:p>
              </w:tc>
              <w:tc>
                <w:tcPr>
                  <w:tcW w:w="400" w:type="pct"/>
                  <w:shd w:val="clear" w:color="auto" w:fill="auto"/>
                  <w:vAlign w:val="center"/>
                </w:tcPr>
                <w:p w14:paraId="0020E61F">
                  <w:pPr>
                    <w:pStyle w:val="401"/>
                    <w:jc w:val="center"/>
                    <w:rPr>
                      <w:bCs/>
                      <w:szCs w:val="21"/>
                    </w:rPr>
                  </w:pPr>
                  <w:r>
                    <w:rPr>
                      <w:rFonts w:hint="eastAsia"/>
                      <w:bCs/>
                      <w:szCs w:val="21"/>
                    </w:rPr>
                    <w:t>危险废物</w:t>
                  </w:r>
                </w:p>
              </w:tc>
              <w:tc>
                <w:tcPr>
                  <w:tcW w:w="395" w:type="pct"/>
                  <w:vAlign w:val="center"/>
                </w:tcPr>
                <w:p w14:paraId="4ADD8166">
                  <w:pPr>
                    <w:pStyle w:val="401"/>
                    <w:jc w:val="center"/>
                    <w:rPr>
                      <w:bCs/>
                      <w:szCs w:val="21"/>
                    </w:rPr>
                  </w:pPr>
                  <w:r>
                    <w:rPr>
                      <w:rFonts w:hint="eastAsia"/>
                      <w:bCs/>
                      <w:szCs w:val="21"/>
                    </w:rPr>
                    <w:t>27.4m</w:t>
                  </w:r>
                  <w:r>
                    <w:rPr>
                      <w:rFonts w:hint="eastAsia"/>
                      <w:bCs/>
                      <w:szCs w:val="21"/>
                      <w:vertAlign w:val="superscript"/>
                    </w:rPr>
                    <w:t>3</w:t>
                  </w:r>
                </w:p>
              </w:tc>
              <w:tc>
                <w:tcPr>
                  <w:tcW w:w="395" w:type="pct"/>
                  <w:shd w:val="clear" w:color="auto" w:fill="auto"/>
                  <w:vAlign w:val="center"/>
                </w:tcPr>
                <w:p w14:paraId="146928DB">
                  <w:pPr>
                    <w:pStyle w:val="401"/>
                    <w:jc w:val="center"/>
                    <w:rPr>
                      <w:bCs/>
                      <w:szCs w:val="21"/>
                    </w:rPr>
                  </w:pPr>
                  <w:r>
                    <w:rPr>
                      <w:rFonts w:hint="eastAsia"/>
                      <w:bCs/>
                      <w:szCs w:val="21"/>
                    </w:rPr>
                    <w:t>四开钻井</w:t>
                  </w:r>
                </w:p>
              </w:tc>
              <w:tc>
                <w:tcPr>
                  <w:tcW w:w="249" w:type="pct"/>
                  <w:shd w:val="clear" w:color="auto" w:fill="auto"/>
                  <w:vAlign w:val="center"/>
                </w:tcPr>
                <w:p w14:paraId="28A987D8">
                  <w:pPr>
                    <w:pStyle w:val="401"/>
                    <w:jc w:val="center"/>
                    <w:rPr>
                      <w:bCs/>
                      <w:szCs w:val="21"/>
                    </w:rPr>
                  </w:pPr>
                  <w:r>
                    <w:rPr>
                      <w:rFonts w:hint="eastAsia"/>
                      <w:bCs/>
                      <w:szCs w:val="21"/>
                    </w:rPr>
                    <w:t>半固态</w:t>
                  </w:r>
                </w:p>
              </w:tc>
              <w:tc>
                <w:tcPr>
                  <w:tcW w:w="400" w:type="pct"/>
                  <w:shd w:val="clear" w:color="auto" w:fill="auto"/>
                  <w:vAlign w:val="center"/>
                </w:tcPr>
                <w:p w14:paraId="01DFDE5B">
                  <w:pPr>
                    <w:pStyle w:val="401"/>
                    <w:jc w:val="center"/>
                    <w:rPr>
                      <w:bCs/>
                      <w:szCs w:val="21"/>
                    </w:rPr>
                  </w:pPr>
                  <w:r>
                    <w:rPr>
                      <w:rFonts w:hint="eastAsia"/>
                      <w:bCs/>
                      <w:szCs w:val="21"/>
                    </w:rPr>
                    <w:t>含油泥浆</w:t>
                  </w:r>
                </w:p>
              </w:tc>
              <w:tc>
                <w:tcPr>
                  <w:tcW w:w="317" w:type="pct"/>
                  <w:shd w:val="clear" w:color="auto" w:fill="auto"/>
                  <w:vAlign w:val="center"/>
                </w:tcPr>
                <w:p w14:paraId="1A8897B3">
                  <w:pPr>
                    <w:pStyle w:val="401"/>
                    <w:jc w:val="center"/>
                    <w:rPr>
                      <w:bCs/>
                      <w:szCs w:val="21"/>
                    </w:rPr>
                  </w:pPr>
                  <w:r>
                    <w:rPr>
                      <w:rFonts w:hint="eastAsia"/>
                      <w:bCs/>
                      <w:szCs w:val="21"/>
                    </w:rPr>
                    <w:t>油类</w:t>
                  </w:r>
                </w:p>
              </w:tc>
              <w:tc>
                <w:tcPr>
                  <w:tcW w:w="312" w:type="pct"/>
                  <w:shd w:val="clear" w:color="auto" w:fill="auto"/>
                  <w:vAlign w:val="center"/>
                </w:tcPr>
                <w:p w14:paraId="5F742C52">
                  <w:pPr>
                    <w:pStyle w:val="401"/>
                    <w:jc w:val="center"/>
                    <w:rPr>
                      <w:bCs/>
                      <w:szCs w:val="21"/>
                    </w:rPr>
                  </w:pPr>
                  <w:r>
                    <w:rPr>
                      <w:rFonts w:hint="eastAsia"/>
                      <w:bCs/>
                      <w:szCs w:val="21"/>
                    </w:rPr>
                    <w:t>钻井期间</w:t>
                  </w:r>
                </w:p>
              </w:tc>
              <w:tc>
                <w:tcPr>
                  <w:tcW w:w="338" w:type="pct"/>
                  <w:shd w:val="clear" w:color="auto" w:fill="auto"/>
                  <w:vAlign w:val="center"/>
                </w:tcPr>
                <w:p w14:paraId="4EF476DB">
                  <w:pPr>
                    <w:pStyle w:val="401"/>
                    <w:jc w:val="center"/>
                    <w:rPr>
                      <w:bCs/>
                      <w:szCs w:val="21"/>
                    </w:rPr>
                  </w:pPr>
                  <w:r>
                    <w:rPr>
                      <w:rFonts w:hint="eastAsia"/>
                      <w:bCs/>
                      <w:szCs w:val="21"/>
                    </w:rPr>
                    <w:t>T</w:t>
                  </w:r>
                </w:p>
              </w:tc>
              <w:tc>
                <w:tcPr>
                  <w:tcW w:w="657" w:type="pct"/>
                  <w:vMerge w:val="continue"/>
                  <w:tcBorders>
                    <w:right w:val="single" w:color="auto" w:sz="12" w:space="0"/>
                  </w:tcBorders>
                  <w:vAlign w:val="center"/>
                </w:tcPr>
                <w:p w14:paraId="04C2DBE3">
                  <w:pPr>
                    <w:pStyle w:val="401"/>
                    <w:jc w:val="center"/>
                    <w:rPr>
                      <w:bCs/>
                      <w:szCs w:val="21"/>
                    </w:rPr>
                  </w:pPr>
                </w:p>
              </w:tc>
            </w:tr>
            <w:tr w14:paraId="2A2B8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77B3896B">
                  <w:pPr>
                    <w:pStyle w:val="401"/>
                    <w:jc w:val="center"/>
                    <w:rPr>
                      <w:bCs/>
                      <w:szCs w:val="21"/>
                    </w:rPr>
                  </w:pPr>
                  <w:r>
                    <w:rPr>
                      <w:rFonts w:hint="eastAsia"/>
                      <w:bCs/>
                      <w:szCs w:val="21"/>
                    </w:rPr>
                    <w:t>4</w:t>
                  </w:r>
                </w:p>
              </w:tc>
              <w:tc>
                <w:tcPr>
                  <w:tcW w:w="608" w:type="pct"/>
                  <w:vAlign w:val="center"/>
                </w:tcPr>
                <w:p w14:paraId="0F1B96E4">
                  <w:pPr>
                    <w:pStyle w:val="401"/>
                    <w:jc w:val="center"/>
                    <w:rPr>
                      <w:bCs/>
                      <w:szCs w:val="21"/>
                    </w:rPr>
                  </w:pPr>
                  <w:r>
                    <w:rPr>
                      <w:bCs/>
                      <w:szCs w:val="21"/>
                    </w:rPr>
                    <w:t>废油桶</w:t>
                  </w:r>
                </w:p>
              </w:tc>
              <w:tc>
                <w:tcPr>
                  <w:tcW w:w="333" w:type="pct"/>
                  <w:vAlign w:val="center"/>
                </w:tcPr>
                <w:p w14:paraId="19A12990">
                  <w:pPr>
                    <w:pStyle w:val="401"/>
                    <w:jc w:val="center"/>
                    <w:rPr>
                      <w:bCs/>
                      <w:szCs w:val="21"/>
                    </w:rPr>
                  </w:pPr>
                  <w:r>
                    <w:rPr>
                      <w:bCs/>
                      <w:szCs w:val="21"/>
                    </w:rPr>
                    <w:t>HW49</w:t>
                  </w:r>
                </w:p>
              </w:tc>
              <w:tc>
                <w:tcPr>
                  <w:tcW w:w="395" w:type="pct"/>
                  <w:vAlign w:val="center"/>
                </w:tcPr>
                <w:p w14:paraId="0D2AD48C">
                  <w:pPr>
                    <w:pStyle w:val="401"/>
                    <w:jc w:val="center"/>
                    <w:rPr>
                      <w:bCs/>
                      <w:szCs w:val="21"/>
                    </w:rPr>
                  </w:pPr>
                  <w:r>
                    <w:rPr>
                      <w:bCs/>
                      <w:szCs w:val="21"/>
                    </w:rPr>
                    <w:t>900-047-49</w:t>
                  </w:r>
                </w:p>
              </w:tc>
              <w:tc>
                <w:tcPr>
                  <w:tcW w:w="400" w:type="pct"/>
                  <w:vAlign w:val="center"/>
                </w:tcPr>
                <w:p w14:paraId="7030C310">
                  <w:pPr>
                    <w:pStyle w:val="401"/>
                    <w:jc w:val="center"/>
                    <w:rPr>
                      <w:bCs/>
                      <w:szCs w:val="21"/>
                    </w:rPr>
                  </w:pPr>
                  <w:r>
                    <w:rPr>
                      <w:bCs/>
                      <w:szCs w:val="21"/>
                    </w:rPr>
                    <w:t>危险废物</w:t>
                  </w:r>
                </w:p>
              </w:tc>
              <w:tc>
                <w:tcPr>
                  <w:tcW w:w="395" w:type="pct"/>
                  <w:vAlign w:val="center"/>
                </w:tcPr>
                <w:p w14:paraId="22987A68">
                  <w:pPr>
                    <w:pStyle w:val="401"/>
                    <w:jc w:val="center"/>
                    <w:rPr>
                      <w:bCs/>
                      <w:szCs w:val="21"/>
                    </w:rPr>
                  </w:pPr>
                  <w:r>
                    <w:rPr>
                      <w:bCs/>
                      <w:szCs w:val="21"/>
                    </w:rPr>
                    <w:t>0.1t</w:t>
                  </w:r>
                </w:p>
              </w:tc>
              <w:tc>
                <w:tcPr>
                  <w:tcW w:w="395" w:type="pct"/>
                  <w:vAlign w:val="center"/>
                </w:tcPr>
                <w:p w14:paraId="0FA244A4">
                  <w:pPr>
                    <w:pStyle w:val="401"/>
                    <w:jc w:val="center"/>
                    <w:rPr>
                      <w:bCs/>
                      <w:szCs w:val="21"/>
                    </w:rPr>
                  </w:pPr>
                  <w:r>
                    <w:rPr>
                      <w:bCs/>
                      <w:szCs w:val="21"/>
                    </w:rPr>
                    <w:t>钻井机具</w:t>
                  </w:r>
                </w:p>
              </w:tc>
              <w:tc>
                <w:tcPr>
                  <w:tcW w:w="249" w:type="pct"/>
                  <w:vAlign w:val="center"/>
                </w:tcPr>
                <w:p w14:paraId="404137D5">
                  <w:pPr>
                    <w:pStyle w:val="401"/>
                    <w:jc w:val="center"/>
                    <w:rPr>
                      <w:bCs/>
                      <w:szCs w:val="21"/>
                    </w:rPr>
                  </w:pPr>
                  <w:r>
                    <w:rPr>
                      <w:bCs/>
                      <w:szCs w:val="21"/>
                    </w:rPr>
                    <w:t>液态</w:t>
                  </w:r>
                </w:p>
              </w:tc>
              <w:tc>
                <w:tcPr>
                  <w:tcW w:w="400" w:type="pct"/>
                  <w:vAlign w:val="center"/>
                </w:tcPr>
                <w:p w14:paraId="74440858">
                  <w:pPr>
                    <w:pStyle w:val="401"/>
                    <w:jc w:val="center"/>
                    <w:rPr>
                      <w:rFonts w:hint="eastAsia" w:eastAsia="宋体"/>
                      <w:bCs/>
                      <w:szCs w:val="21"/>
                      <w:lang w:val="en-US" w:eastAsia="zh-CN"/>
                    </w:rPr>
                  </w:pPr>
                  <w:r>
                    <w:rPr>
                      <w:bCs/>
                      <w:szCs w:val="21"/>
                    </w:rPr>
                    <w:t>废润滑油</w:t>
                  </w:r>
                  <w:r>
                    <w:rPr>
                      <w:rFonts w:hint="eastAsia"/>
                      <w:bCs/>
                      <w:szCs w:val="21"/>
                      <w:lang w:val="en-US" w:eastAsia="zh-CN"/>
                    </w:rPr>
                    <w:t xml:space="preserve"> </w:t>
                  </w:r>
                </w:p>
              </w:tc>
              <w:tc>
                <w:tcPr>
                  <w:tcW w:w="317" w:type="pct"/>
                  <w:vAlign w:val="center"/>
                </w:tcPr>
                <w:p w14:paraId="49E98A32">
                  <w:pPr>
                    <w:pStyle w:val="401"/>
                    <w:jc w:val="center"/>
                    <w:rPr>
                      <w:bCs/>
                      <w:szCs w:val="21"/>
                    </w:rPr>
                  </w:pPr>
                  <w:r>
                    <w:rPr>
                      <w:bCs/>
                      <w:szCs w:val="21"/>
                    </w:rPr>
                    <w:t>润滑油</w:t>
                  </w:r>
                </w:p>
              </w:tc>
              <w:tc>
                <w:tcPr>
                  <w:tcW w:w="312" w:type="pct"/>
                  <w:vAlign w:val="center"/>
                </w:tcPr>
                <w:p w14:paraId="78C8D1CA">
                  <w:pPr>
                    <w:pStyle w:val="401"/>
                    <w:jc w:val="center"/>
                    <w:rPr>
                      <w:bCs/>
                      <w:szCs w:val="21"/>
                    </w:rPr>
                  </w:pPr>
                  <w:r>
                    <w:rPr>
                      <w:bCs/>
                      <w:szCs w:val="21"/>
                    </w:rPr>
                    <w:t>钻井期间</w:t>
                  </w:r>
                </w:p>
              </w:tc>
              <w:tc>
                <w:tcPr>
                  <w:tcW w:w="338" w:type="pct"/>
                  <w:vAlign w:val="center"/>
                </w:tcPr>
                <w:p w14:paraId="4C4215E8">
                  <w:pPr>
                    <w:pStyle w:val="401"/>
                    <w:jc w:val="center"/>
                    <w:rPr>
                      <w:bCs/>
                      <w:szCs w:val="21"/>
                    </w:rPr>
                  </w:pPr>
                  <w:r>
                    <w:rPr>
                      <w:bCs/>
                      <w:szCs w:val="21"/>
                    </w:rPr>
                    <w:t>T/I</w:t>
                  </w:r>
                </w:p>
              </w:tc>
              <w:tc>
                <w:tcPr>
                  <w:tcW w:w="657" w:type="pct"/>
                  <w:vMerge w:val="continue"/>
                  <w:tcBorders>
                    <w:right w:val="single" w:color="auto" w:sz="12" w:space="0"/>
                  </w:tcBorders>
                  <w:vAlign w:val="center"/>
                </w:tcPr>
                <w:p w14:paraId="2BCC19A9">
                  <w:pPr>
                    <w:pStyle w:val="401"/>
                    <w:jc w:val="center"/>
                    <w:rPr>
                      <w:bCs/>
                      <w:szCs w:val="21"/>
                    </w:rPr>
                  </w:pPr>
                </w:p>
              </w:tc>
            </w:tr>
            <w:tr w14:paraId="03447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3CFC2FA9">
                  <w:pPr>
                    <w:pStyle w:val="401"/>
                    <w:jc w:val="center"/>
                    <w:rPr>
                      <w:bCs/>
                      <w:szCs w:val="21"/>
                    </w:rPr>
                  </w:pPr>
                  <w:r>
                    <w:rPr>
                      <w:rFonts w:hint="eastAsia"/>
                      <w:bCs/>
                      <w:szCs w:val="21"/>
                    </w:rPr>
                    <w:t>5</w:t>
                  </w:r>
                </w:p>
              </w:tc>
              <w:tc>
                <w:tcPr>
                  <w:tcW w:w="608" w:type="pct"/>
                  <w:vAlign w:val="center"/>
                </w:tcPr>
                <w:p w14:paraId="1E411735">
                  <w:pPr>
                    <w:pStyle w:val="401"/>
                    <w:jc w:val="center"/>
                    <w:rPr>
                      <w:bCs/>
                      <w:szCs w:val="21"/>
                    </w:rPr>
                  </w:pPr>
                  <w:r>
                    <w:rPr>
                      <w:bCs/>
                      <w:szCs w:val="21"/>
                    </w:rPr>
                    <w:t>废棉纱/手套</w:t>
                  </w:r>
                </w:p>
              </w:tc>
              <w:tc>
                <w:tcPr>
                  <w:tcW w:w="333" w:type="pct"/>
                  <w:vAlign w:val="center"/>
                </w:tcPr>
                <w:p w14:paraId="587B6296">
                  <w:pPr>
                    <w:jc w:val="center"/>
                    <w:rPr>
                      <w:bCs/>
                      <w:szCs w:val="21"/>
                    </w:rPr>
                  </w:pPr>
                  <w:r>
                    <w:rPr>
                      <w:szCs w:val="21"/>
                    </w:rPr>
                    <w:t>HW49</w:t>
                  </w:r>
                </w:p>
              </w:tc>
              <w:tc>
                <w:tcPr>
                  <w:tcW w:w="395" w:type="pct"/>
                  <w:vAlign w:val="center"/>
                </w:tcPr>
                <w:p w14:paraId="076DE567">
                  <w:pPr>
                    <w:jc w:val="center"/>
                    <w:rPr>
                      <w:bCs/>
                      <w:szCs w:val="21"/>
                    </w:rPr>
                  </w:pPr>
                  <w:r>
                    <w:rPr>
                      <w:szCs w:val="21"/>
                    </w:rPr>
                    <w:t>900-041-49</w:t>
                  </w:r>
                </w:p>
              </w:tc>
              <w:tc>
                <w:tcPr>
                  <w:tcW w:w="400" w:type="pct"/>
                  <w:vAlign w:val="center"/>
                </w:tcPr>
                <w:p w14:paraId="0D6BD9CE">
                  <w:pPr>
                    <w:pStyle w:val="401"/>
                    <w:jc w:val="center"/>
                    <w:rPr>
                      <w:bCs/>
                      <w:szCs w:val="21"/>
                    </w:rPr>
                  </w:pPr>
                  <w:r>
                    <w:rPr>
                      <w:bCs/>
                      <w:szCs w:val="21"/>
                    </w:rPr>
                    <w:t>危险废物</w:t>
                  </w:r>
                </w:p>
              </w:tc>
              <w:tc>
                <w:tcPr>
                  <w:tcW w:w="395" w:type="pct"/>
                  <w:vAlign w:val="center"/>
                </w:tcPr>
                <w:p w14:paraId="431987C0">
                  <w:pPr>
                    <w:pStyle w:val="401"/>
                    <w:jc w:val="center"/>
                    <w:rPr>
                      <w:bCs/>
                      <w:szCs w:val="21"/>
                    </w:rPr>
                  </w:pPr>
                  <w:r>
                    <w:rPr>
                      <w:bCs/>
                      <w:szCs w:val="21"/>
                    </w:rPr>
                    <w:t>0.1t</w:t>
                  </w:r>
                </w:p>
              </w:tc>
              <w:tc>
                <w:tcPr>
                  <w:tcW w:w="395" w:type="pct"/>
                  <w:vAlign w:val="center"/>
                </w:tcPr>
                <w:p w14:paraId="7A641468">
                  <w:pPr>
                    <w:jc w:val="center"/>
                    <w:rPr>
                      <w:szCs w:val="21"/>
                    </w:rPr>
                  </w:pPr>
                  <w:r>
                    <w:rPr>
                      <w:szCs w:val="21"/>
                    </w:rPr>
                    <w:t>设备维护</w:t>
                  </w:r>
                </w:p>
              </w:tc>
              <w:tc>
                <w:tcPr>
                  <w:tcW w:w="249" w:type="pct"/>
                  <w:vAlign w:val="center"/>
                </w:tcPr>
                <w:p w14:paraId="1BB530E8">
                  <w:pPr>
                    <w:jc w:val="center"/>
                    <w:rPr>
                      <w:szCs w:val="21"/>
                    </w:rPr>
                  </w:pPr>
                  <w:r>
                    <w:rPr>
                      <w:szCs w:val="21"/>
                    </w:rPr>
                    <w:t>固态</w:t>
                  </w:r>
                </w:p>
              </w:tc>
              <w:tc>
                <w:tcPr>
                  <w:tcW w:w="400" w:type="pct"/>
                  <w:vAlign w:val="center"/>
                </w:tcPr>
                <w:p w14:paraId="20F65810">
                  <w:pPr>
                    <w:jc w:val="center"/>
                    <w:rPr>
                      <w:rFonts w:hint="eastAsia" w:eastAsia="宋体"/>
                      <w:szCs w:val="21"/>
                      <w:lang w:val="en-US" w:eastAsia="zh-CN"/>
                    </w:rPr>
                  </w:pPr>
                  <w:r>
                    <w:rPr>
                      <w:rFonts w:hint="eastAsia"/>
                      <w:szCs w:val="21"/>
                      <w:lang w:val="en-US" w:eastAsia="zh-CN"/>
                    </w:rPr>
                    <w:t>废</w:t>
                  </w:r>
                  <w:r>
                    <w:rPr>
                      <w:szCs w:val="21"/>
                    </w:rPr>
                    <w:t>矿物油</w:t>
                  </w:r>
                  <w:r>
                    <w:rPr>
                      <w:rFonts w:hint="eastAsia"/>
                      <w:szCs w:val="21"/>
                      <w:lang w:val="en-US" w:eastAsia="zh-CN"/>
                    </w:rPr>
                    <w:t xml:space="preserve"> </w:t>
                  </w:r>
                </w:p>
              </w:tc>
              <w:tc>
                <w:tcPr>
                  <w:tcW w:w="317" w:type="pct"/>
                  <w:vAlign w:val="center"/>
                </w:tcPr>
                <w:p w14:paraId="4E7E1250">
                  <w:pPr>
                    <w:jc w:val="center"/>
                    <w:rPr>
                      <w:szCs w:val="21"/>
                    </w:rPr>
                  </w:pPr>
                  <w:r>
                    <w:rPr>
                      <w:szCs w:val="21"/>
                    </w:rPr>
                    <w:t>矿物油</w:t>
                  </w:r>
                </w:p>
              </w:tc>
              <w:tc>
                <w:tcPr>
                  <w:tcW w:w="312" w:type="pct"/>
                  <w:vAlign w:val="center"/>
                </w:tcPr>
                <w:p w14:paraId="05B2D309">
                  <w:pPr>
                    <w:jc w:val="center"/>
                    <w:rPr>
                      <w:szCs w:val="21"/>
                    </w:rPr>
                  </w:pPr>
                  <w:r>
                    <w:rPr>
                      <w:szCs w:val="21"/>
                    </w:rPr>
                    <w:t>施工期</w:t>
                  </w:r>
                </w:p>
              </w:tc>
              <w:tc>
                <w:tcPr>
                  <w:tcW w:w="338" w:type="pct"/>
                  <w:vAlign w:val="center"/>
                </w:tcPr>
                <w:p w14:paraId="2F1EE485">
                  <w:pPr>
                    <w:pStyle w:val="401"/>
                    <w:jc w:val="center"/>
                    <w:rPr>
                      <w:bCs/>
                      <w:szCs w:val="21"/>
                    </w:rPr>
                  </w:pPr>
                  <w:r>
                    <w:rPr>
                      <w:bCs/>
                      <w:szCs w:val="21"/>
                    </w:rPr>
                    <w:t>T</w:t>
                  </w:r>
                </w:p>
              </w:tc>
              <w:tc>
                <w:tcPr>
                  <w:tcW w:w="657" w:type="pct"/>
                  <w:tcBorders>
                    <w:right w:val="single" w:color="auto" w:sz="12" w:space="0"/>
                  </w:tcBorders>
                  <w:vAlign w:val="center"/>
                </w:tcPr>
                <w:p w14:paraId="450CF721">
                  <w:pPr>
                    <w:pStyle w:val="401"/>
                    <w:jc w:val="center"/>
                    <w:rPr>
                      <w:bCs/>
                      <w:szCs w:val="21"/>
                    </w:rPr>
                  </w:pPr>
                  <w:r>
                    <w:rPr>
                      <w:bCs/>
                      <w:szCs w:val="21"/>
                    </w:rPr>
                    <w:t>收集后就近交由有资质单位处置</w:t>
                  </w:r>
                </w:p>
              </w:tc>
            </w:tr>
            <w:tr w14:paraId="142A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14:paraId="5EE23764">
                  <w:pPr>
                    <w:pStyle w:val="401"/>
                    <w:jc w:val="center"/>
                    <w:rPr>
                      <w:bCs/>
                      <w:szCs w:val="21"/>
                    </w:rPr>
                  </w:pPr>
                  <w:r>
                    <w:rPr>
                      <w:rFonts w:hint="eastAsia"/>
                      <w:bCs/>
                      <w:szCs w:val="21"/>
                    </w:rPr>
                    <w:t>6</w:t>
                  </w:r>
                </w:p>
              </w:tc>
              <w:tc>
                <w:tcPr>
                  <w:tcW w:w="608" w:type="pct"/>
                  <w:vAlign w:val="center"/>
                </w:tcPr>
                <w:p w14:paraId="0EFC5573">
                  <w:pPr>
                    <w:pStyle w:val="401"/>
                    <w:jc w:val="center"/>
                    <w:rPr>
                      <w:bCs/>
                      <w:szCs w:val="21"/>
                    </w:rPr>
                  </w:pPr>
                  <w:r>
                    <w:rPr>
                      <w:rFonts w:hint="eastAsia"/>
                      <w:bCs/>
                      <w:szCs w:val="21"/>
                    </w:rPr>
                    <w:t>环境监测池污泥</w:t>
                  </w:r>
                </w:p>
              </w:tc>
              <w:tc>
                <w:tcPr>
                  <w:tcW w:w="333" w:type="pct"/>
                  <w:vAlign w:val="center"/>
                </w:tcPr>
                <w:p w14:paraId="6E323472">
                  <w:pPr>
                    <w:jc w:val="center"/>
                    <w:rPr>
                      <w:szCs w:val="21"/>
                    </w:rPr>
                  </w:pPr>
                  <w:r>
                    <w:rPr>
                      <w:rFonts w:hint="eastAsia"/>
                      <w:szCs w:val="21"/>
                    </w:rPr>
                    <w:t>HW49</w:t>
                  </w:r>
                </w:p>
              </w:tc>
              <w:tc>
                <w:tcPr>
                  <w:tcW w:w="395" w:type="pct"/>
                  <w:vAlign w:val="center"/>
                </w:tcPr>
                <w:p w14:paraId="6362190B">
                  <w:pPr>
                    <w:jc w:val="center"/>
                    <w:rPr>
                      <w:szCs w:val="21"/>
                    </w:rPr>
                  </w:pPr>
                  <w:r>
                    <w:rPr>
                      <w:szCs w:val="21"/>
                    </w:rPr>
                    <w:t>772-006-49</w:t>
                  </w:r>
                </w:p>
              </w:tc>
              <w:tc>
                <w:tcPr>
                  <w:tcW w:w="400" w:type="pct"/>
                  <w:vAlign w:val="center"/>
                </w:tcPr>
                <w:p w14:paraId="33C630DE">
                  <w:pPr>
                    <w:pStyle w:val="401"/>
                    <w:jc w:val="center"/>
                    <w:rPr>
                      <w:bCs/>
                      <w:szCs w:val="21"/>
                    </w:rPr>
                  </w:pPr>
                  <w:r>
                    <w:rPr>
                      <w:rFonts w:hint="eastAsia"/>
                      <w:bCs/>
                      <w:szCs w:val="21"/>
                    </w:rPr>
                    <w:t>危险废物</w:t>
                  </w:r>
                </w:p>
              </w:tc>
              <w:tc>
                <w:tcPr>
                  <w:tcW w:w="395" w:type="pct"/>
                  <w:vAlign w:val="center"/>
                </w:tcPr>
                <w:p w14:paraId="3A4C0953">
                  <w:pPr>
                    <w:pStyle w:val="401"/>
                    <w:jc w:val="center"/>
                    <w:rPr>
                      <w:bCs/>
                      <w:szCs w:val="21"/>
                    </w:rPr>
                  </w:pPr>
                  <w:r>
                    <w:rPr>
                      <w:rFonts w:hint="eastAsia"/>
                      <w:bCs/>
                      <w:szCs w:val="21"/>
                    </w:rPr>
                    <w:t>0.1t</w:t>
                  </w:r>
                </w:p>
              </w:tc>
              <w:tc>
                <w:tcPr>
                  <w:tcW w:w="395" w:type="pct"/>
                  <w:vAlign w:val="center"/>
                </w:tcPr>
                <w:p w14:paraId="51B2C8A5">
                  <w:pPr>
                    <w:jc w:val="center"/>
                    <w:rPr>
                      <w:szCs w:val="21"/>
                    </w:rPr>
                  </w:pPr>
                  <w:r>
                    <w:rPr>
                      <w:rFonts w:hint="eastAsia"/>
                      <w:szCs w:val="21"/>
                    </w:rPr>
                    <w:t>钻井</w:t>
                  </w:r>
                </w:p>
              </w:tc>
              <w:tc>
                <w:tcPr>
                  <w:tcW w:w="249" w:type="pct"/>
                  <w:vAlign w:val="center"/>
                </w:tcPr>
                <w:p w14:paraId="72F727F9">
                  <w:pPr>
                    <w:jc w:val="center"/>
                    <w:rPr>
                      <w:szCs w:val="21"/>
                    </w:rPr>
                  </w:pPr>
                  <w:r>
                    <w:rPr>
                      <w:rFonts w:hint="eastAsia"/>
                      <w:szCs w:val="21"/>
                    </w:rPr>
                    <w:t>半固态</w:t>
                  </w:r>
                </w:p>
              </w:tc>
              <w:tc>
                <w:tcPr>
                  <w:tcW w:w="400" w:type="pct"/>
                  <w:vAlign w:val="center"/>
                </w:tcPr>
                <w:p w14:paraId="7ED5D6A8">
                  <w:pPr>
                    <w:jc w:val="center"/>
                    <w:rPr>
                      <w:rFonts w:hint="eastAsia" w:eastAsia="宋体"/>
                      <w:szCs w:val="21"/>
                      <w:lang w:val="en-US" w:eastAsia="zh-CN"/>
                    </w:rPr>
                  </w:pPr>
                  <w:r>
                    <w:rPr>
                      <w:rFonts w:hint="eastAsia"/>
                      <w:szCs w:val="21"/>
                    </w:rPr>
                    <w:t>含油</w:t>
                  </w:r>
                  <w:r>
                    <w:rPr>
                      <w:rFonts w:hint="eastAsia"/>
                      <w:szCs w:val="21"/>
                      <w:lang w:val="en-US" w:eastAsia="zh-CN"/>
                    </w:rPr>
                    <w:t xml:space="preserve"> </w:t>
                  </w:r>
                </w:p>
              </w:tc>
              <w:tc>
                <w:tcPr>
                  <w:tcW w:w="317" w:type="pct"/>
                  <w:vAlign w:val="center"/>
                </w:tcPr>
                <w:p w14:paraId="629452A5">
                  <w:pPr>
                    <w:jc w:val="center"/>
                    <w:rPr>
                      <w:szCs w:val="21"/>
                    </w:rPr>
                  </w:pPr>
                  <w:r>
                    <w:rPr>
                      <w:rFonts w:hint="eastAsia"/>
                      <w:szCs w:val="21"/>
                    </w:rPr>
                    <w:t>油类</w:t>
                  </w:r>
                </w:p>
              </w:tc>
              <w:tc>
                <w:tcPr>
                  <w:tcW w:w="312" w:type="pct"/>
                  <w:vAlign w:val="center"/>
                </w:tcPr>
                <w:p w14:paraId="454EE777">
                  <w:pPr>
                    <w:jc w:val="center"/>
                    <w:rPr>
                      <w:szCs w:val="21"/>
                    </w:rPr>
                  </w:pPr>
                  <w:r>
                    <w:rPr>
                      <w:rFonts w:hint="eastAsia"/>
                      <w:szCs w:val="21"/>
                    </w:rPr>
                    <w:t>钻井期间</w:t>
                  </w:r>
                </w:p>
              </w:tc>
              <w:tc>
                <w:tcPr>
                  <w:tcW w:w="338" w:type="pct"/>
                  <w:vAlign w:val="center"/>
                </w:tcPr>
                <w:p w14:paraId="50D14E3E">
                  <w:pPr>
                    <w:pStyle w:val="401"/>
                    <w:jc w:val="center"/>
                    <w:rPr>
                      <w:bCs/>
                      <w:szCs w:val="21"/>
                    </w:rPr>
                  </w:pPr>
                  <w:r>
                    <w:rPr>
                      <w:rFonts w:hint="eastAsia"/>
                      <w:bCs/>
                      <w:szCs w:val="21"/>
                    </w:rPr>
                    <w:t>T</w:t>
                  </w:r>
                </w:p>
              </w:tc>
              <w:tc>
                <w:tcPr>
                  <w:tcW w:w="657" w:type="pct"/>
                  <w:tcBorders>
                    <w:right w:val="single" w:color="auto" w:sz="12" w:space="0"/>
                  </w:tcBorders>
                  <w:vAlign w:val="center"/>
                </w:tcPr>
                <w:p w14:paraId="3CF6AD6D">
                  <w:pPr>
                    <w:pStyle w:val="401"/>
                    <w:jc w:val="center"/>
                    <w:rPr>
                      <w:bCs/>
                      <w:szCs w:val="21"/>
                    </w:rPr>
                  </w:pPr>
                  <w:r>
                    <w:rPr>
                      <w:bCs/>
                      <w:szCs w:val="21"/>
                    </w:rPr>
                    <w:t>收集后就近交由有资质单位处置</w:t>
                  </w:r>
                </w:p>
              </w:tc>
            </w:tr>
          </w:tbl>
          <w:p w14:paraId="400CBAC4">
            <w:pPr>
              <w:pStyle w:val="19"/>
              <w:tabs>
                <w:tab w:val="left" w:pos="0"/>
                <w:tab w:val="left" w:pos="833"/>
              </w:tabs>
              <w:spacing w:before="0" w:after="0" w:line="360" w:lineRule="auto"/>
              <w:ind w:left="840" w:right="0"/>
              <w:jc w:val="center"/>
              <w:rPr>
                <w:bCs/>
                <w:sz w:val="21"/>
                <w:szCs w:val="21"/>
              </w:rPr>
            </w:pPr>
            <w:r>
              <w:rPr>
                <w:bCs/>
                <w:sz w:val="21"/>
                <w:szCs w:val="21"/>
              </w:rPr>
              <w:t>表4-11  项目危险废物贮存点基本情况表</w:t>
            </w:r>
          </w:p>
          <w:tbl>
            <w:tblPr>
              <w:tblStyle w:val="44"/>
              <w:tblW w:w="814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5"/>
              <w:gridCol w:w="1175"/>
              <w:gridCol w:w="1097"/>
              <w:gridCol w:w="943"/>
              <w:gridCol w:w="560"/>
              <w:gridCol w:w="696"/>
              <w:gridCol w:w="1082"/>
              <w:gridCol w:w="865"/>
              <w:gridCol w:w="865"/>
            </w:tblGrid>
            <w:tr w14:paraId="46CDDC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tcBorders>
                    <w:left w:val="single" w:color="auto" w:sz="0" w:space="0"/>
                    <w:bottom w:val="single" w:color="auto" w:sz="4" w:space="0"/>
                    <w:right w:val="single" w:color="auto" w:sz="4" w:space="0"/>
                  </w:tcBorders>
                  <w:vAlign w:val="center"/>
                </w:tcPr>
                <w:p w14:paraId="2EA1F5D0">
                  <w:pPr>
                    <w:pStyle w:val="401"/>
                    <w:jc w:val="center"/>
                    <w:rPr>
                      <w:rFonts w:hint="eastAsia" w:eastAsia="宋体"/>
                      <w:bCs/>
                      <w:szCs w:val="21"/>
                      <w:lang w:val="en-US" w:eastAsia="zh-CN"/>
                    </w:rPr>
                  </w:pPr>
                  <w:r>
                    <w:rPr>
                      <w:bCs/>
                      <w:szCs w:val="21"/>
                    </w:rPr>
                    <w:t>贮存名称</w:t>
                  </w:r>
                  <w:r>
                    <w:rPr>
                      <w:rFonts w:hint="eastAsia"/>
                      <w:bCs/>
                      <w:szCs w:val="21"/>
                      <w:lang w:val="en-US" w:eastAsia="zh-CN"/>
                    </w:rPr>
                    <w:t xml:space="preserve"> </w:t>
                  </w:r>
                </w:p>
              </w:tc>
              <w:tc>
                <w:tcPr>
                  <w:tcW w:w="1175" w:type="dxa"/>
                  <w:tcBorders>
                    <w:left w:val="single" w:color="auto" w:sz="4" w:space="0"/>
                    <w:bottom w:val="single" w:color="auto" w:sz="4" w:space="0"/>
                    <w:right w:val="single" w:color="auto" w:sz="4" w:space="0"/>
                  </w:tcBorders>
                  <w:vAlign w:val="center"/>
                </w:tcPr>
                <w:p w14:paraId="6820DDD6">
                  <w:pPr>
                    <w:pStyle w:val="401"/>
                    <w:jc w:val="center"/>
                    <w:rPr>
                      <w:rFonts w:hint="eastAsia" w:eastAsia="宋体"/>
                      <w:bCs/>
                      <w:szCs w:val="21"/>
                      <w:lang w:val="en-US" w:eastAsia="zh-CN"/>
                    </w:rPr>
                  </w:pPr>
                  <w:r>
                    <w:rPr>
                      <w:bCs/>
                      <w:szCs w:val="21"/>
                    </w:rPr>
                    <w:t>危险废物名称</w:t>
                  </w:r>
                  <w:r>
                    <w:rPr>
                      <w:rFonts w:hint="eastAsia"/>
                      <w:bCs/>
                      <w:szCs w:val="21"/>
                      <w:lang w:val="en-US" w:eastAsia="zh-CN"/>
                    </w:rPr>
                    <w:t xml:space="preserve"> </w:t>
                  </w:r>
                </w:p>
              </w:tc>
              <w:tc>
                <w:tcPr>
                  <w:tcW w:w="1097" w:type="dxa"/>
                  <w:tcBorders>
                    <w:left w:val="single" w:color="auto" w:sz="4" w:space="0"/>
                    <w:bottom w:val="single" w:color="auto" w:sz="4" w:space="0"/>
                    <w:right w:val="single" w:color="auto" w:sz="4" w:space="0"/>
                  </w:tcBorders>
                  <w:vAlign w:val="center"/>
                </w:tcPr>
                <w:p w14:paraId="61FF1164">
                  <w:pPr>
                    <w:pStyle w:val="401"/>
                    <w:jc w:val="center"/>
                    <w:rPr>
                      <w:rFonts w:hint="eastAsia" w:eastAsia="宋体"/>
                      <w:bCs/>
                      <w:szCs w:val="21"/>
                      <w:lang w:val="en-US" w:eastAsia="zh-CN"/>
                    </w:rPr>
                  </w:pPr>
                  <w:r>
                    <w:rPr>
                      <w:bCs/>
                      <w:szCs w:val="21"/>
                    </w:rPr>
                    <w:t>危险废物类别</w:t>
                  </w:r>
                  <w:r>
                    <w:rPr>
                      <w:rFonts w:hint="eastAsia"/>
                      <w:bCs/>
                      <w:szCs w:val="21"/>
                      <w:lang w:val="en-US" w:eastAsia="zh-CN"/>
                    </w:rPr>
                    <w:t xml:space="preserve"> </w:t>
                  </w:r>
                </w:p>
              </w:tc>
              <w:tc>
                <w:tcPr>
                  <w:tcW w:w="943" w:type="dxa"/>
                  <w:tcBorders>
                    <w:left w:val="single" w:color="auto" w:sz="4" w:space="0"/>
                    <w:bottom w:val="single" w:color="auto" w:sz="4" w:space="0"/>
                    <w:right w:val="single" w:color="auto" w:sz="4" w:space="0"/>
                  </w:tcBorders>
                  <w:vAlign w:val="center"/>
                </w:tcPr>
                <w:p w14:paraId="313DCBCB">
                  <w:pPr>
                    <w:pStyle w:val="401"/>
                    <w:jc w:val="center"/>
                    <w:rPr>
                      <w:rFonts w:hint="eastAsia" w:eastAsia="宋体"/>
                      <w:bCs/>
                      <w:szCs w:val="21"/>
                      <w:lang w:val="en-US" w:eastAsia="zh-CN"/>
                    </w:rPr>
                  </w:pPr>
                  <w:r>
                    <w:rPr>
                      <w:bCs/>
                      <w:szCs w:val="21"/>
                    </w:rPr>
                    <w:t>危险废物代码</w:t>
                  </w:r>
                  <w:r>
                    <w:rPr>
                      <w:rFonts w:hint="eastAsia"/>
                      <w:bCs/>
                      <w:szCs w:val="21"/>
                      <w:lang w:val="en-US" w:eastAsia="zh-CN"/>
                    </w:rPr>
                    <w:t xml:space="preserve"> </w:t>
                  </w:r>
                </w:p>
              </w:tc>
              <w:tc>
                <w:tcPr>
                  <w:tcW w:w="560" w:type="dxa"/>
                  <w:tcBorders>
                    <w:left w:val="single" w:color="auto" w:sz="4" w:space="0"/>
                    <w:bottom w:val="single" w:color="auto" w:sz="4" w:space="0"/>
                    <w:right w:val="single" w:color="auto" w:sz="4" w:space="0"/>
                  </w:tcBorders>
                  <w:vAlign w:val="center"/>
                </w:tcPr>
                <w:p w14:paraId="213E5FFF">
                  <w:pPr>
                    <w:pStyle w:val="401"/>
                    <w:jc w:val="center"/>
                    <w:rPr>
                      <w:bCs/>
                      <w:szCs w:val="21"/>
                    </w:rPr>
                  </w:pPr>
                  <w:r>
                    <w:rPr>
                      <w:bCs/>
                      <w:szCs w:val="21"/>
                    </w:rPr>
                    <w:t>位置</w:t>
                  </w:r>
                </w:p>
              </w:tc>
              <w:tc>
                <w:tcPr>
                  <w:tcW w:w="696" w:type="dxa"/>
                  <w:tcBorders>
                    <w:left w:val="single" w:color="auto" w:sz="4" w:space="0"/>
                    <w:bottom w:val="single" w:color="auto" w:sz="4" w:space="0"/>
                    <w:right w:val="single" w:color="auto" w:sz="4" w:space="0"/>
                  </w:tcBorders>
                  <w:vAlign w:val="center"/>
                </w:tcPr>
                <w:p w14:paraId="63C58E89">
                  <w:pPr>
                    <w:pStyle w:val="401"/>
                    <w:jc w:val="center"/>
                    <w:rPr>
                      <w:bCs/>
                      <w:szCs w:val="21"/>
                    </w:rPr>
                  </w:pPr>
                  <w:r>
                    <w:rPr>
                      <w:bCs/>
                      <w:szCs w:val="21"/>
                    </w:rPr>
                    <w:t>占地面积（m</w:t>
                  </w:r>
                  <w:r>
                    <w:rPr>
                      <w:bCs/>
                      <w:szCs w:val="21"/>
                      <w:vertAlign w:val="superscript"/>
                    </w:rPr>
                    <w:t>2</w:t>
                  </w:r>
                  <w:r>
                    <w:rPr>
                      <w:bCs/>
                      <w:szCs w:val="21"/>
                    </w:rPr>
                    <w:t>）</w:t>
                  </w:r>
                </w:p>
              </w:tc>
              <w:tc>
                <w:tcPr>
                  <w:tcW w:w="1082" w:type="dxa"/>
                  <w:tcBorders>
                    <w:left w:val="single" w:color="auto" w:sz="4" w:space="0"/>
                    <w:bottom w:val="single" w:color="auto" w:sz="4" w:space="0"/>
                    <w:right w:val="single" w:color="auto" w:sz="4" w:space="0"/>
                  </w:tcBorders>
                  <w:vAlign w:val="center"/>
                </w:tcPr>
                <w:p w14:paraId="7DCCD4A4">
                  <w:pPr>
                    <w:pStyle w:val="401"/>
                    <w:jc w:val="center"/>
                    <w:rPr>
                      <w:bCs/>
                      <w:szCs w:val="21"/>
                    </w:rPr>
                  </w:pPr>
                  <w:r>
                    <w:rPr>
                      <w:bCs/>
                      <w:szCs w:val="21"/>
                    </w:rPr>
                    <w:t>贮存方式</w:t>
                  </w:r>
                </w:p>
              </w:tc>
              <w:tc>
                <w:tcPr>
                  <w:tcW w:w="865" w:type="dxa"/>
                  <w:tcBorders>
                    <w:left w:val="single" w:color="auto" w:sz="4" w:space="0"/>
                    <w:bottom w:val="single" w:color="auto" w:sz="4" w:space="0"/>
                    <w:right w:val="single" w:color="auto" w:sz="4" w:space="0"/>
                  </w:tcBorders>
                  <w:vAlign w:val="center"/>
                </w:tcPr>
                <w:p w14:paraId="68AB1500">
                  <w:pPr>
                    <w:pStyle w:val="401"/>
                    <w:jc w:val="center"/>
                    <w:rPr>
                      <w:bCs/>
                      <w:szCs w:val="21"/>
                    </w:rPr>
                  </w:pPr>
                  <w:r>
                    <w:rPr>
                      <w:bCs/>
                      <w:szCs w:val="21"/>
                    </w:rPr>
                    <w:t>贮存能力</w:t>
                  </w:r>
                </w:p>
              </w:tc>
              <w:tc>
                <w:tcPr>
                  <w:tcW w:w="865" w:type="dxa"/>
                  <w:tcBorders>
                    <w:left w:val="single" w:color="auto" w:sz="4" w:space="0"/>
                    <w:bottom w:val="single" w:color="auto" w:sz="4" w:space="0"/>
                    <w:right w:val="single" w:color="auto" w:sz="12" w:space="0"/>
                  </w:tcBorders>
                  <w:vAlign w:val="center"/>
                </w:tcPr>
                <w:p w14:paraId="36592907">
                  <w:pPr>
                    <w:pStyle w:val="401"/>
                    <w:jc w:val="center"/>
                    <w:rPr>
                      <w:bCs/>
                      <w:szCs w:val="21"/>
                    </w:rPr>
                  </w:pPr>
                  <w:r>
                    <w:rPr>
                      <w:bCs/>
                      <w:szCs w:val="21"/>
                    </w:rPr>
                    <w:t>贮存周期</w:t>
                  </w:r>
                </w:p>
              </w:tc>
            </w:tr>
            <w:tr w14:paraId="0A8408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restart"/>
                  <w:tcBorders>
                    <w:top w:val="single" w:color="auto" w:sz="4" w:space="0"/>
                    <w:left w:val="single" w:color="auto" w:sz="4" w:space="0"/>
                    <w:bottom w:val="single" w:color="auto" w:sz="4" w:space="0"/>
                    <w:right w:val="single" w:color="auto" w:sz="4" w:space="0"/>
                  </w:tcBorders>
                  <w:vAlign w:val="center"/>
                </w:tcPr>
                <w:p w14:paraId="027D179A">
                  <w:pPr>
                    <w:pStyle w:val="401"/>
                    <w:jc w:val="center"/>
                    <w:rPr>
                      <w:rFonts w:hint="eastAsia" w:eastAsia="宋体"/>
                      <w:bCs/>
                      <w:szCs w:val="21"/>
                      <w:lang w:val="en-US" w:eastAsia="zh-CN"/>
                    </w:rPr>
                  </w:pPr>
                  <w:r>
                    <w:rPr>
                      <w:bCs/>
                      <w:szCs w:val="21"/>
                    </w:rPr>
                    <w:t>危险废物贮存点</w:t>
                  </w:r>
                  <w:r>
                    <w:rPr>
                      <w:rFonts w:hint="eastAsia"/>
                      <w:bCs/>
                      <w:szCs w:val="21"/>
                      <w:lang w:val="en-US" w:eastAsia="zh-CN"/>
                    </w:rPr>
                    <w:t xml:space="preserve"> </w:t>
                  </w:r>
                </w:p>
              </w:tc>
              <w:tc>
                <w:tcPr>
                  <w:tcW w:w="1175" w:type="dxa"/>
                  <w:tcBorders>
                    <w:top w:val="single" w:color="auto" w:sz="4" w:space="0"/>
                    <w:left w:val="single" w:color="auto" w:sz="4" w:space="0"/>
                    <w:bottom w:val="single" w:color="auto" w:sz="4" w:space="0"/>
                    <w:right w:val="single" w:color="auto" w:sz="4" w:space="0"/>
                  </w:tcBorders>
                  <w:vAlign w:val="center"/>
                </w:tcPr>
                <w:p w14:paraId="22142DA0">
                  <w:pPr>
                    <w:pStyle w:val="401"/>
                    <w:jc w:val="center"/>
                    <w:rPr>
                      <w:bCs/>
                      <w:szCs w:val="21"/>
                    </w:rPr>
                  </w:pPr>
                  <w:r>
                    <w:rPr>
                      <w:bCs/>
                      <w:szCs w:val="21"/>
                    </w:rPr>
                    <w:t>废油</w:t>
                  </w:r>
                </w:p>
              </w:tc>
              <w:tc>
                <w:tcPr>
                  <w:tcW w:w="1097" w:type="dxa"/>
                  <w:tcBorders>
                    <w:top w:val="single" w:color="auto" w:sz="4" w:space="0"/>
                    <w:left w:val="single" w:color="auto" w:sz="4" w:space="0"/>
                    <w:bottom w:val="single" w:color="auto" w:sz="4" w:space="0"/>
                    <w:right w:val="single" w:color="auto" w:sz="4" w:space="0"/>
                  </w:tcBorders>
                  <w:vAlign w:val="center"/>
                </w:tcPr>
                <w:p w14:paraId="19D24ACD">
                  <w:pPr>
                    <w:pStyle w:val="401"/>
                    <w:jc w:val="center"/>
                    <w:rPr>
                      <w:bCs/>
                      <w:szCs w:val="21"/>
                    </w:rPr>
                  </w:pPr>
                  <w:r>
                    <w:rPr>
                      <w:bCs/>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14:paraId="79C268D8">
                  <w:pPr>
                    <w:pStyle w:val="401"/>
                    <w:jc w:val="center"/>
                    <w:rPr>
                      <w:bCs/>
                      <w:szCs w:val="21"/>
                    </w:rPr>
                  </w:pPr>
                  <w:r>
                    <w:rPr>
                      <w:bCs/>
                      <w:szCs w:val="21"/>
                    </w:rPr>
                    <w:t>900-249-08</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14:paraId="35994438">
                  <w:pPr>
                    <w:pStyle w:val="401"/>
                    <w:jc w:val="center"/>
                    <w:rPr>
                      <w:bCs/>
                      <w:szCs w:val="21"/>
                    </w:rPr>
                  </w:pPr>
                  <w:r>
                    <w:rPr>
                      <w:bCs/>
                      <w:szCs w:val="21"/>
                    </w:rPr>
                    <w:t>位于泥浆不落地平台北侧</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14:paraId="3BF91E7A">
                  <w:pPr>
                    <w:pStyle w:val="401"/>
                    <w:jc w:val="center"/>
                    <w:rPr>
                      <w:bCs/>
                      <w:szCs w:val="21"/>
                    </w:rPr>
                  </w:pPr>
                  <w:r>
                    <w:rPr>
                      <w:bCs/>
                      <w:szCs w:val="21"/>
                    </w:rPr>
                    <w:t>50</w:t>
                  </w:r>
                </w:p>
              </w:tc>
              <w:tc>
                <w:tcPr>
                  <w:tcW w:w="1082" w:type="dxa"/>
                  <w:tcBorders>
                    <w:top w:val="single" w:color="auto" w:sz="4" w:space="0"/>
                    <w:left w:val="single" w:color="auto" w:sz="4" w:space="0"/>
                    <w:bottom w:val="single" w:color="auto" w:sz="4" w:space="0"/>
                    <w:right w:val="single" w:color="auto" w:sz="4" w:space="0"/>
                  </w:tcBorders>
                  <w:vAlign w:val="center"/>
                </w:tcPr>
                <w:p w14:paraId="720AC43C">
                  <w:pPr>
                    <w:pStyle w:val="401"/>
                    <w:jc w:val="center"/>
                    <w:rPr>
                      <w:bCs/>
                      <w:szCs w:val="21"/>
                    </w:rPr>
                  </w:pPr>
                  <w:r>
                    <w:rPr>
                      <w:bCs/>
                      <w:szCs w:val="21"/>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14:paraId="67E128AA">
                  <w:pPr>
                    <w:pStyle w:val="401"/>
                    <w:jc w:val="center"/>
                    <w:rPr>
                      <w:bCs/>
                      <w:szCs w:val="21"/>
                    </w:rPr>
                  </w:pPr>
                  <w:r>
                    <w:rPr>
                      <w:bCs/>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14:paraId="1E6D2DBC">
                  <w:pPr>
                    <w:pStyle w:val="401"/>
                    <w:jc w:val="center"/>
                    <w:rPr>
                      <w:bCs/>
                      <w:szCs w:val="21"/>
                    </w:rPr>
                  </w:pPr>
                  <w:r>
                    <w:rPr>
                      <w:bCs/>
                      <w:szCs w:val="21"/>
                    </w:rPr>
                    <w:t>钻井期</w:t>
                  </w:r>
                </w:p>
              </w:tc>
            </w:tr>
            <w:tr w14:paraId="45C81A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14:paraId="1F269AE5">
                  <w:pPr>
                    <w:pStyle w:val="401"/>
                    <w:jc w:val="center"/>
                    <w:rPr>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46E9E175">
                  <w:pPr>
                    <w:pStyle w:val="401"/>
                    <w:jc w:val="center"/>
                    <w:rPr>
                      <w:bCs/>
                      <w:szCs w:val="21"/>
                    </w:rPr>
                  </w:pPr>
                  <w:r>
                    <w:rPr>
                      <w:bCs/>
                      <w:szCs w:val="21"/>
                    </w:rPr>
                    <w:t>废油桶</w:t>
                  </w:r>
                </w:p>
              </w:tc>
              <w:tc>
                <w:tcPr>
                  <w:tcW w:w="1097" w:type="dxa"/>
                  <w:tcBorders>
                    <w:top w:val="single" w:color="auto" w:sz="4" w:space="0"/>
                    <w:left w:val="single" w:color="auto" w:sz="4" w:space="0"/>
                    <w:bottom w:val="single" w:color="auto" w:sz="4" w:space="0"/>
                    <w:right w:val="single" w:color="auto" w:sz="4" w:space="0"/>
                  </w:tcBorders>
                  <w:vAlign w:val="center"/>
                </w:tcPr>
                <w:p w14:paraId="440AC8B9">
                  <w:pPr>
                    <w:pStyle w:val="401"/>
                    <w:jc w:val="center"/>
                    <w:rPr>
                      <w:bCs/>
                      <w:szCs w:val="21"/>
                    </w:rPr>
                  </w:pPr>
                  <w:r>
                    <w:rPr>
                      <w:bCs/>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14:paraId="3500CE33">
                  <w:pPr>
                    <w:pStyle w:val="401"/>
                    <w:jc w:val="center"/>
                    <w:rPr>
                      <w:bCs/>
                      <w:szCs w:val="21"/>
                    </w:rPr>
                  </w:pPr>
                  <w:r>
                    <w:rPr>
                      <w:bCs/>
                      <w:szCs w:val="21"/>
                    </w:rPr>
                    <w:t>900-047-49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62112D27">
                  <w:pPr>
                    <w:pStyle w:val="401"/>
                    <w:jc w:val="center"/>
                    <w:rPr>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5F935C81">
                  <w:pPr>
                    <w:pStyle w:val="401"/>
                    <w:jc w:val="center"/>
                    <w:rPr>
                      <w:bCs/>
                      <w:szCs w:val="21"/>
                    </w:rPr>
                  </w:pPr>
                </w:p>
              </w:tc>
              <w:tc>
                <w:tcPr>
                  <w:tcW w:w="1082" w:type="dxa"/>
                  <w:tcBorders>
                    <w:top w:val="single" w:color="auto" w:sz="4" w:space="0"/>
                    <w:left w:val="single" w:color="auto" w:sz="4" w:space="0"/>
                    <w:bottom w:val="single" w:color="auto" w:sz="4" w:space="0"/>
                    <w:right w:val="single" w:color="auto" w:sz="4" w:space="0"/>
                  </w:tcBorders>
                  <w:vAlign w:val="center"/>
                </w:tcPr>
                <w:p w14:paraId="3E0788A3">
                  <w:pPr>
                    <w:pStyle w:val="401"/>
                    <w:jc w:val="center"/>
                    <w:rPr>
                      <w:bCs/>
                      <w:szCs w:val="21"/>
                    </w:rPr>
                  </w:pPr>
                  <w:r>
                    <w:rPr>
                      <w:bCs/>
                      <w:szCs w:val="21"/>
                    </w:rPr>
                    <w:t>置于铁质托盘上放</w:t>
                  </w:r>
                </w:p>
              </w:tc>
              <w:tc>
                <w:tcPr>
                  <w:tcW w:w="865" w:type="dxa"/>
                  <w:tcBorders>
                    <w:top w:val="single" w:color="auto" w:sz="4" w:space="0"/>
                    <w:left w:val="single" w:color="auto" w:sz="4" w:space="0"/>
                    <w:bottom w:val="single" w:color="auto" w:sz="4" w:space="0"/>
                    <w:right w:val="single" w:color="auto" w:sz="4" w:space="0"/>
                  </w:tcBorders>
                  <w:vAlign w:val="center"/>
                </w:tcPr>
                <w:p w14:paraId="70DA80B3">
                  <w:pPr>
                    <w:pStyle w:val="401"/>
                    <w:jc w:val="center"/>
                    <w:rPr>
                      <w:bCs/>
                      <w:szCs w:val="21"/>
                    </w:rPr>
                  </w:pPr>
                  <w:r>
                    <w:rPr>
                      <w:bCs/>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14:paraId="223465A7">
                  <w:pPr>
                    <w:pStyle w:val="401"/>
                    <w:jc w:val="center"/>
                    <w:rPr>
                      <w:bCs/>
                      <w:szCs w:val="21"/>
                    </w:rPr>
                  </w:pPr>
                  <w:r>
                    <w:rPr>
                      <w:bCs/>
                      <w:szCs w:val="21"/>
                    </w:rPr>
                    <w:t>钻井期</w:t>
                  </w:r>
                </w:p>
              </w:tc>
            </w:tr>
            <w:tr w14:paraId="0DB103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14:paraId="0289EB25">
                  <w:pPr>
                    <w:pStyle w:val="401"/>
                    <w:jc w:val="center"/>
                    <w:rPr>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61304D79">
                  <w:pPr>
                    <w:pStyle w:val="401"/>
                    <w:jc w:val="center"/>
                    <w:rPr>
                      <w:bCs/>
                      <w:szCs w:val="21"/>
                    </w:rPr>
                  </w:pPr>
                  <w:r>
                    <w:rPr>
                      <w:rFonts w:hint="eastAsia"/>
                      <w:bCs/>
                      <w:szCs w:val="21"/>
                    </w:rPr>
                    <w:t>油基岩屑</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14:paraId="7343D13D">
                  <w:pPr>
                    <w:pStyle w:val="401"/>
                    <w:jc w:val="center"/>
                    <w:rPr>
                      <w:bCs/>
                      <w:szCs w:val="21"/>
                    </w:rPr>
                  </w:pPr>
                  <w:r>
                    <w:rPr>
                      <w:rFonts w:hint="eastAsia"/>
                      <w:bCs/>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402EE32E">
                  <w:pPr>
                    <w:pStyle w:val="401"/>
                    <w:jc w:val="center"/>
                    <w:rPr>
                      <w:bCs/>
                      <w:szCs w:val="21"/>
                    </w:rPr>
                  </w:pPr>
                  <w:r>
                    <w:rPr>
                      <w:bCs/>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02332168">
                  <w:pPr>
                    <w:pStyle w:val="401"/>
                    <w:jc w:val="center"/>
                    <w:rPr>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4C2C468E">
                  <w:pPr>
                    <w:pStyle w:val="401"/>
                    <w:jc w:val="center"/>
                    <w:rPr>
                      <w:bCs/>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771E04CD">
                  <w:pPr>
                    <w:pStyle w:val="401"/>
                    <w:jc w:val="center"/>
                    <w:rPr>
                      <w:bCs/>
                      <w:szCs w:val="21"/>
                    </w:rPr>
                  </w:pPr>
                  <w:r>
                    <w:rPr>
                      <w:rFonts w:hint="eastAsia"/>
                      <w:bCs/>
                      <w:szCs w:val="21"/>
                    </w:rPr>
                    <w:t>吨桶盛装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9C0FA9B">
                  <w:pPr>
                    <w:pStyle w:val="401"/>
                    <w:jc w:val="center"/>
                    <w:rPr>
                      <w:bCs/>
                      <w:szCs w:val="21"/>
                    </w:rPr>
                  </w:pPr>
                  <w:r>
                    <w:rPr>
                      <w:rFonts w:hint="eastAsia"/>
                      <w:bCs/>
                      <w:szCs w:val="21"/>
                    </w:rPr>
                    <w:t>100t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14:paraId="0F838931">
                  <w:pPr>
                    <w:pStyle w:val="401"/>
                    <w:jc w:val="center"/>
                    <w:rPr>
                      <w:bCs/>
                      <w:szCs w:val="21"/>
                    </w:rPr>
                  </w:pPr>
                  <w:r>
                    <w:rPr>
                      <w:rFonts w:hint="eastAsia"/>
                      <w:bCs/>
                      <w:szCs w:val="21"/>
                    </w:rPr>
                    <w:t>钻井期</w:t>
                  </w:r>
                </w:p>
              </w:tc>
            </w:tr>
            <w:tr w14:paraId="00520D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14:paraId="481CF07B">
                  <w:pPr>
                    <w:pStyle w:val="401"/>
                    <w:jc w:val="center"/>
                    <w:rPr>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6D969E13">
                  <w:pPr>
                    <w:pStyle w:val="401"/>
                    <w:jc w:val="center"/>
                    <w:rPr>
                      <w:bCs/>
                      <w:szCs w:val="21"/>
                    </w:rPr>
                  </w:pPr>
                  <w:r>
                    <w:rPr>
                      <w:rFonts w:hint="eastAsia"/>
                      <w:bCs/>
                      <w:szCs w:val="21"/>
                    </w:rPr>
                    <w:t>油基泥浆</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14:paraId="416F2DAD">
                  <w:pPr>
                    <w:pStyle w:val="401"/>
                    <w:jc w:val="center"/>
                    <w:rPr>
                      <w:bCs/>
                      <w:szCs w:val="21"/>
                    </w:rPr>
                  </w:pPr>
                  <w:r>
                    <w:rPr>
                      <w:rFonts w:hint="eastAsia"/>
                      <w:bCs/>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275181F3">
                  <w:pPr>
                    <w:pStyle w:val="401"/>
                    <w:jc w:val="center"/>
                    <w:rPr>
                      <w:bCs/>
                      <w:szCs w:val="21"/>
                    </w:rPr>
                  </w:pPr>
                  <w:r>
                    <w:rPr>
                      <w:bCs/>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2CF74A20">
                  <w:pPr>
                    <w:pStyle w:val="401"/>
                    <w:jc w:val="center"/>
                    <w:rPr>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517C5C1D">
                  <w:pPr>
                    <w:pStyle w:val="401"/>
                    <w:jc w:val="center"/>
                    <w:rPr>
                      <w:bCs/>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52D9D70C">
                  <w:pPr>
                    <w:pStyle w:val="401"/>
                    <w:jc w:val="center"/>
                    <w:rPr>
                      <w:bCs/>
                      <w:szCs w:val="21"/>
                    </w:rPr>
                  </w:pPr>
                  <w:r>
                    <w:rPr>
                      <w:rFonts w:hint="eastAsia"/>
                      <w:bCs/>
                      <w:szCs w:val="21"/>
                    </w:rPr>
                    <w:t>吨桶盛装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7E7839D">
                  <w:pPr>
                    <w:pStyle w:val="401"/>
                    <w:jc w:val="center"/>
                    <w:rPr>
                      <w:bCs/>
                      <w:szCs w:val="21"/>
                    </w:rPr>
                  </w:pPr>
                  <w:r>
                    <w:rPr>
                      <w:rFonts w:hint="eastAsia"/>
                      <w:bCs/>
                      <w:szCs w:val="21"/>
                    </w:rPr>
                    <w:t>10m</w:t>
                  </w:r>
                  <w:r>
                    <w:rPr>
                      <w:rFonts w:hint="eastAsia"/>
                      <w:bCs/>
                      <w:szCs w:val="21"/>
                      <w:vertAlign w:val="superscript"/>
                    </w:rPr>
                    <w:t>3</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14:paraId="72445891">
                  <w:pPr>
                    <w:pStyle w:val="401"/>
                    <w:jc w:val="center"/>
                    <w:rPr>
                      <w:bCs/>
                      <w:szCs w:val="21"/>
                    </w:rPr>
                  </w:pPr>
                  <w:r>
                    <w:rPr>
                      <w:rFonts w:hint="eastAsia"/>
                      <w:bCs/>
                      <w:szCs w:val="21"/>
                    </w:rPr>
                    <w:t>钻井期</w:t>
                  </w:r>
                </w:p>
              </w:tc>
            </w:tr>
            <w:tr w14:paraId="7BDCA3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14:paraId="461987D7">
                  <w:pPr>
                    <w:pStyle w:val="401"/>
                    <w:jc w:val="center"/>
                    <w:rPr>
                      <w:bCs/>
                      <w:szCs w:val="21"/>
                    </w:rPr>
                  </w:pP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14:paraId="1691D9FF">
                  <w:pPr>
                    <w:pStyle w:val="401"/>
                    <w:jc w:val="center"/>
                    <w:rPr>
                      <w:bCs/>
                      <w:szCs w:val="21"/>
                    </w:rPr>
                  </w:pPr>
                  <w:r>
                    <w:rPr>
                      <w:bCs/>
                      <w:szCs w:val="21"/>
                    </w:rPr>
                    <w:t>废棉纱/手套</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14:paraId="07103893">
                  <w:pPr>
                    <w:jc w:val="center"/>
                    <w:rPr>
                      <w:bCs/>
                      <w:szCs w:val="21"/>
                    </w:rPr>
                  </w:pPr>
                  <w:r>
                    <w:rPr>
                      <w:szCs w:val="21"/>
                    </w:rPr>
                    <w:t>HW49</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14:paraId="6BFA8F5C">
                  <w:pPr>
                    <w:jc w:val="center"/>
                    <w:rPr>
                      <w:bCs/>
                      <w:szCs w:val="21"/>
                    </w:rPr>
                  </w:pPr>
                  <w:r>
                    <w:rPr>
                      <w:szCs w:val="21"/>
                    </w:rPr>
                    <w:t>900-041-49</w:t>
                  </w:r>
                </w:p>
              </w:tc>
              <w:tc>
                <w:tcPr>
                  <w:tcW w:w="5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9FDF2C">
                  <w:pPr>
                    <w:pStyle w:val="401"/>
                    <w:jc w:val="center"/>
                    <w:rPr>
                      <w:bCs/>
                      <w:szCs w:val="21"/>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22394">
                  <w:pPr>
                    <w:pStyle w:val="401"/>
                    <w:jc w:val="center"/>
                    <w:rPr>
                      <w:bCs/>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2ECFE3E9">
                  <w:pPr>
                    <w:pStyle w:val="401"/>
                    <w:jc w:val="center"/>
                    <w:rPr>
                      <w:bCs/>
                      <w:szCs w:val="21"/>
                    </w:rPr>
                  </w:pPr>
                  <w:r>
                    <w:rPr>
                      <w:bCs/>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D891654">
                  <w:pPr>
                    <w:pStyle w:val="401"/>
                    <w:jc w:val="center"/>
                    <w:rPr>
                      <w:bCs/>
                      <w:szCs w:val="21"/>
                    </w:rPr>
                  </w:pPr>
                  <w:r>
                    <w:rPr>
                      <w:bCs/>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14:paraId="23170E14">
                  <w:pPr>
                    <w:pStyle w:val="401"/>
                    <w:jc w:val="center"/>
                    <w:rPr>
                      <w:bCs/>
                      <w:szCs w:val="21"/>
                    </w:rPr>
                  </w:pPr>
                  <w:r>
                    <w:rPr>
                      <w:bCs/>
                      <w:szCs w:val="21"/>
                    </w:rPr>
                    <w:t>钻井期</w:t>
                  </w:r>
                </w:p>
              </w:tc>
            </w:tr>
            <w:tr w14:paraId="289E9A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14:paraId="784CDAE7">
                  <w:pPr>
                    <w:pStyle w:val="401"/>
                    <w:jc w:val="center"/>
                    <w:rPr>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6208C5B8">
                  <w:pPr>
                    <w:pStyle w:val="401"/>
                    <w:jc w:val="center"/>
                    <w:rPr>
                      <w:bCs/>
                      <w:szCs w:val="21"/>
                    </w:rPr>
                  </w:pPr>
                  <w:r>
                    <w:rPr>
                      <w:rFonts w:hint="eastAsia"/>
                      <w:bCs/>
                      <w:szCs w:val="21"/>
                    </w:rPr>
                    <w:t>环境监测池污泥</w:t>
                  </w:r>
                </w:p>
              </w:tc>
              <w:tc>
                <w:tcPr>
                  <w:tcW w:w="1097" w:type="dxa"/>
                  <w:tcBorders>
                    <w:top w:val="single" w:color="auto" w:sz="4" w:space="0"/>
                    <w:left w:val="single" w:color="auto" w:sz="4" w:space="0"/>
                    <w:bottom w:val="single" w:color="auto" w:sz="4" w:space="0"/>
                    <w:right w:val="single" w:color="auto" w:sz="4" w:space="0"/>
                  </w:tcBorders>
                  <w:vAlign w:val="center"/>
                </w:tcPr>
                <w:p w14:paraId="5B6E544B">
                  <w:pPr>
                    <w:jc w:val="center"/>
                    <w:rPr>
                      <w:bCs/>
                      <w:szCs w:val="21"/>
                    </w:rPr>
                  </w:pPr>
                  <w:r>
                    <w:rPr>
                      <w:rFonts w:hint="eastAsia"/>
                      <w:bCs/>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14:paraId="5A151831">
                  <w:pPr>
                    <w:jc w:val="center"/>
                    <w:rPr>
                      <w:bCs/>
                      <w:szCs w:val="21"/>
                    </w:rPr>
                  </w:pPr>
                  <w:r>
                    <w:rPr>
                      <w:rFonts w:hint="eastAsia"/>
                      <w:bCs/>
                      <w:szCs w:val="21"/>
                    </w:rPr>
                    <w:t>772-006-49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0793F2D5">
                  <w:pPr>
                    <w:pStyle w:val="401"/>
                    <w:jc w:val="center"/>
                    <w:rPr>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31ECE3E3">
                  <w:pPr>
                    <w:pStyle w:val="401"/>
                    <w:jc w:val="center"/>
                    <w:rPr>
                      <w:bCs/>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1828C699">
                  <w:pPr>
                    <w:pStyle w:val="401"/>
                    <w:jc w:val="center"/>
                    <w:rPr>
                      <w:bCs/>
                      <w:szCs w:val="21"/>
                    </w:rPr>
                  </w:pPr>
                  <w:r>
                    <w:rPr>
                      <w:bCs/>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588B3FF">
                  <w:pPr>
                    <w:pStyle w:val="401"/>
                    <w:jc w:val="center"/>
                    <w:rPr>
                      <w:bCs/>
                      <w:szCs w:val="21"/>
                    </w:rPr>
                  </w:pPr>
                  <w:r>
                    <w:rPr>
                      <w:bCs/>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14:paraId="4544FBD4">
                  <w:pPr>
                    <w:pStyle w:val="401"/>
                    <w:jc w:val="center"/>
                    <w:rPr>
                      <w:bCs/>
                      <w:szCs w:val="21"/>
                    </w:rPr>
                  </w:pPr>
                  <w:r>
                    <w:rPr>
                      <w:bCs/>
                      <w:szCs w:val="21"/>
                    </w:rPr>
                    <w:t>钻井期</w:t>
                  </w:r>
                </w:p>
              </w:tc>
            </w:tr>
          </w:tbl>
          <w:p w14:paraId="5F07A1B6">
            <w:pPr>
              <w:pStyle w:val="19"/>
              <w:tabs>
                <w:tab w:val="left" w:pos="0"/>
                <w:tab w:val="left" w:pos="833"/>
              </w:tabs>
              <w:spacing w:before="0" w:after="0" w:line="360" w:lineRule="auto"/>
              <w:ind w:left="840" w:right="0"/>
              <w:jc w:val="center"/>
              <w:rPr>
                <w:b/>
                <w:sz w:val="21"/>
                <w:szCs w:val="21"/>
              </w:rPr>
            </w:pPr>
            <w:r>
              <w:rPr>
                <w:b/>
                <w:sz w:val="21"/>
                <w:szCs w:val="21"/>
              </w:rPr>
              <w:t>表4-12 项目固体废物产生量、储存、处置措施表</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14:paraId="2FF22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0201245F">
                  <w:pPr>
                    <w:jc w:val="center"/>
                    <w:rPr>
                      <w:szCs w:val="21"/>
                    </w:rPr>
                  </w:pPr>
                  <w:r>
                    <w:rPr>
                      <w:szCs w:val="21"/>
                    </w:rPr>
                    <w:t>固废类型</w:t>
                  </w:r>
                </w:p>
              </w:tc>
              <w:tc>
                <w:tcPr>
                  <w:tcW w:w="1181" w:type="dxa"/>
                  <w:tcBorders>
                    <w:tl2br w:val="nil"/>
                    <w:tr2bl w:val="nil"/>
                  </w:tcBorders>
                  <w:vAlign w:val="center"/>
                </w:tcPr>
                <w:p w14:paraId="10B9F127">
                  <w:pPr>
                    <w:jc w:val="center"/>
                    <w:rPr>
                      <w:szCs w:val="21"/>
                    </w:rPr>
                  </w:pPr>
                  <w:r>
                    <w:rPr>
                      <w:szCs w:val="21"/>
                    </w:rPr>
                    <w:t>产生量</w:t>
                  </w:r>
                </w:p>
              </w:tc>
              <w:tc>
                <w:tcPr>
                  <w:tcW w:w="1087" w:type="dxa"/>
                  <w:tcBorders>
                    <w:tl2br w:val="nil"/>
                    <w:tr2bl w:val="nil"/>
                  </w:tcBorders>
                  <w:vAlign w:val="center"/>
                </w:tcPr>
                <w:p w14:paraId="01F7D66A">
                  <w:pPr>
                    <w:jc w:val="center"/>
                    <w:rPr>
                      <w:szCs w:val="21"/>
                    </w:rPr>
                  </w:pPr>
                  <w:r>
                    <w:rPr>
                      <w:szCs w:val="21"/>
                    </w:rPr>
                    <w:t>固废性质</w:t>
                  </w:r>
                </w:p>
              </w:tc>
              <w:tc>
                <w:tcPr>
                  <w:tcW w:w="1418" w:type="dxa"/>
                  <w:tcBorders>
                    <w:tl2br w:val="nil"/>
                    <w:tr2bl w:val="nil"/>
                  </w:tcBorders>
                  <w:vAlign w:val="center"/>
                </w:tcPr>
                <w:p w14:paraId="054DCD23">
                  <w:pPr>
                    <w:jc w:val="center"/>
                    <w:rPr>
                      <w:szCs w:val="21"/>
                    </w:rPr>
                  </w:pPr>
                  <w:r>
                    <w:rPr>
                      <w:szCs w:val="21"/>
                    </w:rPr>
                    <w:t>代码</w:t>
                  </w:r>
                </w:p>
              </w:tc>
              <w:tc>
                <w:tcPr>
                  <w:tcW w:w="3184" w:type="dxa"/>
                  <w:tcBorders>
                    <w:tl2br w:val="nil"/>
                    <w:tr2bl w:val="nil"/>
                  </w:tcBorders>
                  <w:vAlign w:val="center"/>
                </w:tcPr>
                <w:p w14:paraId="4F00FE69">
                  <w:pPr>
                    <w:jc w:val="center"/>
                    <w:rPr>
                      <w:szCs w:val="21"/>
                    </w:rPr>
                  </w:pPr>
                  <w:r>
                    <w:rPr>
                      <w:szCs w:val="21"/>
                    </w:rPr>
                    <w:t>处置方式</w:t>
                  </w:r>
                </w:p>
              </w:tc>
            </w:tr>
            <w:tr w14:paraId="691D2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56F0040A">
                  <w:pPr>
                    <w:jc w:val="center"/>
                    <w:rPr>
                      <w:szCs w:val="21"/>
                    </w:rPr>
                  </w:pPr>
                  <w:r>
                    <w:rPr>
                      <w:szCs w:val="21"/>
                    </w:rPr>
                    <w:t>废水基泥浆</w:t>
                  </w:r>
                </w:p>
              </w:tc>
              <w:tc>
                <w:tcPr>
                  <w:tcW w:w="1181" w:type="dxa"/>
                  <w:tcBorders>
                    <w:tl2br w:val="nil"/>
                    <w:tr2bl w:val="nil"/>
                  </w:tcBorders>
                  <w:vAlign w:val="center"/>
                </w:tcPr>
                <w:p w14:paraId="28FBF3DF">
                  <w:pPr>
                    <w:jc w:val="center"/>
                    <w:rPr>
                      <w:szCs w:val="21"/>
                    </w:rPr>
                  </w:pPr>
                  <w:r>
                    <w:rPr>
                      <w:rFonts w:hint="eastAsia"/>
                      <w:szCs w:val="21"/>
                    </w:rPr>
                    <w:t>159.2</w:t>
                  </w:r>
                  <w:r>
                    <w:rPr>
                      <w:szCs w:val="21"/>
                    </w:rPr>
                    <w:t>m</w:t>
                  </w:r>
                  <w:r>
                    <w:rPr>
                      <w:szCs w:val="21"/>
                      <w:vertAlign w:val="superscript"/>
                    </w:rPr>
                    <w:t>3</w:t>
                  </w:r>
                </w:p>
              </w:tc>
              <w:tc>
                <w:tcPr>
                  <w:tcW w:w="1087" w:type="dxa"/>
                  <w:vMerge w:val="restart"/>
                  <w:tcBorders>
                    <w:tl2br w:val="nil"/>
                    <w:tr2bl w:val="nil"/>
                  </w:tcBorders>
                  <w:vAlign w:val="center"/>
                </w:tcPr>
                <w:p w14:paraId="5EBACCDF">
                  <w:pPr>
                    <w:jc w:val="center"/>
                    <w:rPr>
                      <w:szCs w:val="21"/>
                    </w:rPr>
                  </w:pPr>
                  <w:r>
                    <w:rPr>
                      <w:szCs w:val="21"/>
                    </w:rPr>
                    <w:t>一般固废</w:t>
                  </w:r>
                </w:p>
              </w:tc>
              <w:tc>
                <w:tcPr>
                  <w:tcW w:w="1418" w:type="dxa"/>
                  <w:tcBorders>
                    <w:tl2br w:val="nil"/>
                    <w:tr2bl w:val="nil"/>
                  </w:tcBorders>
                  <w:vAlign w:val="center"/>
                </w:tcPr>
                <w:p w14:paraId="22B35481">
                  <w:pPr>
                    <w:jc w:val="center"/>
                    <w:rPr>
                      <w:szCs w:val="21"/>
                    </w:rPr>
                  </w:pPr>
                  <w:r>
                    <w:rPr>
                      <w:szCs w:val="21"/>
                    </w:rPr>
                    <w:t>SW12:071-003-S12</w:t>
                  </w:r>
                </w:p>
              </w:tc>
              <w:tc>
                <w:tcPr>
                  <w:tcW w:w="3184" w:type="dxa"/>
                  <w:vMerge w:val="restart"/>
                  <w:tcBorders>
                    <w:tl2br w:val="nil"/>
                    <w:tr2bl w:val="nil"/>
                  </w:tcBorders>
                  <w:vAlign w:val="center"/>
                </w:tcPr>
                <w:p w14:paraId="15016FC2">
                  <w:pPr>
                    <w:jc w:val="center"/>
                    <w:rPr>
                      <w:szCs w:val="21"/>
                    </w:rPr>
                  </w:pPr>
                  <w:r>
                    <w:rPr>
                      <w:szCs w:val="21"/>
                    </w:rPr>
                    <w:t>随钻处理，及时转运，拟交由具有处理处置相应固体废物能力并配套建设有废气、废水、固废等污染物治理设施的单位进行资源化利用处置</w:t>
                  </w:r>
                </w:p>
              </w:tc>
            </w:tr>
            <w:tr w14:paraId="7598D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799792E5">
                  <w:pPr>
                    <w:jc w:val="center"/>
                    <w:rPr>
                      <w:szCs w:val="21"/>
                    </w:rPr>
                  </w:pPr>
                  <w:r>
                    <w:rPr>
                      <w:szCs w:val="21"/>
                    </w:rPr>
                    <w:t>清水钻屑及水基岩屑</w:t>
                  </w:r>
                </w:p>
              </w:tc>
              <w:tc>
                <w:tcPr>
                  <w:tcW w:w="1181" w:type="dxa"/>
                  <w:tcBorders>
                    <w:tl2br w:val="nil"/>
                    <w:tr2bl w:val="nil"/>
                  </w:tcBorders>
                  <w:vAlign w:val="center"/>
                </w:tcPr>
                <w:p w14:paraId="06F7E22C">
                  <w:pPr>
                    <w:jc w:val="center"/>
                    <w:rPr>
                      <w:szCs w:val="21"/>
                    </w:rPr>
                  </w:pPr>
                  <w:r>
                    <w:rPr>
                      <w:rFonts w:hint="eastAsia"/>
                      <w:szCs w:val="21"/>
                    </w:rPr>
                    <w:t>2540</w:t>
                  </w:r>
                  <w:r>
                    <w:rPr>
                      <w:szCs w:val="21"/>
                    </w:rPr>
                    <w:t>t</w:t>
                  </w:r>
                </w:p>
              </w:tc>
              <w:tc>
                <w:tcPr>
                  <w:tcW w:w="1087" w:type="dxa"/>
                  <w:vMerge w:val="continue"/>
                  <w:tcBorders>
                    <w:tl2br w:val="nil"/>
                    <w:tr2bl w:val="nil"/>
                  </w:tcBorders>
                  <w:vAlign w:val="center"/>
                </w:tcPr>
                <w:p w14:paraId="3A913015">
                  <w:pPr>
                    <w:jc w:val="center"/>
                    <w:rPr>
                      <w:szCs w:val="21"/>
                    </w:rPr>
                  </w:pPr>
                </w:p>
              </w:tc>
              <w:tc>
                <w:tcPr>
                  <w:tcW w:w="1418" w:type="dxa"/>
                  <w:tcBorders>
                    <w:tl2br w:val="nil"/>
                    <w:tr2bl w:val="nil"/>
                  </w:tcBorders>
                  <w:vAlign w:val="center"/>
                </w:tcPr>
                <w:p w14:paraId="294FDF6B">
                  <w:pPr>
                    <w:jc w:val="center"/>
                    <w:rPr>
                      <w:szCs w:val="21"/>
                    </w:rPr>
                  </w:pPr>
                  <w:r>
                    <w:rPr>
                      <w:szCs w:val="21"/>
                    </w:rPr>
                    <w:t>SW12:071-001-S12</w:t>
                  </w:r>
                </w:p>
              </w:tc>
              <w:tc>
                <w:tcPr>
                  <w:tcW w:w="3184" w:type="dxa"/>
                  <w:vMerge w:val="continue"/>
                  <w:tcBorders>
                    <w:tl2br w:val="nil"/>
                    <w:tr2bl w:val="nil"/>
                  </w:tcBorders>
                  <w:vAlign w:val="center"/>
                </w:tcPr>
                <w:p w14:paraId="346EFCB8">
                  <w:pPr>
                    <w:jc w:val="center"/>
                    <w:rPr>
                      <w:szCs w:val="21"/>
                    </w:rPr>
                  </w:pPr>
                </w:p>
              </w:tc>
            </w:tr>
            <w:tr w14:paraId="08AC1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745D6DC3">
                  <w:pPr>
                    <w:jc w:val="center"/>
                    <w:rPr>
                      <w:szCs w:val="21"/>
                    </w:rPr>
                  </w:pPr>
                  <w:r>
                    <w:rPr>
                      <w:szCs w:val="21"/>
                    </w:rPr>
                    <w:t>废油</w:t>
                  </w:r>
                </w:p>
              </w:tc>
              <w:tc>
                <w:tcPr>
                  <w:tcW w:w="1181" w:type="dxa"/>
                  <w:tcBorders>
                    <w:tl2br w:val="nil"/>
                    <w:tr2bl w:val="nil"/>
                  </w:tcBorders>
                  <w:vAlign w:val="center"/>
                </w:tcPr>
                <w:p w14:paraId="61D8DB29">
                  <w:pPr>
                    <w:jc w:val="center"/>
                    <w:rPr>
                      <w:szCs w:val="21"/>
                    </w:rPr>
                  </w:pPr>
                  <w:r>
                    <w:rPr>
                      <w:szCs w:val="21"/>
                    </w:rPr>
                    <w:t>0.5t</w:t>
                  </w:r>
                </w:p>
              </w:tc>
              <w:tc>
                <w:tcPr>
                  <w:tcW w:w="1087" w:type="dxa"/>
                  <w:vMerge w:val="restart"/>
                  <w:tcBorders>
                    <w:tl2br w:val="nil"/>
                    <w:tr2bl w:val="nil"/>
                  </w:tcBorders>
                  <w:vAlign w:val="center"/>
                </w:tcPr>
                <w:p w14:paraId="2C62C0EC">
                  <w:pPr>
                    <w:jc w:val="center"/>
                    <w:rPr>
                      <w:szCs w:val="21"/>
                    </w:rPr>
                  </w:pPr>
                  <w:r>
                    <w:rPr>
                      <w:rFonts w:hint="eastAsia"/>
                      <w:szCs w:val="21"/>
                    </w:rPr>
                    <w:t>危险废物</w:t>
                  </w:r>
                </w:p>
              </w:tc>
              <w:tc>
                <w:tcPr>
                  <w:tcW w:w="1418" w:type="dxa"/>
                  <w:tcBorders>
                    <w:tl2br w:val="nil"/>
                    <w:tr2bl w:val="nil"/>
                  </w:tcBorders>
                  <w:vAlign w:val="center"/>
                </w:tcPr>
                <w:p w14:paraId="1689F10D">
                  <w:pPr>
                    <w:jc w:val="center"/>
                    <w:rPr>
                      <w:szCs w:val="21"/>
                    </w:rPr>
                  </w:pPr>
                  <w:r>
                    <w:rPr>
                      <w:szCs w:val="21"/>
                    </w:rPr>
                    <w:t>HW08</w:t>
                  </w:r>
                  <w:r>
                    <w:rPr>
                      <w:rFonts w:hint="eastAsia"/>
                      <w:szCs w:val="21"/>
                    </w:rPr>
                    <w:t>:</w:t>
                  </w:r>
                </w:p>
                <w:p w14:paraId="6A78417F">
                  <w:pPr>
                    <w:jc w:val="center"/>
                    <w:rPr>
                      <w:szCs w:val="21"/>
                    </w:rPr>
                  </w:pPr>
                  <w:r>
                    <w:rPr>
                      <w:szCs w:val="21"/>
                    </w:rPr>
                    <w:t>900-249-08</w:t>
                  </w:r>
                </w:p>
              </w:tc>
              <w:tc>
                <w:tcPr>
                  <w:tcW w:w="3184" w:type="dxa"/>
                  <w:vMerge w:val="restart"/>
                  <w:tcBorders>
                    <w:tl2br w:val="nil"/>
                    <w:tr2bl w:val="nil"/>
                  </w:tcBorders>
                  <w:vAlign w:val="center"/>
                </w:tcPr>
                <w:p w14:paraId="2D2EFD72">
                  <w:pPr>
                    <w:jc w:val="center"/>
                    <w:rPr>
                      <w:szCs w:val="21"/>
                    </w:rPr>
                  </w:pPr>
                  <w:r>
                    <w:rPr>
                      <w:szCs w:val="21"/>
                    </w:rPr>
                    <w:t>通过废油桶收集，定期交由有资质单位处置</w:t>
                  </w:r>
                </w:p>
              </w:tc>
            </w:tr>
            <w:tr w14:paraId="36453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713EBEF3">
                  <w:pPr>
                    <w:jc w:val="center"/>
                    <w:rPr>
                      <w:szCs w:val="21"/>
                    </w:rPr>
                  </w:pPr>
                  <w:r>
                    <w:rPr>
                      <w:szCs w:val="21"/>
                    </w:rPr>
                    <w:t>废油桶</w:t>
                  </w:r>
                </w:p>
              </w:tc>
              <w:tc>
                <w:tcPr>
                  <w:tcW w:w="1181" w:type="dxa"/>
                  <w:tcBorders>
                    <w:tl2br w:val="nil"/>
                    <w:tr2bl w:val="nil"/>
                  </w:tcBorders>
                  <w:vAlign w:val="center"/>
                </w:tcPr>
                <w:p w14:paraId="0211243E">
                  <w:pPr>
                    <w:jc w:val="center"/>
                    <w:rPr>
                      <w:szCs w:val="21"/>
                    </w:rPr>
                  </w:pPr>
                  <w:r>
                    <w:rPr>
                      <w:szCs w:val="21"/>
                    </w:rPr>
                    <w:t>0.1t</w:t>
                  </w:r>
                </w:p>
              </w:tc>
              <w:tc>
                <w:tcPr>
                  <w:tcW w:w="1087" w:type="dxa"/>
                  <w:vMerge w:val="continue"/>
                  <w:tcBorders>
                    <w:tl2br w:val="nil"/>
                    <w:tr2bl w:val="nil"/>
                  </w:tcBorders>
                  <w:vAlign w:val="center"/>
                </w:tcPr>
                <w:p w14:paraId="124111E7">
                  <w:pPr>
                    <w:jc w:val="center"/>
                    <w:rPr>
                      <w:szCs w:val="21"/>
                    </w:rPr>
                  </w:pPr>
                </w:p>
              </w:tc>
              <w:tc>
                <w:tcPr>
                  <w:tcW w:w="1418" w:type="dxa"/>
                  <w:tcBorders>
                    <w:tl2br w:val="nil"/>
                    <w:tr2bl w:val="nil"/>
                  </w:tcBorders>
                  <w:vAlign w:val="center"/>
                </w:tcPr>
                <w:p w14:paraId="57A44770">
                  <w:pPr>
                    <w:jc w:val="center"/>
                    <w:rPr>
                      <w:szCs w:val="21"/>
                    </w:rPr>
                  </w:pPr>
                  <w:r>
                    <w:rPr>
                      <w:szCs w:val="21"/>
                    </w:rPr>
                    <w:t>HW49</w:t>
                  </w:r>
                  <w:r>
                    <w:rPr>
                      <w:rFonts w:hint="eastAsia"/>
                      <w:szCs w:val="21"/>
                    </w:rPr>
                    <w:t>:</w:t>
                  </w:r>
                </w:p>
                <w:p w14:paraId="5F6EC174">
                  <w:pPr>
                    <w:jc w:val="center"/>
                    <w:rPr>
                      <w:szCs w:val="21"/>
                    </w:rPr>
                  </w:pPr>
                  <w:r>
                    <w:rPr>
                      <w:szCs w:val="21"/>
                    </w:rPr>
                    <w:t>900-04</w:t>
                  </w:r>
                  <w:r>
                    <w:rPr>
                      <w:rFonts w:hint="eastAsia"/>
                      <w:szCs w:val="21"/>
                    </w:rPr>
                    <w:t>7</w:t>
                  </w:r>
                  <w:r>
                    <w:rPr>
                      <w:szCs w:val="21"/>
                    </w:rPr>
                    <w:t>-49</w:t>
                  </w:r>
                </w:p>
              </w:tc>
              <w:tc>
                <w:tcPr>
                  <w:tcW w:w="3184" w:type="dxa"/>
                  <w:vMerge w:val="continue"/>
                  <w:tcBorders>
                    <w:tl2br w:val="nil"/>
                    <w:tr2bl w:val="nil"/>
                  </w:tcBorders>
                  <w:vAlign w:val="center"/>
                </w:tcPr>
                <w:p w14:paraId="76BB72FD">
                  <w:pPr>
                    <w:jc w:val="center"/>
                    <w:rPr>
                      <w:szCs w:val="21"/>
                    </w:rPr>
                  </w:pPr>
                </w:p>
              </w:tc>
            </w:tr>
            <w:tr w14:paraId="0B085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14:paraId="26D8FE90">
                  <w:pPr>
                    <w:jc w:val="center"/>
                    <w:rPr>
                      <w:szCs w:val="21"/>
                    </w:rPr>
                  </w:pPr>
                  <w:r>
                    <w:rPr>
                      <w:szCs w:val="21"/>
                    </w:rPr>
                    <w:t>油基岩屑</w:t>
                  </w:r>
                </w:p>
              </w:tc>
              <w:tc>
                <w:tcPr>
                  <w:tcW w:w="1181" w:type="dxa"/>
                  <w:tcBorders>
                    <w:tl2br w:val="nil"/>
                    <w:tr2bl w:val="nil"/>
                  </w:tcBorders>
                  <w:vAlign w:val="center"/>
                </w:tcPr>
                <w:p w14:paraId="5E16AB04">
                  <w:pPr>
                    <w:jc w:val="center"/>
                    <w:rPr>
                      <w:szCs w:val="21"/>
                    </w:rPr>
                  </w:pPr>
                  <w:r>
                    <w:rPr>
                      <w:rFonts w:hint="eastAsia"/>
                      <w:szCs w:val="21"/>
                    </w:rPr>
                    <w:t>1468.7t</w:t>
                  </w:r>
                </w:p>
              </w:tc>
              <w:tc>
                <w:tcPr>
                  <w:tcW w:w="1087" w:type="dxa"/>
                  <w:vMerge w:val="continue"/>
                  <w:tcBorders>
                    <w:tl2br w:val="nil"/>
                    <w:tr2bl w:val="nil"/>
                  </w:tcBorders>
                  <w:vAlign w:val="center"/>
                </w:tcPr>
                <w:p w14:paraId="48F2EE5F">
                  <w:pPr>
                    <w:jc w:val="center"/>
                    <w:rPr>
                      <w:szCs w:val="21"/>
                    </w:rPr>
                  </w:pPr>
                </w:p>
              </w:tc>
              <w:tc>
                <w:tcPr>
                  <w:tcW w:w="1418" w:type="dxa"/>
                  <w:tcBorders>
                    <w:tl2br w:val="nil"/>
                    <w:tr2bl w:val="nil"/>
                  </w:tcBorders>
                  <w:shd w:val="clear" w:color="auto" w:fill="auto"/>
                  <w:vAlign w:val="center"/>
                </w:tcPr>
                <w:p w14:paraId="41D2DAE9">
                  <w:pPr>
                    <w:jc w:val="center"/>
                    <w:rPr>
                      <w:szCs w:val="21"/>
                    </w:rPr>
                  </w:pPr>
                  <w:r>
                    <w:rPr>
                      <w:szCs w:val="21"/>
                    </w:rPr>
                    <w:t>HW08</w:t>
                  </w:r>
                  <w:r>
                    <w:rPr>
                      <w:rFonts w:hint="eastAsia"/>
                      <w:szCs w:val="21"/>
                    </w:rPr>
                    <w:t>:</w:t>
                  </w:r>
                </w:p>
                <w:p w14:paraId="1491C5EB">
                  <w:pPr>
                    <w:jc w:val="center"/>
                    <w:rPr>
                      <w:szCs w:val="21"/>
                    </w:rPr>
                  </w:pPr>
                  <w:r>
                    <w:rPr>
                      <w:szCs w:val="21"/>
                    </w:rPr>
                    <w:t>072-001-08</w:t>
                  </w:r>
                </w:p>
              </w:tc>
              <w:tc>
                <w:tcPr>
                  <w:tcW w:w="3184" w:type="dxa"/>
                  <w:vMerge w:val="restart"/>
                  <w:tcBorders>
                    <w:tl2br w:val="nil"/>
                    <w:tr2bl w:val="nil"/>
                  </w:tcBorders>
                  <w:vAlign w:val="center"/>
                </w:tcPr>
                <w:p w14:paraId="61310A47">
                  <w:pPr>
                    <w:jc w:val="center"/>
                    <w:rPr>
                      <w:szCs w:val="21"/>
                    </w:rPr>
                  </w:pPr>
                  <w:r>
                    <w:rPr>
                      <w:szCs w:val="21"/>
                    </w:rPr>
                    <w:t>拟及时交由有资质单位处置</w:t>
                  </w:r>
                </w:p>
              </w:tc>
            </w:tr>
            <w:tr w14:paraId="684C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14:paraId="09C0E680">
                  <w:pPr>
                    <w:jc w:val="center"/>
                    <w:rPr>
                      <w:szCs w:val="21"/>
                    </w:rPr>
                  </w:pPr>
                  <w:r>
                    <w:rPr>
                      <w:rFonts w:hint="eastAsia"/>
                      <w:szCs w:val="21"/>
                    </w:rPr>
                    <w:t>油基泥浆</w:t>
                  </w:r>
                </w:p>
              </w:tc>
              <w:tc>
                <w:tcPr>
                  <w:tcW w:w="1181" w:type="dxa"/>
                  <w:tcBorders>
                    <w:tl2br w:val="nil"/>
                    <w:tr2bl w:val="nil"/>
                  </w:tcBorders>
                  <w:vAlign w:val="center"/>
                </w:tcPr>
                <w:p w14:paraId="64D15039">
                  <w:pPr>
                    <w:jc w:val="center"/>
                    <w:rPr>
                      <w:szCs w:val="21"/>
                    </w:rPr>
                  </w:pPr>
                  <w:r>
                    <w:rPr>
                      <w:rFonts w:hint="eastAsia"/>
                      <w:szCs w:val="21"/>
                    </w:rPr>
                    <w:t>27.4m</w:t>
                  </w:r>
                  <w:r>
                    <w:rPr>
                      <w:rFonts w:hint="eastAsia"/>
                      <w:szCs w:val="21"/>
                      <w:vertAlign w:val="superscript"/>
                    </w:rPr>
                    <w:t>3</w:t>
                  </w:r>
                </w:p>
              </w:tc>
              <w:tc>
                <w:tcPr>
                  <w:tcW w:w="1087" w:type="dxa"/>
                  <w:vMerge w:val="continue"/>
                  <w:tcBorders>
                    <w:tl2br w:val="nil"/>
                    <w:tr2bl w:val="nil"/>
                  </w:tcBorders>
                  <w:vAlign w:val="center"/>
                </w:tcPr>
                <w:p w14:paraId="5A939B05">
                  <w:pPr>
                    <w:jc w:val="center"/>
                    <w:rPr>
                      <w:szCs w:val="21"/>
                    </w:rPr>
                  </w:pPr>
                </w:p>
              </w:tc>
              <w:tc>
                <w:tcPr>
                  <w:tcW w:w="1418" w:type="dxa"/>
                  <w:tcBorders>
                    <w:tl2br w:val="nil"/>
                    <w:tr2bl w:val="nil"/>
                  </w:tcBorders>
                  <w:shd w:val="clear" w:color="auto" w:fill="auto"/>
                  <w:vAlign w:val="center"/>
                </w:tcPr>
                <w:p w14:paraId="736E657E">
                  <w:pPr>
                    <w:jc w:val="center"/>
                    <w:rPr>
                      <w:szCs w:val="21"/>
                    </w:rPr>
                  </w:pPr>
                  <w:r>
                    <w:rPr>
                      <w:szCs w:val="21"/>
                    </w:rPr>
                    <w:t>HW08</w:t>
                  </w:r>
                  <w:r>
                    <w:rPr>
                      <w:rFonts w:hint="eastAsia"/>
                      <w:szCs w:val="21"/>
                    </w:rPr>
                    <w:t>:072-001-08</w:t>
                  </w:r>
                </w:p>
              </w:tc>
              <w:tc>
                <w:tcPr>
                  <w:tcW w:w="3184" w:type="dxa"/>
                  <w:vMerge w:val="continue"/>
                  <w:tcBorders>
                    <w:tl2br w:val="nil"/>
                    <w:tr2bl w:val="nil"/>
                  </w:tcBorders>
                  <w:vAlign w:val="center"/>
                </w:tcPr>
                <w:p w14:paraId="32A41D13">
                  <w:pPr>
                    <w:jc w:val="center"/>
                    <w:rPr>
                      <w:szCs w:val="21"/>
                    </w:rPr>
                  </w:pPr>
                </w:p>
              </w:tc>
            </w:tr>
            <w:tr w14:paraId="34A79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386E6188">
                  <w:pPr>
                    <w:jc w:val="center"/>
                    <w:rPr>
                      <w:szCs w:val="21"/>
                    </w:rPr>
                  </w:pPr>
                  <w:r>
                    <w:rPr>
                      <w:szCs w:val="21"/>
                    </w:rPr>
                    <w:t>废棉纱/手套</w:t>
                  </w:r>
                </w:p>
              </w:tc>
              <w:tc>
                <w:tcPr>
                  <w:tcW w:w="1181" w:type="dxa"/>
                  <w:tcBorders>
                    <w:tl2br w:val="nil"/>
                    <w:tr2bl w:val="nil"/>
                  </w:tcBorders>
                  <w:vAlign w:val="center"/>
                </w:tcPr>
                <w:p w14:paraId="36F1C2E4">
                  <w:pPr>
                    <w:jc w:val="center"/>
                    <w:rPr>
                      <w:szCs w:val="21"/>
                    </w:rPr>
                  </w:pPr>
                  <w:r>
                    <w:rPr>
                      <w:szCs w:val="21"/>
                    </w:rPr>
                    <w:t>0.1t</w:t>
                  </w:r>
                </w:p>
              </w:tc>
              <w:tc>
                <w:tcPr>
                  <w:tcW w:w="1087" w:type="dxa"/>
                  <w:vMerge w:val="continue"/>
                  <w:tcBorders>
                    <w:tl2br w:val="nil"/>
                    <w:tr2bl w:val="nil"/>
                  </w:tcBorders>
                  <w:vAlign w:val="center"/>
                </w:tcPr>
                <w:p w14:paraId="665BE996">
                  <w:pPr>
                    <w:jc w:val="center"/>
                    <w:rPr>
                      <w:szCs w:val="21"/>
                    </w:rPr>
                  </w:pPr>
                </w:p>
              </w:tc>
              <w:tc>
                <w:tcPr>
                  <w:tcW w:w="1418" w:type="dxa"/>
                  <w:tcBorders>
                    <w:tl2br w:val="nil"/>
                    <w:tr2bl w:val="nil"/>
                  </w:tcBorders>
                  <w:vAlign w:val="center"/>
                </w:tcPr>
                <w:p w14:paraId="7965ABAC">
                  <w:pPr>
                    <w:jc w:val="center"/>
                    <w:rPr>
                      <w:szCs w:val="21"/>
                    </w:rPr>
                  </w:pPr>
                  <w:r>
                    <w:rPr>
                      <w:szCs w:val="21"/>
                    </w:rPr>
                    <w:t>HW49</w:t>
                  </w:r>
                  <w:r>
                    <w:rPr>
                      <w:rFonts w:hint="eastAsia"/>
                      <w:szCs w:val="21"/>
                    </w:rPr>
                    <w:t>:</w:t>
                  </w:r>
                </w:p>
                <w:p w14:paraId="07EAE527">
                  <w:pPr>
                    <w:jc w:val="center"/>
                    <w:rPr>
                      <w:szCs w:val="21"/>
                    </w:rPr>
                  </w:pPr>
                  <w:r>
                    <w:rPr>
                      <w:szCs w:val="21"/>
                    </w:rPr>
                    <w:t>900-041-49</w:t>
                  </w:r>
                </w:p>
              </w:tc>
              <w:tc>
                <w:tcPr>
                  <w:tcW w:w="3184" w:type="dxa"/>
                  <w:tcBorders>
                    <w:tl2br w:val="nil"/>
                    <w:tr2bl w:val="nil"/>
                  </w:tcBorders>
                  <w:vAlign w:val="center"/>
                </w:tcPr>
                <w:p w14:paraId="0C8AA4A6">
                  <w:pPr>
                    <w:jc w:val="center"/>
                    <w:rPr>
                      <w:szCs w:val="21"/>
                    </w:rPr>
                  </w:pPr>
                  <w:r>
                    <w:rPr>
                      <w:szCs w:val="21"/>
                    </w:rPr>
                    <w:t>拟及时交由有资质单位处置</w:t>
                  </w:r>
                </w:p>
              </w:tc>
            </w:tr>
            <w:tr w14:paraId="01F51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14:paraId="27572D20">
                  <w:pPr>
                    <w:jc w:val="center"/>
                    <w:rPr>
                      <w:szCs w:val="21"/>
                    </w:rPr>
                  </w:pPr>
                  <w:r>
                    <w:rPr>
                      <w:rFonts w:hint="eastAsia"/>
                      <w:szCs w:val="21"/>
                    </w:rPr>
                    <w:t>环境监测池污泥</w:t>
                  </w:r>
                </w:p>
              </w:tc>
              <w:tc>
                <w:tcPr>
                  <w:tcW w:w="1181" w:type="dxa"/>
                  <w:tcBorders>
                    <w:tl2br w:val="nil"/>
                    <w:tr2bl w:val="nil"/>
                  </w:tcBorders>
                  <w:shd w:val="clear" w:color="auto" w:fill="auto"/>
                  <w:vAlign w:val="center"/>
                </w:tcPr>
                <w:p w14:paraId="3CE0F0AC">
                  <w:pPr>
                    <w:jc w:val="center"/>
                    <w:rPr>
                      <w:szCs w:val="21"/>
                    </w:rPr>
                  </w:pPr>
                  <w:r>
                    <w:rPr>
                      <w:rFonts w:hint="eastAsia"/>
                      <w:szCs w:val="21"/>
                    </w:rPr>
                    <w:t>0.1t</w:t>
                  </w:r>
                </w:p>
              </w:tc>
              <w:tc>
                <w:tcPr>
                  <w:tcW w:w="1087" w:type="dxa"/>
                  <w:vMerge w:val="continue"/>
                  <w:tcBorders>
                    <w:tl2br w:val="nil"/>
                    <w:tr2bl w:val="nil"/>
                  </w:tcBorders>
                  <w:shd w:val="clear" w:color="auto" w:fill="auto"/>
                  <w:vAlign w:val="center"/>
                </w:tcPr>
                <w:p w14:paraId="6E8EAE62">
                  <w:pPr>
                    <w:jc w:val="center"/>
                    <w:rPr>
                      <w:szCs w:val="21"/>
                    </w:rPr>
                  </w:pPr>
                </w:p>
              </w:tc>
              <w:tc>
                <w:tcPr>
                  <w:tcW w:w="1418" w:type="dxa"/>
                  <w:tcBorders>
                    <w:tl2br w:val="nil"/>
                    <w:tr2bl w:val="nil"/>
                  </w:tcBorders>
                  <w:shd w:val="clear" w:color="auto" w:fill="auto"/>
                  <w:vAlign w:val="center"/>
                </w:tcPr>
                <w:p w14:paraId="0681234F">
                  <w:pPr>
                    <w:jc w:val="center"/>
                    <w:rPr>
                      <w:szCs w:val="21"/>
                    </w:rPr>
                  </w:pPr>
                  <w:r>
                    <w:rPr>
                      <w:szCs w:val="21"/>
                    </w:rPr>
                    <w:t>HW49</w:t>
                  </w:r>
                  <w:r>
                    <w:rPr>
                      <w:rFonts w:hint="eastAsia"/>
                      <w:szCs w:val="21"/>
                    </w:rPr>
                    <w:t>:</w:t>
                  </w:r>
                  <w:r>
                    <w:rPr>
                      <w:szCs w:val="21"/>
                    </w:rPr>
                    <w:t>772-006-49</w:t>
                  </w:r>
                </w:p>
              </w:tc>
              <w:tc>
                <w:tcPr>
                  <w:tcW w:w="3184" w:type="dxa"/>
                  <w:tcBorders>
                    <w:tl2br w:val="nil"/>
                    <w:tr2bl w:val="nil"/>
                  </w:tcBorders>
                  <w:shd w:val="clear" w:color="auto" w:fill="auto"/>
                  <w:vAlign w:val="center"/>
                </w:tcPr>
                <w:p w14:paraId="66E6E472">
                  <w:pPr>
                    <w:jc w:val="center"/>
                    <w:rPr>
                      <w:szCs w:val="21"/>
                    </w:rPr>
                  </w:pPr>
                  <w:r>
                    <w:rPr>
                      <w:szCs w:val="21"/>
                    </w:rPr>
                    <w:t>拟及时交由有资质单位处置</w:t>
                  </w:r>
                </w:p>
              </w:tc>
            </w:tr>
            <w:tr w14:paraId="5E662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14:paraId="339558F0">
                  <w:pPr>
                    <w:jc w:val="center"/>
                    <w:rPr>
                      <w:szCs w:val="21"/>
                    </w:rPr>
                  </w:pPr>
                  <w:r>
                    <w:rPr>
                      <w:szCs w:val="21"/>
                    </w:rPr>
                    <w:t>废包装材料</w:t>
                  </w:r>
                </w:p>
              </w:tc>
              <w:tc>
                <w:tcPr>
                  <w:tcW w:w="1181" w:type="dxa"/>
                  <w:tcBorders>
                    <w:tl2br w:val="nil"/>
                    <w:tr2bl w:val="nil"/>
                  </w:tcBorders>
                  <w:shd w:val="clear" w:color="auto" w:fill="auto"/>
                  <w:vAlign w:val="center"/>
                </w:tcPr>
                <w:p w14:paraId="2ACFF337">
                  <w:pPr>
                    <w:jc w:val="center"/>
                    <w:rPr>
                      <w:szCs w:val="21"/>
                    </w:rPr>
                  </w:pPr>
                  <w:r>
                    <w:rPr>
                      <w:szCs w:val="21"/>
                    </w:rPr>
                    <w:t>1t</w:t>
                  </w:r>
                </w:p>
              </w:tc>
              <w:tc>
                <w:tcPr>
                  <w:tcW w:w="1087" w:type="dxa"/>
                  <w:tcBorders>
                    <w:tl2br w:val="nil"/>
                    <w:tr2bl w:val="nil"/>
                  </w:tcBorders>
                  <w:shd w:val="clear" w:color="auto" w:fill="auto"/>
                  <w:vAlign w:val="center"/>
                </w:tcPr>
                <w:p w14:paraId="7DE94C11">
                  <w:pPr>
                    <w:jc w:val="center"/>
                    <w:rPr>
                      <w:szCs w:val="21"/>
                    </w:rPr>
                  </w:pPr>
                  <w:r>
                    <w:rPr>
                      <w:szCs w:val="21"/>
                    </w:rPr>
                    <w:t>一般固废</w:t>
                  </w:r>
                </w:p>
              </w:tc>
              <w:tc>
                <w:tcPr>
                  <w:tcW w:w="1418" w:type="dxa"/>
                  <w:tcBorders>
                    <w:tl2br w:val="nil"/>
                    <w:tr2bl w:val="nil"/>
                  </w:tcBorders>
                  <w:shd w:val="clear" w:color="auto" w:fill="auto"/>
                  <w:vAlign w:val="center"/>
                </w:tcPr>
                <w:p w14:paraId="29F139B4">
                  <w:pPr>
                    <w:jc w:val="center"/>
                    <w:rPr>
                      <w:szCs w:val="21"/>
                    </w:rPr>
                  </w:pPr>
                  <w:r>
                    <w:rPr>
                      <w:szCs w:val="21"/>
                    </w:rPr>
                    <w:t>SW59:900-099-S59</w:t>
                  </w:r>
                </w:p>
              </w:tc>
              <w:tc>
                <w:tcPr>
                  <w:tcW w:w="3184" w:type="dxa"/>
                  <w:tcBorders>
                    <w:tl2br w:val="nil"/>
                    <w:tr2bl w:val="nil"/>
                  </w:tcBorders>
                  <w:shd w:val="clear" w:color="auto" w:fill="auto"/>
                  <w:vAlign w:val="center"/>
                </w:tcPr>
                <w:p w14:paraId="17220D55">
                  <w:pPr>
                    <w:jc w:val="center"/>
                    <w:rPr>
                      <w:szCs w:val="21"/>
                    </w:rPr>
                  </w:pPr>
                  <w:r>
                    <w:rPr>
                      <w:szCs w:val="21"/>
                    </w:rPr>
                    <w:t>拟及时交由相关单位处置</w:t>
                  </w:r>
                </w:p>
              </w:tc>
            </w:tr>
            <w:tr w14:paraId="34FF4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35EAB219">
                  <w:pPr>
                    <w:jc w:val="center"/>
                    <w:rPr>
                      <w:szCs w:val="21"/>
                    </w:rPr>
                  </w:pPr>
                  <w:r>
                    <w:rPr>
                      <w:szCs w:val="21"/>
                    </w:rPr>
                    <w:t>生活垃圾</w:t>
                  </w:r>
                </w:p>
              </w:tc>
              <w:tc>
                <w:tcPr>
                  <w:tcW w:w="1181" w:type="dxa"/>
                  <w:tcBorders>
                    <w:tl2br w:val="nil"/>
                    <w:tr2bl w:val="nil"/>
                  </w:tcBorders>
                  <w:vAlign w:val="center"/>
                </w:tcPr>
                <w:p w14:paraId="56846D5A">
                  <w:pPr>
                    <w:pStyle w:val="26"/>
                    <w:spacing w:line="240" w:lineRule="auto"/>
                    <w:jc w:val="center"/>
                  </w:pPr>
                  <w:r>
                    <w:rPr>
                      <w:rFonts w:hint="eastAsia"/>
                    </w:rPr>
                    <w:t>1.58</w:t>
                  </w:r>
                  <w:r>
                    <w:t>t</w:t>
                  </w:r>
                </w:p>
              </w:tc>
              <w:tc>
                <w:tcPr>
                  <w:tcW w:w="1087" w:type="dxa"/>
                  <w:tcBorders>
                    <w:tl2br w:val="nil"/>
                    <w:tr2bl w:val="nil"/>
                  </w:tcBorders>
                  <w:vAlign w:val="center"/>
                </w:tcPr>
                <w:p w14:paraId="509973AC">
                  <w:pPr>
                    <w:jc w:val="center"/>
                    <w:rPr>
                      <w:szCs w:val="21"/>
                    </w:rPr>
                  </w:pPr>
                  <w:r>
                    <w:rPr>
                      <w:szCs w:val="21"/>
                    </w:rPr>
                    <w:t>生活垃圾</w:t>
                  </w:r>
                </w:p>
              </w:tc>
              <w:tc>
                <w:tcPr>
                  <w:tcW w:w="1418" w:type="dxa"/>
                  <w:tcBorders>
                    <w:tl2br w:val="nil"/>
                    <w:tr2bl w:val="nil"/>
                  </w:tcBorders>
                  <w:vAlign w:val="center"/>
                </w:tcPr>
                <w:p w14:paraId="6E5CEEDA">
                  <w:pPr>
                    <w:jc w:val="center"/>
                    <w:rPr>
                      <w:szCs w:val="21"/>
                    </w:rPr>
                  </w:pPr>
                  <w:r>
                    <w:rPr>
                      <w:szCs w:val="21"/>
                    </w:rPr>
                    <w:t>/</w:t>
                  </w:r>
                </w:p>
              </w:tc>
              <w:tc>
                <w:tcPr>
                  <w:tcW w:w="3184" w:type="dxa"/>
                  <w:tcBorders>
                    <w:tl2br w:val="nil"/>
                    <w:tr2bl w:val="nil"/>
                  </w:tcBorders>
                  <w:vAlign w:val="center"/>
                </w:tcPr>
                <w:p w14:paraId="5E086C19">
                  <w:pPr>
                    <w:jc w:val="center"/>
                    <w:rPr>
                      <w:szCs w:val="21"/>
                    </w:rPr>
                  </w:pPr>
                  <w:r>
                    <w:rPr>
                      <w:szCs w:val="21"/>
                    </w:rPr>
                    <w:t>垃圾桶集中收集后，交当地环卫部门处理</w:t>
                  </w:r>
                </w:p>
              </w:tc>
            </w:tr>
            <w:tr w14:paraId="759AC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14:paraId="016A7A70">
                  <w:pPr>
                    <w:jc w:val="center"/>
                    <w:rPr>
                      <w:szCs w:val="21"/>
                    </w:rPr>
                  </w:pPr>
                  <w:r>
                    <w:rPr>
                      <w:szCs w:val="21"/>
                    </w:rPr>
                    <w:t>生活区隔油池污泥</w:t>
                  </w:r>
                </w:p>
              </w:tc>
              <w:tc>
                <w:tcPr>
                  <w:tcW w:w="1181" w:type="dxa"/>
                  <w:tcBorders>
                    <w:tl2br w:val="nil"/>
                    <w:tr2bl w:val="nil"/>
                  </w:tcBorders>
                  <w:vAlign w:val="center"/>
                </w:tcPr>
                <w:p w14:paraId="4A463486">
                  <w:pPr>
                    <w:pStyle w:val="26"/>
                    <w:spacing w:line="240" w:lineRule="auto"/>
                    <w:jc w:val="center"/>
                  </w:pPr>
                  <w:r>
                    <w:rPr>
                      <w:rFonts w:hint="eastAsia"/>
                    </w:rPr>
                    <w:t>0.2t</w:t>
                  </w:r>
                </w:p>
              </w:tc>
              <w:tc>
                <w:tcPr>
                  <w:tcW w:w="1087" w:type="dxa"/>
                  <w:tcBorders>
                    <w:tl2br w:val="nil"/>
                    <w:tr2bl w:val="nil"/>
                  </w:tcBorders>
                  <w:vAlign w:val="center"/>
                </w:tcPr>
                <w:p w14:paraId="16C92E34">
                  <w:pPr>
                    <w:jc w:val="center"/>
                    <w:rPr>
                      <w:szCs w:val="21"/>
                    </w:rPr>
                  </w:pPr>
                  <w:r>
                    <w:rPr>
                      <w:rFonts w:hint="eastAsia"/>
                      <w:szCs w:val="21"/>
                    </w:rPr>
                    <w:t>一般固废</w:t>
                  </w:r>
                </w:p>
              </w:tc>
              <w:tc>
                <w:tcPr>
                  <w:tcW w:w="1418" w:type="dxa"/>
                  <w:tcBorders>
                    <w:tl2br w:val="nil"/>
                    <w:tr2bl w:val="nil"/>
                  </w:tcBorders>
                  <w:vAlign w:val="center"/>
                </w:tcPr>
                <w:p w14:paraId="7A9C7EA1">
                  <w:pPr>
                    <w:jc w:val="center"/>
                    <w:rPr>
                      <w:szCs w:val="21"/>
                    </w:rPr>
                  </w:pPr>
                  <w:r>
                    <w:rPr>
                      <w:rFonts w:hint="eastAsia"/>
                      <w:szCs w:val="21"/>
                    </w:rPr>
                    <w:t>SW07:900-099-S07</w:t>
                  </w:r>
                </w:p>
              </w:tc>
              <w:tc>
                <w:tcPr>
                  <w:tcW w:w="3184" w:type="dxa"/>
                  <w:tcBorders>
                    <w:tl2br w:val="nil"/>
                    <w:tr2bl w:val="nil"/>
                  </w:tcBorders>
                  <w:vAlign w:val="center"/>
                </w:tcPr>
                <w:p w14:paraId="61BFDD38">
                  <w:pPr>
                    <w:jc w:val="center"/>
                    <w:rPr>
                      <w:szCs w:val="21"/>
                    </w:rPr>
                  </w:pPr>
                  <w:r>
                    <w:rPr>
                      <w:szCs w:val="21"/>
                    </w:rPr>
                    <w:t>拟及时交由</w:t>
                  </w:r>
                  <w:r>
                    <w:rPr>
                      <w:rFonts w:hint="eastAsia"/>
                      <w:szCs w:val="21"/>
                    </w:rPr>
                    <w:t>有关</w:t>
                  </w:r>
                  <w:r>
                    <w:rPr>
                      <w:szCs w:val="21"/>
                    </w:rPr>
                    <w:t>单位处置</w:t>
                  </w:r>
                </w:p>
              </w:tc>
            </w:tr>
          </w:tbl>
          <w:p w14:paraId="3F289D69">
            <w:pPr>
              <w:spacing w:line="360" w:lineRule="auto"/>
              <w:ind w:firstLine="480" w:firstLineChars="200"/>
              <w:rPr>
                <w:sz w:val="24"/>
              </w:rPr>
            </w:pPr>
            <w:r>
              <w:rPr>
                <w:sz w:val="24"/>
              </w:rPr>
              <w:t>（4）环境影响分析</w:t>
            </w:r>
          </w:p>
          <w:p w14:paraId="20BB77B6">
            <w:pPr>
              <w:spacing w:line="360" w:lineRule="auto"/>
              <w:ind w:firstLine="480" w:firstLineChars="200"/>
              <w:rPr>
                <w:sz w:val="24"/>
              </w:rPr>
            </w:pPr>
            <w:r>
              <w:rPr>
                <w:sz w:val="24"/>
              </w:rPr>
              <w:t>钻井工程产生的固体废物主要有钻井岩屑、废泥浆、废油及生活垃圾。</w:t>
            </w:r>
          </w:p>
          <w:p w14:paraId="39D2671E">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废泥浆</w:t>
            </w:r>
          </w:p>
          <w:p w14:paraId="0DEFEEB5">
            <w:pPr>
              <w:spacing w:line="360" w:lineRule="auto"/>
              <w:ind w:firstLine="480" w:firstLineChars="200"/>
              <w:rPr>
                <w:sz w:val="24"/>
              </w:rPr>
            </w:pPr>
            <w:r>
              <w:rPr>
                <w:sz w:val="24"/>
              </w:rPr>
              <w:t>本项目常规钻井阶段废水基泥浆量约为</w:t>
            </w:r>
            <w:r>
              <w:rPr>
                <w:rFonts w:hint="eastAsia"/>
                <w:sz w:val="24"/>
              </w:rPr>
              <w:t>159.2</w:t>
            </w:r>
            <w:r>
              <w:rPr>
                <w:sz w:val="24"/>
              </w:rPr>
              <w:t>m</w:t>
            </w:r>
            <w:r>
              <w:rPr>
                <w:sz w:val="24"/>
                <w:vertAlign w:val="superscript"/>
              </w:rPr>
              <w:t>3</w:t>
            </w:r>
            <w:r>
              <w:rPr>
                <w:sz w:val="24"/>
              </w:rPr>
              <w:t>，经循环罐收集后暂存于泥浆不落地平台，泥浆不落地平台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14:paraId="301EE3EC">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钻井岩屑</w:t>
            </w:r>
          </w:p>
          <w:p w14:paraId="255B189B">
            <w:pPr>
              <w:spacing w:line="360" w:lineRule="auto"/>
              <w:ind w:firstLine="482" w:firstLineChars="200"/>
              <w:rPr>
                <w:sz w:val="24"/>
              </w:rPr>
            </w:pPr>
            <w:r>
              <w:rPr>
                <w:b/>
                <w:bCs/>
                <w:sz w:val="24"/>
              </w:rPr>
              <w:t>清水岩屑及水基岩屑：</w:t>
            </w:r>
            <w:r>
              <w:rPr>
                <w:sz w:val="24"/>
              </w:rPr>
              <w:t>钻井岩屑是在钻井过程中钻头切削地层岩石而产生的碎屑，其产生量与井眼长度、平均井径有关，水基钻井液钻井产生的钻井岩屑为一般工业固体废物。由岩屑收集罐进行收集，常规钻井阶段产生水基岩屑量为</w:t>
            </w:r>
            <w:r>
              <w:rPr>
                <w:rFonts w:hint="eastAsia"/>
                <w:sz w:val="24"/>
              </w:rPr>
              <w:t>2540</w:t>
            </w:r>
            <w:r>
              <w:rPr>
                <w:sz w:val="24"/>
              </w:rPr>
              <w:t>t，暂存岩屑堆放区，</w:t>
            </w:r>
            <w:r>
              <w:rPr>
                <w:bCs/>
                <w:sz w:val="24"/>
              </w:rPr>
              <w:t>岩屑堆放区采取重点防渗处置，并设置围堰，符合暂存要求</w:t>
            </w:r>
            <w:r>
              <w:rPr>
                <w:sz w:val="24"/>
              </w:rPr>
              <w:t>，及时外运交由有资质单位资源化利用。</w:t>
            </w:r>
          </w:p>
          <w:p w14:paraId="0330AAD8">
            <w:pPr>
              <w:spacing w:line="360" w:lineRule="auto"/>
              <w:ind w:firstLine="480" w:firstLineChars="200"/>
            </w:pPr>
            <w:r>
              <w:rPr>
                <w:sz w:val="24"/>
              </w:rPr>
              <w:t>油基岩屑及油基泥浆：</w:t>
            </w:r>
            <w:r>
              <w:rPr>
                <w:rFonts w:hint="eastAsia"/>
                <w:sz w:val="24"/>
              </w:rPr>
              <w:t>本项目四开侧钻水平段采用油基钻井液进行钻井，</w:t>
            </w:r>
            <w:r>
              <w:rPr>
                <w:sz w:val="24"/>
              </w:rPr>
              <w:t>钻井过程中产生的油基岩屑由</w:t>
            </w:r>
            <w:r>
              <w:rPr>
                <w:rFonts w:hint="eastAsia"/>
                <w:sz w:val="24"/>
              </w:rPr>
              <w:t>吨桶</w:t>
            </w:r>
            <w:r>
              <w:rPr>
                <w:sz w:val="24"/>
              </w:rPr>
              <w:t>临时收集后拟及时交由有资质单位处置。油基泥浆由</w:t>
            </w:r>
            <w:r>
              <w:rPr>
                <w:rFonts w:hint="eastAsia"/>
                <w:sz w:val="24"/>
              </w:rPr>
              <w:t>吨桶</w:t>
            </w:r>
            <w:r>
              <w:rPr>
                <w:sz w:val="24"/>
              </w:rPr>
              <w:t>临时收集后拟及时交由有资质单位处置。</w:t>
            </w:r>
          </w:p>
          <w:p w14:paraId="2AAF5C3C">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生活垃圾及包装材料</w:t>
            </w:r>
          </w:p>
          <w:p w14:paraId="395DFA76">
            <w:pPr>
              <w:spacing w:line="360" w:lineRule="auto"/>
              <w:ind w:firstLine="480" w:firstLineChars="200"/>
              <w:rPr>
                <w:sz w:val="24"/>
              </w:rPr>
            </w:pPr>
            <w:r>
              <w:rPr>
                <w:sz w:val="24"/>
              </w:rPr>
              <w:t>钻井期间垃圾产生量共计</w:t>
            </w:r>
            <w:r>
              <w:rPr>
                <w:rFonts w:hint="eastAsia"/>
                <w:sz w:val="24"/>
              </w:rPr>
              <w:t>1.58</w:t>
            </w:r>
            <w:r>
              <w:rPr>
                <w:sz w:val="24"/>
              </w:rPr>
              <w:t>t。生活垃圾交环卫部门处置。废包装材料量较少，收集后全部回收利用。</w:t>
            </w:r>
          </w:p>
          <w:p w14:paraId="6B003AA5">
            <w:pPr>
              <w:spacing w:line="360" w:lineRule="auto"/>
              <w:ind w:firstLine="480" w:firstLineChars="200"/>
              <w:rPr>
                <w:sz w:val="24"/>
              </w:rPr>
            </w:pPr>
            <w:r>
              <w:rPr>
                <w:sz w:val="24"/>
              </w:rPr>
              <w:fldChar w:fldCharType="begin"/>
            </w:r>
            <w:r>
              <w:rPr>
                <w:sz w:val="24"/>
              </w:rPr>
              <w:instrText xml:space="preserve"> = 4 \* GB3 </w:instrText>
            </w:r>
            <w:r>
              <w:rPr>
                <w:sz w:val="24"/>
              </w:rPr>
              <w:fldChar w:fldCharType="separate"/>
            </w:r>
            <w:r>
              <w:rPr>
                <w:sz w:val="24"/>
              </w:rPr>
              <w:t>④</w:t>
            </w:r>
            <w:r>
              <w:rPr>
                <w:sz w:val="24"/>
              </w:rPr>
              <w:fldChar w:fldCharType="end"/>
            </w:r>
            <w:r>
              <w:rPr>
                <w:sz w:val="24"/>
              </w:rPr>
              <w:t>废油及废油桶</w:t>
            </w:r>
          </w:p>
          <w:p w14:paraId="6A817172">
            <w:pPr>
              <w:spacing w:line="360" w:lineRule="auto"/>
              <w:ind w:firstLine="480" w:firstLineChars="200"/>
              <w:rPr>
                <w:sz w:val="24"/>
              </w:rPr>
            </w:pPr>
            <w:r>
              <w:rPr>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泥浆不落地平台，并采取必要的防护措施（防风、防雨、防晒、防渗、防漏、防腐）及其他环境污染防护措施，完钻后就近交由有资质单位处置。</w:t>
            </w:r>
          </w:p>
          <w:p w14:paraId="39796731">
            <w:pPr>
              <w:spacing w:line="360" w:lineRule="auto"/>
              <w:ind w:firstLine="480" w:firstLineChars="200"/>
              <w:rPr>
                <w:sz w:val="24"/>
              </w:rPr>
            </w:pPr>
            <w:r>
              <w:rPr>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14:paraId="57BFAA01">
            <w:pPr>
              <w:spacing w:line="360" w:lineRule="auto"/>
              <w:ind w:firstLine="480" w:firstLineChars="200"/>
              <w:rPr>
                <w:sz w:val="24"/>
              </w:rPr>
            </w:pPr>
            <w:r>
              <w:rPr>
                <w:sz w:val="24"/>
              </w:rPr>
              <w:t>采取上述措施后，固体废物均得到妥善处置，对周边环境影响较小。</w:t>
            </w:r>
          </w:p>
          <w:p w14:paraId="528CB471">
            <w:pPr>
              <w:spacing w:line="360" w:lineRule="auto"/>
              <w:rPr>
                <w:b/>
                <w:sz w:val="24"/>
              </w:rPr>
            </w:pPr>
            <w:r>
              <w:rPr>
                <w:b/>
                <w:sz w:val="24"/>
              </w:rPr>
              <w:t>4.3试气工程源强核算及环境影响分析</w:t>
            </w:r>
          </w:p>
          <w:p w14:paraId="4B4CDF94">
            <w:pPr>
              <w:spacing w:line="360" w:lineRule="auto"/>
              <w:rPr>
                <w:b/>
                <w:sz w:val="24"/>
              </w:rPr>
            </w:pPr>
            <w:r>
              <w:rPr>
                <w:b/>
                <w:sz w:val="24"/>
              </w:rPr>
              <w:t>4.3.1废气环境影响分析</w:t>
            </w:r>
          </w:p>
          <w:p w14:paraId="7C75EA39">
            <w:pPr>
              <w:spacing w:line="360" w:lineRule="auto"/>
              <w:ind w:firstLine="480" w:firstLineChars="200"/>
              <w:rPr>
                <w:bCs/>
                <w:sz w:val="24"/>
              </w:rPr>
            </w:pPr>
            <w:r>
              <w:rPr>
                <w:bCs/>
                <w:sz w:val="24"/>
              </w:rPr>
              <w:t>放喷废气来自测试放喷过程天然气燃烧，通常因时间短而视为非正常工况废气。本项目测试放喷时间约1d～2d，属于间歇放喷，每次持续放喷时间约4h～6h，属短期排放。测试放喷的天然气经点火燃烧后其主要污染物为SO</w:t>
            </w:r>
            <w:r>
              <w:rPr>
                <w:bCs/>
                <w:sz w:val="24"/>
                <w:vertAlign w:val="subscript"/>
              </w:rPr>
              <w:t>2</w:t>
            </w:r>
            <w:r>
              <w:rPr>
                <w:bCs/>
                <w:sz w:val="24"/>
              </w:rPr>
              <w:t>、CO</w:t>
            </w:r>
            <w:r>
              <w:rPr>
                <w:bCs/>
                <w:sz w:val="24"/>
                <w:vertAlign w:val="subscript"/>
              </w:rPr>
              <w:t>2</w:t>
            </w:r>
            <w:r>
              <w:rPr>
                <w:bCs/>
                <w:sz w:val="24"/>
              </w:rPr>
              <w:t>和颗粒物等。</w:t>
            </w:r>
          </w:p>
          <w:p w14:paraId="5DD66789">
            <w:pPr>
              <w:spacing w:line="360" w:lineRule="auto"/>
              <w:ind w:firstLine="480" w:firstLineChars="200"/>
              <w:rPr>
                <w:bCs/>
                <w:sz w:val="24"/>
              </w:rPr>
            </w:pPr>
            <w:r>
              <w:rPr>
                <w:bCs/>
                <w:sz w:val="24"/>
              </w:rPr>
              <w:t>本项目测试放喷通过专用的放喷管线将天然气引至放喷池进行点火燃烧，放喷池周围设置3面挡墙（耐火墙），高度3.5m，可有效</w:t>
            </w:r>
            <w:r>
              <w:rPr>
                <w:rFonts w:hint="eastAsia"/>
                <w:bCs/>
                <w:sz w:val="24"/>
              </w:rPr>
              <w:t>减少</w:t>
            </w:r>
            <w:r>
              <w:rPr>
                <w:bCs/>
                <w:sz w:val="24"/>
              </w:rPr>
              <w:t>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14:paraId="7A2C4B9A">
            <w:pPr>
              <w:spacing w:line="360" w:lineRule="auto"/>
              <w:ind w:firstLine="480" w:firstLineChars="200"/>
              <w:rPr>
                <w:bCs/>
                <w:sz w:val="24"/>
              </w:rPr>
            </w:pPr>
            <w:r>
              <w:rPr>
                <w:bCs/>
                <w:sz w:val="24"/>
              </w:rPr>
              <w:t>本项目测试放喷在昼间进行，且时间较短（类比同类钻井，一般测试时间为1d～2d，每次4h～6h），燃烧后主要污染物为CO</w:t>
            </w:r>
            <w:r>
              <w:rPr>
                <w:bCs/>
                <w:sz w:val="24"/>
                <w:vertAlign w:val="subscript"/>
              </w:rPr>
              <w:t>2</w:t>
            </w:r>
            <w:r>
              <w:rPr>
                <w:bCs/>
                <w:sz w:val="24"/>
              </w:rPr>
              <w:t>。测试放喷所产生的污染物产生量较小，并将随测试放喷的结束而消除，故对环境空气影响较小。</w:t>
            </w:r>
          </w:p>
          <w:p w14:paraId="081B7811">
            <w:pPr>
              <w:spacing w:line="360" w:lineRule="auto"/>
              <w:rPr>
                <w:b/>
                <w:sz w:val="24"/>
              </w:rPr>
            </w:pPr>
            <w:r>
              <w:rPr>
                <w:b/>
                <w:sz w:val="24"/>
              </w:rPr>
              <w:t>4.3.2废水环境影响分析</w:t>
            </w:r>
          </w:p>
          <w:p w14:paraId="5AA4285E">
            <w:pPr>
              <w:spacing w:line="360" w:lineRule="auto"/>
              <w:ind w:firstLine="480" w:firstLineChars="200"/>
              <w:rPr>
                <w:sz w:val="24"/>
              </w:rPr>
            </w:pPr>
            <w:r>
              <w:rPr>
                <w:sz w:val="24"/>
              </w:rPr>
              <w:t>（1）废水源强</w:t>
            </w:r>
          </w:p>
          <w:p w14:paraId="2C4C85B5">
            <w:pPr>
              <w:spacing w:line="360" w:lineRule="auto"/>
              <w:ind w:firstLine="480" w:firstLineChars="200"/>
              <w:rPr>
                <w:sz w:val="24"/>
              </w:rPr>
            </w:pPr>
            <w:r>
              <w:rPr>
                <w:sz w:val="24"/>
              </w:rPr>
              <w:t>测试放喷与试气工程产生的废水主要是压裂酸化、洗井等施工时产生的废水。</w:t>
            </w:r>
          </w:p>
          <w:p w14:paraId="1CE4EDCA">
            <w:pPr>
              <w:spacing w:line="360" w:lineRule="auto"/>
              <w:ind w:firstLine="480" w:firstLineChars="200"/>
              <w:rPr>
                <w:sz w:val="24"/>
              </w:rPr>
            </w:pPr>
            <w:r>
              <w:rPr>
                <w:sz w:val="24"/>
              </w:rPr>
              <w:t>本项目总压裂液入井量</w:t>
            </w:r>
            <w:r>
              <w:rPr>
                <w:rFonts w:hint="eastAsia"/>
                <w:sz w:val="24"/>
              </w:rPr>
              <w:t>91230</w:t>
            </w:r>
            <w:r>
              <w:rPr>
                <w:sz w:val="24"/>
              </w:rPr>
              <w:t>m</w:t>
            </w:r>
            <w:r>
              <w:rPr>
                <w:sz w:val="24"/>
                <w:vertAlign w:val="superscript"/>
              </w:rPr>
              <w:t>3</w:t>
            </w:r>
            <w:r>
              <w:rPr>
                <w:sz w:val="24"/>
              </w:rPr>
              <w:t>，取水取自井场附近的河流，然后通过罐车拉运至井场；本评价建议建设单位或施工单位在项目施工前办理相关取水许可，并节约用水，由罐车拉运至井场。根据该区域已完钻钻井工程可知，该区域钻井工程酸液返排率约30%，则本项目返排液量为</w:t>
            </w:r>
            <w:r>
              <w:rPr>
                <w:rFonts w:hint="eastAsia"/>
                <w:sz w:val="24"/>
              </w:rPr>
              <w:t>27369</w:t>
            </w:r>
            <w:r>
              <w:rPr>
                <w:sz w:val="24"/>
              </w:rPr>
              <w:t>m</w:t>
            </w:r>
            <w:r>
              <w:rPr>
                <w:sz w:val="24"/>
                <w:vertAlign w:val="superscript"/>
              </w:rPr>
              <w:t>3</w:t>
            </w:r>
            <w:r>
              <w:rPr>
                <w:sz w:val="24"/>
              </w:rPr>
              <w:t>，</w:t>
            </w:r>
            <w:r>
              <w:rPr>
                <w:rFonts w:hint="eastAsia"/>
                <w:color w:val="0000FF"/>
                <w:sz w:val="24"/>
              </w:rPr>
              <w:t>本井分30段压裂改造，因此单段废水产生量约为912.3m</w:t>
            </w:r>
            <w:r>
              <w:rPr>
                <w:rFonts w:hint="eastAsia"/>
                <w:color w:val="0000FF"/>
                <w:sz w:val="24"/>
                <w:vertAlign w:val="superscript"/>
              </w:rPr>
              <w:t>3</w:t>
            </w:r>
            <w:r>
              <w:rPr>
                <w:rFonts w:hint="eastAsia"/>
                <w:color w:val="0000FF"/>
                <w:sz w:val="24"/>
              </w:rPr>
              <w:t>，</w:t>
            </w:r>
            <w:r>
              <w:rPr>
                <w:sz w:val="24"/>
              </w:rPr>
              <w:t>废水主要组成为水、盐酸与岩层反应后生成的盐类及表面活性剂等。返排液排至经防腐防渗处理地放喷池或污水罐中。本项目洗井采用清水，根据建设单位统计区域内其他井经验数据，平均每口洗井废水产生约300m</w:t>
            </w:r>
            <w:r>
              <w:rPr>
                <w:sz w:val="24"/>
                <w:vertAlign w:val="superscript"/>
              </w:rPr>
              <w:t>3</w:t>
            </w:r>
            <w:r>
              <w:rPr>
                <w:sz w:val="24"/>
              </w:rPr>
              <w:t>，优先回用于本井压裂，不能回用时用密闭罐车定期拉运至</w:t>
            </w:r>
            <w:r>
              <w:rPr>
                <w:rFonts w:hint="eastAsia"/>
                <w:sz w:val="24"/>
              </w:rPr>
              <w:t>赵家坝污水处理站</w:t>
            </w:r>
            <w:r>
              <w:rPr>
                <w:sz w:val="24"/>
              </w:rPr>
              <w:t>处理达标后</w:t>
            </w:r>
            <w:r>
              <w:rPr>
                <w:rFonts w:hint="eastAsia"/>
                <w:sz w:val="24"/>
              </w:rPr>
              <w:t>由罐车拉运至普光3井等回注站</w:t>
            </w:r>
            <w:r>
              <w:rPr>
                <w:sz w:val="24"/>
              </w:rPr>
              <w:t>回注。</w:t>
            </w:r>
          </w:p>
          <w:p w14:paraId="7D45E625">
            <w:pPr>
              <w:spacing w:line="360" w:lineRule="auto"/>
              <w:ind w:firstLine="480" w:firstLineChars="200"/>
              <w:rPr>
                <w:sz w:val="24"/>
              </w:rPr>
            </w:pPr>
            <w:r>
              <w:rPr>
                <w:sz w:val="24"/>
              </w:rPr>
              <w:t>本项目压裂返排液临时暂存于</w:t>
            </w:r>
            <w:r>
              <w:rPr>
                <w:rFonts w:hint="eastAsia"/>
                <w:sz w:val="24"/>
              </w:rPr>
              <w:t>放喷池及清水池内</w:t>
            </w:r>
            <w:r>
              <w:rPr>
                <w:sz w:val="24"/>
              </w:rPr>
              <w:t>，用罐车定期拉运至</w:t>
            </w:r>
            <w:r>
              <w:rPr>
                <w:rFonts w:hint="eastAsia"/>
                <w:sz w:val="24"/>
              </w:rPr>
              <w:t>赵家坝污水处理站</w:t>
            </w:r>
            <w:r>
              <w:rPr>
                <w:sz w:val="24"/>
              </w:rPr>
              <w:t>处理达标后</w:t>
            </w:r>
            <w:r>
              <w:rPr>
                <w:rFonts w:hint="eastAsia"/>
                <w:sz w:val="24"/>
              </w:rPr>
              <w:t>由罐车拉运至普光3井等回注站</w:t>
            </w:r>
            <w:r>
              <w:rPr>
                <w:sz w:val="24"/>
              </w:rPr>
              <w:t>回注。根据普光气田钻井工程类比调查，试气工程废水污染物浓度情况见表4-12。</w:t>
            </w:r>
          </w:p>
          <w:p w14:paraId="0892BD22">
            <w:pPr>
              <w:spacing w:line="360" w:lineRule="auto"/>
              <w:jc w:val="center"/>
              <w:rPr>
                <w:sz w:val="24"/>
              </w:rPr>
            </w:pPr>
            <w:r>
              <w:rPr>
                <w:sz w:val="24"/>
              </w:rPr>
              <w:t>表4-12  压裂返排液及洗井废水污染物浓度表（单位：mg/L）</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14:paraId="7929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14:paraId="4DCD36BC">
                  <w:pPr>
                    <w:contextualSpacing/>
                    <w:jc w:val="center"/>
                  </w:pPr>
                  <w:r>
                    <w:t>污染物名称</w:t>
                  </w:r>
                </w:p>
              </w:tc>
              <w:tc>
                <w:tcPr>
                  <w:tcW w:w="1767" w:type="dxa"/>
                  <w:tcBorders>
                    <w:top w:val="single" w:color="auto" w:sz="12" w:space="0"/>
                  </w:tcBorders>
                  <w:vAlign w:val="center"/>
                </w:tcPr>
                <w:p w14:paraId="18CD0FC9">
                  <w:pPr>
                    <w:contextualSpacing/>
                    <w:jc w:val="center"/>
                  </w:pPr>
                  <w:r>
                    <w:t>pH</w:t>
                  </w:r>
                </w:p>
              </w:tc>
              <w:tc>
                <w:tcPr>
                  <w:tcW w:w="1178" w:type="dxa"/>
                  <w:tcBorders>
                    <w:top w:val="single" w:color="auto" w:sz="12" w:space="0"/>
                  </w:tcBorders>
                  <w:vAlign w:val="center"/>
                </w:tcPr>
                <w:p w14:paraId="062EE7B6">
                  <w:pPr>
                    <w:contextualSpacing/>
                    <w:jc w:val="center"/>
                  </w:pPr>
                  <w:r>
                    <w:t>COD</w:t>
                  </w:r>
                </w:p>
              </w:tc>
              <w:tc>
                <w:tcPr>
                  <w:tcW w:w="1178" w:type="dxa"/>
                  <w:tcBorders>
                    <w:top w:val="single" w:color="auto" w:sz="12" w:space="0"/>
                  </w:tcBorders>
                  <w:vAlign w:val="center"/>
                </w:tcPr>
                <w:p w14:paraId="5835CDAB">
                  <w:pPr>
                    <w:contextualSpacing/>
                    <w:jc w:val="center"/>
                  </w:pPr>
                  <w:r>
                    <w:t>SS</w:t>
                  </w:r>
                </w:p>
              </w:tc>
              <w:tc>
                <w:tcPr>
                  <w:tcW w:w="1178" w:type="dxa"/>
                  <w:tcBorders>
                    <w:top w:val="single" w:color="auto" w:sz="12" w:space="0"/>
                  </w:tcBorders>
                  <w:vAlign w:val="center"/>
                </w:tcPr>
                <w:p w14:paraId="3630A734">
                  <w:pPr>
                    <w:contextualSpacing/>
                    <w:jc w:val="center"/>
                  </w:pPr>
                  <w:r>
                    <w:t>石油类</w:t>
                  </w:r>
                </w:p>
              </w:tc>
              <w:tc>
                <w:tcPr>
                  <w:tcW w:w="1031" w:type="dxa"/>
                  <w:tcBorders>
                    <w:top w:val="single" w:color="auto" w:sz="12" w:space="0"/>
                  </w:tcBorders>
                  <w:vAlign w:val="center"/>
                </w:tcPr>
                <w:p w14:paraId="1921F3B5">
                  <w:pPr>
                    <w:contextualSpacing/>
                    <w:jc w:val="center"/>
                  </w:pPr>
                  <w:r>
                    <w:t>挥发酚</w:t>
                  </w:r>
                </w:p>
              </w:tc>
              <w:tc>
                <w:tcPr>
                  <w:tcW w:w="1259" w:type="dxa"/>
                  <w:tcBorders>
                    <w:top w:val="single" w:color="auto" w:sz="12" w:space="0"/>
                    <w:right w:val="single" w:color="auto" w:sz="12" w:space="0"/>
                  </w:tcBorders>
                  <w:vAlign w:val="center"/>
                </w:tcPr>
                <w:p w14:paraId="440F7A0F">
                  <w:pPr>
                    <w:contextualSpacing/>
                    <w:jc w:val="center"/>
                  </w:pPr>
                  <w:r>
                    <w:t>氯离子</w:t>
                  </w:r>
                </w:p>
              </w:tc>
            </w:tr>
            <w:tr w14:paraId="0245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14:paraId="2F953EDE">
                  <w:pPr>
                    <w:contextualSpacing/>
                    <w:jc w:val="center"/>
                  </w:pPr>
                  <w:r>
                    <w:t>浓度</w:t>
                  </w:r>
                </w:p>
              </w:tc>
              <w:tc>
                <w:tcPr>
                  <w:tcW w:w="1767" w:type="dxa"/>
                  <w:tcBorders>
                    <w:bottom w:val="single" w:color="auto" w:sz="12" w:space="0"/>
                  </w:tcBorders>
                  <w:vAlign w:val="center"/>
                </w:tcPr>
                <w:p w14:paraId="68746B93">
                  <w:pPr>
                    <w:contextualSpacing/>
                    <w:jc w:val="center"/>
                  </w:pPr>
                  <w:r>
                    <w:t>4</w:t>
                  </w:r>
                  <w:r>
                    <w:rPr>
                      <w:rFonts w:hint="eastAsia"/>
                    </w:rPr>
                    <w:t>~</w:t>
                  </w:r>
                  <w:r>
                    <w:t>6</w:t>
                  </w:r>
                </w:p>
              </w:tc>
              <w:tc>
                <w:tcPr>
                  <w:tcW w:w="1178" w:type="dxa"/>
                  <w:tcBorders>
                    <w:bottom w:val="single" w:color="auto" w:sz="12" w:space="0"/>
                  </w:tcBorders>
                  <w:vAlign w:val="center"/>
                </w:tcPr>
                <w:p w14:paraId="2353F072">
                  <w:pPr>
                    <w:contextualSpacing/>
                    <w:jc w:val="center"/>
                  </w:pPr>
                  <w:r>
                    <w:t>≤5000</w:t>
                  </w:r>
                </w:p>
              </w:tc>
              <w:tc>
                <w:tcPr>
                  <w:tcW w:w="1178" w:type="dxa"/>
                  <w:tcBorders>
                    <w:bottom w:val="single" w:color="auto" w:sz="12" w:space="0"/>
                  </w:tcBorders>
                  <w:vAlign w:val="center"/>
                </w:tcPr>
                <w:p w14:paraId="26FB07EF">
                  <w:pPr>
                    <w:contextualSpacing/>
                    <w:jc w:val="center"/>
                  </w:pPr>
                  <w:r>
                    <w:t>≤7500</w:t>
                  </w:r>
                </w:p>
              </w:tc>
              <w:tc>
                <w:tcPr>
                  <w:tcW w:w="1178" w:type="dxa"/>
                  <w:tcBorders>
                    <w:bottom w:val="single" w:color="auto" w:sz="12" w:space="0"/>
                  </w:tcBorders>
                  <w:vAlign w:val="center"/>
                </w:tcPr>
                <w:p w14:paraId="37FB303A">
                  <w:pPr>
                    <w:contextualSpacing/>
                    <w:jc w:val="center"/>
                  </w:pPr>
                  <w:r>
                    <w:t>≤200</w:t>
                  </w:r>
                </w:p>
              </w:tc>
              <w:tc>
                <w:tcPr>
                  <w:tcW w:w="1031" w:type="dxa"/>
                  <w:tcBorders>
                    <w:bottom w:val="single" w:color="auto" w:sz="12" w:space="0"/>
                  </w:tcBorders>
                  <w:vAlign w:val="center"/>
                </w:tcPr>
                <w:p w14:paraId="117A22B6">
                  <w:pPr>
                    <w:contextualSpacing/>
                    <w:jc w:val="center"/>
                  </w:pPr>
                  <w:r>
                    <w:t>≤7.0</w:t>
                  </w:r>
                </w:p>
              </w:tc>
              <w:tc>
                <w:tcPr>
                  <w:tcW w:w="1259" w:type="dxa"/>
                  <w:tcBorders>
                    <w:bottom w:val="single" w:color="auto" w:sz="12" w:space="0"/>
                    <w:right w:val="single" w:color="auto" w:sz="12" w:space="0"/>
                  </w:tcBorders>
                  <w:vAlign w:val="center"/>
                </w:tcPr>
                <w:p w14:paraId="7E3949EE">
                  <w:pPr>
                    <w:contextualSpacing/>
                    <w:jc w:val="center"/>
                  </w:pPr>
                  <w:r>
                    <w:t>≤4000</w:t>
                  </w:r>
                </w:p>
              </w:tc>
            </w:tr>
          </w:tbl>
          <w:p w14:paraId="076983F8">
            <w:pPr>
              <w:spacing w:line="360" w:lineRule="auto"/>
              <w:ind w:firstLine="480" w:firstLineChars="200"/>
              <w:rPr>
                <w:sz w:val="24"/>
              </w:rPr>
            </w:pPr>
            <w:r>
              <w:rPr>
                <w:sz w:val="24"/>
              </w:rPr>
              <w:t>3）生活污水</w:t>
            </w:r>
          </w:p>
          <w:p w14:paraId="2ED29B5B">
            <w:pPr>
              <w:spacing w:line="360" w:lineRule="auto"/>
              <w:ind w:firstLine="480" w:firstLineChars="200"/>
              <w:rPr>
                <w:sz w:val="24"/>
              </w:rPr>
            </w:pPr>
            <w:r>
              <w:rPr>
                <w:rFonts w:hint="eastAsia"/>
                <w:sz w:val="24"/>
              </w:rPr>
              <w:t>试气期间</w:t>
            </w:r>
            <w:r>
              <w:rPr>
                <w:sz w:val="24"/>
              </w:rPr>
              <w:t>的员工一般为4</w:t>
            </w:r>
            <w:r>
              <w:rPr>
                <w:rFonts w:hint="eastAsia"/>
                <w:sz w:val="24"/>
              </w:rPr>
              <w:t>5</w:t>
            </w:r>
            <w:r>
              <w:rPr>
                <w:sz w:val="24"/>
              </w:rPr>
              <w:t>人，每人每天生活用水按200L/d*人计，排污系数为0.9，</w:t>
            </w:r>
            <w:r>
              <w:rPr>
                <w:rFonts w:hint="eastAsia"/>
                <w:sz w:val="24"/>
              </w:rPr>
              <w:t>试气工程施工天数约为121天，</w:t>
            </w:r>
            <w:r>
              <w:rPr>
                <w:sz w:val="24"/>
              </w:rPr>
              <w:t>则</w:t>
            </w:r>
            <w:r>
              <w:rPr>
                <w:rFonts w:hint="eastAsia"/>
                <w:sz w:val="24"/>
              </w:rPr>
              <w:t>试气</w:t>
            </w:r>
            <w:r>
              <w:rPr>
                <w:sz w:val="24"/>
              </w:rPr>
              <w:t>期间井场的生活用水量为9m</w:t>
            </w:r>
            <w:r>
              <w:rPr>
                <w:sz w:val="24"/>
                <w:vertAlign w:val="superscript"/>
              </w:rPr>
              <w:t>3</w:t>
            </w:r>
            <w:r>
              <w:rPr>
                <w:sz w:val="24"/>
              </w:rPr>
              <w:t>/d，污水产生量为</w:t>
            </w:r>
            <w:r>
              <w:rPr>
                <w:rFonts w:hint="eastAsia"/>
                <w:sz w:val="24"/>
              </w:rPr>
              <w:t>8.1</w:t>
            </w:r>
            <w:r>
              <w:rPr>
                <w:sz w:val="24"/>
              </w:rPr>
              <w:t>m</w:t>
            </w:r>
            <w:r>
              <w:rPr>
                <w:sz w:val="24"/>
                <w:vertAlign w:val="superscript"/>
              </w:rPr>
              <w:t>3</w:t>
            </w:r>
            <w:r>
              <w:rPr>
                <w:sz w:val="24"/>
              </w:rPr>
              <w:t>/d</w:t>
            </w:r>
            <w:r>
              <w:rPr>
                <w:rFonts w:hint="eastAsia"/>
                <w:sz w:val="24"/>
              </w:rPr>
              <w:t>（980.1m</w:t>
            </w:r>
            <w:r>
              <w:rPr>
                <w:rFonts w:hint="eastAsia"/>
                <w:sz w:val="24"/>
                <w:vertAlign w:val="superscript"/>
              </w:rPr>
              <w:t>3</w:t>
            </w:r>
            <w:r>
              <w:rPr>
                <w:rFonts w:hint="eastAsia"/>
                <w:sz w:val="24"/>
              </w:rPr>
              <w:t>）</w:t>
            </w:r>
            <w:r>
              <w:rPr>
                <w:sz w:val="24"/>
              </w:rPr>
              <w:t>。生活污水经生态厕所收集后外运</w:t>
            </w:r>
            <w:r>
              <w:rPr>
                <w:rFonts w:hint="eastAsia"/>
                <w:sz w:val="24"/>
              </w:rPr>
              <w:t>君塘镇</w:t>
            </w:r>
            <w:r>
              <w:rPr>
                <w:sz w:val="24"/>
              </w:rPr>
              <w:t>污水处理厂处理，不外排。本项目生活污水水质情况见下表4-13。</w:t>
            </w:r>
          </w:p>
          <w:p w14:paraId="7CC1D3E8">
            <w:pPr>
              <w:spacing w:line="360" w:lineRule="auto"/>
              <w:ind w:firstLine="482" w:firstLineChars="200"/>
              <w:jc w:val="center"/>
              <w:rPr>
                <w:b/>
                <w:bCs/>
                <w:sz w:val="24"/>
              </w:rPr>
            </w:pPr>
            <w:r>
              <w:rPr>
                <w:b/>
                <w:bCs/>
                <w:sz w:val="24"/>
              </w:rPr>
              <w:t>表4-13  项目生活污水水质</w:t>
            </w:r>
          </w:p>
          <w:tbl>
            <w:tblPr>
              <w:tblStyle w:val="4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14:paraId="53F8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14:paraId="44B9BA7A">
                  <w:pPr>
                    <w:contextualSpacing/>
                    <w:jc w:val="center"/>
                  </w:pPr>
                  <w:r>
                    <w:t>主要污染物名称</w:t>
                  </w:r>
                </w:p>
              </w:tc>
              <w:tc>
                <w:tcPr>
                  <w:tcW w:w="891" w:type="dxa"/>
                  <w:tcBorders>
                    <w:top w:val="single" w:color="auto" w:sz="12" w:space="0"/>
                  </w:tcBorders>
                  <w:vAlign w:val="center"/>
                </w:tcPr>
                <w:p w14:paraId="261FAFD3">
                  <w:pPr>
                    <w:contextualSpacing/>
                    <w:jc w:val="center"/>
                  </w:pPr>
                  <w:r>
                    <w:t>pH</w:t>
                  </w:r>
                </w:p>
              </w:tc>
              <w:tc>
                <w:tcPr>
                  <w:tcW w:w="1605" w:type="dxa"/>
                  <w:tcBorders>
                    <w:top w:val="single" w:color="auto" w:sz="12" w:space="0"/>
                  </w:tcBorders>
                  <w:vAlign w:val="center"/>
                </w:tcPr>
                <w:p w14:paraId="315B3627">
                  <w:pPr>
                    <w:contextualSpacing/>
                    <w:jc w:val="center"/>
                  </w:pPr>
                  <w:r>
                    <w:t>悬浮物（mg/L</w:t>
                  </w:r>
                  <w:r>
                    <w:rPr>
                      <w:rFonts w:hint="eastAsia"/>
                    </w:rPr>
                    <w:t>）</w:t>
                  </w:r>
                </w:p>
              </w:tc>
              <w:tc>
                <w:tcPr>
                  <w:tcW w:w="1463" w:type="dxa"/>
                  <w:tcBorders>
                    <w:top w:val="single" w:color="auto" w:sz="12" w:space="0"/>
                  </w:tcBorders>
                  <w:vAlign w:val="center"/>
                </w:tcPr>
                <w:p w14:paraId="2131D26B">
                  <w:pPr>
                    <w:contextualSpacing/>
                    <w:jc w:val="center"/>
                  </w:pPr>
                  <w:r>
                    <w:t>COD(mg/L)</w:t>
                  </w:r>
                </w:p>
              </w:tc>
              <w:tc>
                <w:tcPr>
                  <w:tcW w:w="1464" w:type="dxa"/>
                  <w:tcBorders>
                    <w:top w:val="single" w:color="auto" w:sz="12" w:space="0"/>
                  </w:tcBorders>
                  <w:vAlign w:val="center"/>
                </w:tcPr>
                <w:p w14:paraId="03A0C3CB">
                  <w:pPr>
                    <w:contextualSpacing/>
                    <w:jc w:val="center"/>
                  </w:pPr>
                  <w:r>
                    <w:t>BOD5(mg/L)</w:t>
                  </w:r>
                </w:p>
              </w:tc>
              <w:tc>
                <w:tcPr>
                  <w:tcW w:w="1464" w:type="dxa"/>
                  <w:tcBorders>
                    <w:top w:val="single" w:color="auto" w:sz="12" w:space="0"/>
                    <w:right w:val="single" w:color="auto" w:sz="12" w:space="0"/>
                  </w:tcBorders>
                  <w:vAlign w:val="center"/>
                </w:tcPr>
                <w:p w14:paraId="76A10184">
                  <w:pPr>
                    <w:contextualSpacing/>
                    <w:jc w:val="center"/>
                  </w:pPr>
                  <w:r>
                    <w:t>氨氮（mg/L</w:t>
                  </w:r>
                  <w:r>
                    <w:rPr>
                      <w:rFonts w:hint="eastAsia"/>
                    </w:rPr>
                    <w:t>）</w:t>
                  </w:r>
                </w:p>
              </w:tc>
            </w:tr>
            <w:tr w14:paraId="77AA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14:paraId="5BAF4730">
                  <w:pPr>
                    <w:contextualSpacing/>
                    <w:jc w:val="center"/>
                  </w:pPr>
                  <w:r>
                    <w:t>水质情况</w:t>
                  </w:r>
                </w:p>
              </w:tc>
              <w:tc>
                <w:tcPr>
                  <w:tcW w:w="891" w:type="dxa"/>
                  <w:tcBorders>
                    <w:bottom w:val="single" w:color="auto" w:sz="12" w:space="0"/>
                  </w:tcBorders>
                  <w:vAlign w:val="center"/>
                </w:tcPr>
                <w:p w14:paraId="79CEB713">
                  <w:pPr>
                    <w:contextualSpacing/>
                    <w:jc w:val="center"/>
                  </w:pPr>
                  <w:r>
                    <w:t>7.0-9.0</w:t>
                  </w:r>
                </w:p>
              </w:tc>
              <w:tc>
                <w:tcPr>
                  <w:tcW w:w="1605" w:type="dxa"/>
                  <w:tcBorders>
                    <w:bottom w:val="single" w:color="auto" w:sz="12" w:space="0"/>
                  </w:tcBorders>
                  <w:vAlign w:val="center"/>
                </w:tcPr>
                <w:p w14:paraId="2DC71ACF">
                  <w:pPr>
                    <w:contextualSpacing/>
                    <w:jc w:val="center"/>
                  </w:pPr>
                  <w:r>
                    <w:t>250-300</w:t>
                  </w:r>
                </w:p>
              </w:tc>
              <w:tc>
                <w:tcPr>
                  <w:tcW w:w="1463" w:type="dxa"/>
                  <w:tcBorders>
                    <w:bottom w:val="single" w:color="auto" w:sz="12" w:space="0"/>
                  </w:tcBorders>
                  <w:vAlign w:val="center"/>
                </w:tcPr>
                <w:p w14:paraId="1AAE4F91">
                  <w:pPr>
                    <w:contextualSpacing/>
                    <w:jc w:val="center"/>
                  </w:pPr>
                  <w:r>
                    <w:t>350-400</w:t>
                  </w:r>
                </w:p>
              </w:tc>
              <w:tc>
                <w:tcPr>
                  <w:tcW w:w="1464" w:type="dxa"/>
                  <w:tcBorders>
                    <w:bottom w:val="single" w:color="auto" w:sz="12" w:space="0"/>
                  </w:tcBorders>
                  <w:vAlign w:val="center"/>
                </w:tcPr>
                <w:p w14:paraId="2A6515D3">
                  <w:pPr>
                    <w:contextualSpacing/>
                    <w:jc w:val="center"/>
                  </w:pPr>
                  <w:r>
                    <w:t>200-250</w:t>
                  </w:r>
                </w:p>
              </w:tc>
              <w:tc>
                <w:tcPr>
                  <w:tcW w:w="1464" w:type="dxa"/>
                  <w:tcBorders>
                    <w:bottom w:val="single" w:color="auto" w:sz="12" w:space="0"/>
                    <w:right w:val="single" w:color="auto" w:sz="12" w:space="0"/>
                  </w:tcBorders>
                  <w:vAlign w:val="center"/>
                </w:tcPr>
                <w:p w14:paraId="5CB229FF">
                  <w:pPr>
                    <w:contextualSpacing/>
                    <w:jc w:val="center"/>
                  </w:pPr>
                  <w:r>
                    <w:t>30-40</w:t>
                  </w:r>
                </w:p>
              </w:tc>
            </w:tr>
          </w:tbl>
          <w:p w14:paraId="0DE98B2C">
            <w:pPr>
              <w:spacing w:line="360" w:lineRule="auto"/>
              <w:ind w:firstLine="480" w:firstLineChars="200"/>
              <w:rPr>
                <w:bCs/>
                <w:sz w:val="24"/>
              </w:rPr>
            </w:pPr>
            <w:r>
              <w:rPr>
                <w:bCs/>
                <w:sz w:val="24"/>
              </w:rPr>
              <w:t>（2）环境影响分析</w:t>
            </w:r>
          </w:p>
          <w:p w14:paraId="5C6A0883">
            <w:pPr>
              <w:tabs>
                <w:tab w:val="left" w:pos="2321"/>
              </w:tabs>
              <w:overflowPunct w:val="0"/>
              <w:autoSpaceDE w:val="0"/>
              <w:spacing w:line="360" w:lineRule="auto"/>
              <w:ind w:firstLine="480" w:firstLineChars="200"/>
              <w:rPr>
                <w:sz w:val="24"/>
              </w:rPr>
            </w:pPr>
            <w:r>
              <w:rPr>
                <w:sz w:val="24"/>
              </w:rPr>
              <w:t>本项目使用清水洗井，压入井内的清水会在洗井结束后从井底返排出来，</w:t>
            </w:r>
            <w:r>
              <w:rPr>
                <w:rFonts w:hint="eastAsia"/>
                <w:sz w:val="24"/>
              </w:rPr>
              <w:t>双庙页1HF井</w:t>
            </w:r>
            <w:r>
              <w:rPr>
                <w:sz w:val="24"/>
              </w:rPr>
              <w:t>洗井废水约300</w:t>
            </w:r>
            <w:r>
              <w:rPr>
                <w:bCs/>
                <w:sz w:val="24"/>
              </w:rPr>
              <w:t>m</w:t>
            </w:r>
            <w:r>
              <w:rPr>
                <w:bCs/>
                <w:sz w:val="24"/>
                <w:vertAlign w:val="superscript"/>
              </w:rPr>
              <w:t>3</w:t>
            </w:r>
            <w:r>
              <w:rPr>
                <w:bCs/>
                <w:sz w:val="24"/>
              </w:rPr>
              <w:t>，经管道排入</w:t>
            </w:r>
            <w:r>
              <w:rPr>
                <w:sz w:val="24"/>
              </w:rPr>
              <w:t>废水罐暂存，优先用于后续配制压裂液，不能回用时用密闭罐车定期拉运至</w:t>
            </w:r>
            <w:r>
              <w:rPr>
                <w:rFonts w:hint="eastAsia"/>
                <w:sz w:val="24"/>
              </w:rPr>
              <w:t>赵家坝污水处理站</w:t>
            </w:r>
            <w:r>
              <w:rPr>
                <w:sz w:val="24"/>
              </w:rPr>
              <w:t>处理达标后</w:t>
            </w:r>
            <w:r>
              <w:rPr>
                <w:rFonts w:hint="eastAsia"/>
                <w:sz w:val="24"/>
              </w:rPr>
              <w:t>由罐车拉运至普光3井等回注站</w:t>
            </w:r>
            <w:r>
              <w:rPr>
                <w:sz w:val="24"/>
              </w:rPr>
              <w:t>回注。</w:t>
            </w:r>
            <w:r>
              <w:rPr>
                <w:rFonts w:hint="eastAsia"/>
                <w:sz w:val="24"/>
              </w:rPr>
              <w:t>双庙页1HF井</w:t>
            </w:r>
            <w:r>
              <w:rPr>
                <w:sz w:val="24"/>
              </w:rPr>
              <w:t>压裂返排液产生总量共约</w:t>
            </w:r>
            <w:r>
              <w:rPr>
                <w:rFonts w:hint="eastAsia"/>
                <w:sz w:val="24"/>
              </w:rPr>
              <w:t>27369</w:t>
            </w:r>
            <w:r>
              <w:rPr>
                <w:sz w:val="24"/>
              </w:rPr>
              <w:t>m</w:t>
            </w:r>
            <w:r>
              <w:rPr>
                <w:sz w:val="24"/>
                <w:vertAlign w:val="superscript"/>
              </w:rPr>
              <w:t>3</w:t>
            </w:r>
            <w:r>
              <w:rPr>
                <w:sz w:val="24"/>
              </w:rPr>
              <w:t>，压裂返排液临时储存于储备罐，最终采用罐车定期拉运至</w:t>
            </w:r>
            <w:r>
              <w:rPr>
                <w:rFonts w:hint="eastAsia"/>
                <w:sz w:val="24"/>
              </w:rPr>
              <w:t>赵家坝污水处理站</w:t>
            </w:r>
            <w:r>
              <w:rPr>
                <w:sz w:val="24"/>
              </w:rPr>
              <w:t>处理达标后</w:t>
            </w:r>
            <w:r>
              <w:rPr>
                <w:rFonts w:hint="eastAsia"/>
                <w:sz w:val="24"/>
              </w:rPr>
              <w:t>由罐车拉运至普光3井等回注站</w:t>
            </w:r>
            <w:r>
              <w:rPr>
                <w:sz w:val="24"/>
              </w:rPr>
              <w:t>回注。</w:t>
            </w:r>
          </w:p>
          <w:p w14:paraId="25DAE386">
            <w:pPr>
              <w:tabs>
                <w:tab w:val="left" w:pos="2321"/>
              </w:tabs>
              <w:overflowPunct w:val="0"/>
              <w:autoSpaceDE w:val="0"/>
              <w:spacing w:line="360" w:lineRule="auto"/>
              <w:ind w:firstLine="480" w:firstLineChars="200"/>
              <w:rPr>
                <w:sz w:val="24"/>
              </w:rPr>
            </w:pPr>
            <w:r>
              <w:rPr>
                <w:sz w:val="24"/>
              </w:rPr>
              <w:t>综上所述，采取以上措施后不会对周边地表水环境造成不利影响。</w:t>
            </w:r>
          </w:p>
          <w:p w14:paraId="58483CDF">
            <w:pPr>
              <w:spacing w:line="360" w:lineRule="auto"/>
              <w:rPr>
                <w:b/>
                <w:sz w:val="24"/>
              </w:rPr>
            </w:pPr>
            <w:r>
              <w:rPr>
                <w:b/>
                <w:sz w:val="24"/>
              </w:rPr>
              <w:t>4.3.3噪声环境影响分析</w:t>
            </w:r>
          </w:p>
          <w:p w14:paraId="5638999D">
            <w:pPr>
              <w:spacing w:line="360" w:lineRule="auto"/>
              <w:ind w:firstLine="480" w:firstLineChars="200"/>
              <w:rPr>
                <w:sz w:val="24"/>
              </w:rPr>
            </w:pPr>
            <w:r>
              <w:rPr>
                <w:sz w:val="24"/>
              </w:rPr>
              <w:t>（1）源强分析</w:t>
            </w:r>
          </w:p>
          <w:p w14:paraId="32260BF3">
            <w:pPr>
              <w:spacing w:line="360" w:lineRule="auto"/>
              <w:ind w:firstLine="480" w:firstLineChars="200"/>
              <w:rPr>
                <w:sz w:val="24"/>
              </w:rPr>
            </w:pPr>
            <w:r>
              <w:rPr>
                <w:sz w:val="24"/>
              </w:rPr>
              <w:t>由于本项目压裂过程均在昼间进行，压裂工程主要噪声源设备噪声值见下表。</w:t>
            </w:r>
          </w:p>
          <w:p w14:paraId="3134AD99">
            <w:pPr>
              <w:pStyle w:val="19"/>
              <w:tabs>
                <w:tab w:val="left" w:pos="0"/>
                <w:tab w:val="left" w:pos="833"/>
              </w:tabs>
              <w:spacing w:before="0" w:after="0" w:line="360" w:lineRule="auto"/>
              <w:ind w:right="0"/>
              <w:jc w:val="center"/>
              <w:rPr>
                <w:b/>
                <w:sz w:val="24"/>
                <w:szCs w:val="24"/>
              </w:rPr>
            </w:pPr>
            <w:r>
              <w:rPr>
                <w:b/>
                <w:sz w:val="24"/>
                <w:szCs w:val="24"/>
              </w:rPr>
              <w:t>表4-14 压裂工程主要噪声源特性</w:t>
            </w:r>
          </w:p>
          <w:tbl>
            <w:tblPr>
              <w:tblStyle w:val="44"/>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14:paraId="5D637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14:paraId="72A583D1">
                  <w:pPr>
                    <w:contextualSpacing/>
                    <w:jc w:val="center"/>
                  </w:pPr>
                  <w:r>
                    <w:rPr>
                      <w:kern w:val="0"/>
                    </w:rPr>
                    <w:t>序号</w:t>
                  </w:r>
                </w:p>
              </w:tc>
              <w:tc>
                <w:tcPr>
                  <w:tcW w:w="1529" w:type="dxa"/>
                  <w:vMerge w:val="restart"/>
                  <w:tcBorders>
                    <w:tl2br w:val="nil"/>
                    <w:tr2bl w:val="nil"/>
                  </w:tcBorders>
                  <w:vAlign w:val="center"/>
                </w:tcPr>
                <w:p w14:paraId="224889C2">
                  <w:pPr>
                    <w:contextualSpacing/>
                    <w:jc w:val="center"/>
                  </w:pPr>
                  <w:r>
                    <w:rPr>
                      <w:kern w:val="0"/>
                    </w:rPr>
                    <w:t>声源名称</w:t>
                  </w:r>
                </w:p>
              </w:tc>
              <w:tc>
                <w:tcPr>
                  <w:tcW w:w="677" w:type="dxa"/>
                  <w:vMerge w:val="restart"/>
                  <w:tcBorders>
                    <w:tl2br w:val="nil"/>
                    <w:tr2bl w:val="nil"/>
                  </w:tcBorders>
                  <w:vAlign w:val="center"/>
                </w:tcPr>
                <w:p w14:paraId="38E826B4">
                  <w:pPr>
                    <w:contextualSpacing/>
                    <w:jc w:val="center"/>
                    <w:rPr>
                      <w:kern w:val="0"/>
                    </w:rPr>
                  </w:pPr>
                  <w:r>
                    <w:rPr>
                      <w:kern w:val="0"/>
                    </w:rPr>
                    <w:t>型号</w:t>
                  </w:r>
                </w:p>
              </w:tc>
              <w:tc>
                <w:tcPr>
                  <w:tcW w:w="1769" w:type="dxa"/>
                  <w:gridSpan w:val="3"/>
                  <w:tcBorders>
                    <w:tl2br w:val="nil"/>
                    <w:tr2bl w:val="nil"/>
                  </w:tcBorders>
                  <w:vAlign w:val="center"/>
                </w:tcPr>
                <w:p w14:paraId="41C5DCD9">
                  <w:pPr>
                    <w:contextualSpacing/>
                    <w:jc w:val="center"/>
                    <w:rPr>
                      <w:kern w:val="0"/>
                    </w:rPr>
                  </w:pPr>
                  <w:r>
                    <w:rPr>
                      <w:kern w:val="0"/>
                    </w:rPr>
                    <w:t>空间相对位置/m</w:t>
                  </w:r>
                </w:p>
              </w:tc>
              <w:tc>
                <w:tcPr>
                  <w:tcW w:w="1894" w:type="dxa"/>
                  <w:vMerge w:val="restart"/>
                  <w:tcBorders>
                    <w:tl2br w:val="nil"/>
                    <w:tr2bl w:val="nil"/>
                  </w:tcBorders>
                  <w:vAlign w:val="center"/>
                </w:tcPr>
                <w:p w14:paraId="0211E281">
                  <w:pPr>
                    <w:contextualSpacing/>
                    <w:jc w:val="center"/>
                    <w:rPr>
                      <w:kern w:val="0"/>
                    </w:rPr>
                  </w:pPr>
                  <w:r>
                    <w:rPr>
                      <w:kern w:val="0"/>
                    </w:rPr>
                    <w:t>声源源强</w:t>
                  </w:r>
                </w:p>
                <w:p w14:paraId="6DED4FEC">
                  <w:pPr>
                    <w:contextualSpacing/>
                    <w:jc w:val="center"/>
                  </w:pPr>
                  <w:r>
                    <w:rPr>
                      <w:kern w:val="0"/>
                    </w:rPr>
                    <w:t>（声压级/距声源距离）/（</w:t>
                  </w:r>
                  <w:r>
                    <w:rPr>
                      <w:rFonts w:hint="eastAsia"/>
                      <w:kern w:val="0"/>
                    </w:rPr>
                    <w:t>dB（A）</w:t>
                  </w:r>
                  <w:r>
                    <w:rPr>
                      <w:kern w:val="0"/>
                    </w:rPr>
                    <w:t>/m）</w:t>
                  </w:r>
                </w:p>
              </w:tc>
              <w:tc>
                <w:tcPr>
                  <w:tcW w:w="677" w:type="dxa"/>
                  <w:vMerge w:val="restart"/>
                  <w:tcBorders>
                    <w:tl2br w:val="nil"/>
                    <w:tr2bl w:val="nil"/>
                  </w:tcBorders>
                  <w:vAlign w:val="center"/>
                </w:tcPr>
                <w:p w14:paraId="1BEA7373">
                  <w:pPr>
                    <w:contextualSpacing/>
                    <w:jc w:val="center"/>
                  </w:pPr>
                  <w:r>
                    <w:t>声源控制措施</w:t>
                  </w:r>
                </w:p>
              </w:tc>
              <w:tc>
                <w:tcPr>
                  <w:tcW w:w="779" w:type="dxa"/>
                  <w:vMerge w:val="restart"/>
                  <w:tcBorders>
                    <w:tl2br w:val="nil"/>
                    <w:tr2bl w:val="nil"/>
                  </w:tcBorders>
                  <w:vAlign w:val="center"/>
                </w:tcPr>
                <w:p w14:paraId="4D8C90FF">
                  <w:pPr>
                    <w:contextualSpacing/>
                    <w:jc w:val="center"/>
                  </w:pPr>
                  <w:r>
                    <w:rPr>
                      <w:kern w:val="0"/>
                    </w:rPr>
                    <w:t>运行时间（h</w:t>
                  </w:r>
                  <w:r>
                    <w:rPr>
                      <w:rFonts w:hint="eastAsia"/>
                      <w:kern w:val="0"/>
                    </w:rPr>
                    <w:t>）</w:t>
                  </w:r>
                </w:p>
              </w:tc>
            </w:tr>
            <w:tr w14:paraId="49BF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14:paraId="605EE81C">
                  <w:pPr>
                    <w:contextualSpacing/>
                    <w:jc w:val="center"/>
                    <w:rPr>
                      <w:kern w:val="0"/>
                    </w:rPr>
                  </w:pPr>
                </w:p>
              </w:tc>
              <w:tc>
                <w:tcPr>
                  <w:tcW w:w="1529" w:type="dxa"/>
                  <w:vMerge w:val="continue"/>
                  <w:tcBorders>
                    <w:tl2br w:val="nil"/>
                    <w:tr2bl w:val="nil"/>
                  </w:tcBorders>
                  <w:vAlign w:val="center"/>
                </w:tcPr>
                <w:p w14:paraId="74327E4B">
                  <w:pPr>
                    <w:contextualSpacing/>
                    <w:jc w:val="center"/>
                    <w:rPr>
                      <w:kern w:val="0"/>
                    </w:rPr>
                  </w:pPr>
                </w:p>
              </w:tc>
              <w:tc>
                <w:tcPr>
                  <w:tcW w:w="677" w:type="dxa"/>
                  <w:vMerge w:val="continue"/>
                  <w:tcBorders>
                    <w:tl2br w:val="nil"/>
                    <w:tr2bl w:val="nil"/>
                  </w:tcBorders>
                  <w:vAlign w:val="center"/>
                </w:tcPr>
                <w:p w14:paraId="1B559A7D">
                  <w:pPr>
                    <w:contextualSpacing/>
                    <w:jc w:val="center"/>
                    <w:rPr>
                      <w:kern w:val="0"/>
                    </w:rPr>
                  </w:pPr>
                </w:p>
              </w:tc>
              <w:tc>
                <w:tcPr>
                  <w:tcW w:w="539" w:type="dxa"/>
                  <w:tcBorders>
                    <w:tl2br w:val="nil"/>
                    <w:tr2bl w:val="nil"/>
                  </w:tcBorders>
                  <w:vAlign w:val="center"/>
                </w:tcPr>
                <w:p w14:paraId="2626004E">
                  <w:pPr>
                    <w:contextualSpacing/>
                    <w:jc w:val="center"/>
                  </w:pPr>
                  <w:r>
                    <w:t>X</w:t>
                  </w:r>
                </w:p>
              </w:tc>
              <w:tc>
                <w:tcPr>
                  <w:tcW w:w="520" w:type="dxa"/>
                  <w:tcBorders>
                    <w:tl2br w:val="nil"/>
                    <w:tr2bl w:val="nil"/>
                  </w:tcBorders>
                  <w:vAlign w:val="center"/>
                </w:tcPr>
                <w:p w14:paraId="1EC4E7E7">
                  <w:pPr>
                    <w:contextualSpacing/>
                    <w:jc w:val="center"/>
                  </w:pPr>
                  <w:r>
                    <w:t>Y</w:t>
                  </w:r>
                </w:p>
              </w:tc>
              <w:tc>
                <w:tcPr>
                  <w:tcW w:w="710" w:type="dxa"/>
                  <w:tcBorders>
                    <w:tl2br w:val="nil"/>
                    <w:tr2bl w:val="nil"/>
                  </w:tcBorders>
                  <w:vAlign w:val="center"/>
                </w:tcPr>
                <w:p w14:paraId="7C4E926F">
                  <w:pPr>
                    <w:contextualSpacing/>
                    <w:jc w:val="center"/>
                    <w:rPr>
                      <w:kern w:val="0"/>
                    </w:rPr>
                  </w:pPr>
                  <w:r>
                    <w:rPr>
                      <w:kern w:val="0"/>
                    </w:rPr>
                    <w:t>Z</w:t>
                  </w:r>
                </w:p>
              </w:tc>
              <w:tc>
                <w:tcPr>
                  <w:tcW w:w="1894" w:type="dxa"/>
                  <w:vMerge w:val="continue"/>
                  <w:tcBorders>
                    <w:tl2br w:val="nil"/>
                    <w:tr2bl w:val="nil"/>
                  </w:tcBorders>
                  <w:vAlign w:val="center"/>
                </w:tcPr>
                <w:p w14:paraId="6A59E589">
                  <w:pPr>
                    <w:contextualSpacing/>
                    <w:jc w:val="center"/>
                    <w:rPr>
                      <w:kern w:val="0"/>
                    </w:rPr>
                  </w:pPr>
                </w:p>
              </w:tc>
              <w:tc>
                <w:tcPr>
                  <w:tcW w:w="677" w:type="dxa"/>
                  <w:vMerge w:val="continue"/>
                  <w:tcBorders>
                    <w:tl2br w:val="nil"/>
                    <w:tr2bl w:val="nil"/>
                  </w:tcBorders>
                  <w:vAlign w:val="center"/>
                </w:tcPr>
                <w:p w14:paraId="609C69F5">
                  <w:pPr>
                    <w:contextualSpacing/>
                    <w:jc w:val="center"/>
                    <w:rPr>
                      <w:kern w:val="0"/>
                    </w:rPr>
                  </w:pPr>
                </w:p>
              </w:tc>
              <w:tc>
                <w:tcPr>
                  <w:tcW w:w="779" w:type="dxa"/>
                  <w:vMerge w:val="continue"/>
                  <w:tcBorders>
                    <w:tl2br w:val="nil"/>
                    <w:tr2bl w:val="nil"/>
                  </w:tcBorders>
                  <w:vAlign w:val="center"/>
                </w:tcPr>
                <w:p w14:paraId="1636C3BD">
                  <w:pPr>
                    <w:contextualSpacing/>
                    <w:jc w:val="center"/>
                    <w:rPr>
                      <w:kern w:val="0"/>
                    </w:rPr>
                  </w:pPr>
                </w:p>
              </w:tc>
            </w:tr>
            <w:tr w14:paraId="7A4B3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14:paraId="0D581672">
                  <w:pPr>
                    <w:contextualSpacing/>
                    <w:jc w:val="center"/>
                    <w:rPr>
                      <w:kern w:val="0"/>
                    </w:rPr>
                  </w:pPr>
                  <w:r>
                    <w:rPr>
                      <w:kern w:val="0"/>
                    </w:rPr>
                    <w:t>1</w:t>
                  </w:r>
                </w:p>
              </w:tc>
              <w:tc>
                <w:tcPr>
                  <w:tcW w:w="1529" w:type="dxa"/>
                  <w:tcBorders>
                    <w:tl2br w:val="nil"/>
                    <w:tr2bl w:val="nil"/>
                  </w:tcBorders>
                  <w:vAlign w:val="center"/>
                </w:tcPr>
                <w:p w14:paraId="4FD541A7">
                  <w:pPr>
                    <w:jc w:val="center"/>
                    <w:rPr>
                      <w:bCs/>
                      <w:szCs w:val="21"/>
                    </w:rPr>
                  </w:pPr>
                  <w:r>
                    <w:rPr>
                      <w:bCs/>
                      <w:szCs w:val="21"/>
                    </w:rPr>
                    <w:t>压裂设备约12台（10用2备）</w:t>
                  </w:r>
                </w:p>
              </w:tc>
              <w:tc>
                <w:tcPr>
                  <w:tcW w:w="677" w:type="dxa"/>
                  <w:tcBorders>
                    <w:tl2br w:val="nil"/>
                    <w:tr2bl w:val="nil"/>
                  </w:tcBorders>
                  <w:vAlign w:val="center"/>
                </w:tcPr>
                <w:p w14:paraId="3662E7D6">
                  <w:pPr>
                    <w:jc w:val="center"/>
                  </w:pPr>
                  <w:r>
                    <w:rPr>
                      <w:kern w:val="0"/>
                    </w:rPr>
                    <w:t>/</w:t>
                  </w:r>
                </w:p>
              </w:tc>
              <w:tc>
                <w:tcPr>
                  <w:tcW w:w="539" w:type="dxa"/>
                  <w:tcBorders>
                    <w:tl2br w:val="nil"/>
                    <w:tr2bl w:val="nil"/>
                  </w:tcBorders>
                  <w:vAlign w:val="center"/>
                </w:tcPr>
                <w:p w14:paraId="2B701219">
                  <w:pPr>
                    <w:contextualSpacing/>
                    <w:jc w:val="center"/>
                    <w:rPr>
                      <w:sz w:val="20"/>
                    </w:rPr>
                  </w:pPr>
                  <w:r>
                    <w:rPr>
                      <w:rFonts w:hint="eastAsia"/>
                      <w:sz w:val="20"/>
                    </w:rPr>
                    <w:t>15</w:t>
                  </w:r>
                </w:p>
              </w:tc>
              <w:tc>
                <w:tcPr>
                  <w:tcW w:w="520" w:type="dxa"/>
                  <w:tcBorders>
                    <w:tl2br w:val="nil"/>
                    <w:tr2bl w:val="nil"/>
                  </w:tcBorders>
                  <w:vAlign w:val="center"/>
                </w:tcPr>
                <w:p w14:paraId="25D47536">
                  <w:pPr>
                    <w:contextualSpacing/>
                    <w:jc w:val="center"/>
                    <w:rPr>
                      <w:sz w:val="20"/>
                    </w:rPr>
                  </w:pPr>
                  <w:r>
                    <w:rPr>
                      <w:rFonts w:hint="eastAsia"/>
                      <w:sz w:val="20"/>
                    </w:rPr>
                    <w:t>30</w:t>
                  </w:r>
                </w:p>
              </w:tc>
              <w:tc>
                <w:tcPr>
                  <w:tcW w:w="710" w:type="dxa"/>
                  <w:tcBorders>
                    <w:tl2br w:val="nil"/>
                    <w:tr2bl w:val="nil"/>
                  </w:tcBorders>
                  <w:vAlign w:val="center"/>
                </w:tcPr>
                <w:p w14:paraId="004EDAC2">
                  <w:pPr>
                    <w:contextualSpacing/>
                    <w:jc w:val="center"/>
                    <w:rPr>
                      <w:sz w:val="20"/>
                    </w:rPr>
                  </w:pPr>
                  <w:r>
                    <w:rPr>
                      <w:sz w:val="20"/>
                    </w:rPr>
                    <w:t>2</w:t>
                  </w:r>
                </w:p>
              </w:tc>
              <w:tc>
                <w:tcPr>
                  <w:tcW w:w="1894" w:type="dxa"/>
                  <w:tcBorders>
                    <w:tl2br w:val="nil"/>
                    <w:tr2bl w:val="nil"/>
                  </w:tcBorders>
                  <w:vAlign w:val="center"/>
                </w:tcPr>
                <w:p w14:paraId="18183B93">
                  <w:pPr>
                    <w:jc w:val="center"/>
                    <w:rPr>
                      <w:bCs/>
                      <w:szCs w:val="21"/>
                    </w:rPr>
                  </w:pPr>
                  <w:r>
                    <w:rPr>
                      <w:bCs/>
                      <w:szCs w:val="21"/>
                    </w:rPr>
                    <w:t>100/1</w:t>
                  </w:r>
                </w:p>
              </w:tc>
              <w:tc>
                <w:tcPr>
                  <w:tcW w:w="677" w:type="dxa"/>
                  <w:tcBorders>
                    <w:tl2br w:val="nil"/>
                    <w:tr2bl w:val="nil"/>
                  </w:tcBorders>
                  <w:vAlign w:val="center"/>
                </w:tcPr>
                <w:p w14:paraId="1D4B9455">
                  <w:pPr>
                    <w:contextualSpacing/>
                    <w:jc w:val="center"/>
                  </w:pPr>
                  <w:r>
                    <w:t>/</w:t>
                  </w:r>
                </w:p>
              </w:tc>
              <w:tc>
                <w:tcPr>
                  <w:tcW w:w="779" w:type="dxa"/>
                  <w:tcBorders>
                    <w:tl2br w:val="nil"/>
                    <w:tr2bl w:val="nil"/>
                  </w:tcBorders>
                  <w:vAlign w:val="center"/>
                </w:tcPr>
                <w:p w14:paraId="7A4A1D90">
                  <w:pPr>
                    <w:contextualSpacing/>
                    <w:jc w:val="center"/>
                  </w:pPr>
                  <w:r>
                    <w:t>/</w:t>
                  </w:r>
                </w:p>
              </w:tc>
            </w:tr>
            <w:tr w14:paraId="701B1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14:paraId="22EC2F69">
                  <w:pPr>
                    <w:contextualSpacing/>
                    <w:rPr>
                      <w:b/>
                    </w:rPr>
                  </w:pPr>
                  <w:r>
                    <w:rPr>
                      <w:b/>
                    </w:rPr>
                    <w:t>注：以井场中心为原点</w:t>
                  </w:r>
                </w:p>
              </w:tc>
            </w:tr>
          </w:tbl>
          <w:p w14:paraId="0DD858BB">
            <w:pPr>
              <w:spacing w:line="360" w:lineRule="auto"/>
              <w:ind w:firstLine="480" w:firstLineChars="200"/>
              <w:rPr>
                <w:sz w:val="24"/>
              </w:rPr>
            </w:pPr>
            <w:r>
              <w:rPr>
                <w:sz w:val="24"/>
              </w:rPr>
              <w:t>（2）环境影响分析</w:t>
            </w:r>
          </w:p>
          <w:p w14:paraId="4DAEAEF6">
            <w:pPr>
              <w:spacing w:line="360" w:lineRule="auto"/>
              <w:ind w:firstLine="480" w:firstLineChars="200"/>
              <w:rPr>
                <w:sz w:val="24"/>
              </w:rPr>
            </w:pPr>
            <w:r>
              <w:rPr>
                <w:sz w:val="24"/>
              </w:rPr>
              <w:t>测试作业及噪声：本项目压裂测试中产生的噪声主要有设备运行噪声、压裂作业噪声。压裂作业在白天进行，参与作业的压裂车约12台（10用2备），噪声主要来源于压裂车和泵注噪声，其噪声将随着压裂作业的完成而消失。</w:t>
            </w:r>
          </w:p>
          <w:p w14:paraId="694BE3F1">
            <w:pPr>
              <w:spacing w:line="360" w:lineRule="auto"/>
              <w:ind w:firstLine="480" w:firstLineChars="200"/>
              <w:rPr>
                <w:sz w:val="24"/>
              </w:rPr>
            </w:pPr>
            <w:r>
              <w:rPr>
                <w:sz w:val="24"/>
              </w:rPr>
              <w:t>①预测范围、预测点位</w:t>
            </w:r>
          </w:p>
          <w:p w14:paraId="7964E242">
            <w:pPr>
              <w:spacing w:line="360" w:lineRule="auto"/>
              <w:ind w:firstLine="480" w:firstLineChars="200"/>
              <w:rPr>
                <w:sz w:val="24"/>
              </w:rPr>
            </w:pPr>
            <w:r>
              <w:rPr>
                <w:sz w:val="24"/>
              </w:rPr>
              <w:t>井口周边200m范围的各居民点。</w:t>
            </w:r>
          </w:p>
          <w:p w14:paraId="7AAF73AD">
            <w:pPr>
              <w:spacing w:line="360" w:lineRule="auto"/>
              <w:ind w:firstLine="480" w:firstLineChars="200"/>
              <w:rPr>
                <w:sz w:val="24"/>
              </w:rPr>
            </w:pPr>
            <w:r>
              <w:rPr>
                <w:sz w:val="24"/>
              </w:rPr>
              <w:t>②声源分析</w:t>
            </w:r>
          </w:p>
          <w:p w14:paraId="0C074814">
            <w:pPr>
              <w:spacing w:line="360" w:lineRule="auto"/>
              <w:ind w:firstLine="480" w:firstLineChars="200"/>
              <w:rPr>
                <w:sz w:val="24"/>
              </w:rPr>
            </w:pPr>
            <w:r>
              <w:rPr>
                <w:sz w:val="24"/>
              </w:rPr>
              <w:t>根据各噪声设备的噪声级和布置，噪声源主要分布于井场井口周边30m内，钻井过程中采取相应噪声防治措施，同时在钻井过程中平稳操作，避免特种作业时产生非正常的噪声。</w:t>
            </w:r>
          </w:p>
          <w:p w14:paraId="16C6730E">
            <w:pPr>
              <w:spacing w:line="360" w:lineRule="auto"/>
              <w:ind w:firstLine="480" w:firstLineChars="200"/>
              <w:rPr>
                <w:sz w:val="24"/>
              </w:rPr>
            </w:pPr>
            <w:r>
              <w:rPr>
                <w:sz w:val="24"/>
              </w:rPr>
              <w:t>（3）预测模式</w:t>
            </w:r>
          </w:p>
          <w:p w14:paraId="4C19B139">
            <w:pPr>
              <w:tabs>
                <w:tab w:val="left" w:pos="750"/>
              </w:tabs>
              <w:spacing w:line="360" w:lineRule="auto"/>
              <w:ind w:firstLine="480" w:firstLineChars="200"/>
              <w:contextualSpacing/>
              <w:rPr>
                <w:bCs/>
                <w:sz w:val="24"/>
              </w:rPr>
            </w:pPr>
            <w:r>
              <w:rPr>
                <w:bCs/>
                <w:sz w:val="24"/>
              </w:rPr>
              <w:t>预测时</w:t>
            </w:r>
            <w:r>
              <w:rPr>
                <w:sz w:val="24"/>
              </w:rPr>
              <w:t>考虑</w:t>
            </w:r>
            <w:r>
              <w:rPr>
                <w:bCs/>
                <w:sz w:val="24"/>
              </w:rPr>
              <w:t>声源在传播过程中经过距离衰减，采用《环境影响评价技术导则声环境》（HJ2.4-2021）中的“点声源的几何发散衰减”模式下的“无指向性点声源几何发散衰减”进行计算，预测模式如下：</w:t>
            </w:r>
          </w:p>
          <w:p w14:paraId="7A4EFF4B">
            <w:pPr>
              <w:spacing w:line="360" w:lineRule="auto"/>
              <w:contextualSpacing/>
              <w:jc w:val="center"/>
              <w:rPr>
                <w:bCs/>
                <w:sz w:val="24"/>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m:t>
                </m:r>
                <m:r>
                  <m:rPr/>
                  <w:rPr>
                    <w:rFonts w:hint="eastAsia" w:hAnsi="Cambria Math"/>
                    <w:sz w:val="24"/>
                  </w:rPr>
                  <m:t>(</m:t>
                </m:r>
                <m:r>
                  <m:rPr>
                    <m:sty m:val="p"/>
                  </m:rPr>
                  <w:rPr>
                    <w:rFonts w:ascii="Cambria Math" w:hAnsi="Cambria Math"/>
                    <w:sz w:val="24"/>
                  </w:rPr>
                  <m:t>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w:rPr>
                    <w:rFonts w:hint="eastAsia" w:hAnsi="Cambria Math"/>
                    <w:sz w:val="24"/>
                  </w:rPr>
                  <m:t>)</m:t>
                </m:r>
              </m:oMath>
            </m:oMathPara>
          </w:p>
          <w:p w14:paraId="4B36A9A9">
            <w:pPr>
              <w:tabs>
                <w:tab w:val="left" w:pos="750"/>
              </w:tabs>
              <w:spacing w:line="360" w:lineRule="auto"/>
              <w:ind w:firstLine="480" w:firstLineChars="200"/>
              <w:contextualSpacing/>
              <w:rPr>
                <w:sz w:val="24"/>
                <w:lang w:val="pt-BR"/>
              </w:rPr>
            </w:pPr>
            <w:r>
              <w:rPr>
                <w:sz w:val="24"/>
              </w:rPr>
              <w:t>式中</w:t>
            </w:r>
            <w:r>
              <w:rPr>
                <w:sz w:val="24"/>
                <w:lang w:val="pt-BR"/>
              </w:rPr>
              <w:t>：</w:t>
            </w:r>
            <w:r>
              <w:rPr>
                <w:i/>
                <w:iCs/>
                <w:sz w:val="24"/>
                <w:lang w:val="pt-BR"/>
              </w:rPr>
              <w:t>L</w:t>
            </w:r>
            <w:r>
              <w:rPr>
                <w:i/>
                <w:iCs/>
                <w:sz w:val="24"/>
                <w:vertAlign w:val="subscript"/>
                <w:lang w:val="pt-BR"/>
              </w:rPr>
              <w:t>P</w:t>
            </w:r>
            <w:r>
              <w:rPr>
                <w:i/>
                <w:iCs/>
                <w:sz w:val="24"/>
                <w:lang w:val="pt-BR"/>
              </w:rPr>
              <w:t>（r）</w:t>
            </w:r>
            <w:r>
              <w:rPr>
                <w:sz w:val="24"/>
                <w:lang w:val="pt-BR"/>
              </w:rPr>
              <w:t>—预测点处声压级，dB；</w:t>
            </w:r>
          </w:p>
          <w:p w14:paraId="709ECE5B">
            <w:pPr>
              <w:spacing w:line="360" w:lineRule="auto"/>
              <w:ind w:firstLine="1200" w:firstLineChars="500"/>
              <w:contextualSpacing/>
              <w:rPr>
                <w:sz w:val="24"/>
              </w:rPr>
            </w:pPr>
            <w:r>
              <w:rPr>
                <w:i/>
                <w:iCs/>
                <w:sz w:val="24"/>
              </w:rPr>
              <w:t>L</w:t>
            </w:r>
            <w:r>
              <w:rPr>
                <w:i/>
                <w:iCs/>
                <w:sz w:val="24"/>
                <w:vertAlign w:val="subscript"/>
              </w:rPr>
              <w:t>P</w:t>
            </w:r>
            <w:r>
              <w:rPr>
                <w:i/>
                <w:iCs/>
                <w:sz w:val="24"/>
              </w:rPr>
              <w:t>（r</w:t>
            </w:r>
            <w:r>
              <w:rPr>
                <w:i/>
                <w:iCs/>
                <w:sz w:val="24"/>
                <w:vertAlign w:val="subscript"/>
              </w:rPr>
              <w:t>0</w:t>
            </w:r>
            <w:r>
              <w:rPr>
                <w:i/>
                <w:iCs/>
                <w:sz w:val="24"/>
              </w:rPr>
              <w:t>）</w:t>
            </w:r>
            <w:r>
              <w:rPr>
                <w:sz w:val="24"/>
              </w:rPr>
              <w:t>— 参考点r</w:t>
            </w:r>
            <w:r>
              <w:rPr>
                <w:sz w:val="24"/>
                <w:vertAlign w:val="subscript"/>
              </w:rPr>
              <w:t>0</w:t>
            </w:r>
            <w:r>
              <w:rPr>
                <w:sz w:val="24"/>
              </w:rPr>
              <w:t>处的声压级，dB；</w:t>
            </w:r>
          </w:p>
          <w:p w14:paraId="60F967B1">
            <w:pPr>
              <w:spacing w:line="360" w:lineRule="auto"/>
              <w:ind w:firstLine="1200" w:firstLineChars="500"/>
              <w:contextualSpacing/>
              <w:rPr>
                <w:sz w:val="24"/>
              </w:rPr>
            </w:pPr>
            <w:r>
              <w:rPr>
                <w:i/>
                <w:iCs/>
                <w:sz w:val="24"/>
              </w:rPr>
              <w:t xml:space="preserve">r </w:t>
            </w:r>
            <w:r>
              <w:rPr>
                <w:sz w:val="24"/>
              </w:rPr>
              <w:t>— 预测点距声源的距离，m；</w:t>
            </w:r>
          </w:p>
          <w:p w14:paraId="44ABBC8A">
            <w:pPr>
              <w:spacing w:line="360" w:lineRule="auto"/>
              <w:ind w:firstLine="1200" w:firstLineChars="500"/>
              <w:contextualSpacing/>
              <w:rPr>
                <w:sz w:val="24"/>
              </w:rPr>
            </w:pPr>
            <w:r>
              <w:rPr>
                <w:i/>
                <w:iCs/>
                <w:sz w:val="24"/>
              </w:rPr>
              <w:t>r</w:t>
            </w:r>
            <w:r>
              <w:rPr>
                <w:i/>
                <w:iCs/>
                <w:sz w:val="24"/>
                <w:vertAlign w:val="subscript"/>
              </w:rPr>
              <w:t>0</w:t>
            </w:r>
            <w:r>
              <w:rPr>
                <w:sz w:val="24"/>
              </w:rPr>
              <w:t xml:space="preserve"> — 参考位置距声源的距离，m；</w:t>
            </w:r>
          </w:p>
          <w:p w14:paraId="23DEB22A">
            <w:pPr>
              <w:tabs>
                <w:tab w:val="left" w:pos="750"/>
              </w:tabs>
              <w:spacing w:line="360" w:lineRule="auto"/>
              <w:ind w:firstLine="480" w:firstLineChars="200"/>
              <w:contextualSpacing/>
              <w:rPr>
                <w:sz w:val="24"/>
              </w:rPr>
            </w:pPr>
            <w:r>
              <w:rPr>
                <w:sz w:val="24"/>
              </w:rPr>
              <w:t>多个声源发出的噪声在同一受声点的共同影响，噪声在预测点处产生的等效声级贡献值叠加的计算公式如下：</w:t>
            </w:r>
          </w:p>
          <w:p w14:paraId="75A2E1FB">
            <w:pPr>
              <w:spacing w:line="360" w:lineRule="auto"/>
              <w:ind w:firstLine="480" w:firstLineChars="200"/>
              <w:contextualSpacing/>
              <w:jc w:val="center"/>
              <w:rPr>
                <w:sz w:val="24"/>
              </w:rPr>
            </w:pPr>
            <w:r>
              <w:rPr>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14:paraId="3F46A914">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sz w:val="24"/>
              </w:rPr>
              <w:t xml:space="preserve"> — 建设项目在预测点的等效声级贡献值，dB；</w:t>
            </w:r>
          </w:p>
          <w:p w14:paraId="7CADEA1C">
            <w:pPr>
              <w:tabs>
                <w:tab w:val="left" w:pos="750"/>
              </w:tabs>
              <w:spacing w:line="360" w:lineRule="auto"/>
              <w:ind w:firstLine="1200" w:firstLineChars="500"/>
              <w:contextualSpacing/>
              <w:rPr>
                <w:sz w:val="24"/>
              </w:rPr>
            </w:pPr>
            <w:r>
              <w:rPr>
                <w:i/>
                <w:iCs/>
                <w:sz w:val="24"/>
              </w:rPr>
              <w:t>L</w:t>
            </w:r>
            <w:r>
              <w:rPr>
                <w:i/>
                <w:iCs/>
                <w:sz w:val="24"/>
                <w:vertAlign w:val="subscript"/>
              </w:rPr>
              <w:t>Ai</w:t>
            </w:r>
            <w:r>
              <w:rPr>
                <w:i/>
                <w:iCs/>
                <w:sz w:val="24"/>
              </w:rPr>
              <w:t xml:space="preserve"> </w:t>
            </w:r>
            <w:r>
              <w:rPr>
                <w:sz w:val="24"/>
              </w:rPr>
              <w:t xml:space="preserve">— </w:t>
            </w:r>
            <w:r>
              <w:rPr>
                <w:i/>
                <w:iCs/>
                <w:sz w:val="24"/>
              </w:rPr>
              <w:t>i</w:t>
            </w:r>
            <w:r>
              <w:rPr>
                <w:sz w:val="24"/>
              </w:rPr>
              <w:t>声源在预测点产生的A声级，dB；</w:t>
            </w:r>
          </w:p>
          <w:p w14:paraId="3866AF8A">
            <w:pPr>
              <w:tabs>
                <w:tab w:val="left" w:pos="750"/>
              </w:tabs>
              <w:spacing w:line="360" w:lineRule="auto"/>
              <w:ind w:firstLine="1200" w:firstLineChars="500"/>
              <w:contextualSpacing/>
              <w:rPr>
                <w:sz w:val="24"/>
              </w:rPr>
            </w:pPr>
            <w:r>
              <w:rPr>
                <w:i/>
                <w:iCs/>
                <w:sz w:val="24"/>
              </w:rPr>
              <w:t>T</w:t>
            </w:r>
            <w:r>
              <w:rPr>
                <w:sz w:val="24"/>
              </w:rPr>
              <w:t xml:space="preserve"> — 预测计算的时间段，s；</w:t>
            </w:r>
          </w:p>
          <w:p w14:paraId="721227B4">
            <w:pPr>
              <w:tabs>
                <w:tab w:val="left" w:pos="750"/>
              </w:tabs>
              <w:spacing w:line="360" w:lineRule="auto"/>
              <w:ind w:firstLine="1200" w:firstLineChars="500"/>
              <w:contextualSpacing/>
              <w:rPr>
                <w:sz w:val="24"/>
              </w:rPr>
            </w:pPr>
            <w:r>
              <w:rPr>
                <w:i/>
                <w:iCs/>
                <w:sz w:val="24"/>
              </w:rPr>
              <w:t>t</w:t>
            </w:r>
            <w:r>
              <w:rPr>
                <w:i/>
                <w:iCs/>
                <w:sz w:val="24"/>
                <w:vertAlign w:val="subscript"/>
              </w:rPr>
              <w:t>i</w:t>
            </w:r>
            <w:r>
              <w:rPr>
                <w:sz w:val="24"/>
              </w:rPr>
              <w:t xml:space="preserve"> —</w:t>
            </w:r>
            <w:r>
              <w:rPr>
                <w:i/>
                <w:iCs/>
                <w:sz w:val="24"/>
              </w:rPr>
              <w:t>i</w:t>
            </w:r>
            <w:r>
              <w:rPr>
                <w:sz w:val="24"/>
              </w:rPr>
              <w:t>声源在T时段内的运行时间，s。</w:t>
            </w:r>
          </w:p>
          <w:p w14:paraId="57B156F1">
            <w:pPr>
              <w:tabs>
                <w:tab w:val="left" w:pos="750"/>
              </w:tabs>
              <w:spacing w:line="360" w:lineRule="auto"/>
              <w:ind w:firstLine="480" w:firstLineChars="200"/>
              <w:contextualSpacing/>
              <w:rPr>
                <w:sz w:val="24"/>
              </w:rPr>
            </w:pPr>
            <w:r>
              <w:rPr>
                <w:sz w:val="24"/>
              </w:rPr>
              <w:t>声源在敏感点处的贡献值叠加背景值即为该敏感点处噪声预测值，计算</w:t>
            </w:r>
            <w:r>
              <w:rPr>
                <w:bCs/>
                <w:sz w:val="24"/>
              </w:rPr>
              <w:t>采用《环境影响评价技术导则 声环境》（HJ2.4-2021）</w:t>
            </w:r>
            <w:r>
              <w:rPr>
                <w:sz w:val="24"/>
              </w:rPr>
              <w:t>3.11中（3）式，公式为：</w:t>
            </w:r>
          </w:p>
          <w:p w14:paraId="3A603F10">
            <w:pPr>
              <w:spacing w:line="360" w:lineRule="auto"/>
              <w:ind w:firstLine="480" w:firstLineChars="200"/>
              <w:contextualSpacing/>
              <w:jc w:val="center"/>
              <w:rPr>
                <w:sz w:val="24"/>
              </w:rPr>
            </w:pPr>
            <w:r>
              <w:rPr>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14:paraId="479E4371">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i/>
                <w:iCs/>
                <w:sz w:val="24"/>
              </w:rPr>
              <w:t xml:space="preserve"> </w:t>
            </w:r>
            <w:r>
              <w:rPr>
                <w:sz w:val="24"/>
              </w:rPr>
              <w:t>— 建设项目声源在预测点的等效声级贡献值，dB；</w:t>
            </w:r>
          </w:p>
          <w:p w14:paraId="57A89AEB">
            <w:pPr>
              <w:spacing w:line="360" w:lineRule="auto"/>
              <w:ind w:firstLine="1200" w:firstLineChars="500"/>
              <w:contextualSpacing/>
              <w:rPr>
                <w:sz w:val="24"/>
              </w:rPr>
            </w:pPr>
            <w:r>
              <w:rPr>
                <w:i/>
                <w:iCs/>
                <w:sz w:val="24"/>
              </w:rPr>
              <w:t>L</w:t>
            </w:r>
            <w:r>
              <w:rPr>
                <w:i/>
                <w:iCs/>
                <w:sz w:val="24"/>
                <w:vertAlign w:val="subscript"/>
              </w:rPr>
              <w:t>eqb</w:t>
            </w:r>
            <w:r>
              <w:rPr>
                <w:sz w:val="24"/>
              </w:rPr>
              <w:t xml:space="preserve"> — 预测点的背景值，dB。</w:t>
            </w:r>
          </w:p>
          <w:p w14:paraId="4CAFD172">
            <w:pPr>
              <w:tabs>
                <w:tab w:val="left" w:pos="750"/>
              </w:tabs>
              <w:spacing w:line="360" w:lineRule="auto"/>
              <w:ind w:firstLine="480" w:firstLineChars="200"/>
              <w:contextualSpacing/>
              <w:rPr>
                <w:sz w:val="24"/>
              </w:rPr>
            </w:pPr>
            <w:r>
              <w:rPr>
                <w:sz w:val="24"/>
              </w:rPr>
              <w:t>预测结果见下表。</w:t>
            </w:r>
          </w:p>
          <w:p w14:paraId="0441752E">
            <w:pPr>
              <w:autoSpaceDE w:val="0"/>
              <w:autoSpaceDN w:val="0"/>
              <w:spacing w:line="360" w:lineRule="auto"/>
              <w:contextualSpacing/>
              <w:jc w:val="center"/>
              <w:rPr>
                <w:b/>
                <w:sz w:val="24"/>
              </w:rPr>
            </w:pPr>
            <w:r>
              <w:rPr>
                <w:b/>
                <w:sz w:val="24"/>
              </w:rPr>
              <w:t>表4-15 压裂设备厂界噪声预测结果与达标分析表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14:paraId="4DE25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14:paraId="77511D21">
                  <w:pPr>
                    <w:jc w:val="center"/>
                    <w:rPr>
                      <w:szCs w:val="21"/>
                    </w:rPr>
                  </w:pPr>
                  <w:r>
                    <w:rPr>
                      <w:b/>
                      <w:szCs w:val="21"/>
                    </w:rPr>
                    <w:t>预测方位</w:t>
                  </w:r>
                </w:p>
              </w:tc>
              <w:tc>
                <w:tcPr>
                  <w:tcW w:w="1317" w:type="dxa"/>
                  <w:vMerge w:val="restart"/>
                  <w:tcBorders>
                    <w:tl2br w:val="nil"/>
                    <w:tr2bl w:val="nil"/>
                  </w:tcBorders>
                  <w:vAlign w:val="center"/>
                </w:tcPr>
                <w:p w14:paraId="7A974E71">
                  <w:pPr>
                    <w:jc w:val="center"/>
                    <w:rPr>
                      <w:szCs w:val="21"/>
                    </w:rPr>
                  </w:pPr>
                  <w:r>
                    <w:rPr>
                      <w:b/>
                      <w:szCs w:val="21"/>
                    </w:rPr>
                    <w:t>时段</w:t>
                  </w:r>
                </w:p>
              </w:tc>
              <w:tc>
                <w:tcPr>
                  <w:tcW w:w="1881" w:type="dxa"/>
                  <w:vMerge w:val="restart"/>
                  <w:tcBorders>
                    <w:tl2br w:val="nil"/>
                    <w:tr2bl w:val="nil"/>
                  </w:tcBorders>
                  <w:vAlign w:val="center"/>
                </w:tcPr>
                <w:p w14:paraId="658CF021">
                  <w:pPr>
                    <w:jc w:val="center"/>
                    <w:rPr>
                      <w:szCs w:val="21"/>
                    </w:rPr>
                  </w:pPr>
                  <w:r>
                    <w:rPr>
                      <w:b/>
                      <w:szCs w:val="21"/>
                    </w:rPr>
                    <w:t>预测值</w:t>
                  </w:r>
                  <w:r>
                    <w:rPr>
                      <w:rFonts w:hint="eastAsia"/>
                      <w:b/>
                      <w:szCs w:val="21"/>
                    </w:rPr>
                    <w:t>dB（A）</w:t>
                  </w:r>
                </w:p>
              </w:tc>
              <w:tc>
                <w:tcPr>
                  <w:tcW w:w="1882" w:type="dxa"/>
                  <w:vMerge w:val="restart"/>
                  <w:tcBorders>
                    <w:tl2br w:val="nil"/>
                    <w:tr2bl w:val="nil"/>
                  </w:tcBorders>
                  <w:vAlign w:val="center"/>
                </w:tcPr>
                <w:p w14:paraId="32973559">
                  <w:pPr>
                    <w:jc w:val="center"/>
                    <w:rPr>
                      <w:szCs w:val="21"/>
                    </w:rPr>
                  </w:pPr>
                  <w:r>
                    <w:rPr>
                      <w:b/>
                      <w:szCs w:val="21"/>
                    </w:rPr>
                    <w:t>标准限值</w:t>
                  </w:r>
                  <w:r>
                    <w:rPr>
                      <w:rFonts w:hint="eastAsia"/>
                      <w:b/>
                      <w:szCs w:val="21"/>
                    </w:rPr>
                    <w:t>dB（A）</w:t>
                  </w:r>
                </w:p>
              </w:tc>
            </w:tr>
            <w:tr w14:paraId="3B5F5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14:paraId="038B0E5F">
                  <w:pPr>
                    <w:jc w:val="center"/>
                    <w:rPr>
                      <w:szCs w:val="21"/>
                    </w:rPr>
                  </w:pPr>
                </w:p>
              </w:tc>
              <w:tc>
                <w:tcPr>
                  <w:tcW w:w="1317" w:type="dxa"/>
                  <w:vMerge w:val="continue"/>
                  <w:tcBorders>
                    <w:tl2br w:val="nil"/>
                    <w:tr2bl w:val="nil"/>
                  </w:tcBorders>
                  <w:shd w:val="clear" w:color="auto" w:fill="FFFFFF"/>
                  <w:vAlign w:val="center"/>
                </w:tcPr>
                <w:p w14:paraId="2FA9131C">
                  <w:pPr>
                    <w:jc w:val="center"/>
                    <w:rPr>
                      <w:szCs w:val="21"/>
                    </w:rPr>
                  </w:pPr>
                </w:p>
              </w:tc>
              <w:tc>
                <w:tcPr>
                  <w:tcW w:w="1881" w:type="dxa"/>
                  <w:vMerge w:val="continue"/>
                  <w:tcBorders>
                    <w:tl2br w:val="nil"/>
                    <w:tr2bl w:val="nil"/>
                  </w:tcBorders>
                  <w:shd w:val="clear" w:color="auto" w:fill="FFFFFF"/>
                  <w:vAlign w:val="center"/>
                </w:tcPr>
                <w:p w14:paraId="1C060608">
                  <w:pPr>
                    <w:jc w:val="center"/>
                    <w:rPr>
                      <w:szCs w:val="21"/>
                    </w:rPr>
                  </w:pPr>
                </w:p>
              </w:tc>
              <w:tc>
                <w:tcPr>
                  <w:tcW w:w="1882" w:type="dxa"/>
                  <w:vMerge w:val="continue"/>
                  <w:tcBorders>
                    <w:tl2br w:val="nil"/>
                    <w:tr2bl w:val="nil"/>
                  </w:tcBorders>
                  <w:shd w:val="clear" w:color="auto" w:fill="FFFFFF"/>
                  <w:vAlign w:val="center"/>
                </w:tcPr>
                <w:p w14:paraId="389FF0B6">
                  <w:pPr>
                    <w:jc w:val="center"/>
                    <w:rPr>
                      <w:szCs w:val="21"/>
                    </w:rPr>
                  </w:pPr>
                </w:p>
              </w:tc>
            </w:tr>
            <w:tr w14:paraId="33E42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14:paraId="076CC118">
                  <w:pPr>
                    <w:jc w:val="center"/>
                    <w:rPr>
                      <w:szCs w:val="21"/>
                    </w:rPr>
                  </w:pPr>
                  <w:r>
                    <w:rPr>
                      <w:szCs w:val="21"/>
                    </w:rPr>
                    <w:t>东侧</w:t>
                  </w:r>
                </w:p>
              </w:tc>
              <w:tc>
                <w:tcPr>
                  <w:tcW w:w="1317" w:type="dxa"/>
                  <w:tcBorders>
                    <w:tl2br w:val="nil"/>
                    <w:tr2bl w:val="nil"/>
                  </w:tcBorders>
                  <w:shd w:val="clear" w:color="auto" w:fill="FFFFFF"/>
                  <w:vAlign w:val="center"/>
                </w:tcPr>
                <w:p w14:paraId="778CA5F5">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14:paraId="05B71476">
                  <w:pPr>
                    <w:widowControl/>
                    <w:jc w:val="center"/>
                    <w:textAlignment w:val="center"/>
                    <w:rPr>
                      <w:szCs w:val="21"/>
                    </w:rPr>
                  </w:pPr>
                  <w:r>
                    <w:rPr>
                      <w:rFonts w:hint="eastAsia"/>
                      <w:szCs w:val="21"/>
                    </w:rPr>
                    <w:t>79.2</w:t>
                  </w:r>
                </w:p>
              </w:tc>
              <w:tc>
                <w:tcPr>
                  <w:tcW w:w="1882" w:type="dxa"/>
                  <w:tcBorders>
                    <w:tl2br w:val="nil"/>
                    <w:tr2bl w:val="nil"/>
                  </w:tcBorders>
                  <w:shd w:val="clear" w:color="auto" w:fill="FFFFFF"/>
                  <w:vAlign w:val="center"/>
                </w:tcPr>
                <w:p w14:paraId="5F5D4438">
                  <w:pPr>
                    <w:widowControl/>
                    <w:jc w:val="center"/>
                    <w:textAlignment w:val="center"/>
                    <w:rPr>
                      <w:szCs w:val="21"/>
                    </w:rPr>
                  </w:pPr>
                  <w:r>
                    <w:rPr>
                      <w:kern w:val="0"/>
                      <w:szCs w:val="21"/>
                      <w:lang w:bidi="ar"/>
                    </w:rPr>
                    <w:t>70</w:t>
                  </w:r>
                </w:p>
              </w:tc>
            </w:tr>
            <w:tr w14:paraId="35E9D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14:paraId="07CCD722">
                  <w:pPr>
                    <w:jc w:val="center"/>
                    <w:rPr>
                      <w:szCs w:val="21"/>
                    </w:rPr>
                  </w:pPr>
                  <w:r>
                    <w:rPr>
                      <w:szCs w:val="21"/>
                    </w:rPr>
                    <w:t>南侧</w:t>
                  </w:r>
                </w:p>
              </w:tc>
              <w:tc>
                <w:tcPr>
                  <w:tcW w:w="1317" w:type="dxa"/>
                  <w:tcBorders>
                    <w:tl2br w:val="nil"/>
                    <w:tr2bl w:val="nil"/>
                  </w:tcBorders>
                  <w:shd w:val="clear" w:color="auto" w:fill="FFFFFF"/>
                  <w:vAlign w:val="center"/>
                </w:tcPr>
                <w:p w14:paraId="15BB525E">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14:paraId="1CA747EC">
                  <w:pPr>
                    <w:widowControl/>
                    <w:jc w:val="center"/>
                    <w:textAlignment w:val="center"/>
                    <w:rPr>
                      <w:szCs w:val="21"/>
                    </w:rPr>
                  </w:pPr>
                  <w:r>
                    <w:rPr>
                      <w:rFonts w:hint="eastAsia"/>
                      <w:szCs w:val="21"/>
                    </w:rPr>
                    <w:t>71.6</w:t>
                  </w:r>
                </w:p>
              </w:tc>
              <w:tc>
                <w:tcPr>
                  <w:tcW w:w="1882" w:type="dxa"/>
                  <w:tcBorders>
                    <w:tl2br w:val="nil"/>
                    <w:tr2bl w:val="nil"/>
                  </w:tcBorders>
                  <w:shd w:val="clear" w:color="auto" w:fill="FFFFFF"/>
                  <w:vAlign w:val="center"/>
                </w:tcPr>
                <w:p w14:paraId="6228C1E7">
                  <w:pPr>
                    <w:widowControl/>
                    <w:jc w:val="center"/>
                    <w:textAlignment w:val="center"/>
                    <w:rPr>
                      <w:szCs w:val="21"/>
                    </w:rPr>
                  </w:pPr>
                  <w:r>
                    <w:rPr>
                      <w:kern w:val="0"/>
                      <w:szCs w:val="21"/>
                      <w:lang w:bidi="ar"/>
                    </w:rPr>
                    <w:t>70</w:t>
                  </w:r>
                </w:p>
              </w:tc>
            </w:tr>
            <w:tr w14:paraId="432BD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14:paraId="33872981">
                  <w:pPr>
                    <w:jc w:val="center"/>
                    <w:rPr>
                      <w:szCs w:val="21"/>
                    </w:rPr>
                  </w:pPr>
                  <w:r>
                    <w:rPr>
                      <w:szCs w:val="21"/>
                    </w:rPr>
                    <w:t>西侧</w:t>
                  </w:r>
                </w:p>
              </w:tc>
              <w:tc>
                <w:tcPr>
                  <w:tcW w:w="1317" w:type="dxa"/>
                  <w:tcBorders>
                    <w:tl2br w:val="nil"/>
                    <w:tr2bl w:val="nil"/>
                  </w:tcBorders>
                  <w:shd w:val="clear" w:color="auto" w:fill="FFFFFF"/>
                  <w:vAlign w:val="center"/>
                </w:tcPr>
                <w:p w14:paraId="741CA631">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14:paraId="008591CF">
                  <w:pPr>
                    <w:widowControl/>
                    <w:jc w:val="center"/>
                    <w:textAlignment w:val="center"/>
                    <w:rPr>
                      <w:szCs w:val="21"/>
                    </w:rPr>
                  </w:pPr>
                  <w:r>
                    <w:rPr>
                      <w:rFonts w:hint="eastAsia"/>
                      <w:szCs w:val="21"/>
                    </w:rPr>
                    <w:t>80.2</w:t>
                  </w:r>
                </w:p>
              </w:tc>
              <w:tc>
                <w:tcPr>
                  <w:tcW w:w="1882" w:type="dxa"/>
                  <w:tcBorders>
                    <w:tl2br w:val="nil"/>
                    <w:tr2bl w:val="nil"/>
                  </w:tcBorders>
                  <w:shd w:val="clear" w:color="auto" w:fill="FFFFFF"/>
                  <w:vAlign w:val="center"/>
                </w:tcPr>
                <w:p w14:paraId="4CAE517C">
                  <w:pPr>
                    <w:widowControl/>
                    <w:jc w:val="center"/>
                    <w:textAlignment w:val="center"/>
                    <w:rPr>
                      <w:szCs w:val="21"/>
                    </w:rPr>
                  </w:pPr>
                  <w:r>
                    <w:rPr>
                      <w:kern w:val="0"/>
                      <w:szCs w:val="21"/>
                      <w:lang w:bidi="ar"/>
                    </w:rPr>
                    <w:t>70</w:t>
                  </w:r>
                </w:p>
              </w:tc>
            </w:tr>
            <w:tr w14:paraId="30325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14:paraId="4694A07C">
                  <w:pPr>
                    <w:jc w:val="center"/>
                    <w:rPr>
                      <w:szCs w:val="21"/>
                    </w:rPr>
                  </w:pPr>
                  <w:r>
                    <w:rPr>
                      <w:szCs w:val="21"/>
                    </w:rPr>
                    <w:t>北侧</w:t>
                  </w:r>
                </w:p>
              </w:tc>
              <w:tc>
                <w:tcPr>
                  <w:tcW w:w="1317" w:type="dxa"/>
                  <w:tcBorders>
                    <w:tl2br w:val="nil"/>
                    <w:tr2bl w:val="nil"/>
                  </w:tcBorders>
                  <w:shd w:val="clear" w:color="auto" w:fill="FFFFFF"/>
                  <w:vAlign w:val="center"/>
                </w:tcPr>
                <w:p w14:paraId="61229BC9">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14:paraId="3FE70509">
                  <w:pPr>
                    <w:widowControl/>
                    <w:jc w:val="center"/>
                    <w:textAlignment w:val="center"/>
                    <w:rPr>
                      <w:szCs w:val="21"/>
                    </w:rPr>
                  </w:pPr>
                  <w:r>
                    <w:rPr>
                      <w:rFonts w:hint="eastAsia"/>
                      <w:szCs w:val="21"/>
                    </w:rPr>
                    <w:t>77.8</w:t>
                  </w:r>
                </w:p>
              </w:tc>
              <w:tc>
                <w:tcPr>
                  <w:tcW w:w="1882" w:type="dxa"/>
                  <w:tcBorders>
                    <w:tl2br w:val="nil"/>
                    <w:tr2bl w:val="nil"/>
                  </w:tcBorders>
                  <w:shd w:val="clear" w:color="auto" w:fill="FFFFFF"/>
                  <w:vAlign w:val="center"/>
                </w:tcPr>
                <w:p w14:paraId="18B7DB9A">
                  <w:pPr>
                    <w:widowControl/>
                    <w:jc w:val="center"/>
                    <w:textAlignment w:val="center"/>
                    <w:rPr>
                      <w:szCs w:val="21"/>
                    </w:rPr>
                  </w:pPr>
                  <w:r>
                    <w:rPr>
                      <w:kern w:val="0"/>
                      <w:szCs w:val="21"/>
                      <w:lang w:bidi="ar"/>
                    </w:rPr>
                    <w:t>70</w:t>
                  </w:r>
                </w:p>
              </w:tc>
            </w:tr>
          </w:tbl>
          <w:p w14:paraId="2BB4442B">
            <w:pPr>
              <w:contextualSpacing/>
              <w:rPr>
                <w:sz w:val="24"/>
              </w:rPr>
            </w:pPr>
            <w:r>
              <w:rPr>
                <w:sz w:val="24"/>
              </w:rPr>
              <w:drawing>
                <wp:inline distT="0" distB="0" distL="114300" distR="114300">
                  <wp:extent cx="5170805" cy="3581400"/>
                  <wp:effectExtent l="0" t="0" r="1079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5170805" cy="3581400"/>
                          </a:xfrm>
                          <a:prstGeom prst="rect">
                            <a:avLst/>
                          </a:prstGeom>
                          <a:noFill/>
                          <a:ln>
                            <a:noFill/>
                          </a:ln>
                        </pic:spPr>
                      </pic:pic>
                    </a:graphicData>
                  </a:graphic>
                </wp:inline>
              </w:drawing>
            </w:r>
          </w:p>
          <w:p w14:paraId="5E607F63">
            <w:pPr>
              <w:autoSpaceDE w:val="0"/>
              <w:autoSpaceDN w:val="0"/>
              <w:spacing w:line="360" w:lineRule="auto"/>
              <w:contextualSpacing/>
              <w:jc w:val="center"/>
              <w:rPr>
                <w:b/>
                <w:sz w:val="24"/>
              </w:rPr>
            </w:pPr>
            <w:r>
              <w:rPr>
                <w:b/>
                <w:sz w:val="24"/>
              </w:rPr>
              <w:t>表4-16 压裂设备噪声对周围居民影响预测</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422"/>
              <w:gridCol w:w="1223"/>
              <w:gridCol w:w="1424"/>
              <w:gridCol w:w="1424"/>
              <w:gridCol w:w="1214"/>
            </w:tblGrid>
            <w:tr w14:paraId="62968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0" w:type="dxa"/>
                  <w:vMerge w:val="restart"/>
                  <w:tcBorders>
                    <w:tl2br w:val="nil"/>
                    <w:tr2bl w:val="nil"/>
                  </w:tcBorders>
                  <w:vAlign w:val="center"/>
                </w:tcPr>
                <w:p w14:paraId="2C836D8F">
                  <w:pPr>
                    <w:jc w:val="center"/>
                    <w:rPr>
                      <w:szCs w:val="21"/>
                    </w:rPr>
                  </w:pPr>
                  <w:r>
                    <w:rPr>
                      <w:b/>
                      <w:szCs w:val="21"/>
                    </w:rPr>
                    <w:t>声环境保护目标名称</w:t>
                  </w:r>
                </w:p>
              </w:tc>
              <w:tc>
                <w:tcPr>
                  <w:tcW w:w="1422" w:type="dxa"/>
                  <w:tcBorders>
                    <w:tl2br w:val="nil"/>
                    <w:tr2bl w:val="nil"/>
                  </w:tcBorders>
                  <w:vAlign w:val="center"/>
                </w:tcPr>
                <w:p w14:paraId="3A82C9F2">
                  <w:pPr>
                    <w:jc w:val="center"/>
                    <w:rPr>
                      <w:szCs w:val="21"/>
                    </w:rPr>
                  </w:pPr>
                  <w:r>
                    <w:rPr>
                      <w:b/>
                      <w:szCs w:val="21"/>
                    </w:rPr>
                    <w:t>噪声现状值/dB(A)</w:t>
                  </w:r>
                </w:p>
              </w:tc>
              <w:tc>
                <w:tcPr>
                  <w:tcW w:w="1223" w:type="dxa"/>
                  <w:tcBorders>
                    <w:tl2br w:val="nil"/>
                    <w:tr2bl w:val="nil"/>
                  </w:tcBorders>
                  <w:vAlign w:val="center"/>
                </w:tcPr>
                <w:p w14:paraId="39F4D3C9">
                  <w:pPr>
                    <w:jc w:val="center"/>
                    <w:rPr>
                      <w:szCs w:val="21"/>
                    </w:rPr>
                  </w:pPr>
                  <w:r>
                    <w:rPr>
                      <w:b/>
                      <w:szCs w:val="21"/>
                    </w:rPr>
                    <w:t>噪声标准/dB(A)</w:t>
                  </w:r>
                </w:p>
              </w:tc>
              <w:tc>
                <w:tcPr>
                  <w:tcW w:w="1424" w:type="dxa"/>
                  <w:tcBorders>
                    <w:tl2br w:val="nil"/>
                    <w:tr2bl w:val="nil"/>
                  </w:tcBorders>
                  <w:vAlign w:val="center"/>
                </w:tcPr>
                <w:p w14:paraId="37626843">
                  <w:pPr>
                    <w:jc w:val="center"/>
                    <w:rPr>
                      <w:szCs w:val="21"/>
                    </w:rPr>
                  </w:pPr>
                  <w:r>
                    <w:rPr>
                      <w:b/>
                      <w:szCs w:val="21"/>
                    </w:rPr>
                    <w:t>噪声贡献值/dB(A)</w:t>
                  </w:r>
                </w:p>
              </w:tc>
              <w:tc>
                <w:tcPr>
                  <w:tcW w:w="1424" w:type="dxa"/>
                  <w:tcBorders>
                    <w:tl2br w:val="nil"/>
                    <w:tr2bl w:val="nil"/>
                  </w:tcBorders>
                  <w:vAlign w:val="center"/>
                </w:tcPr>
                <w:p w14:paraId="2330210A">
                  <w:pPr>
                    <w:jc w:val="center"/>
                    <w:rPr>
                      <w:szCs w:val="21"/>
                    </w:rPr>
                  </w:pPr>
                  <w:r>
                    <w:rPr>
                      <w:b/>
                      <w:szCs w:val="21"/>
                    </w:rPr>
                    <w:t>噪声预测值/dB(A)</w:t>
                  </w:r>
                </w:p>
              </w:tc>
              <w:tc>
                <w:tcPr>
                  <w:tcW w:w="1214" w:type="dxa"/>
                  <w:tcBorders>
                    <w:tl2br w:val="nil"/>
                    <w:tr2bl w:val="nil"/>
                  </w:tcBorders>
                  <w:vAlign w:val="center"/>
                </w:tcPr>
                <w:p w14:paraId="2793F5D5">
                  <w:pPr>
                    <w:jc w:val="center"/>
                    <w:rPr>
                      <w:szCs w:val="21"/>
                    </w:rPr>
                  </w:pPr>
                  <w:r>
                    <w:rPr>
                      <w:b/>
                      <w:szCs w:val="21"/>
                    </w:rPr>
                    <w:t>较现状增量/dB(A)</w:t>
                  </w:r>
                </w:p>
              </w:tc>
            </w:tr>
            <w:tr w14:paraId="4559E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0" w:type="dxa"/>
                  <w:vMerge w:val="continue"/>
                  <w:tcBorders>
                    <w:tl2br w:val="nil"/>
                    <w:tr2bl w:val="nil"/>
                  </w:tcBorders>
                  <w:shd w:val="clear" w:color="auto" w:fill="FFFFFF"/>
                  <w:vAlign w:val="center"/>
                </w:tcPr>
                <w:p w14:paraId="038B4809">
                  <w:pPr>
                    <w:jc w:val="center"/>
                    <w:rPr>
                      <w:szCs w:val="21"/>
                    </w:rPr>
                  </w:pPr>
                </w:p>
              </w:tc>
              <w:tc>
                <w:tcPr>
                  <w:tcW w:w="1422" w:type="dxa"/>
                  <w:tcBorders>
                    <w:tl2br w:val="nil"/>
                    <w:tr2bl w:val="nil"/>
                  </w:tcBorders>
                  <w:shd w:val="clear" w:color="auto" w:fill="FFFFFF"/>
                  <w:vAlign w:val="center"/>
                </w:tcPr>
                <w:p w14:paraId="6FE4A5D1">
                  <w:pPr>
                    <w:jc w:val="center"/>
                    <w:rPr>
                      <w:rFonts w:hint="eastAsia" w:eastAsia="宋体"/>
                      <w:szCs w:val="21"/>
                      <w:lang w:val="en-US" w:eastAsia="zh-CN"/>
                    </w:rPr>
                  </w:pPr>
                  <w:r>
                    <w:rPr>
                      <w:szCs w:val="21"/>
                    </w:rPr>
                    <w:t>昼间</w:t>
                  </w:r>
                  <w:r>
                    <w:rPr>
                      <w:rFonts w:hint="eastAsia"/>
                      <w:szCs w:val="21"/>
                      <w:lang w:val="en-US" w:eastAsia="zh-CN"/>
                    </w:rPr>
                    <w:t xml:space="preserve"> </w:t>
                  </w:r>
                </w:p>
              </w:tc>
              <w:tc>
                <w:tcPr>
                  <w:tcW w:w="1223" w:type="dxa"/>
                  <w:tcBorders>
                    <w:tl2br w:val="nil"/>
                    <w:tr2bl w:val="nil"/>
                  </w:tcBorders>
                  <w:shd w:val="clear" w:color="auto" w:fill="FFFFFF"/>
                  <w:vAlign w:val="center"/>
                </w:tcPr>
                <w:p w14:paraId="484D5C5D">
                  <w:pPr>
                    <w:jc w:val="center"/>
                    <w:rPr>
                      <w:rFonts w:hint="eastAsia" w:eastAsia="宋体"/>
                      <w:szCs w:val="21"/>
                      <w:lang w:val="en-US" w:eastAsia="zh-CN"/>
                    </w:rPr>
                  </w:pPr>
                  <w:r>
                    <w:rPr>
                      <w:szCs w:val="21"/>
                    </w:rPr>
                    <w:t>昼间</w:t>
                  </w:r>
                  <w:r>
                    <w:rPr>
                      <w:rFonts w:hint="eastAsia"/>
                      <w:szCs w:val="21"/>
                      <w:lang w:val="en-US" w:eastAsia="zh-CN"/>
                    </w:rPr>
                    <w:t xml:space="preserve"> </w:t>
                  </w:r>
                </w:p>
              </w:tc>
              <w:tc>
                <w:tcPr>
                  <w:tcW w:w="1424" w:type="dxa"/>
                  <w:tcBorders>
                    <w:tl2br w:val="nil"/>
                    <w:tr2bl w:val="nil"/>
                  </w:tcBorders>
                  <w:shd w:val="clear" w:color="auto" w:fill="FFFFFF"/>
                  <w:vAlign w:val="center"/>
                </w:tcPr>
                <w:p w14:paraId="21F39385">
                  <w:pPr>
                    <w:jc w:val="center"/>
                    <w:rPr>
                      <w:rFonts w:hint="eastAsia" w:eastAsia="宋体"/>
                      <w:szCs w:val="21"/>
                      <w:lang w:val="en-US" w:eastAsia="zh-CN"/>
                    </w:rPr>
                  </w:pPr>
                  <w:r>
                    <w:rPr>
                      <w:szCs w:val="21"/>
                    </w:rPr>
                    <w:t>昼间</w:t>
                  </w:r>
                  <w:r>
                    <w:rPr>
                      <w:rFonts w:hint="eastAsia"/>
                      <w:szCs w:val="21"/>
                      <w:lang w:val="en-US" w:eastAsia="zh-CN"/>
                    </w:rPr>
                    <w:t xml:space="preserve"> </w:t>
                  </w:r>
                </w:p>
              </w:tc>
              <w:tc>
                <w:tcPr>
                  <w:tcW w:w="1424" w:type="dxa"/>
                  <w:tcBorders>
                    <w:tl2br w:val="nil"/>
                    <w:tr2bl w:val="nil"/>
                  </w:tcBorders>
                  <w:shd w:val="clear" w:color="auto" w:fill="FFFFFF"/>
                  <w:vAlign w:val="center"/>
                </w:tcPr>
                <w:p w14:paraId="21047BDE">
                  <w:pPr>
                    <w:jc w:val="center"/>
                    <w:rPr>
                      <w:rFonts w:hint="eastAsia" w:eastAsia="宋体"/>
                      <w:szCs w:val="21"/>
                      <w:lang w:val="en-US" w:eastAsia="zh-CN"/>
                    </w:rPr>
                  </w:pPr>
                  <w:r>
                    <w:rPr>
                      <w:szCs w:val="21"/>
                    </w:rPr>
                    <w:t>昼间</w:t>
                  </w:r>
                  <w:r>
                    <w:rPr>
                      <w:rFonts w:hint="eastAsia"/>
                      <w:szCs w:val="21"/>
                      <w:lang w:val="en-US" w:eastAsia="zh-CN"/>
                    </w:rPr>
                    <w:t xml:space="preserve"> </w:t>
                  </w:r>
                </w:p>
              </w:tc>
              <w:tc>
                <w:tcPr>
                  <w:tcW w:w="1214" w:type="dxa"/>
                  <w:tcBorders>
                    <w:tl2br w:val="nil"/>
                    <w:tr2bl w:val="nil"/>
                  </w:tcBorders>
                  <w:shd w:val="clear" w:color="auto" w:fill="FFFFFF"/>
                  <w:vAlign w:val="center"/>
                </w:tcPr>
                <w:p w14:paraId="44C34D42">
                  <w:pPr>
                    <w:jc w:val="center"/>
                    <w:rPr>
                      <w:rFonts w:hint="eastAsia" w:eastAsia="宋体"/>
                      <w:szCs w:val="21"/>
                      <w:lang w:val="en-US" w:eastAsia="zh-CN"/>
                    </w:rPr>
                  </w:pPr>
                  <w:r>
                    <w:rPr>
                      <w:szCs w:val="21"/>
                    </w:rPr>
                    <w:t>昼间</w:t>
                  </w:r>
                  <w:r>
                    <w:rPr>
                      <w:rFonts w:hint="eastAsia"/>
                      <w:szCs w:val="21"/>
                      <w:lang w:val="en-US" w:eastAsia="zh-CN"/>
                    </w:rPr>
                    <w:t xml:space="preserve"> </w:t>
                  </w:r>
                </w:p>
              </w:tc>
            </w:tr>
            <w:tr w14:paraId="6352C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14:paraId="3123A5A7">
                  <w:pPr>
                    <w:widowControl/>
                    <w:jc w:val="left"/>
                    <w:textAlignment w:val="center"/>
                    <w:rPr>
                      <w:color w:val="000000"/>
                      <w:sz w:val="22"/>
                      <w:szCs w:val="22"/>
                    </w:rPr>
                  </w:pPr>
                  <w:r>
                    <w:rPr>
                      <w:color w:val="000000"/>
                      <w:kern w:val="0"/>
                      <w:sz w:val="22"/>
                      <w:szCs w:val="22"/>
                      <w:lang w:bidi="ar"/>
                    </w:rPr>
                    <w:t>3#散户居民</w:t>
                  </w:r>
                </w:p>
              </w:tc>
              <w:tc>
                <w:tcPr>
                  <w:tcW w:w="1422" w:type="dxa"/>
                  <w:tcBorders>
                    <w:tl2br w:val="nil"/>
                    <w:tr2bl w:val="nil"/>
                  </w:tcBorders>
                  <w:shd w:val="clear" w:color="auto" w:fill="FFFFFF"/>
                  <w:vAlign w:val="center"/>
                </w:tcPr>
                <w:p w14:paraId="7A65C7CF">
                  <w:pPr>
                    <w:jc w:val="center"/>
                    <w:rPr>
                      <w:szCs w:val="21"/>
                    </w:rPr>
                  </w:pPr>
                  <w:r>
                    <w:rPr>
                      <w:rFonts w:hint="eastAsia"/>
                      <w:szCs w:val="21"/>
                    </w:rPr>
                    <w:t>55</w:t>
                  </w:r>
                </w:p>
              </w:tc>
              <w:tc>
                <w:tcPr>
                  <w:tcW w:w="1223" w:type="dxa"/>
                  <w:tcBorders>
                    <w:tl2br w:val="nil"/>
                    <w:tr2bl w:val="nil"/>
                  </w:tcBorders>
                  <w:shd w:val="clear" w:color="auto" w:fill="FFFFFF"/>
                  <w:vAlign w:val="center"/>
                </w:tcPr>
                <w:p w14:paraId="150A3257">
                  <w:pPr>
                    <w:jc w:val="center"/>
                    <w:rPr>
                      <w:szCs w:val="21"/>
                    </w:rPr>
                  </w:pPr>
                  <w:r>
                    <w:rPr>
                      <w:rFonts w:hint="eastAsia"/>
                      <w:szCs w:val="21"/>
                    </w:rPr>
                    <w:t>60</w:t>
                  </w:r>
                </w:p>
              </w:tc>
              <w:tc>
                <w:tcPr>
                  <w:tcW w:w="1424" w:type="dxa"/>
                  <w:tcBorders>
                    <w:tl2br w:val="nil"/>
                    <w:tr2bl w:val="nil"/>
                  </w:tcBorders>
                  <w:shd w:val="clear" w:color="auto" w:fill="FFFFFF"/>
                  <w:vAlign w:val="center"/>
                </w:tcPr>
                <w:p w14:paraId="5CA84C7F">
                  <w:pPr>
                    <w:widowControl/>
                    <w:jc w:val="center"/>
                    <w:textAlignment w:val="center"/>
                    <w:rPr>
                      <w:szCs w:val="21"/>
                    </w:rPr>
                  </w:pPr>
                  <w:r>
                    <w:rPr>
                      <w:rFonts w:hint="eastAsia"/>
                      <w:szCs w:val="21"/>
                    </w:rPr>
                    <w:t>63.9</w:t>
                  </w:r>
                </w:p>
              </w:tc>
              <w:tc>
                <w:tcPr>
                  <w:tcW w:w="1424" w:type="dxa"/>
                  <w:tcBorders>
                    <w:tl2br w:val="nil"/>
                    <w:tr2bl w:val="nil"/>
                  </w:tcBorders>
                  <w:shd w:val="clear" w:color="auto" w:fill="FFFFFF"/>
                  <w:vAlign w:val="center"/>
                </w:tcPr>
                <w:p w14:paraId="56FD48F5">
                  <w:pPr>
                    <w:widowControl/>
                    <w:jc w:val="center"/>
                    <w:textAlignment w:val="center"/>
                    <w:rPr>
                      <w:szCs w:val="21"/>
                    </w:rPr>
                  </w:pPr>
                  <w:r>
                    <w:rPr>
                      <w:rFonts w:hint="eastAsia"/>
                      <w:szCs w:val="21"/>
                    </w:rPr>
                    <w:t>64</w:t>
                  </w:r>
                </w:p>
              </w:tc>
              <w:tc>
                <w:tcPr>
                  <w:tcW w:w="1214" w:type="dxa"/>
                  <w:tcBorders>
                    <w:tl2br w:val="nil"/>
                    <w:tr2bl w:val="nil"/>
                  </w:tcBorders>
                  <w:shd w:val="clear" w:color="auto" w:fill="FFFFFF"/>
                  <w:vAlign w:val="center"/>
                </w:tcPr>
                <w:p w14:paraId="65F00169">
                  <w:pPr>
                    <w:widowControl/>
                    <w:jc w:val="center"/>
                    <w:textAlignment w:val="center"/>
                    <w:rPr>
                      <w:szCs w:val="21"/>
                    </w:rPr>
                  </w:pPr>
                  <w:r>
                    <w:rPr>
                      <w:rFonts w:hint="eastAsia"/>
                      <w:szCs w:val="21"/>
                    </w:rPr>
                    <w:t>9</w:t>
                  </w:r>
                </w:p>
              </w:tc>
            </w:tr>
          </w:tbl>
          <w:p w14:paraId="05E861EF">
            <w:pPr>
              <w:spacing w:line="360" w:lineRule="auto"/>
              <w:ind w:firstLine="480" w:firstLineChars="200"/>
              <w:contextualSpacing/>
              <w:rPr>
                <w:sz w:val="24"/>
              </w:rPr>
            </w:pPr>
            <w:r>
              <w:rPr>
                <w:sz w:val="24"/>
              </w:rPr>
              <w:t>本压裂工程施工时间较短，且均在昼间进行，同类型项目均存在此类现象，随着施工结束噪声影响随之消失，因此不会对当地声环境造成影响。评价要求对距离较</w:t>
            </w:r>
            <w:r>
              <w:rPr>
                <w:rFonts w:hint="eastAsia"/>
                <w:sz w:val="24"/>
              </w:rPr>
              <w:t>近的</w:t>
            </w:r>
            <w:r>
              <w:rPr>
                <w:sz w:val="24"/>
              </w:rPr>
              <w:t>居民采取临时安置措施，</w:t>
            </w:r>
            <w:r>
              <w:rPr>
                <w:rFonts w:hint="eastAsia"/>
                <w:sz w:val="24"/>
              </w:rPr>
              <w:t>施工结束后影响随之消失</w:t>
            </w:r>
            <w:r>
              <w:rPr>
                <w:sz w:val="24"/>
              </w:rPr>
              <w:t>，因此对周边敏感点造成影响较小。</w:t>
            </w:r>
          </w:p>
          <w:p w14:paraId="2A44BF75">
            <w:pPr>
              <w:spacing w:line="360" w:lineRule="auto"/>
              <w:rPr>
                <w:b/>
                <w:sz w:val="24"/>
              </w:rPr>
            </w:pPr>
            <w:r>
              <w:rPr>
                <w:b/>
                <w:sz w:val="24"/>
              </w:rPr>
              <w:t>4.3.4固体废物环境影响分析</w:t>
            </w:r>
          </w:p>
          <w:p w14:paraId="3534F7CF">
            <w:pPr>
              <w:adjustRightInd w:val="0"/>
              <w:snapToGrid w:val="0"/>
              <w:spacing w:line="360" w:lineRule="auto"/>
              <w:ind w:firstLine="480" w:firstLineChars="200"/>
              <w:rPr>
                <w:bCs/>
                <w:sz w:val="24"/>
              </w:rPr>
            </w:pPr>
            <w:r>
              <w:rPr>
                <w:bCs/>
                <w:sz w:val="24"/>
              </w:rPr>
              <w:t>试气工程阶段产生的固体废物主要有废油、废包装材料等，还有井队员工产生的生活垃圾。</w:t>
            </w:r>
          </w:p>
          <w:p w14:paraId="7D808C4D">
            <w:pPr>
              <w:adjustRightInd w:val="0"/>
              <w:snapToGrid w:val="0"/>
              <w:spacing w:line="360" w:lineRule="auto"/>
              <w:ind w:firstLine="480" w:firstLineChars="200"/>
              <w:rPr>
                <w:bCs/>
                <w:sz w:val="24"/>
              </w:rPr>
            </w:pPr>
            <w:r>
              <w:rPr>
                <w:bCs/>
                <w:sz w:val="24"/>
              </w:rPr>
              <w:t>①废油</w:t>
            </w:r>
          </w:p>
          <w:p w14:paraId="2D83149C">
            <w:pPr>
              <w:adjustRightInd w:val="0"/>
              <w:snapToGrid w:val="0"/>
              <w:spacing w:line="360" w:lineRule="auto"/>
              <w:ind w:firstLine="480" w:firstLineChars="200"/>
              <w:rPr>
                <w:bCs/>
                <w:sz w:val="24"/>
              </w:rPr>
            </w:pPr>
            <w:r>
              <w:rPr>
                <w:bCs/>
                <w:sz w:val="24"/>
              </w:rPr>
              <w:t>试气工程期间废油的主要来源是：机械（压裂车等）润滑废油；清洗、保养产生的废油，如更换柴油发电机、发电机零部件产生的废油。类比区域内已完钻的探井，本工程完井测试阶段共产生废油约0.03t。废油属于危险废物（HW08）。</w:t>
            </w:r>
          </w:p>
          <w:p w14:paraId="66DDA48C">
            <w:pPr>
              <w:adjustRightInd w:val="0"/>
              <w:snapToGrid w:val="0"/>
              <w:spacing w:line="360" w:lineRule="auto"/>
              <w:ind w:firstLine="480" w:firstLineChars="200"/>
              <w:rPr>
                <w:bCs/>
                <w:sz w:val="24"/>
              </w:rPr>
            </w:pPr>
            <w:r>
              <w:rPr>
                <w:bCs/>
                <w:sz w:val="24"/>
              </w:rPr>
              <w:t>②废油桶</w:t>
            </w:r>
          </w:p>
          <w:p w14:paraId="1F4C206B">
            <w:pPr>
              <w:adjustRightInd w:val="0"/>
              <w:snapToGrid w:val="0"/>
              <w:spacing w:line="360" w:lineRule="auto"/>
              <w:ind w:firstLine="480" w:firstLineChars="200"/>
              <w:rPr>
                <w:bCs/>
                <w:sz w:val="24"/>
              </w:rPr>
            </w:pPr>
            <w:r>
              <w:rPr>
                <w:rFonts w:hint="eastAsia"/>
                <w:bCs/>
                <w:sz w:val="24"/>
              </w:rPr>
              <w:t>本项目</w:t>
            </w:r>
            <w:r>
              <w:rPr>
                <w:bCs/>
                <w:sz w:val="24"/>
              </w:rPr>
              <w:t>设备维护润滑油使用后会产生废油桶，根据建设单位提供的资料，润滑油采用铁桶包装，则废油桶重约0.06t。废油桶属于危险废物（HW08）。</w:t>
            </w:r>
          </w:p>
          <w:p w14:paraId="7775EB28">
            <w:pPr>
              <w:adjustRightInd w:val="0"/>
              <w:snapToGrid w:val="0"/>
              <w:spacing w:line="360" w:lineRule="auto"/>
              <w:ind w:firstLine="480" w:firstLineChars="200"/>
              <w:rPr>
                <w:bCs/>
                <w:sz w:val="24"/>
              </w:rPr>
            </w:pPr>
            <w:r>
              <w:rPr>
                <w:bCs/>
                <w:sz w:val="24"/>
              </w:rPr>
              <w:t>③废棉纱/手套</w:t>
            </w:r>
          </w:p>
          <w:p w14:paraId="7A481575">
            <w:pPr>
              <w:adjustRightInd w:val="0"/>
              <w:snapToGrid w:val="0"/>
              <w:spacing w:line="360" w:lineRule="auto"/>
              <w:ind w:firstLine="480" w:firstLineChars="200"/>
              <w:rPr>
                <w:kern w:val="0"/>
                <w:sz w:val="24"/>
              </w:rPr>
            </w:pPr>
            <w:r>
              <w:rPr>
                <w:bCs/>
                <w:sz w:val="24"/>
              </w:rPr>
              <w:t>试气工程期间设备维护会产生废棉纱/手套，类比区域内已完钻的探井，本工程废棉纱/手套产生量约0.1t。废棉纱/手套属于危险废物（HW49）。</w:t>
            </w:r>
          </w:p>
          <w:p w14:paraId="049D5780">
            <w:pPr>
              <w:adjustRightInd w:val="0"/>
              <w:snapToGrid w:val="0"/>
              <w:spacing w:line="360" w:lineRule="auto"/>
              <w:ind w:firstLine="480" w:firstLineChars="200"/>
              <w:rPr>
                <w:bCs/>
                <w:color w:val="0000FF"/>
                <w:sz w:val="24"/>
              </w:rPr>
            </w:pPr>
            <w:r>
              <w:rPr>
                <w:rFonts w:hint="eastAsia"/>
                <w:bCs/>
                <w:color w:val="0000FF"/>
                <w:sz w:val="24"/>
              </w:rPr>
              <w:t>⑤</w:t>
            </w:r>
            <w:r>
              <w:rPr>
                <w:bCs/>
                <w:color w:val="0000FF"/>
                <w:sz w:val="24"/>
              </w:rPr>
              <w:t>压裂返排液絮凝沉淀污泥</w:t>
            </w:r>
          </w:p>
          <w:p w14:paraId="2637C023">
            <w:pPr>
              <w:adjustRightInd w:val="0"/>
              <w:snapToGrid w:val="0"/>
              <w:spacing w:line="360" w:lineRule="auto"/>
              <w:ind w:firstLine="480" w:firstLineChars="200"/>
              <w:rPr>
                <w:bCs/>
                <w:color w:val="0000FF"/>
                <w:sz w:val="24"/>
              </w:rPr>
            </w:pPr>
            <w:r>
              <w:rPr>
                <w:bCs/>
                <w:color w:val="0000FF"/>
                <w:sz w:val="24"/>
              </w:rPr>
              <w:t>本项目压裂返排液</w:t>
            </w:r>
            <w:r>
              <w:rPr>
                <w:rFonts w:hint="eastAsia"/>
                <w:bCs/>
                <w:color w:val="0000FF"/>
                <w:sz w:val="24"/>
              </w:rPr>
              <w:t>暂存过程</w:t>
            </w:r>
            <w:r>
              <w:rPr>
                <w:bCs/>
                <w:color w:val="0000FF"/>
                <w:sz w:val="24"/>
              </w:rPr>
              <w:t>经絮凝沉淀后</w:t>
            </w:r>
            <w:r>
              <w:rPr>
                <w:rFonts w:hint="eastAsia"/>
                <w:bCs/>
                <w:color w:val="0000FF"/>
                <w:sz w:val="24"/>
              </w:rPr>
              <w:t>产生压裂返排液絮凝沉淀污泥</w:t>
            </w:r>
            <w:r>
              <w:rPr>
                <w:bCs/>
                <w:color w:val="0000FF"/>
                <w:sz w:val="24"/>
              </w:rPr>
              <w:t>，</w:t>
            </w:r>
            <w:r>
              <w:rPr>
                <w:rFonts w:hint="eastAsia"/>
                <w:bCs/>
                <w:color w:val="0000FF"/>
                <w:sz w:val="24"/>
              </w:rPr>
              <w:t>根据区域压裂返排液污泥处置情况，1000m</w:t>
            </w:r>
            <w:r>
              <w:rPr>
                <w:rFonts w:hint="eastAsia"/>
                <w:bCs/>
                <w:color w:val="0000FF"/>
                <w:sz w:val="24"/>
                <w:vertAlign w:val="superscript"/>
              </w:rPr>
              <w:t>3</w:t>
            </w:r>
            <w:r>
              <w:rPr>
                <w:rFonts w:hint="eastAsia"/>
                <w:bCs/>
                <w:color w:val="0000FF"/>
                <w:sz w:val="24"/>
              </w:rPr>
              <w:t>压裂返排液将产生1m</w:t>
            </w:r>
            <w:r>
              <w:rPr>
                <w:rFonts w:hint="eastAsia"/>
                <w:bCs/>
                <w:color w:val="0000FF"/>
                <w:sz w:val="24"/>
                <w:vertAlign w:val="superscript"/>
              </w:rPr>
              <w:t>3</w:t>
            </w:r>
            <w:r>
              <w:rPr>
                <w:rFonts w:hint="eastAsia"/>
                <w:bCs/>
                <w:color w:val="0000FF"/>
                <w:sz w:val="24"/>
              </w:rPr>
              <w:t>压裂返排液污泥，本项目压裂返排液产生量为27369m</w:t>
            </w:r>
            <w:r>
              <w:rPr>
                <w:rFonts w:hint="eastAsia"/>
                <w:bCs/>
                <w:color w:val="0000FF"/>
                <w:sz w:val="24"/>
                <w:vertAlign w:val="superscript"/>
              </w:rPr>
              <w:t>3</w:t>
            </w:r>
            <w:r>
              <w:rPr>
                <w:rFonts w:hint="eastAsia"/>
                <w:bCs/>
                <w:color w:val="0000FF"/>
                <w:sz w:val="24"/>
              </w:rPr>
              <w:t>，因此压裂返排液污泥产生量约为27.37m</w:t>
            </w:r>
            <w:r>
              <w:rPr>
                <w:rFonts w:hint="eastAsia"/>
                <w:bCs/>
                <w:color w:val="0000FF"/>
                <w:sz w:val="24"/>
                <w:vertAlign w:val="superscript"/>
              </w:rPr>
              <w:t>3</w:t>
            </w:r>
            <w:r>
              <w:rPr>
                <w:rFonts w:hint="eastAsia"/>
                <w:bCs/>
                <w:color w:val="0000FF"/>
                <w:sz w:val="24"/>
              </w:rPr>
              <w:t>，根据其处置情况属于危险废物，因此评价要求收集后交由有资质单位处置</w:t>
            </w:r>
            <w:r>
              <w:rPr>
                <w:bCs/>
                <w:color w:val="0000FF"/>
                <w:sz w:val="24"/>
              </w:rPr>
              <w:t>。</w:t>
            </w:r>
          </w:p>
          <w:p w14:paraId="1475F12E">
            <w:pPr>
              <w:adjustRightInd w:val="0"/>
              <w:snapToGrid w:val="0"/>
              <w:spacing w:line="360" w:lineRule="auto"/>
              <w:ind w:firstLine="480" w:firstLineChars="200"/>
              <w:rPr>
                <w:bCs/>
                <w:sz w:val="24"/>
              </w:rPr>
            </w:pPr>
            <w:r>
              <w:rPr>
                <w:bCs/>
                <w:sz w:val="24"/>
              </w:rPr>
              <w:t>危险废物汇总表见下表。</w:t>
            </w:r>
          </w:p>
          <w:p w14:paraId="0C9CC757">
            <w:pPr>
              <w:adjustRightInd w:val="0"/>
              <w:snapToGrid w:val="0"/>
              <w:spacing w:line="360" w:lineRule="auto"/>
              <w:jc w:val="center"/>
              <w:rPr>
                <w:b/>
                <w:bCs/>
                <w:sz w:val="24"/>
              </w:rPr>
            </w:pPr>
            <w:r>
              <w:rPr>
                <w:b/>
                <w:bCs/>
                <w:sz w:val="24"/>
              </w:rPr>
              <w:t>表4-17  危险废物统计表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2"/>
              <w:gridCol w:w="992"/>
              <w:gridCol w:w="544"/>
              <w:gridCol w:w="645"/>
              <w:gridCol w:w="653"/>
              <w:gridCol w:w="645"/>
              <w:gridCol w:w="645"/>
              <w:gridCol w:w="406"/>
              <w:gridCol w:w="653"/>
              <w:gridCol w:w="518"/>
              <w:gridCol w:w="510"/>
              <w:gridCol w:w="552"/>
              <w:gridCol w:w="1072"/>
            </w:tblGrid>
            <w:tr w14:paraId="22ABE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14:paraId="5B2322C6">
                  <w:pPr>
                    <w:pStyle w:val="401"/>
                    <w:jc w:val="center"/>
                    <w:rPr>
                      <w:b/>
                      <w:szCs w:val="21"/>
                    </w:rPr>
                  </w:pPr>
                  <w:r>
                    <w:rPr>
                      <w:b/>
                      <w:szCs w:val="21"/>
                    </w:rPr>
                    <w:t>序号</w:t>
                  </w:r>
                </w:p>
              </w:tc>
              <w:tc>
                <w:tcPr>
                  <w:tcW w:w="608" w:type="pct"/>
                  <w:tcBorders>
                    <w:tl2br w:val="nil"/>
                    <w:tr2bl w:val="nil"/>
                  </w:tcBorders>
                  <w:shd w:val="clear" w:color="auto" w:fill="FFFFFF" w:themeFill="background1"/>
                  <w:vAlign w:val="center"/>
                </w:tcPr>
                <w:p w14:paraId="491819EB">
                  <w:pPr>
                    <w:pStyle w:val="401"/>
                    <w:jc w:val="center"/>
                    <w:rPr>
                      <w:b/>
                      <w:szCs w:val="21"/>
                    </w:rPr>
                  </w:pPr>
                  <w:r>
                    <w:rPr>
                      <w:b/>
                      <w:szCs w:val="21"/>
                    </w:rPr>
                    <w:t>废物名称</w:t>
                  </w:r>
                </w:p>
              </w:tc>
              <w:tc>
                <w:tcPr>
                  <w:tcW w:w="333" w:type="pct"/>
                  <w:tcBorders>
                    <w:tl2br w:val="nil"/>
                    <w:tr2bl w:val="nil"/>
                  </w:tcBorders>
                  <w:shd w:val="clear" w:color="auto" w:fill="FFFFFF" w:themeFill="background1"/>
                  <w:vAlign w:val="center"/>
                </w:tcPr>
                <w:p w14:paraId="13EC227C">
                  <w:pPr>
                    <w:pStyle w:val="401"/>
                    <w:jc w:val="center"/>
                    <w:rPr>
                      <w:b/>
                      <w:szCs w:val="21"/>
                    </w:rPr>
                  </w:pPr>
                  <w:r>
                    <w:rPr>
                      <w:b/>
                      <w:szCs w:val="21"/>
                    </w:rPr>
                    <w:t>废物类别</w:t>
                  </w:r>
                </w:p>
              </w:tc>
              <w:tc>
                <w:tcPr>
                  <w:tcW w:w="395" w:type="pct"/>
                  <w:tcBorders>
                    <w:tl2br w:val="nil"/>
                    <w:tr2bl w:val="nil"/>
                  </w:tcBorders>
                  <w:shd w:val="clear" w:color="auto" w:fill="FFFFFF" w:themeFill="background1"/>
                  <w:vAlign w:val="center"/>
                </w:tcPr>
                <w:p w14:paraId="5859177D">
                  <w:pPr>
                    <w:pStyle w:val="401"/>
                    <w:jc w:val="center"/>
                    <w:rPr>
                      <w:b/>
                      <w:szCs w:val="21"/>
                    </w:rPr>
                  </w:pPr>
                  <w:r>
                    <w:rPr>
                      <w:b/>
                      <w:szCs w:val="21"/>
                    </w:rPr>
                    <w:t>废物代码</w:t>
                  </w:r>
                </w:p>
              </w:tc>
              <w:tc>
                <w:tcPr>
                  <w:tcW w:w="400" w:type="pct"/>
                  <w:tcBorders>
                    <w:tl2br w:val="nil"/>
                    <w:tr2bl w:val="nil"/>
                  </w:tcBorders>
                  <w:shd w:val="clear" w:color="auto" w:fill="FFFFFF" w:themeFill="background1"/>
                  <w:vAlign w:val="center"/>
                </w:tcPr>
                <w:p w14:paraId="05F3FB54">
                  <w:pPr>
                    <w:pStyle w:val="401"/>
                    <w:jc w:val="center"/>
                    <w:rPr>
                      <w:b/>
                      <w:szCs w:val="21"/>
                    </w:rPr>
                  </w:pPr>
                  <w:r>
                    <w:rPr>
                      <w:b/>
                      <w:szCs w:val="21"/>
                    </w:rPr>
                    <w:t>性质判断</w:t>
                  </w:r>
                </w:p>
              </w:tc>
              <w:tc>
                <w:tcPr>
                  <w:tcW w:w="395" w:type="pct"/>
                  <w:tcBorders>
                    <w:tl2br w:val="nil"/>
                    <w:tr2bl w:val="nil"/>
                  </w:tcBorders>
                  <w:shd w:val="clear" w:color="auto" w:fill="FFFFFF" w:themeFill="background1"/>
                  <w:vAlign w:val="center"/>
                </w:tcPr>
                <w:p w14:paraId="1EF1BE94">
                  <w:pPr>
                    <w:pStyle w:val="401"/>
                    <w:jc w:val="center"/>
                    <w:rPr>
                      <w:b/>
                      <w:szCs w:val="21"/>
                    </w:rPr>
                  </w:pPr>
                  <w:r>
                    <w:rPr>
                      <w:b/>
                      <w:szCs w:val="21"/>
                    </w:rPr>
                    <w:t>产生量</w:t>
                  </w:r>
                  <w:r>
                    <w:rPr>
                      <w:rFonts w:hint="eastAsia"/>
                      <w:b/>
                      <w:szCs w:val="21"/>
                    </w:rPr>
                    <w:t>t</w:t>
                  </w:r>
                </w:p>
              </w:tc>
              <w:tc>
                <w:tcPr>
                  <w:tcW w:w="395" w:type="pct"/>
                  <w:tcBorders>
                    <w:tl2br w:val="nil"/>
                    <w:tr2bl w:val="nil"/>
                  </w:tcBorders>
                  <w:shd w:val="clear" w:color="auto" w:fill="FFFFFF" w:themeFill="background1"/>
                  <w:vAlign w:val="center"/>
                </w:tcPr>
                <w:p w14:paraId="7CA54EC1">
                  <w:pPr>
                    <w:pStyle w:val="401"/>
                    <w:jc w:val="center"/>
                    <w:rPr>
                      <w:b/>
                      <w:szCs w:val="21"/>
                    </w:rPr>
                  </w:pPr>
                  <w:r>
                    <w:rPr>
                      <w:b/>
                      <w:szCs w:val="21"/>
                    </w:rPr>
                    <w:t>产生工序及装置</w:t>
                  </w:r>
                </w:p>
              </w:tc>
              <w:tc>
                <w:tcPr>
                  <w:tcW w:w="249" w:type="pct"/>
                  <w:tcBorders>
                    <w:tl2br w:val="nil"/>
                    <w:tr2bl w:val="nil"/>
                  </w:tcBorders>
                  <w:shd w:val="clear" w:color="auto" w:fill="FFFFFF" w:themeFill="background1"/>
                  <w:vAlign w:val="center"/>
                </w:tcPr>
                <w:p w14:paraId="5537C5F6">
                  <w:pPr>
                    <w:pStyle w:val="401"/>
                    <w:jc w:val="center"/>
                    <w:rPr>
                      <w:b/>
                      <w:szCs w:val="21"/>
                    </w:rPr>
                  </w:pPr>
                  <w:r>
                    <w:rPr>
                      <w:b/>
                      <w:szCs w:val="21"/>
                    </w:rPr>
                    <w:t>形态</w:t>
                  </w:r>
                </w:p>
              </w:tc>
              <w:tc>
                <w:tcPr>
                  <w:tcW w:w="400" w:type="pct"/>
                  <w:tcBorders>
                    <w:tl2br w:val="nil"/>
                    <w:tr2bl w:val="nil"/>
                  </w:tcBorders>
                  <w:shd w:val="clear" w:color="auto" w:fill="FFFFFF" w:themeFill="background1"/>
                  <w:vAlign w:val="center"/>
                </w:tcPr>
                <w:p w14:paraId="4BD444D1">
                  <w:pPr>
                    <w:pStyle w:val="401"/>
                    <w:jc w:val="center"/>
                    <w:rPr>
                      <w:b/>
                      <w:szCs w:val="21"/>
                    </w:rPr>
                  </w:pPr>
                  <w:r>
                    <w:rPr>
                      <w:b/>
                      <w:szCs w:val="21"/>
                    </w:rPr>
                    <w:t>主要成分</w:t>
                  </w:r>
                </w:p>
              </w:tc>
              <w:tc>
                <w:tcPr>
                  <w:tcW w:w="317" w:type="pct"/>
                  <w:tcBorders>
                    <w:tl2br w:val="nil"/>
                    <w:tr2bl w:val="nil"/>
                  </w:tcBorders>
                  <w:shd w:val="clear" w:color="auto" w:fill="FFFFFF" w:themeFill="background1"/>
                  <w:vAlign w:val="center"/>
                </w:tcPr>
                <w:p w14:paraId="74606207">
                  <w:pPr>
                    <w:pStyle w:val="401"/>
                    <w:jc w:val="center"/>
                    <w:rPr>
                      <w:b/>
                      <w:szCs w:val="21"/>
                    </w:rPr>
                  </w:pPr>
                  <w:r>
                    <w:rPr>
                      <w:b/>
                      <w:szCs w:val="21"/>
                    </w:rPr>
                    <w:t>有害成分</w:t>
                  </w:r>
                </w:p>
              </w:tc>
              <w:tc>
                <w:tcPr>
                  <w:tcW w:w="312" w:type="pct"/>
                  <w:tcBorders>
                    <w:tl2br w:val="nil"/>
                    <w:tr2bl w:val="nil"/>
                  </w:tcBorders>
                  <w:shd w:val="clear" w:color="auto" w:fill="FFFFFF" w:themeFill="background1"/>
                  <w:vAlign w:val="center"/>
                </w:tcPr>
                <w:p w14:paraId="74F51CD4">
                  <w:pPr>
                    <w:pStyle w:val="401"/>
                    <w:jc w:val="center"/>
                    <w:rPr>
                      <w:b/>
                      <w:szCs w:val="21"/>
                    </w:rPr>
                  </w:pPr>
                  <w:r>
                    <w:rPr>
                      <w:b/>
                      <w:szCs w:val="21"/>
                    </w:rPr>
                    <w:t>产废周期</w:t>
                  </w:r>
                </w:p>
              </w:tc>
              <w:tc>
                <w:tcPr>
                  <w:tcW w:w="338" w:type="pct"/>
                  <w:tcBorders>
                    <w:tl2br w:val="nil"/>
                    <w:tr2bl w:val="nil"/>
                  </w:tcBorders>
                  <w:shd w:val="clear" w:color="auto" w:fill="FFFFFF" w:themeFill="background1"/>
                  <w:vAlign w:val="center"/>
                </w:tcPr>
                <w:p w14:paraId="618DBCE7">
                  <w:pPr>
                    <w:pStyle w:val="401"/>
                    <w:jc w:val="center"/>
                    <w:rPr>
                      <w:b/>
                      <w:szCs w:val="21"/>
                    </w:rPr>
                  </w:pPr>
                  <w:r>
                    <w:rPr>
                      <w:b/>
                      <w:szCs w:val="21"/>
                    </w:rPr>
                    <w:t>危险特性</w:t>
                  </w:r>
                </w:p>
              </w:tc>
              <w:tc>
                <w:tcPr>
                  <w:tcW w:w="657" w:type="pct"/>
                  <w:tcBorders>
                    <w:tl2br w:val="nil"/>
                    <w:tr2bl w:val="nil"/>
                  </w:tcBorders>
                  <w:shd w:val="clear" w:color="auto" w:fill="FFFFFF" w:themeFill="background1"/>
                  <w:vAlign w:val="center"/>
                </w:tcPr>
                <w:p w14:paraId="2E1D9EBB">
                  <w:pPr>
                    <w:pStyle w:val="401"/>
                    <w:jc w:val="center"/>
                    <w:rPr>
                      <w:b/>
                      <w:szCs w:val="21"/>
                    </w:rPr>
                  </w:pPr>
                  <w:r>
                    <w:rPr>
                      <w:b/>
                      <w:szCs w:val="21"/>
                    </w:rPr>
                    <w:t>污染防治措施</w:t>
                  </w:r>
                </w:p>
              </w:tc>
            </w:tr>
            <w:tr w14:paraId="541BD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14:paraId="115B9B60">
                  <w:pPr>
                    <w:pStyle w:val="401"/>
                    <w:jc w:val="center"/>
                    <w:rPr>
                      <w:bCs/>
                      <w:szCs w:val="21"/>
                    </w:rPr>
                  </w:pPr>
                  <w:r>
                    <w:rPr>
                      <w:bCs/>
                      <w:szCs w:val="21"/>
                    </w:rPr>
                    <w:t>1</w:t>
                  </w:r>
                </w:p>
              </w:tc>
              <w:tc>
                <w:tcPr>
                  <w:tcW w:w="608" w:type="pct"/>
                  <w:tcBorders>
                    <w:tl2br w:val="nil"/>
                    <w:tr2bl w:val="nil"/>
                  </w:tcBorders>
                  <w:vAlign w:val="center"/>
                </w:tcPr>
                <w:p w14:paraId="2199BB40">
                  <w:pPr>
                    <w:topLinePunct/>
                    <w:adjustRightInd w:val="0"/>
                    <w:snapToGrid w:val="0"/>
                    <w:jc w:val="center"/>
                    <w:rPr>
                      <w:kern w:val="0"/>
                      <w:szCs w:val="21"/>
                    </w:rPr>
                  </w:pPr>
                  <w:r>
                    <w:rPr>
                      <w:kern w:val="0"/>
                      <w:szCs w:val="21"/>
                    </w:rPr>
                    <w:t>废润滑油</w:t>
                  </w:r>
                </w:p>
              </w:tc>
              <w:tc>
                <w:tcPr>
                  <w:tcW w:w="333" w:type="pct"/>
                  <w:tcBorders>
                    <w:tl2br w:val="nil"/>
                    <w:tr2bl w:val="nil"/>
                  </w:tcBorders>
                  <w:vAlign w:val="center"/>
                </w:tcPr>
                <w:p w14:paraId="524514D8">
                  <w:pPr>
                    <w:topLinePunct/>
                    <w:adjustRightInd w:val="0"/>
                    <w:snapToGrid w:val="0"/>
                    <w:jc w:val="center"/>
                    <w:rPr>
                      <w:bCs/>
                      <w:szCs w:val="21"/>
                    </w:rPr>
                  </w:pPr>
                  <w:r>
                    <w:rPr>
                      <w:szCs w:val="21"/>
                    </w:rPr>
                    <w:t>HW08</w:t>
                  </w:r>
                </w:p>
              </w:tc>
              <w:tc>
                <w:tcPr>
                  <w:tcW w:w="395" w:type="pct"/>
                  <w:tcBorders>
                    <w:tl2br w:val="nil"/>
                    <w:tr2bl w:val="nil"/>
                  </w:tcBorders>
                  <w:vAlign w:val="center"/>
                </w:tcPr>
                <w:p w14:paraId="2BE9A405">
                  <w:pPr>
                    <w:topLinePunct/>
                    <w:adjustRightInd w:val="0"/>
                    <w:snapToGrid w:val="0"/>
                    <w:jc w:val="center"/>
                    <w:rPr>
                      <w:bCs/>
                      <w:szCs w:val="21"/>
                    </w:rPr>
                  </w:pPr>
                  <w:r>
                    <w:rPr>
                      <w:szCs w:val="21"/>
                    </w:rPr>
                    <w:t>900-217-08</w:t>
                  </w:r>
                </w:p>
              </w:tc>
              <w:tc>
                <w:tcPr>
                  <w:tcW w:w="400" w:type="pct"/>
                  <w:tcBorders>
                    <w:tl2br w:val="nil"/>
                    <w:tr2bl w:val="nil"/>
                  </w:tcBorders>
                  <w:vAlign w:val="center"/>
                </w:tcPr>
                <w:p w14:paraId="4B08DD28">
                  <w:pPr>
                    <w:pStyle w:val="401"/>
                    <w:jc w:val="center"/>
                    <w:rPr>
                      <w:bCs/>
                      <w:szCs w:val="21"/>
                    </w:rPr>
                  </w:pPr>
                  <w:r>
                    <w:rPr>
                      <w:bCs/>
                      <w:szCs w:val="21"/>
                    </w:rPr>
                    <w:t>危险废物</w:t>
                  </w:r>
                </w:p>
              </w:tc>
              <w:tc>
                <w:tcPr>
                  <w:tcW w:w="395" w:type="pct"/>
                  <w:tcBorders>
                    <w:tl2br w:val="nil"/>
                    <w:tr2bl w:val="nil"/>
                  </w:tcBorders>
                  <w:vAlign w:val="center"/>
                </w:tcPr>
                <w:p w14:paraId="702452BE">
                  <w:pPr>
                    <w:topLinePunct/>
                    <w:adjustRightInd w:val="0"/>
                    <w:snapToGrid w:val="0"/>
                    <w:jc w:val="center"/>
                    <w:rPr>
                      <w:bCs/>
                      <w:szCs w:val="21"/>
                    </w:rPr>
                  </w:pPr>
                  <w:r>
                    <w:rPr>
                      <w:kern w:val="0"/>
                      <w:szCs w:val="21"/>
                    </w:rPr>
                    <w:t>0.03</w:t>
                  </w:r>
                </w:p>
              </w:tc>
              <w:tc>
                <w:tcPr>
                  <w:tcW w:w="395" w:type="pct"/>
                  <w:tcBorders>
                    <w:tl2br w:val="nil"/>
                    <w:tr2bl w:val="nil"/>
                  </w:tcBorders>
                  <w:vAlign w:val="center"/>
                </w:tcPr>
                <w:p w14:paraId="6AE49925">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14:paraId="15D3FC28">
                  <w:pPr>
                    <w:topLinePunct/>
                    <w:adjustRightInd w:val="0"/>
                    <w:snapToGrid w:val="0"/>
                    <w:jc w:val="center"/>
                    <w:rPr>
                      <w:bCs/>
                      <w:szCs w:val="21"/>
                    </w:rPr>
                  </w:pPr>
                  <w:r>
                    <w:rPr>
                      <w:kern w:val="0"/>
                      <w:szCs w:val="21"/>
                    </w:rPr>
                    <w:t>液态</w:t>
                  </w:r>
                </w:p>
              </w:tc>
              <w:tc>
                <w:tcPr>
                  <w:tcW w:w="400" w:type="pct"/>
                  <w:tcBorders>
                    <w:tl2br w:val="nil"/>
                    <w:tr2bl w:val="nil"/>
                  </w:tcBorders>
                  <w:vAlign w:val="center"/>
                </w:tcPr>
                <w:p w14:paraId="0D703A86">
                  <w:pPr>
                    <w:topLinePunct/>
                    <w:adjustRightInd w:val="0"/>
                    <w:snapToGrid w:val="0"/>
                    <w:jc w:val="center"/>
                    <w:rPr>
                      <w:rFonts w:hint="eastAsia" w:eastAsia="宋体"/>
                      <w:bCs/>
                      <w:szCs w:val="21"/>
                      <w:lang w:val="en-US" w:eastAsia="zh-CN"/>
                    </w:rPr>
                  </w:pPr>
                  <w:r>
                    <w:rPr>
                      <w:kern w:val="0"/>
                      <w:szCs w:val="21"/>
                    </w:rPr>
                    <w:t>矿物油</w:t>
                  </w:r>
                  <w:r>
                    <w:rPr>
                      <w:rFonts w:hint="eastAsia"/>
                      <w:kern w:val="0"/>
                      <w:szCs w:val="21"/>
                      <w:lang w:val="en-US" w:eastAsia="zh-CN"/>
                    </w:rPr>
                    <w:t xml:space="preserve"> </w:t>
                  </w:r>
                </w:p>
              </w:tc>
              <w:tc>
                <w:tcPr>
                  <w:tcW w:w="317" w:type="pct"/>
                  <w:tcBorders>
                    <w:tl2br w:val="nil"/>
                    <w:tr2bl w:val="nil"/>
                  </w:tcBorders>
                  <w:vAlign w:val="center"/>
                </w:tcPr>
                <w:p w14:paraId="67E5D8B0">
                  <w:pPr>
                    <w:topLinePunct/>
                    <w:adjustRightInd w:val="0"/>
                    <w:snapToGrid w:val="0"/>
                    <w:jc w:val="center"/>
                    <w:rPr>
                      <w:bCs/>
                      <w:szCs w:val="21"/>
                    </w:rPr>
                  </w:pPr>
                  <w:r>
                    <w:rPr>
                      <w:kern w:val="0"/>
                      <w:szCs w:val="21"/>
                    </w:rPr>
                    <w:t>矿物油</w:t>
                  </w:r>
                </w:p>
              </w:tc>
              <w:tc>
                <w:tcPr>
                  <w:tcW w:w="312" w:type="pct"/>
                  <w:vMerge w:val="restart"/>
                  <w:tcBorders>
                    <w:tl2br w:val="nil"/>
                    <w:tr2bl w:val="nil"/>
                  </w:tcBorders>
                  <w:vAlign w:val="center"/>
                </w:tcPr>
                <w:p w14:paraId="14AC9729">
                  <w:pPr>
                    <w:topLinePunct/>
                    <w:adjustRightInd w:val="0"/>
                    <w:snapToGrid w:val="0"/>
                    <w:jc w:val="center"/>
                    <w:rPr>
                      <w:bCs/>
                      <w:szCs w:val="21"/>
                    </w:rPr>
                  </w:pPr>
                  <w:r>
                    <w:rPr>
                      <w:bCs/>
                      <w:szCs w:val="21"/>
                    </w:rPr>
                    <w:t>试气工程施工期间</w:t>
                  </w:r>
                </w:p>
              </w:tc>
              <w:tc>
                <w:tcPr>
                  <w:tcW w:w="338" w:type="pct"/>
                  <w:tcBorders>
                    <w:tl2br w:val="nil"/>
                    <w:tr2bl w:val="nil"/>
                  </w:tcBorders>
                  <w:vAlign w:val="center"/>
                </w:tcPr>
                <w:p w14:paraId="434CA836">
                  <w:pPr>
                    <w:pStyle w:val="401"/>
                    <w:jc w:val="center"/>
                    <w:rPr>
                      <w:bCs/>
                      <w:szCs w:val="21"/>
                    </w:rPr>
                  </w:pPr>
                  <w:r>
                    <w:rPr>
                      <w:bCs/>
                      <w:szCs w:val="21"/>
                    </w:rPr>
                    <w:t>T</w:t>
                  </w:r>
                </w:p>
              </w:tc>
              <w:tc>
                <w:tcPr>
                  <w:tcW w:w="657" w:type="pct"/>
                  <w:vMerge w:val="restart"/>
                  <w:tcBorders>
                    <w:tl2br w:val="nil"/>
                    <w:tr2bl w:val="nil"/>
                  </w:tcBorders>
                  <w:vAlign w:val="center"/>
                </w:tcPr>
                <w:p w14:paraId="45B721EA">
                  <w:pPr>
                    <w:pStyle w:val="401"/>
                    <w:jc w:val="center"/>
                    <w:rPr>
                      <w:bCs/>
                      <w:szCs w:val="21"/>
                    </w:rPr>
                  </w:pPr>
                  <w:r>
                    <w:rPr>
                      <w:bCs/>
                      <w:szCs w:val="21"/>
                    </w:rPr>
                    <w:t>收集后暂存于危险废物贮存点，就近委托有资质单位</w:t>
                  </w:r>
                  <w:r>
                    <w:rPr>
                      <w:rFonts w:hint="eastAsia"/>
                      <w:bCs/>
                      <w:szCs w:val="21"/>
                    </w:rPr>
                    <w:t>处理</w:t>
                  </w:r>
                </w:p>
              </w:tc>
            </w:tr>
            <w:tr w14:paraId="0F164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14:paraId="31A2CF2F">
                  <w:pPr>
                    <w:pStyle w:val="401"/>
                    <w:jc w:val="center"/>
                    <w:rPr>
                      <w:bCs/>
                      <w:szCs w:val="21"/>
                    </w:rPr>
                  </w:pPr>
                  <w:r>
                    <w:rPr>
                      <w:bCs/>
                      <w:szCs w:val="21"/>
                    </w:rPr>
                    <w:t>2</w:t>
                  </w:r>
                </w:p>
              </w:tc>
              <w:tc>
                <w:tcPr>
                  <w:tcW w:w="608" w:type="pct"/>
                  <w:tcBorders>
                    <w:tl2br w:val="nil"/>
                    <w:tr2bl w:val="nil"/>
                  </w:tcBorders>
                  <w:vAlign w:val="center"/>
                </w:tcPr>
                <w:p w14:paraId="4139CE35">
                  <w:pPr>
                    <w:topLinePunct/>
                    <w:adjustRightInd w:val="0"/>
                    <w:snapToGrid w:val="0"/>
                    <w:jc w:val="center"/>
                    <w:rPr>
                      <w:kern w:val="0"/>
                      <w:szCs w:val="21"/>
                    </w:rPr>
                  </w:pPr>
                  <w:r>
                    <w:rPr>
                      <w:kern w:val="0"/>
                      <w:szCs w:val="21"/>
                    </w:rPr>
                    <w:t>废油桶</w:t>
                  </w:r>
                </w:p>
              </w:tc>
              <w:tc>
                <w:tcPr>
                  <w:tcW w:w="333" w:type="pct"/>
                  <w:tcBorders>
                    <w:tl2br w:val="nil"/>
                    <w:tr2bl w:val="nil"/>
                  </w:tcBorders>
                  <w:vAlign w:val="center"/>
                </w:tcPr>
                <w:p w14:paraId="18CC461D">
                  <w:pPr>
                    <w:topLinePunct/>
                    <w:adjustRightInd w:val="0"/>
                    <w:snapToGrid w:val="0"/>
                    <w:jc w:val="center"/>
                    <w:rPr>
                      <w:bCs/>
                      <w:szCs w:val="21"/>
                    </w:rPr>
                  </w:pPr>
                  <w:r>
                    <w:rPr>
                      <w:szCs w:val="21"/>
                    </w:rPr>
                    <w:t>HW08</w:t>
                  </w:r>
                </w:p>
              </w:tc>
              <w:tc>
                <w:tcPr>
                  <w:tcW w:w="395" w:type="pct"/>
                  <w:tcBorders>
                    <w:tl2br w:val="nil"/>
                    <w:tr2bl w:val="nil"/>
                  </w:tcBorders>
                  <w:vAlign w:val="center"/>
                </w:tcPr>
                <w:p w14:paraId="0A84B7D0">
                  <w:pPr>
                    <w:topLinePunct/>
                    <w:adjustRightInd w:val="0"/>
                    <w:snapToGrid w:val="0"/>
                    <w:jc w:val="center"/>
                    <w:rPr>
                      <w:bCs/>
                      <w:szCs w:val="21"/>
                    </w:rPr>
                  </w:pPr>
                  <w:r>
                    <w:rPr>
                      <w:szCs w:val="21"/>
                    </w:rPr>
                    <w:t>900-249-08</w:t>
                  </w:r>
                </w:p>
              </w:tc>
              <w:tc>
                <w:tcPr>
                  <w:tcW w:w="400" w:type="pct"/>
                  <w:tcBorders>
                    <w:tl2br w:val="nil"/>
                    <w:tr2bl w:val="nil"/>
                  </w:tcBorders>
                  <w:vAlign w:val="center"/>
                </w:tcPr>
                <w:p w14:paraId="7F8E8FB8">
                  <w:pPr>
                    <w:pStyle w:val="401"/>
                    <w:jc w:val="center"/>
                    <w:rPr>
                      <w:bCs/>
                      <w:szCs w:val="21"/>
                    </w:rPr>
                  </w:pPr>
                  <w:r>
                    <w:rPr>
                      <w:bCs/>
                      <w:szCs w:val="21"/>
                    </w:rPr>
                    <w:t>危险废物</w:t>
                  </w:r>
                </w:p>
              </w:tc>
              <w:tc>
                <w:tcPr>
                  <w:tcW w:w="395" w:type="pct"/>
                  <w:tcBorders>
                    <w:tl2br w:val="nil"/>
                    <w:tr2bl w:val="nil"/>
                  </w:tcBorders>
                  <w:vAlign w:val="center"/>
                </w:tcPr>
                <w:p w14:paraId="7AA5F8F1">
                  <w:pPr>
                    <w:topLinePunct/>
                    <w:adjustRightInd w:val="0"/>
                    <w:snapToGrid w:val="0"/>
                    <w:jc w:val="center"/>
                    <w:rPr>
                      <w:bCs/>
                      <w:szCs w:val="21"/>
                    </w:rPr>
                  </w:pPr>
                  <w:r>
                    <w:rPr>
                      <w:kern w:val="0"/>
                      <w:szCs w:val="21"/>
                    </w:rPr>
                    <w:t>0.06</w:t>
                  </w:r>
                </w:p>
              </w:tc>
              <w:tc>
                <w:tcPr>
                  <w:tcW w:w="395" w:type="pct"/>
                  <w:tcBorders>
                    <w:tl2br w:val="nil"/>
                    <w:tr2bl w:val="nil"/>
                  </w:tcBorders>
                  <w:vAlign w:val="center"/>
                </w:tcPr>
                <w:p w14:paraId="014E2BA6">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14:paraId="0A158A73">
                  <w:pPr>
                    <w:topLinePunct/>
                    <w:adjustRightInd w:val="0"/>
                    <w:snapToGrid w:val="0"/>
                    <w:jc w:val="center"/>
                    <w:rPr>
                      <w:bCs/>
                      <w:szCs w:val="21"/>
                    </w:rPr>
                  </w:pPr>
                  <w:r>
                    <w:rPr>
                      <w:kern w:val="0"/>
                      <w:szCs w:val="21"/>
                    </w:rPr>
                    <w:t>固态</w:t>
                  </w:r>
                </w:p>
              </w:tc>
              <w:tc>
                <w:tcPr>
                  <w:tcW w:w="400" w:type="pct"/>
                  <w:tcBorders>
                    <w:tl2br w:val="nil"/>
                    <w:tr2bl w:val="nil"/>
                  </w:tcBorders>
                  <w:vAlign w:val="center"/>
                </w:tcPr>
                <w:p w14:paraId="438F6B8F">
                  <w:pPr>
                    <w:topLinePunct/>
                    <w:adjustRightInd w:val="0"/>
                    <w:snapToGrid w:val="0"/>
                    <w:jc w:val="center"/>
                    <w:rPr>
                      <w:rFonts w:hint="eastAsia" w:eastAsia="宋体"/>
                      <w:bCs/>
                      <w:szCs w:val="21"/>
                      <w:lang w:val="en-US" w:eastAsia="zh-CN"/>
                    </w:rPr>
                  </w:pPr>
                  <w:r>
                    <w:rPr>
                      <w:kern w:val="0"/>
                      <w:szCs w:val="21"/>
                    </w:rPr>
                    <w:t>铁、矿物油</w:t>
                  </w:r>
                  <w:r>
                    <w:rPr>
                      <w:rFonts w:hint="eastAsia"/>
                      <w:kern w:val="0"/>
                      <w:szCs w:val="21"/>
                      <w:lang w:val="en-US" w:eastAsia="zh-CN"/>
                    </w:rPr>
                    <w:t xml:space="preserve"> </w:t>
                  </w:r>
                </w:p>
              </w:tc>
              <w:tc>
                <w:tcPr>
                  <w:tcW w:w="317" w:type="pct"/>
                  <w:tcBorders>
                    <w:tl2br w:val="nil"/>
                    <w:tr2bl w:val="nil"/>
                  </w:tcBorders>
                  <w:vAlign w:val="center"/>
                </w:tcPr>
                <w:p w14:paraId="2FCA451A">
                  <w:pPr>
                    <w:topLinePunct/>
                    <w:adjustRightInd w:val="0"/>
                    <w:snapToGrid w:val="0"/>
                    <w:jc w:val="center"/>
                    <w:rPr>
                      <w:bCs/>
                      <w:szCs w:val="21"/>
                    </w:rPr>
                  </w:pPr>
                  <w:r>
                    <w:rPr>
                      <w:kern w:val="0"/>
                      <w:szCs w:val="21"/>
                    </w:rPr>
                    <w:t>矿物油</w:t>
                  </w:r>
                </w:p>
              </w:tc>
              <w:tc>
                <w:tcPr>
                  <w:tcW w:w="312" w:type="pct"/>
                  <w:vMerge w:val="continue"/>
                  <w:tcBorders>
                    <w:tl2br w:val="nil"/>
                    <w:tr2bl w:val="nil"/>
                  </w:tcBorders>
                  <w:vAlign w:val="center"/>
                </w:tcPr>
                <w:p w14:paraId="7FA7CD41">
                  <w:pPr>
                    <w:topLinePunct/>
                    <w:adjustRightInd w:val="0"/>
                    <w:snapToGrid w:val="0"/>
                    <w:jc w:val="center"/>
                    <w:rPr>
                      <w:bCs/>
                      <w:szCs w:val="21"/>
                    </w:rPr>
                  </w:pPr>
                </w:p>
              </w:tc>
              <w:tc>
                <w:tcPr>
                  <w:tcW w:w="338" w:type="pct"/>
                  <w:tcBorders>
                    <w:tl2br w:val="nil"/>
                    <w:tr2bl w:val="nil"/>
                  </w:tcBorders>
                  <w:vAlign w:val="center"/>
                </w:tcPr>
                <w:p w14:paraId="4C9DC876">
                  <w:pPr>
                    <w:pStyle w:val="401"/>
                    <w:jc w:val="center"/>
                    <w:rPr>
                      <w:bCs/>
                      <w:szCs w:val="21"/>
                    </w:rPr>
                  </w:pPr>
                  <w:r>
                    <w:rPr>
                      <w:bCs/>
                      <w:szCs w:val="21"/>
                    </w:rPr>
                    <w:t>T</w:t>
                  </w:r>
                </w:p>
              </w:tc>
              <w:tc>
                <w:tcPr>
                  <w:tcW w:w="657" w:type="pct"/>
                  <w:vMerge w:val="continue"/>
                  <w:tcBorders>
                    <w:tl2br w:val="nil"/>
                    <w:tr2bl w:val="nil"/>
                  </w:tcBorders>
                  <w:vAlign w:val="center"/>
                </w:tcPr>
                <w:p w14:paraId="5CECD148">
                  <w:pPr>
                    <w:pStyle w:val="401"/>
                    <w:jc w:val="center"/>
                    <w:rPr>
                      <w:bCs/>
                      <w:szCs w:val="21"/>
                    </w:rPr>
                  </w:pPr>
                </w:p>
              </w:tc>
            </w:tr>
            <w:tr w14:paraId="5DB22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14:paraId="675B1915">
                  <w:pPr>
                    <w:pStyle w:val="401"/>
                    <w:jc w:val="center"/>
                    <w:rPr>
                      <w:bCs/>
                      <w:szCs w:val="21"/>
                    </w:rPr>
                  </w:pPr>
                  <w:r>
                    <w:rPr>
                      <w:bCs/>
                      <w:szCs w:val="21"/>
                    </w:rPr>
                    <w:t>3</w:t>
                  </w:r>
                </w:p>
              </w:tc>
              <w:tc>
                <w:tcPr>
                  <w:tcW w:w="608" w:type="pct"/>
                  <w:tcBorders>
                    <w:tl2br w:val="nil"/>
                    <w:tr2bl w:val="nil"/>
                  </w:tcBorders>
                  <w:vAlign w:val="center"/>
                </w:tcPr>
                <w:p w14:paraId="7897E5E3">
                  <w:pPr>
                    <w:topLinePunct/>
                    <w:adjustRightInd w:val="0"/>
                    <w:snapToGrid w:val="0"/>
                    <w:jc w:val="center"/>
                    <w:rPr>
                      <w:kern w:val="0"/>
                      <w:szCs w:val="21"/>
                    </w:rPr>
                  </w:pPr>
                  <w:r>
                    <w:rPr>
                      <w:kern w:val="0"/>
                      <w:szCs w:val="21"/>
                    </w:rPr>
                    <w:t>废棉纱/手套</w:t>
                  </w:r>
                </w:p>
              </w:tc>
              <w:tc>
                <w:tcPr>
                  <w:tcW w:w="333" w:type="pct"/>
                  <w:tcBorders>
                    <w:tl2br w:val="nil"/>
                    <w:tr2bl w:val="nil"/>
                  </w:tcBorders>
                  <w:vAlign w:val="center"/>
                </w:tcPr>
                <w:p w14:paraId="271CC915">
                  <w:pPr>
                    <w:topLinePunct/>
                    <w:adjustRightInd w:val="0"/>
                    <w:snapToGrid w:val="0"/>
                    <w:jc w:val="center"/>
                    <w:rPr>
                      <w:bCs/>
                      <w:szCs w:val="21"/>
                    </w:rPr>
                  </w:pPr>
                  <w:r>
                    <w:rPr>
                      <w:szCs w:val="21"/>
                    </w:rPr>
                    <w:t>HW49</w:t>
                  </w:r>
                </w:p>
              </w:tc>
              <w:tc>
                <w:tcPr>
                  <w:tcW w:w="395" w:type="pct"/>
                  <w:tcBorders>
                    <w:tl2br w:val="nil"/>
                    <w:tr2bl w:val="nil"/>
                  </w:tcBorders>
                  <w:vAlign w:val="center"/>
                </w:tcPr>
                <w:p w14:paraId="4BDBC47E">
                  <w:pPr>
                    <w:topLinePunct/>
                    <w:adjustRightInd w:val="0"/>
                    <w:snapToGrid w:val="0"/>
                    <w:jc w:val="center"/>
                    <w:rPr>
                      <w:bCs/>
                      <w:szCs w:val="21"/>
                    </w:rPr>
                  </w:pPr>
                  <w:r>
                    <w:rPr>
                      <w:szCs w:val="21"/>
                    </w:rPr>
                    <w:t>900-041-49</w:t>
                  </w:r>
                </w:p>
              </w:tc>
              <w:tc>
                <w:tcPr>
                  <w:tcW w:w="400" w:type="pct"/>
                  <w:tcBorders>
                    <w:tl2br w:val="nil"/>
                    <w:tr2bl w:val="nil"/>
                  </w:tcBorders>
                  <w:vAlign w:val="center"/>
                </w:tcPr>
                <w:p w14:paraId="57AD3786">
                  <w:pPr>
                    <w:pStyle w:val="401"/>
                    <w:jc w:val="center"/>
                    <w:rPr>
                      <w:bCs/>
                      <w:szCs w:val="21"/>
                    </w:rPr>
                  </w:pPr>
                  <w:r>
                    <w:rPr>
                      <w:bCs/>
                      <w:szCs w:val="21"/>
                    </w:rPr>
                    <w:t>危险废物</w:t>
                  </w:r>
                </w:p>
              </w:tc>
              <w:tc>
                <w:tcPr>
                  <w:tcW w:w="395" w:type="pct"/>
                  <w:tcBorders>
                    <w:tl2br w:val="nil"/>
                    <w:tr2bl w:val="nil"/>
                  </w:tcBorders>
                  <w:vAlign w:val="center"/>
                </w:tcPr>
                <w:p w14:paraId="6AD34EB8">
                  <w:pPr>
                    <w:topLinePunct/>
                    <w:adjustRightInd w:val="0"/>
                    <w:snapToGrid w:val="0"/>
                    <w:jc w:val="center"/>
                    <w:rPr>
                      <w:bCs/>
                      <w:szCs w:val="21"/>
                    </w:rPr>
                  </w:pPr>
                  <w:r>
                    <w:rPr>
                      <w:kern w:val="0"/>
                      <w:szCs w:val="21"/>
                    </w:rPr>
                    <w:t>0.1</w:t>
                  </w:r>
                </w:p>
              </w:tc>
              <w:tc>
                <w:tcPr>
                  <w:tcW w:w="395" w:type="pct"/>
                  <w:tcBorders>
                    <w:tl2br w:val="nil"/>
                    <w:tr2bl w:val="nil"/>
                  </w:tcBorders>
                  <w:vAlign w:val="center"/>
                </w:tcPr>
                <w:p w14:paraId="013B5A33">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14:paraId="3FC0BEAE">
                  <w:pPr>
                    <w:topLinePunct/>
                    <w:adjustRightInd w:val="0"/>
                    <w:snapToGrid w:val="0"/>
                    <w:jc w:val="center"/>
                    <w:rPr>
                      <w:bCs/>
                      <w:szCs w:val="21"/>
                    </w:rPr>
                  </w:pPr>
                  <w:r>
                    <w:rPr>
                      <w:kern w:val="0"/>
                      <w:szCs w:val="21"/>
                    </w:rPr>
                    <w:t>固态</w:t>
                  </w:r>
                </w:p>
              </w:tc>
              <w:tc>
                <w:tcPr>
                  <w:tcW w:w="400" w:type="pct"/>
                  <w:tcBorders>
                    <w:tl2br w:val="nil"/>
                    <w:tr2bl w:val="nil"/>
                  </w:tcBorders>
                  <w:vAlign w:val="center"/>
                </w:tcPr>
                <w:p w14:paraId="2AA1DAEA">
                  <w:pPr>
                    <w:topLinePunct/>
                    <w:adjustRightInd w:val="0"/>
                    <w:snapToGrid w:val="0"/>
                    <w:jc w:val="center"/>
                    <w:rPr>
                      <w:rFonts w:hint="eastAsia" w:eastAsia="宋体"/>
                      <w:bCs/>
                      <w:szCs w:val="21"/>
                      <w:lang w:val="en-US" w:eastAsia="zh-CN"/>
                    </w:rPr>
                  </w:pPr>
                  <w:r>
                    <w:rPr>
                      <w:kern w:val="0"/>
                      <w:szCs w:val="21"/>
                    </w:rPr>
                    <w:t>棉纱、矿物油</w:t>
                  </w:r>
                  <w:r>
                    <w:rPr>
                      <w:rFonts w:hint="eastAsia"/>
                      <w:kern w:val="0"/>
                      <w:szCs w:val="21"/>
                      <w:lang w:val="en-US" w:eastAsia="zh-CN"/>
                    </w:rPr>
                    <w:t xml:space="preserve"> </w:t>
                  </w:r>
                </w:p>
              </w:tc>
              <w:tc>
                <w:tcPr>
                  <w:tcW w:w="317" w:type="pct"/>
                  <w:tcBorders>
                    <w:tl2br w:val="nil"/>
                    <w:tr2bl w:val="nil"/>
                  </w:tcBorders>
                  <w:vAlign w:val="center"/>
                </w:tcPr>
                <w:p w14:paraId="09279725">
                  <w:pPr>
                    <w:topLinePunct/>
                    <w:adjustRightInd w:val="0"/>
                    <w:snapToGrid w:val="0"/>
                    <w:jc w:val="center"/>
                    <w:rPr>
                      <w:bCs/>
                      <w:szCs w:val="21"/>
                    </w:rPr>
                  </w:pPr>
                  <w:r>
                    <w:rPr>
                      <w:kern w:val="0"/>
                      <w:szCs w:val="21"/>
                    </w:rPr>
                    <w:t>矿物油</w:t>
                  </w:r>
                </w:p>
              </w:tc>
              <w:tc>
                <w:tcPr>
                  <w:tcW w:w="312" w:type="pct"/>
                  <w:vMerge w:val="continue"/>
                  <w:tcBorders>
                    <w:tl2br w:val="nil"/>
                    <w:tr2bl w:val="nil"/>
                  </w:tcBorders>
                  <w:vAlign w:val="center"/>
                </w:tcPr>
                <w:p w14:paraId="543ECA74">
                  <w:pPr>
                    <w:topLinePunct/>
                    <w:adjustRightInd w:val="0"/>
                    <w:snapToGrid w:val="0"/>
                    <w:jc w:val="center"/>
                    <w:rPr>
                      <w:bCs/>
                      <w:szCs w:val="21"/>
                    </w:rPr>
                  </w:pPr>
                </w:p>
              </w:tc>
              <w:tc>
                <w:tcPr>
                  <w:tcW w:w="338" w:type="pct"/>
                  <w:tcBorders>
                    <w:tl2br w:val="nil"/>
                    <w:tr2bl w:val="nil"/>
                  </w:tcBorders>
                  <w:vAlign w:val="center"/>
                </w:tcPr>
                <w:p w14:paraId="6D264DF2">
                  <w:pPr>
                    <w:pStyle w:val="401"/>
                    <w:jc w:val="center"/>
                    <w:rPr>
                      <w:bCs/>
                      <w:szCs w:val="21"/>
                    </w:rPr>
                  </w:pPr>
                  <w:r>
                    <w:rPr>
                      <w:bCs/>
                      <w:szCs w:val="21"/>
                    </w:rPr>
                    <w:t>T/I</w:t>
                  </w:r>
                </w:p>
              </w:tc>
              <w:tc>
                <w:tcPr>
                  <w:tcW w:w="657" w:type="pct"/>
                  <w:vMerge w:val="continue"/>
                  <w:tcBorders>
                    <w:tl2br w:val="nil"/>
                    <w:tr2bl w:val="nil"/>
                  </w:tcBorders>
                  <w:vAlign w:val="center"/>
                </w:tcPr>
                <w:p w14:paraId="00387D5F">
                  <w:pPr>
                    <w:pStyle w:val="401"/>
                    <w:jc w:val="center"/>
                    <w:rPr>
                      <w:bCs/>
                      <w:szCs w:val="21"/>
                    </w:rPr>
                  </w:pPr>
                </w:p>
              </w:tc>
            </w:tr>
            <w:tr w14:paraId="63139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14:paraId="7C1A8FCE">
                  <w:pPr>
                    <w:pStyle w:val="401"/>
                    <w:jc w:val="center"/>
                    <w:rPr>
                      <w:bCs/>
                      <w:color w:val="0000FF"/>
                      <w:szCs w:val="21"/>
                    </w:rPr>
                  </w:pPr>
                  <w:r>
                    <w:rPr>
                      <w:rFonts w:hint="eastAsia"/>
                      <w:bCs/>
                      <w:color w:val="0000FF"/>
                      <w:szCs w:val="21"/>
                    </w:rPr>
                    <w:t>4</w:t>
                  </w:r>
                </w:p>
              </w:tc>
              <w:tc>
                <w:tcPr>
                  <w:tcW w:w="608" w:type="pct"/>
                  <w:tcBorders>
                    <w:tl2br w:val="nil"/>
                    <w:tr2bl w:val="nil"/>
                  </w:tcBorders>
                  <w:vAlign w:val="center"/>
                </w:tcPr>
                <w:p w14:paraId="5B4A5143">
                  <w:pPr>
                    <w:topLinePunct/>
                    <w:adjustRightInd w:val="0"/>
                    <w:snapToGrid w:val="0"/>
                    <w:jc w:val="center"/>
                    <w:rPr>
                      <w:color w:val="0000FF"/>
                      <w:kern w:val="0"/>
                      <w:szCs w:val="21"/>
                    </w:rPr>
                  </w:pPr>
                  <w:r>
                    <w:rPr>
                      <w:color w:val="0000FF"/>
                      <w:kern w:val="0"/>
                      <w:szCs w:val="21"/>
                    </w:rPr>
                    <w:t>压裂返排液絮凝沉淀污泥</w:t>
                  </w:r>
                </w:p>
              </w:tc>
              <w:tc>
                <w:tcPr>
                  <w:tcW w:w="333" w:type="pct"/>
                  <w:tcBorders>
                    <w:tl2br w:val="nil"/>
                    <w:tr2bl w:val="nil"/>
                  </w:tcBorders>
                  <w:vAlign w:val="center"/>
                </w:tcPr>
                <w:p w14:paraId="27C47388">
                  <w:pPr>
                    <w:topLinePunct/>
                    <w:adjustRightInd w:val="0"/>
                    <w:snapToGrid w:val="0"/>
                    <w:jc w:val="center"/>
                    <w:rPr>
                      <w:color w:val="0000FF"/>
                      <w:szCs w:val="21"/>
                    </w:rPr>
                  </w:pPr>
                  <w:r>
                    <w:rPr>
                      <w:rFonts w:hint="eastAsia"/>
                      <w:color w:val="0000FF"/>
                      <w:szCs w:val="21"/>
                    </w:rPr>
                    <w:t>HW49</w:t>
                  </w:r>
                </w:p>
              </w:tc>
              <w:tc>
                <w:tcPr>
                  <w:tcW w:w="395" w:type="pct"/>
                  <w:tcBorders>
                    <w:tl2br w:val="nil"/>
                    <w:tr2bl w:val="nil"/>
                  </w:tcBorders>
                  <w:vAlign w:val="center"/>
                </w:tcPr>
                <w:p w14:paraId="40E719AA">
                  <w:pPr>
                    <w:topLinePunct/>
                    <w:adjustRightInd w:val="0"/>
                    <w:snapToGrid w:val="0"/>
                    <w:jc w:val="center"/>
                    <w:rPr>
                      <w:color w:val="0000FF"/>
                      <w:szCs w:val="21"/>
                    </w:rPr>
                  </w:pPr>
                  <w:r>
                    <w:rPr>
                      <w:rFonts w:hint="eastAsia"/>
                      <w:color w:val="0000FF"/>
                      <w:szCs w:val="21"/>
                    </w:rPr>
                    <w:t>772-006-49</w:t>
                  </w:r>
                </w:p>
              </w:tc>
              <w:tc>
                <w:tcPr>
                  <w:tcW w:w="400" w:type="pct"/>
                  <w:tcBorders>
                    <w:tl2br w:val="nil"/>
                    <w:tr2bl w:val="nil"/>
                  </w:tcBorders>
                  <w:vAlign w:val="center"/>
                </w:tcPr>
                <w:p w14:paraId="1702BCDC">
                  <w:pPr>
                    <w:pStyle w:val="401"/>
                    <w:jc w:val="center"/>
                    <w:rPr>
                      <w:bCs/>
                      <w:color w:val="0000FF"/>
                      <w:szCs w:val="21"/>
                    </w:rPr>
                  </w:pPr>
                  <w:r>
                    <w:rPr>
                      <w:rFonts w:hint="eastAsia"/>
                      <w:bCs/>
                      <w:color w:val="0000FF"/>
                      <w:szCs w:val="21"/>
                    </w:rPr>
                    <w:t>危险废物</w:t>
                  </w:r>
                </w:p>
              </w:tc>
              <w:tc>
                <w:tcPr>
                  <w:tcW w:w="395" w:type="pct"/>
                  <w:tcBorders>
                    <w:tl2br w:val="nil"/>
                    <w:tr2bl w:val="nil"/>
                  </w:tcBorders>
                  <w:vAlign w:val="center"/>
                </w:tcPr>
                <w:p w14:paraId="0FB4EB4C">
                  <w:pPr>
                    <w:topLinePunct/>
                    <w:adjustRightInd w:val="0"/>
                    <w:snapToGrid w:val="0"/>
                    <w:jc w:val="center"/>
                    <w:rPr>
                      <w:color w:val="0000FF"/>
                      <w:kern w:val="0"/>
                      <w:szCs w:val="21"/>
                    </w:rPr>
                  </w:pPr>
                  <w:r>
                    <w:rPr>
                      <w:rFonts w:hint="eastAsia"/>
                      <w:color w:val="0000FF"/>
                      <w:kern w:val="0"/>
                      <w:szCs w:val="21"/>
                    </w:rPr>
                    <w:t>27.37m</w:t>
                  </w:r>
                  <w:r>
                    <w:rPr>
                      <w:rFonts w:hint="eastAsia"/>
                      <w:color w:val="0000FF"/>
                      <w:kern w:val="0"/>
                      <w:szCs w:val="21"/>
                      <w:vertAlign w:val="superscript"/>
                    </w:rPr>
                    <w:t>3</w:t>
                  </w:r>
                </w:p>
              </w:tc>
              <w:tc>
                <w:tcPr>
                  <w:tcW w:w="395" w:type="pct"/>
                  <w:tcBorders>
                    <w:tl2br w:val="nil"/>
                    <w:tr2bl w:val="nil"/>
                  </w:tcBorders>
                  <w:vAlign w:val="center"/>
                </w:tcPr>
                <w:p w14:paraId="0C1C75B3">
                  <w:pPr>
                    <w:topLinePunct/>
                    <w:adjustRightInd w:val="0"/>
                    <w:snapToGrid w:val="0"/>
                    <w:jc w:val="center"/>
                    <w:rPr>
                      <w:color w:val="0000FF"/>
                      <w:kern w:val="0"/>
                      <w:szCs w:val="21"/>
                    </w:rPr>
                  </w:pPr>
                  <w:r>
                    <w:rPr>
                      <w:rFonts w:hint="eastAsia"/>
                      <w:color w:val="0000FF"/>
                      <w:kern w:val="0"/>
                      <w:szCs w:val="21"/>
                    </w:rPr>
                    <w:t>压裂返排液处理</w:t>
                  </w:r>
                </w:p>
              </w:tc>
              <w:tc>
                <w:tcPr>
                  <w:tcW w:w="249" w:type="pct"/>
                  <w:tcBorders>
                    <w:tl2br w:val="nil"/>
                    <w:tr2bl w:val="nil"/>
                  </w:tcBorders>
                  <w:vAlign w:val="center"/>
                </w:tcPr>
                <w:p w14:paraId="394B08E6">
                  <w:pPr>
                    <w:topLinePunct/>
                    <w:adjustRightInd w:val="0"/>
                    <w:snapToGrid w:val="0"/>
                    <w:jc w:val="center"/>
                    <w:rPr>
                      <w:color w:val="0000FF"/>
                      <w:kern w:val="0"/>
                      <w:szCs w:val="21"/>
                    </w:rPr>
                  </w:pPr>
                  <w:r>
                    <w:rPr>
                      <w:rFonts w:hint="eastAsia"/>
                      <w:color w:val="0000FF"/>
                      <w:kern w:val="0"/>
                      <w:szCs w:val="21"/>
                    </w:rPr>
                    <w:t>半固态</w:t>
                  </w:r>
                </w:p>
              </w:tc>
              <w:tc>
                <w:tcPr>
                  <w:tcW w:w="400" w:type="pct"/>
                  <w:tcBorders>
                    <w:tl2br w:val="nil"/>
                    <w:tr2bl w:val="nil"/>
                  </w:tcBorders>
                  <w:vAlign w:val="center"/>
                </w:tcPr>
                <w:p w14:paraId="66C1524C">
                  <w:pPr>
                    <w:topLinePunct/>
                    <w:adjustRightInd w:val="0"/>
                    <w:snapToGrid w:val="0"/>
                    <w:jc w:val="center"/>
                    <w:rPr>
                      <w:rFonts w:hint="eastAsia" w:eastAsia="宋体"/>
                      <w:color w:val="0000FF"/>
                      <w:kern w:val="0"/>
                      <w:szCs w:val="21"/>
                      <w:lang w:val="en-US" w:eastAsia="zh-CN"/>
                    </w:rPr>
                  </w:pPr>
                  <w:r>
                    <w:rPr>
                      <w:rFonts w:hint="eastAsia"/>
                      <w:color w:val="0000FF"/>
                      <w:kern w:val="0"/>
                      <w:szCs w:val="21"/>
                    </w:rPr>
                    <w:t>矿物油</w:t>
                  </w:r>
                  <w:r>
                    <w:rPr>
                      <w:rFonts w:hint="eastAsia"/>
                      <w:color w:val="0000FF"/>
                      <w:kern w:val="0"/>
                      <w:szCs w:val="21"/>
                      <w:lang w:val="en-US" w:eastAsia="zh-CN"/>
                    </w:rPr>
                    <w:t xml:space="preserve"> </w:t>
                  </w:r>
                </w:p>
              </w:tc>
              <w:tc>
                <w:tcPr>
                  <w:tcW w:w="317" w:type="pct"/>
                  <w:tcBorders>
                    <w:tl2br w:val="nil"/>
                    <w:tr2bl w:val="nil"/>
                  </w:tcBorders>
                  <w:vAlign w:val="center"/>
                </w:tcPr>
                <w:p w14:paraId="4123C596">
                  <w:pPr>
                    <w:topLinePunct/>
                    <w:adjustRightInd w:val="0"/>
                    <w:snapToGrid w:val="0"/>
                    <w:jc w:val="center"/>
                    <w:rPr>
                      <w:color w:val="0000FF"/>
                      <w:kern w:val="0"/>
                      <w:szCs w:val="21"/>
                    </w:rPr>
                  </w:pPr>
                  <w:r>
                    <w:rPr>
                      <w:color w:val="0000FF"/>
                      <w:kern w:val="0"/>
                      <w:szCs w:val="21"/>
                    </w:rPr>
                    <w:t>矿物油</w:t>
                  </w:r>
                </w:p>
              </w:tc>
              <w:tc>
                <w:tcPr>
                  <w:tcW w:w="312" w:type="pct"/>
                  <w:vMerge w:val="continue"/>
                  <w:tcBorders>
                    <w:tl2br w:val="nil"/>
                    <w:tr2bl w:val="nil"/>
                  </w:tcBorders>
                  <w:vAlign w:val="center"/>
                </w:tcPr>
                <w:p w14:paraId="5078C55A">
                  <w:pPr>
                    <w:topLinePunct/>
                    <w:adjustRightInd w:val="0"/>
                    <w:snapToGrid w:val="0"/>
                    <w:jc w:val="center"/>
                    <w:rPr>
                      <w:bCs/>
                      <w:color w:val="0000FF"/>
                      <w:szCs w:val="21"/>
                    </w:rPr>
                  </w:pPr>
                </w:p>
              </w:tc>
              <w:tc>
                <w:tcPr>
                  <w:tcW w:w="338" w:type="pct"/>
                  <w:tcBorders>
                    <w:tl2br w:val="nil"/>
                    <w:tr2bl w:val="nil"/>
                  </w:tcBorders>
                  <w:vAlign w:val="center"/>
                </w:tcPr>
                <w:p w14:paraId="1D393DE6">
                  <w:pPr>
                    <w:pStyle w:val="401"/>
                    <w:jc w:val="center"/>
                    <w:rPr>
                      <w:bCs/>
                      <w:color w:val="0000FF"/>
                      <w:szCs w:val="21"/>
                    </w:rPr>
                  </w:pPr>
                  <w:r>
                    <w:rPr>
                      <w:rFonts w:hint="eastAsia"/>
                      <w:bCs/>
                      <w:color w:val="0000FF"/>
                      <w:szCs w:val="21"/>
                    </w:rPr>
                    <w:t>I</w:t>
                  </w:r>
                </w:p>
              </w:tc>
              <w:tc>
                <w:tcPr>
                  <w:tcW w:w="657" w:type="pct"/>
                  <w:vMerge w:val="continue"/>
                  <w:tcBorders>
                    <w:tl2br w:val="nil"/>
                    <w:tr2bl w:val="nil"/>
                  </w:tcBorders>
                  <w:vAlign w:val="center"/>
                </w:tcPr>
                <w:p w14:paraId="1015BDCA">
                  <w:pPr>
                    <w:pStyle w:val="401"/>
                    <w:jc w:val="center"/>
                    <w:rPr>
                      <w:bCs/>
                      <w:szCs w:val="21"/>
                    </w:rPr>
                  </w:pPr>
                </w:p>
              </w:tc>
            </w:tr>
          </w:tbl>
          <w:p w14:paraId="396FED16">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bCs/>
                <w:sz w:val="24"/>
              </w:rPr>
              <w:t>④</w:t>
            </w:r>
            <w:r>
              <w:rPr>
                <w:bCs/>
                <w:sz w:val="24"/>
              </w:rPr>
              <w:fldChar w:fldCharType="end"/>
            </w:r>
            <w:r>
              <w:rPr>
                <w:bCs/>
                <w:sz w:val="24"/>
              </w:rPr>
              <w:t>废包装材料</w:t>
            </w:r>
          </w:p>
          <w:p w14:paraId="6ED45FB8">
            <w:pPr>
              <w:adjustRightInd w:val="0"/>
              <w:snapToGrid w:val="0"/>
              <w:spacing w:line="360" w:lineRule="auto"/>
              <w:ind w:firstLine="480" w:firstLineChars="200"/>
              <w:rPr>
                <w:bCs/>
                <w:sz w:val="24"/>
              </w:rPr>
            </w:pPr>
            <w:r>
              <w:rPr>
                <w:bCs/>
                <w:sz w:val="24"/>
              </w:rPr>
              <w:t>试气工程期间产生的废包装材料主要为</w:t>
            </w:r>
            <w:bookmarkStart w:id="42" w:name="_GoBack"/>
            <w:bookmarkEnd w:id="42"/>
            <w:r>
              <w:rPr>
                <w:bCs/>
                <w:sz w:val="24"/>
              </w:rPr>
              <w:t>各原辅材料的包装袋/箱，为一般废物，其产生量约0.3t，集中收集后定期运至就近的废品回收站进行处理。</w:t>
            </w:r>
          </w:p>
          <w:p w14:paraId="4794933B">
            <w:pPr>
              <w:adjustRightInd w:val="0"/>
              <w:snapToGrid w:val="0"/>
              <w:spacing w:line="360" w:lineRule="auto"/>
              <w:ind w:firstLine="480" w:firstLineChars="200"/>
              <w:rPr>
                <w:bCs/>
                <w:sz w:val="24"/>
              </w:rPr>
            </w:pPr>
            <w:r>
              <w:rPr>
                <w:bCs/>
                <w:sz w:val="24"/>
              </w:rPr>
              <w:fldChar w:fldCharType="begin"/>
            </w:r>
            <w:r>
              <w:rPr>
                <w:bCs/>
                <w:sz w:val="24"/>
              </w:rPr>
              <w:instrText xml:space="preserve"> = 5 \* GB3 </w:instrText>
            </w:r>
            <w:r>
              <w:rPr>
                <w:bCs/>
                <w:sz w:val="24"/>
              </w:rPr>
              <w:fldChar w:fldCharType="separate"/>
            </w:r>
            <w:r>
              <w:rPr>
                <w:bCs/>
                <w:sz w:val="24"/>
              </w:rPr>
              <w:t>⑤</w:t>
            </w:r>
            <w:r>
              <w:rPr>
                <w:bCs/>
                <w:sz w:val="24"/>
              </w:rPr>
              <w:fldChar w:fldCharType="end"/>
            </w:r>
            <w:r>
              <w:rPr>
                <w:bCs/>
                <w:sz w:val="24"/>
              </w:rPr>
              <w:t>生活垃圾</w:t>
            </w:r>
          </w:p>
          <w:p w14:paraId="0E0BE544">
            <w:pPr>
              <w:adjustRightInd w:val="0"/>
              <w:snapToGrid w:val="0"/>
              <w:spacing w:line="360" w:lineRule="auto"/>
              <w:ind w:firstLine="480" w:firstLineChars="200"/>
              <w:rPr>
                <w:bCs/>
                <w:sz w:val="24"/>
              </w:rPr>
            </w:pPr>
            <w:r>
              <w:rPr>
                <w:bCs/>
                <w:sz w:val="24"/>
              </w:rPr>
              <w:t>试气工程员工约4</w:t>
            </w:r>
            <w:r>
              <w:rPr>
                <w:rFonts w:hint="eastAsia"/>
                <w:bCs/>
                <w:sz w:val="24"/>
              </w:rPr>
              <w:t>5</w:t>
            </w:r>
            <w:r>
              <w:rPr>
                <w:bCs/>
                <w:sz w:val="24"/>
              </w:rPr>
              <w:t>人，生活垃圾产生量按每人每天产生0.</w:t>
            </w:r>
            <w:r>
              <w:rPr>
                <w:rFonts w:hint="eastAsia"/>
                <w:bCs/>
                <w:sz w:val="24"/>
              </w:rPr>
              <w:t>2</w:t>
            </w:r>
            <w:r>
              <w:rPr>
                <w:bCs/>
                <w:sz w:val="24"/>
              </w:rPr>
              <w:t>kg计算，试气工程时长约</w:t>
            </w:r>
            <w:r>
              <w:rPr>
                <w:rFonts w:hint="eastAsia"/>
                <w:bCs/>
                <w:sz w:val="24"/>
              </w:rPr>
              <w:t>121</w:t>
            </w:r>
            <w:r>
              <w:rPr>
                <w:bCs/>
                <w:sz w:val="24"/>
              </w:rPr>
              <w:t>天，则生活垃圾产生量为</w:t>
            </w:r>
            <w:r>
              <w:rPr>
                <w:rFonts w:hint="eastAsia"/>
                <w:bCs/>
                <w:sz w:val="24"/>
              </w:rPr>
              <w:t>1.09</w:t>
            </w:r>
            <w:r>
              <w:rPr>
                <w:bCs/>
                <w:sz w:val="24"/>
              </w:rPr>
              <w:t>t。</w:t>
            </w:r>
          </w:p>
          <w:p w14:paraId="12D366FB">
            <w:pPr>
              <w:adjustRightInd w:val="0"/>
              <w:snapToGrid w:val="0"/>
              <w:spacing w:line="360" w:lineRule="auto"/>
              <w:ind w:firstLine="480" w:firstLineChars="200"/>
              <w:rPr>
                <w:bCs/>
                <w:sz w:val="24"/>
              </w:rPr>
            </w:pPr>
            <w:r>
              <w:rPr>
                <w:bCs/>
                <w:sz w:val="24"/>
              </w:rPr>
              <w:t>本工程完井测试固废产生量见下表。</w:t>
            </w:r>
          </w:p>
          <w:p w14:paraId="530FF623">
            <w:pPr>
              <w:adjustRightInd w:val="0"/>
              <w:snapToGrid w:val="0"/>
              <w:spacing w:line="360" w:lineRule="auto"/>
              <w:jc w:val="center"/>
              <w:rPr>
                <w:b/>
                <w:bCs/>
                <w:sz w:val="24"/>
              </w:rPr>
            </w:pPr>
            <w:r>
              <w:rPr>
                <w:b/>
                <w:bCs/>
                <w:sz w:val="24"/>
              </w:rPr>
              <w:t>表4-18  本工程完井阶段固体废物统计表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63"/>
              <w:gridCol w:w="1378"/>
              <w:gridCol w:w="1649"/>
              <w:gridCol w:w="2763"/>
            </w:tblGrid>
            <w:tr w14:paraId="3D1DD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1EED2D7B">
                  <w:pPr>
                    <w:pStyle w:val="26"/>
                    <w:spacing w:line="240" w:lineRule="auto"/>
                    <w:jc w:val="center"/>
                    <w:rPr>
                      <w:b/>
                      <w:sz w:val="21"/>
                      <w:szCs w:val="21"/>
                    </w:rPr>
                  </w:pPr>
                  <w:r>
                    <w:rPr>
                      <w:b/>
                      <w:sz w:val="21"/>
                      <w:szCs w:val="21"/>
                    </w:rPr>
                    <w:t>固废类型</w:t>
                  </w:r>
                </w:p>
              </w:tc>
              <w:tc>
                <w:tcPr>
                  <w:tcW w:w="593" w:type="pct"/>
                  <w:tcBorders>
                    <w:tl2br w:val="nil"/>
                    <w:tr2bl w:val="nil"/>
                  </w:tcBorders>
                  <w:vAlign w:val="center"/>
                </w:tcPr>
                <w:p w14:paraId="0871A63A">
                  <w:pPr>
                    <w:pStyle w:val="26"/>
                    <w:spacing w:line="240" w:lineRule="auto"/>
                    <w:jc w:val="center"/>
                    <w:rPr>
                      <w:b/>
                      <w:sz w:val="21"/>
                      <w:szCs w:val="21"/>
                    </w:rPr>
                  </w:pPr>
                  <w:r>
                    <w:rPr>
                      <w:b/>
                      <w:sz w:val="21"/>
                      <w:szCs w:val="21"/>
                    </w:rPr>
                    <w:t>产生量t</w:t>
                  </w:r>
                </w:p>
              </w:tc>
              <w:tc>
                <w:tcPr>
                  <w:tcW w:w="848" w:type="pct"/>
                  <w:tcBorders>
                    <w:tl2br w:val="nil"/>
                    <w:tr2bl w:val="nil"/>
                  </w:tcBorders>
                  <w:vAlign w:val="center"/>
                </w:tcPr>
                <w:p w14:paraId="24140E16">
                  <w:pPr>
                    <w:pStyle w:val="26"/>
                    <w:spacing w:line="240" w:lineRule="auto"/>
                    <w:jc w:val="center"/>
                    <w:rPr>
                      <w:b/>
                      <w:sz w:val="21"/>
                      <w:szCs w:val="21"/>
                    </w:rPr>
                  </w:pPr>
                  <w:r>
                    <w:rPr>
                      <w:b/>
                      <w:sz w:val="21"/>
                      <w:szCs w:val="21"/>
                    </w:rPr>
                    <w:t>固废性质</w:t>
                  </w:r>
                </w:p>
              </w:tc>
              <w:tc>
                <w:tcPr>
                  <w:tcW w:w="1015" w:type="pct"/>
                  <w:tcBorders>
                    <w:tl2br w:val="nil"/>
                    <w:tr2bl w:val="nil"/>
                  </w:tcBorders>
                  <w:vAlign w:val="center"/>
                </w:tcPr>
                <w:p w14:paraId="666F696E">
                  <w:pPr>
                    <w:pStyle w:val="26"/>
                    <w:spacing w:line="240" w:lineRule="auto"/>
                    <w:jc w:val="center"/>
                    <w:rPr>
                      <w:b/>
                      <w:sz w:val="21"/>
                      <w:szCs w:val="21"/>
                    </w:rPr>
                  </w:pPr>
                  <w:r>
                    <w:rPr>
                      <w:b/>
                      <w:sz w:val="21"/>
                      <w:szCs w:val="21"/>
                    </w:rPr>
                    <w:t>代码</w:t>
                  </w:r>
                </w:p>
              </w:tc>
              <w:tc>
                <w:tcPr>
                  <w:tcW w:w="1701" w:type="pct"/>
                  <w:tcBorders>
                    <w:tl2br w:val="nil"/>
                    <w:tr2bl w:val="nil"/>
                  </w:tcBorders>
                  <w:vAlign w:val="center"/>
                </w:tcPr>
                <w:p w14:paraId="6AF5B8F7">
                  <w:pPr>
                    <w:pStyle w:val="26"/>
                    <w:spacing w:line="240" w:lineRule="auto"/>
                    <w:jc w:val="center"/>
                    <w:rPr>
                      <w:b/>
                      <w:sz w:val="21"/>
                      <w:szCs w:val="21"/>
                    </w:rPr>
                  </w:pPr>
                  <w:r>
                    <w:rPr>
                      <w:b/>
                      <w:sz w:val="21"/>
                      <w:szCs w:val="21"/>
                    </w:rPr>
                    <w:t>处置方式</w:t>
                  </w:r>
                </w:p>
              </w:tc>
            </w:tr>
            <w:tr w14:paraId="3E8C2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1F7719F2">
                  <w:pPr>
                    <w:pStyle w:val="26"/>
                    <w:spacing w:line="240" w:lineRule="auto"/>
                    <w:jc w:val="center"/>
                    <w:rPr>
                      <w:sz w:val="21"/>
                      <w:szCs w:val="21"/>
                    </w:rPr>
                  </w:pPr>
                  <w:r>
                    <w:rPr>
                      <w:sz w:val="21"/>
                      <w:szCs w:val="21"/>
                    </w:rPr>
                    <w:t>废油</w:t>
                  </w:r>
                </w:p>
              </w:tc>
              <w:tc>
                <w:tcPr>
                  <w:tcW w:w="593" w:type="pct"/>
                  <w:tcBorders>
                    <w:tl2br w:val="nil"/>
                    <w:tr2bl w:val="nil"/>
                  </w:tcBorders>
                  <w:vAlign w:val="center"/>
                </w:tcPr>
                <w:p w14:paraId="5E4ADF15">
                  <w:pPr>
                    <w:pStyle w:val="26"/>
                    <w:spacing w:line="240" w:lineRule="auto"/>
                    <w:jc w:val="center"/>
                    <w:rPr>
                      <w:sz w:val="21"/>
                      <w:szCs w:val="21"/>
                    </w:rPr>
                  </w:pPr>
                  <w:r>
                    <w:rPr>
                      <w:sz w:val="21"/>
                      <w:szCs w:val="21"/>
                    </w:rPr>
                    <w:t>0.03</w:t>
                  </w:r>
                </w:p>
              </w:tc>
              <w:tc>
                <w:tcPr>
                  <w:tcW w:w="848" w:type="pct"/>
                  <w:vMerge w:val="restart"/>
                  <w:tcBorders>
                    <w:tl2br w:val="nil"/>
                    <w:tr2bl w:val="nil"/>
                  </w:tcBorders>
                  <w:vAlign w:val="center"/>
                </w:tcPr>
                <w:p w14:paraId="4427A428">
                  <w:pPr>
                    <w:widowControl/>
                    <w:jc w:val="center"/>
                    <w:rPr>
                      <w:szCs w:val="21"/>
                    </w:rPr>
                  </w:pPr>
                  <w:r>
                    <w:rPr>
                      <w:szCs w:val="21"/>
                    </w:rPr>
                    <w:t>危险废物</w:t>
                  </w:r>
                </w:p>
              </w:tc>
              <w:tc>
                <w:tcPr>
                  <w:tcW w:w="1015" w:type="pct"/>
                  <w:tcBorders>
                    <w:tl2br w:val="nil"/>
                    <w:tr2bl w:val="nil"/>
                  </w:tcBorders>
                  <w:vAlign w:val="center"/>
                </w:tcPr>
                <w:p w14:paraId="52990637">
                  <w:pPr>
                    <w:topLinePunct/>
                    <w:adjustRightInd w:val="0"/>
                    <w:snapToGrid w:val="0"/>
                    <w:jc w:val="center"/>
                    <w:rPr>
                      <w:spacing w:val="-10"/>
                      <w:szCs w:val="21"/>
                    </w:rPr>
                  </w:pPr>
                  <w:r>
                    <w:rPr>
                      <w:spacing w:val="-10"/>
                      <w:szCs w:val="21"/>
                    </w:rPr>
                    <w:t>HW08</w:t>
                  </w:r>
                  <w:r>
                    <w:rPr>
                      <w:rFonts w:hint="eastAsia"/>
                      <w:spacing w:val="-10"/>
                      <w:szCs w:val="21"/>
                    </w:rPr>
                    <w:t>:</w:t>
                  </w:r>
                  <w:r>
                    <w:rPr>
                      <w:spacing w:val="-10"/>
                      <w:szCs w:val="21"/>
                    </w:rPr>
                    <w:t>900-217-08</w:t>
                  </w:r>
                </w:p>
              </w:tc>
              <w:tc>
                <w:tcPr>
                  <w:tcW w:w="1701" w:type="pct"/>
                  <w:tcBorders>
                    <w:tl2br w:val="nil"/>
                    <w:tr2bl w:val="nil"/>
                  </w:tcBorders>
                  <w:vAlign w:val="center"/>
                </w:tcPr>
                <w:p w14:paraId="4C34A697">
                  <w:pPr>
                    <w:pStyle w:val="26"/>
                    <w:spacing w:line="240" w:lineRule="auto"/>
                    <w:jc w:val="center"/>
                    <w:rPr>
                      <w:sz w:val="21"/>
                      <w:szCs w:val="21"/>
                    </w:rPr>
                  </w:pPr>
                  <w:r>
                    <w:rPr>
                      <w:sz w:val="21"/>
                      <w:szCs w:val="21"/>
                    </w:rPr>
                    <w:t>废油桶收集</w:t>
                  </w:r>
                </w:p>
              </w:tc>
            </w:tr>
            <w:tr w14:paraId="25C40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69865721">
                  <w:pPr>
                    <w:topLinePunct/>
                    <w:adjustRightInd w:val="0"/>
                    <w:snapToGrid w:val="0"/>
                    <w:jc w:val="center"/>
                    <w:rPr>
                      <w:spacing w:val="-10"/>
                      <w:kern w:val="0"/>
                      <w:szCs w:val="21"/>
                    </w:rPr>
                  </w:pPr>
                  <w:r>
                    <w:rPr>
                      <w:spacing w:val="-10"/>
                      <w:kern w:val="0"/>
                      <w:szCs w:val="21"/>
                    </w:rPr>
                    <w:t>废油桶</w:t>
                  </w:r>
                </w:p>
              </w:tc>
              <w:tc>
                <w:tcPr>
                  <w:tcW w:w="593" w:type="pct"/>
                  <w:tcBorders>
                    <w:tl2br w:val="nil"/>
                    <w:tr2bl w:val="nil"/>
                  </w:tcBorders>
                  <w:vAlign w:val="center"/>
                </w:tcPr>
                <w:p w14:paraId="57712F67">
                  <w:pPr>
                    <w:topLinePunct/>
                    <w:adjustRightInd w:val="0"/>
                    <w:snapToGrid w:val="0"/>
                    <w:jc w:val="center"/>
                    <w:rPr>
                      <w:spacing w:val="-10"/>
                      <w:kern w:val="0"/>
                      <w:szCs w:val="21"/>
                    </w:rPr>
                  </w:pPr>
                  <w:r>
                    <w:rPr>
                      <w:spacing w:val="-10"/>
                      <w:kern w:val="0"/>
                      <w:szCs w:val="21"/>
                    </w:rPr>
                    <w:t>0.06</w:t>
                  </w:r>
                </w:p>
              </w:tc>
              <w:tc>
                <w:tcPr>
                  <w:tcW w:w="848" w:type="pct"/>
                  <w:vMerge w:val="continue"/>
                  <w:tcBorders>
                    <w:tl2br w:val="nil"/>
                    <w:tr2bl w:val="nil"/>
                  </w:tcBorders>
                  <w:vAlign w:val="center"/>
                </w:tcPr>
                <w:p w14:paraId="324D499B">
                  <w:pPr>
                    <w:widowControl/>
                    <w:jc w:val="center"/>
                    <w:rPr>
                      <w:szCs w:val="21"/>
                    </w:rPr>
                  </w:pPr>
                </w:p>
              </w:tc>
              <w:tc>
                <w:tcPr>
                  <w:tcW w:w="1015" w:type="pct"/>
                  <w:tcBorders>
                    <w:tl2br w:val="nil"/>
                    <w:tr2bl w:val="nil"/>
                  </w:tcBorders>
                  <w:vAlign w:val="center"/>
                </w:tcPr>
                <w:p w14:paraId="484EDAA0">
                  <w:pPr>
                    <w:topLinePunct/>
                    <w:adjustRightInd w:val="0"/>
                    <w:snapToGrid w:val="0"/>
                    <w:jc w:val="center"/>
                    <w:rPr>
                      <w:spacing w:val="-10"/>
                      <w:szCs w:val="21"/>
                    </w:rPr>
                  </w:pPr>
                  <w:r>
                    <w:rPr>
                      <w:spacing w:val="-10"/>
                      <w:szCs w:val="21"/>
                    </w:rPr>
                    <w:t>HW08</w:t>
                  </w:r>
                  <w:r>
                    <w:rPr>
                      <w:rFonts w:hint="eastAsia"/>
                      <w:spacing w:val="-10"/>
                      <w:szCs w:val="21"/>
                    </w:rPr>
                    <w:t>:</w:t>
                  </w:r>
                  <w:r>
                    <w:rPr>
                      <w:spacing w:val="-10"/>
                      <w:szCs w:val="21"/>
                    </w:rPr>
                    <w:t>900-249-08</w:t>
                  </w:r>
                </w:p>
              </w:tc>
              <w:tc>
                <w:tcPr>
                  <w:tcW w:w="1701" w:type="pct"/>
                  <w:vMerge w:val="restart"/>
                  <w:tcBorders>
                    <w:tl2br w:val="nil"/>
                    <w:tr2bl w:val="nil"/>
                  </w:tcBorders>
                  <w:vAlign w:val="center"/>
                </w:tcPr>
                <w:p w14:paraId="398DF524">
                  <w:pPr>
                    <w:pStyle w:val="26"/>
                    <w:spacing w:line="240" w:lineRule="auto"/>
                    <w:jc w:val="center"/>
                    <w:rPr>
                      <w:sz w:val="21"/>
                      <w:szCs w:val="21"/>
                    </w:rPr>
                  </w:pPr>
                  <w:r>
                    <w:rPr>
                      <w:sz w:val="21"/>
                      <w:szCs w:val="21"/>
                    </w:rPr>
                    <w:t>废油桶收集暂存于危险废物贮存点，拟及时就近交由有资质单位处置</w:t>
                  </w:r>
                </w:p>
              </w:tc>
            </w:tr>
            <w:tr w14:paraId="6D6E2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001B7EBC">
                  <w:pPr>
                    <w:topLinePunct/>
                    <w:adjustRightInd w:val="0"/>
                    <w:snapToGrid w:val="0"/>
                    <w:jc w:val="center"/>
                    <w:rPr>
                      <w:spacing w:val="-10"/>
                      <w:kern w:val="0"/>
                      <w:szCs w:val="21"/>
                    </w:rPr>
                  </w:pPr>
                  <w:r>
                    <w:rPr>
                      <w:spacing w:val="-10"/>
                      <w:kern w:val="0"/>
                      <w:szCs w:val="21"/>
                    </w:rPr>
                    <w:t>废棉纱/手套</w:t>
                  </w:r>
                </w:p>
              </w:tc>
              <w:tc>
                <w:tcPr>
                  <w:tcW w:w="593" w:type="pct"/>
                  <w:tcBorders>
                    <w:tl2br w:val="nil"/>
                    <w:tr2bl w:val="nil"/>
                  </w:tcBorders>
                  <w:vAlign w:val="center"/>
                </w:tcPr>
                <w:p w14:paraId="0033A9BE">
                  <w:pPr>
                    <w:topLinePunct/>
                    <w:adjustRightInd w:val="0"/>
                    <w:snapToGrid w:val="0"/>
                    <w:jc w:val="center"/>
                    <w:rPr>
                      <w:spacing w:val="-10"/>
                      <w:kern w:val="0"/>
                      <w:szCs w:val="21"/>
                    </w:rPr>
                  </w:pPr>
                  <w:r>
                    <w:rPr>
                      <w:spacing w:val="-10"/>
                      <w:kern w:val="0"/>
                      <w:szCs w:val="21"/>
                    </w:rPr>
                    <w:t>0.1</w:t>
                  </w:r>
                </w:p>
              </w:tc>
              <w:tc>
                <w:tcPr>
                  <w:tcW w:w="848" w:type="pct"/>
                  <w:vMerge w:val="continue"/>
                  <w:tcBorders>
                    <w:tl2br w:val="nil"/>
                    <w:tr2bl w:val="nil"/>
                  </w:tcBorders>
                  <w:vAlign w:val="center"/>
                </w:tcPr>
                <w:p w14:paraId="7618C2AA">
                  <w:pPr>
                    <w:widowControl/>
                    <w:jc w:val="center"/>
                    <w:rPr>
                      <w:szCs w:val="21"/>
                    </w:rPr>
                  </w:pPr>
                </w:p>
              </w:tc>
              <w:tc>
                <w:tcPr>
                  <w:tcW w:w="1015" w:type="pct"/>
                  <w:tcBorders>
                    <w:tl2br w:val="nil"/>
                    <w:tr2bl w:val="nil"/>
                  </w:tcBorders>
                  <w:vAlign w:val="center"/>
                </w:tcPr>
                <w:p w14:paraId="36145B66">
                  <w:pPr>
                    <w:topLinePunct/>
                    <w:adjustRightInd w:val="0"/>
                    <w:snapToGrid w:val="0"/>
                    <w:jc w:val="center"/>
                    <w:rPr>
                      <w:spacing w:val="-10"/>
                      <w:szCs w:val="21"/>
                    </w:rPr>
                  </w:pPr>
                  <w:r>
                    <w:rPr>
                      <w:spacing w:val="-10"/>
                      <w:szCs w:val="21"/>
                    </w:rPr>
                    <w:t>HW49</w:t>
                  </w:r>
                  <w:r>
                    <w:rPr>
                      <w:rFonts w:hint="eastAsia"/>
                      <w:spacing w:val="-10"/>
                      <w:szCs w:val="21"/>
                    </w:rPr>
                    <w:t>:</w:t>
                  </w:r>
                  <w:r>
                    <w:rPr>
                      <w:spacing w:val="-10"/>
                      <w:szCs w:val="21"/>
                    </w:rPr>
                    <w:t>900-041-49</w:t>
                  </w:r>
                </w:p>
              </w:tc>
              <w:tc>
                <w:tcPr>
                  <w:tcW w:w="1701" w:type="pct"/>
                  <w:vMerge w:val="continue"/>
                  <w:tcBorders>
                    <w:tl2br w:val="nil"/>
                    <w:tr2bl w:val="nil"/>
                  </w:tcBorders>
                  <w:vAlign w:val="center"/>
                </w:tcPr>
                <w:p w14:paraId="313C86FA">
                  <w:pPr>
                    <w:pStyle w:val="26"/>
                    <w:spacing w:line="240" w:lineRule="auto"/>
                    <w:jc w:val="center"/>
                    <w:rPr>
                      <w:sz w:val="21"/>
                      <w:szCs w:val="21"/>
                    </w:rPr>
                  </w:pPr>
                </w:p>
              </w:tc>
            </w:tr>
            <w:tr w14:paraId="139CE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shd w:val="clear" w:color="auto" w:fill="auto"/>
                  <w:vAlign w:val="center"/>
                </w:tcPr>
                <w:p w14:paraId="6D215489">
                  <w:pPr>
                    <w:pStyle w:val="26"/>
                    <w:spacing w:line="240" w:lineRule="auto"/>
                    <w:jc w:val="center"/>
                    <w:rPr>
                      <w:color w:val="0000FF"/>
                      <w:sz w:val="21"/>
                      <w:szCs w:val="21"/>
                    </w:rPr>
                  </w:pPr>
                  <w:r>
                    <w:rPr>
                      <w:color w:val="0000FF"/>
                      <w:sz w:val="21"/>
                      <w:szCs w:val="21"/>
                    </w:rPr>
                    <w:t>压裂返排液絮凝沉淀污泥</w:t>
                  </w:r>
                </w:p>
              </w:tc>
              <w:tc>
                <w:tcPr>
                  <w:tcW w:w="593" w:type="pct"/>
                  <w:tcBorders>
                    <w:tl2br w:val="nil"/>
                    <w:tr2bl w:val="nil"/>
                  </w:tcBorders>
                  <w:shd w:val="clear" w:color="auto" w:fill="auto"/>
                  <w:vAlign w:val="center"/>
                </w:tcPr>
                <w:p w14:paraId="1F0D4081">
                  <w:pPr>
                    <w:pStyle w:val="26"/>
                    <w:spacing w:line="240" w:lineRule="auto"/>
                    <w:jc w:val="center"/>
                    <w:rPr>
                      <w:color w:val="0000FF"/>
                      <w:sz w:val="21"/>
                      <w:szCs w:val="21"/>
                    </w:rPr>
                  </w:pPr>
                  <w:r>
                    <w:rPr>
                      <w:rFonts w:hint="eastAsia"/>
                      <w:color w:val="0000FF"/>
                      <w:sz w:val="21"/>
                      <w:szCs w:val="21"/>
                    </w:rPr>
                    <w:t>27.37</w:t>
                  </w:r>
                </w:p>
              </w:tc>
              <w:tc>
                <w:tcPr>
                  <w:tcW w:w="848" w:type="pct"/>
                  <w:tcBorders>
                    <w:tl2br w:val="nil"/>
                    <w:tr2bl w:val="nil"/>
                  </w:tcBorders>
                  <w:shd w:val="clear" w:color="auto" w:fill="auto"/>
                  <w:vAlign w:val="center"/>
                </w:tcPr>
                <w:p w14:paraId="4690A307">
                  <w:pPr>
                    <w:pStyle w:val="26"/>
                    <w:spacing w:line="240" w:lineRule="auto"/>
                    <w:jc w:val="center"/>
                    <w:rPr>
                      <w:color w:val="0000FF"/>
                      <w:sz w:val="21"/>
                      <w:szCs w:val="21"/>
                    </w:rPr>
                  </w:pPr>
                  <w:r>
                    <w:rPr>
                      <w:rFonts w:hint="eastAsia"/>
                      <w:color w:val="0000FF"/>
                      <w:sz w:val="21"/>
                      <w:szCs w:val="21"/>
                    </w:rPr>
                    <w:t>危险废物</w:t>
                  </w:r>
                </w:p>
              </w:tc>
              <w:tc>
                <w:tcPr>
                  <w:tcW w:w="1015" w:type="pct"/>
                  <w:tcBorders>
                    <w:tl2br w:val="nil"/>
                    <w:tr2bl w:val="nil"/>
                  </w:tcBorders>
                  <w:shd w:val="clear" w:color="auto" w:fill="auto"/>
                  <w:vAlign w:val="center"/>
                </w:tcPr>
                <w:p w14:paraId="44B609C9">
                  <w:pPr>
                    <w:pStyle w:val="26"/>
                    <w:spacing w:line="240" w:lineRule="auto"/>
                    <w:jc w:val="center"/>
                    <w:rPr>
                      <w:color w:val="0000FF"/>
                      <w:sz w:val="21"/>
                      <w:szCs w:val="21"/>
                    </w:rPr>
                  </w:pPr>
                  <w:r>
                    <w:rPr>
                      <w:rFonts w:hint="eastAsia"/>
                      <w:color w:val="0000FF"/>
                      <w:sz w:val="21"/>
                      <w:szCs w:val="21"/>
                    </w:rPr>
                    <w:t>HW49:772-006-49</w:t>
                  </w:r>
                </w:p>
              </w:tc>
              <w:tc>
                <w:tcPr>
                  <w:tcW w:w="1701" w:type="pct"/>
                  <w:vMerge w:val="continue"/>
                  <w:tcBorders>
                    <w:tl2br w:val="nil"/>
                    <w:tr2bl w:val="nil"/>
                  </w:tcBorders>
                  <w:shd w:val="clear" w:color="auto" w:fill="auto"/>
                  <w:vAlign w:val="center"/>
                </w:tcPr>
                <w:p w14:paraId="732E5FE1">
                  <w:pPr>
                    <w:pStyle w:val="26"/>
                    <w:spacing w:line="240" w:lineRule="auto"/>
                    <w:jc w:val="center"/>
                    <w:rPr>
                      <w:color w:val="0000FF"/>
                      <w:sz w:val="21"/>
                      <w:szCs w:val="21"/>
                    </w:rPr>
                  </w:pPr>
                </w:p>
              </w:tc>
            </w:tr>
            <w:tr w14:paraId="7F9CC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6D58A65C">
                  <w:pPr>
                    <w:pStyle w:val="26"/>
                    <w:spacing w:line="240" w:lineRule="auto"/>
                    <w:jc w:val="center"/>
                    <w:rPr>
                      <w:sz w:val="21"/>
                      <w:szCs w:val="21"/>
                    </w:rPr>
                  </w:pPr>
                  <w:r>
                    <w:rPr>
                      <w:sz w:val="21"/>
                      <w:szCs w:val="21"/>
                    </w:rPr>
                    <w:t>废包装材料</w:t>
                  </w:r>
                </w:p>
              </w:tc>
              <w:tc>
                <w:tcPr>
                  <w:tcW w:w="593" w:type="pct"/>
                  <w:tcBorders>
                    <w:tl2br w:val="nil"/>
                    <w:tr2bl w:val="nil"/>
                  </w:tcBorders>
                  <w:vAlign w:val="center"/>
                </w:tcPr>
                <w:p w14:paraId="7C60643B">
                  <w:pPr>
                    <w:pStyle w:val="26"/>
                    <w:spacing w:line="240" w:lineRule="auto"/>
                    <w:jc w:val="center"/>
                    <w:rPr>
                      <w:sz w:val="21"/>
                      <w:szCs w:val="21"/>
                    </w:rPr>
                  </w:pPr>
                  <w:r>
                    <w:rPr>
                      <w:sz w:val="21"/>
                      <w:szCs w:val="21"/>
                    </w:rPr>
                    <w:t>0.3</w:t>
                  </w:r>
                </w:p>
              </w:tc>
              <w:tc>
                <w:tcPr>
                  <w:tcW w:w="848" w:type="pct"/>
                  <w:tcBorders>
                    <w:tl2br w:val="nil"/>
                    <w:tr2bl w:val="nil"/>
                  </w:tcBorders>
                  <w:vAlign w:val="center"/>
                </w:tcPr>
                <w:p w14:paraId="3447594B">
                  <w:pPr>
                    <w:pStyle w:val="26"/>
                    <w:spacing w:line="240" w:lineRule="auto"/>
                    <w:jc w:val="center"/>
                    <w:rPr>
                      <w:sz w:val="21"/>
                      <w:szCs w:val="21"/>
                    </w:rPr>
                  </w:pPr>
                  <w:r>
                    <w:rPr>
                      <w:sz w:val="21"/>
                      <w:szCs w:val="21"/>
                    </w:rPr>
                    <w:t>一般固废</w:t>
                  </w:r>
                </w:p>
              </w:tc>
              <w:tc>
                <w:tcPr>
                  <w:tcW w:w="1015" w:type="pct"/>
                  <w:tcBorders>
                    <w:tl2br w:val="nil"/>
                    <w:tr2bl w:val="nil"/>
                  </w:tcBorders>
                  <w:vAlign w:val="center"/>
                </w:tcPr>
                <w:p w14:paraId="27FC1A1B">
                  <w:pPr>
                    <w:pStyle w:val="26"/>
                    <w:spacing w:line="240" w:lineRule="auto"/>
                    <w:jc w:val="center"/>
                    <w:rPr>
                      <w:sz w:val="21"/>
                      <w:szCs w:val="21"/>
                    </w:rPr>
                  </w:pPr>
                  <w:r>
                    <w:rPr>
                      <w:sz w:val="21"/>
                      <w:szCs w:val="21"/>
                    </w:rPr>
                    <w:t>SW59:900-099-S59</w:t>
                  </w:r>
                </w:p>
              </w:tc>
              <w:tc>
                <w:tcPr>
                  <w:tcW w:w="1701" w:type="pct"/>
                  <w:tcBorders>
                    <w:tl2br w:val="nil"/>
                    <w:tr2bl w:val="nil"/>
                  </w:tcBorders>
                  <w:vAlign w:val="center"/>
                </w:tcPr>
                <w:p w14:paraId="68737154">
                  <w:pPr>
                    <w:pStyle w:val="26"/>
                    <w:spacing w:line="240" w:lineRule="auto"/>
                    <w:jc w:val="center"/>
                    <w:rPr>
                      <w:sz w:val="21"/>
                      <w:szCs w:val="21"/>
                    </w:rPr>
                  </w:pPr>
                  <w:r>
                    <w:rPr>
                      <w:sz w:val="21"/>
                      <w:szCs w:val="21"/>
                    </w:rPr>
                    <w:t>收集后定期运至就近的废品回收站进行处理</w:t>
                  </w:r>
                </w:p>
              </w:tc>
            </w:tr>
            <w:tr w14:paraId="71704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14:paraId="64C57179">
                  <w:pPr>
                    <w:pStyle w:val="26"/>
                    <w:spacing w:line="240" w:lineRule="auto"/>
                    <w:jc w:val="center"/>
                    <w:rPr>
                      <w:sz w:val="21"/>
                      <w:szCs w:val="21"/>
                    </w:rPr>
                  </w:pPr>
                  <w:r>
                    <w:rPr>
                      <w:sz w:val="21"/>
                      <w:szCs w:val="21"/>
                    </w:rPr>
                    <w:t>生活垃圾</w:t>
                  </w:r>
                </w:p>
              </w:tc>
              <w:tc>
                <w:tcPr>
                  <w:tcW w:w="593" w:type="pct"/>
                  <w:tcBorders>
                    <w:tl2br w:val="nil"/>
                    <w:tr2bl w:val="nil"/>
                  </w:tcBorders>
                  <w:vAlign w:val="center"/>
                </w:tcPr>
                <w:p w14:paraId="79135ED3">
                  <w:pPr>
                    <w:pStyle w:val="26"/>
                    <w:spacing w:line="240" w:lineRule="auto"/>
                    <w:jc w:val="center"/>
                    <w:rPr>
                      <w:sz w:val="21"/>
                      <w:szCs w:val="21"/>
                    </w:rPr>
                  </w:pPr>
                  <w:r>
                    <w:rPr>
                      <w:rFonts w:hint="eastAsia"/>
                      <w:sz w:val="21"/>
                      <w:szCs w:val="21"/>
                    </w:rPr>
                    <w:t>1.09</w:t>
                  </w:r>
                </w:p>
              </w:tc>
              <w:tc>
                <w:tcPr>
                  <w:tcW w:w="848" w:type="pct"/>
                  <w:tcBorders>
                    <w:tl2br w:val="nil"/>
                    <w:tr2bl w:val="nil"/>
                  </w:tcBorders>
                  <w:vAlign w:val="center"/>
                </w:tcPr>
                <w:p w14:paraId="3D5E1517">
                  <w:pPr>
                    <w:pStyle w:val="26"/>
                    <w:spacing w:line="240" w:lineRule="auto"/>
                    <w:jc w:val="center"/>
                    <w:rPr>
                      <w:sz w:val="21"/>
                      <w:szCs w:val="21"/>
                    </w:rPr>
                  </w:pPr>
                  <w:r>
                    <w:rPr>
                      <w:sz w:val="21"/>
                      <w:szCs w:val="21"/>
                    </w:rPr>
                    <w:t>生活垃圾</w:t>
                  </w:r>
                </w:p>
              </w:tc>
              <w:tc>
                <w:tcPr>
                  <w:tcW w:w="1015" w:type="pct"/>
                  <w:tcBorders>
                    <w:tl2br w:val="nil"/>
                    <w:tr2bl w:val="nil"/>
                  </w:tcBorders>
                  <w:vAlign w:val="center"/>
                </w:tcPr>
                <w:p w14:paraId="2634BC27">
                  <w:pPr>
                    <w:pStyle w:val="26"/>
                    <w:spacing w:line="240" w:lineRule="auto"/>
                    <w:jc w:val="center"/>
                    <w:rPr>
                      <w:sz w:val="21"/>
                      <w:szCs w:val="21"/>
                    </w:rPr>
                  </w:pPr>
                  <w:r>
                    <w:rPr>
                      <w:sz w:val="21"/>
                      <w:szCs w:val="21"/>
                    </w:rPr>
                    <w:t>/</w:t>
                  </w:r>
                </w:p>
              </w:tc>
              <w:tc>
                <w:tcPr>
                  <w:tcW w:w="1701" w:type="pct"/>
                  <w:tcBorders>
                    <w:tl2br w:val="nil"/>
                    <w:tr2bl w:val="nil"/>
                  </w:tcBorders>
                  <w:vAlign w:val="center"/>
                </w:tcPr>
                <w:p w14:paraId="06A5CA17">
                  <w:pPr>
                    <w:pStyle w:val="26"/>
                    <w:spacing w:line="240" w:lineRule="auto"/>
                    <w:jc w:val="center"/>
                    <w:rPr>
                      <w:sz w:val="21"/>
                      <w:szCs w:val="21"/>
                    </w:rPr>
                  </w:pPr>
                  <w:r>
                    <w:rPr>
                      <w:sz w:val="21"/>
                      <w:szCs w:val="21"/>
                    </w:rPr>
                    <w:t>垃圾桶集中收集后，交当地环卫部门处理</w:t>
                  </w:r>
                </w:p>
              </w:tc>
            </w:tr>
          </w:tbl>
          <w:p w14:paraId="4B4BB9F9">
            <w:pPr>
              <w:adjustRightInd w:val="0"/>
              <w:snapToGrid w:val="0"/>
              <w:spacing w:line="360" w:lineRule="auto"/>
              <w:ind w:firstLine="480" w:firstLineChars="200"/>
              <w:rPr>
                <w:bCs/>
                <w:sz w:val="24"/>
              </w:rPr>
            </w:pPr>
            <w:r>
              <w:rPr>
                <w:bCs/>
                <w:sz w:val="24"/>
              </w:rPr>
              <w:t>根据上表，完井测试期间各类固废分类收集，得到有效处置，可合理处置各类固废，对周围环境不会造成污染影响。</w:t>
            </w:r>
          </w:p>
          <w:p w14:paraId="129532CA">
            <w:pPr>
              <w:spacing w:line="360" w:lineRule="auto"/>
              <w:rPr>
                <w:b/>
                <w:bCs/>
                <w:sz w:val="24"/>
              </w:rPr>
            </w:pPr>
            <w:r>
              <w:rPr>
                <w:b/>
                <w:bCs/>
                <w:sz w:val="24"/>
              </w:rPr>
              <w:t>4.4地下水环境影响分析</w:t>
            </w:r>
          </w:p>
          <w:p w14:paraId="2B9F74FE">
            <w:pPr>
              <w:spacing w:line="360" w:lineRule="auto"/>
              <w:ind w:firstLine="480" w:firstLineChars="200"/>
              <w:rPr>
                <w:bCs/>
                <w:sz w:val="24"/>
              </w:rPr>
            </w:pPr>
            <w:r>
              <w:rPr>
                <w:bCs/>
                <w:sz w:val="24"/>
              </w:rPr>
              <w:t>根据地下水环境影响评价专题报告可知，事故工况下，废水泄漏在</w:t>
            </w:r>
            <w:r>
              <w:rPr>
                <w:rFonts w:hint="eastAsia"/>
                <w:bCs/>
                <w:sz w:val="24"/>
              </w:rPr>
              <w:t>1000</w:t>
            </w:r>
            <w:r>
              <w:rPr>
                <w:bCs/>
                <w:sz w:val="24"/>
              </w:rPr>
              <w:t>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14:paraId="567C4A16">
            <w:pPr>
              <w:spacing w:line="360" w:lineRule="auto"/>
              <w:ind w:firstLine="482" w:firstLineChars="200"/>
              <w:rPr>
                <w:sz w:val="24"/>
              </w:rPr>
            </w:pPr>
            <w:r>
              <w:rPr>
                <w:b/>
                <w:bCs/>
                <w:sz w:val="24"/>
              </w:rPr>
              <w:t>项目地下水环境影响分析详见《地下水环境影响评价专题报告》</w:t>
            </w:r>
            <w:r>
              <w:rPr>
                <w:sz w:val="24"/>
              </w:rPr>
              <w:t>。</w:t>
            </w:r>
          </w:p>
          <w:p w14:paraId="0DDAB5CA">
            <w:pPr>
              <w:spacing w:line="360" w:lineRule="auto"/>
              <w:rPr>
                <w:b/>
                <w:bCs/>
                <w:sz w:val="24"/>
              </w:rPr>
            </w:pPr>
            <w:r>
              <w:rPr>
                <w:b/>
                <w:bCs/>
                <w:sz w:val="24"/>
              </w:rPr>
              <w:t>4.5环境风险影响分析</w:t>
            </w:r>
          </w:p>
          <w:p w14:paraId="65D509FB">
            <w:pPr>
              <w:spacing w:line="360" w:lineRule="auto"/>
              <w:ind w:firstLine="480" w:firstLineChars="200"/>
              <w:rPr>
                <w:sz w:val="24"/>
              </w:rPr>
            </w:pPr>
            <w:r>
              <w:rPr>
                <w:rFonts w:hint="eastAsia"/>
                <w:sz w:val="24"/>
              </w:rPr>
              <w:t>本项目目的层可能含有硫化氢，区域内邻井明1井在大隆组酸压测试，H</w:t>
            </w:r>
            <w:r>
              <w:rPr>
                <w:rFonts w:hint="eastAsia"/>
                <w:sz w:val="24"/>
                <w:vertAlign w:val="subscript"/>
              </w:rPr>
              <w:t>2</w:t>
            </w:r>
            <w:r>
              <w:rPr>
                <w:rFonts w:hint="eastAsia"/>
                <w:sz w:val="24"/>
              </w:rPr>
              <w:t>S含量0.01%，因此</w:t>
            </w:r>
            <w:r>
              <w:rPr>
                <w:sz w:val="24"/>
              </w:rPr>
              <w:t>项目建设存在一定环境风险，主要为</w:t>
            </w:r>
            <w:r>
              <w:rPr>
                <w:rFonts w:hint="eastAsia"/>
                <w:sz w:val="24"/>
              </w:rPr>
              <w:t>以下环境风险：</w:t>
            </w:r>
          </w:p>
          <w:p w14:paraId="49F9E56F">
            <w:pPr>
              <w:spacing w:line="360" w:lineRule="auto"/>
              <w:ind w:firstLine="480" w:firstLineChars="200"/>
              <w:rPr>
                <w:sz w:val="24"/>
              </w:rPr>
            </w:pPr>
            <w:r>
              <w:rPr>
                <w:rFonts w:hint="eastAsia"/>
                <w:sz w:val="24"/>
              </w:rPr>
              <w:t>（1）井喷失控天然气泄漏环境风险</w:t>
            </w:r>
          </w:p>
          <w:p w14:paraId="55623B5E">
            <w:pPr>
              <w:spacing w:line="360" w:lineRule="auto"/>
              <w:ind w:firstLine="480" w:firstLineChars="200"/>
              <w:rPr>
                <w:sz w:val="24"/>
              </w:rPr>
            </w:pPr>
            <w:r>
              <w:rPr>
                <w:rFonts w:hint="eastAsia"/>
                <w:sz w:val="24"/>
              </w:rPr>
              <w:t>设计在钻井现场配备自动、手动和高压高能电子点火三套独立点火系统，按照建设单位对发生井喷环境风险事故时的井控管理要求，在出现井喷事故征兆时，现场作业人员应立即进行点火准备工作”。事故状态下在15min内启动点火程序实施点火，井场内同时配备自动、手动和高压高能电子点火三套独立点火系统，可确保按要求在井喷失控后15min内成功实施点火作业，环境风险可控。</w:t>
            </w:r>
          </w:p>
          <w:p w14:paraId="2E08A299">
            <w:pPr>
              <w:spacing w:line="360" w:lineRule="auto"/>
              <w:ind w:firstLine="480" w:firstLineChars="200"/>
              <w:rPr>
                <w:sz w:val="24"/>
              </w:rPr>
            </w:pPr>
            <w:r>
              <w:rPr>
                <w:rFonts w:hint="eastAsia"/>
                <w:sz w:val="24"/>
              </w:rPr>
              <w:t>（2）套管破裂天然气窜层泄漏进入地表环境风险影响分析</w:t>
            </w:r>
          </w:p>
          <w:p w14:paraId="183EC360">
            <w:pPr>
              <w:spacing w:line="360" w:lineRule="auto"/>
              <w:ind w:firstLine="480" w:firstLineChars="200"/>
              <w:rPr>
                <w:sz w:val="24"/>
              </w:rPr>
            </w:pPr>
            <w:r>
              <w:rPr>
                <w:rFonts w:hint="eastAsia"/>
                <w:sz w:val="24"/>
              </w:rPr>
              <w:t>套管破裂在钻井中出现的几率非常小，在严把质量关的前提下发生该事故的几率极其小，主要表现为可燃气体的泄漏遇火爆炸环境风险。由于通过地下岩层的阻隔，事故发生后窜层泄漏进入地表的量、压力、速率比井喷量小很多，影响程度比井喷小很多。</w:t>
            </w:r>
          </w:p>
          <w:p w14:paraId="60CCD39E">
            <w:pPr>
              <w:spacing w:line="360" w:lineRule="auto"/>
              <w:ind w:firstLine="480" w:firstLineChars="200"/>
              <w:rPr>
                <w:sz w:val="24"/>
              </w:rPr>
            </w:pPr>
            <w:r>
              <w:rPr>
                <w:rFonts w:hint="eastAsia"/>
                <w:sz w:val="24"/>
              </w:rPr>
              <w:t>（3）钻井泥浆漏失环境风险</w:t>
            </w:r>
          </w:p>
          <w:p w14:paraId="0DF53055">
            <w:pPr>
              <w:spacing w:line="360" w:lineRule="auto"/>
              <w:ind w:firstLine="480" w:firstLineChars="200"/>
              <w:rPr>
                <w:sz w:val="24"/>
              </w:rPr>
            </w:pPr>
            <w:r>
              <w:rPr>
                <w:rFonts w:hint="eastAsia"/>
                <w:sz w:val="24"/>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14:paraId="642EB5F0">
            <w:pPr>
              <w:spacing w:line="360" w:lineRule="auto"/>
              <w:ind w:firstLine="480" w:firstLineChars="200"/>
              <w:rPr>
                <w:sz w:val="24"/>
              </w:rPr>
            </w:pPr>
            <w:r>
              <w:rPr>
                <w:rFonts w:hint="eastAsia"/>
                <w:sz w:val="24"/>
              </w:rPr>
              <w:t>（4）柴油泄漏环境风险</w:t>
            </w:r>
          </w:p>
          <w:p w14:paraId="4709B2C3">
            <w:pPr>
              <w:spacing w:line="360" w:lineRule="auto"/>
              <w:ind w:firstLine="480" w:firstLineChars="200"/>
              <w:rPr>
                <w:sz w:val="24"/>
              </w:rPr>
            </w:pPr>
            <w:r>
              <w:rPr>
                <w:rFonts w:hint="eastAsia"/>
                <w:sz w:val="24"/>
              </w:rPr>
              <w:t>油罐密闭，柴油发生大量泄漏的几率很小，一般情况管道阀门泄漏，少量跑冒漏滴均收集在柴油罐区围堰内，可有效进行防止污染。罐体破裂导致柴油大量泄漏的几率很小，发生时可能污染罐体周边土壤、地表水及地下水，对生态环境造成影响。</w:t>
            </w:r>
          </w:p>
          <w:p w14:paraId="6383372E">
            <w:pPr>
              <w:spacing w:line="360" w:lineRule="auto"/>
              <w:ind w:firstLine="480" w:firstLineChars="200"/>
              <w:rPr>
                <w:sz w:val="24"/>
              </w:rPr>
            </w:pPr>
            <w:r>
              <w:rPr>
                <w:rFonts w:hint="eastAsia"/>
                <w:sz w:val="24"/>
              </w:rPr>
              <w:t>（5）废水池废水外溢等环境风险</w:t>
            </w:r>
          </w:p>
          <w:p w14:paraId="4106E8D5">
            <w:pPr>
              <w:spacing w:line="360" w:lineRule="auto"/>
              <w:ind w:firstLine="480" w:firstLineChars="200"/>
              <w:rPr>
                <w:sz w:val="24"/>
              </w:rPr>
            </w:pPr>
            <w:r>
              <w:rPr>
                <w:rFonts w:hint="eastAsia"/>
                <w:sz w:val="24"/>
              </w:rPr>
              <w:t>本工程废水池为半地下式结构，发生泄漏事故的可能性小，发生泄漏时主要的环境影响为对废水池附近土壤、地表水及地下水产生污染影响。本项目废水池临时贮存的废水，泄漏的废水中pH值呈碱性、可溶性盐含量高、含石油类，影响土壤的结构，危害植物生长。</w:t>
            </w:r>
          </w:p>
          <w:p w14:paraId="33752D43">
            <w:pPr>
              <w:spacing w:line="360" w:lineRule="auto"/>
              <w:ind w:firstLine="480" w:firstLineChars="200"/>
              <w:rPr>
                <w:sz w:val="24"/>
              </w:rPr>
            </w:pPr>
            <w:r>
              <w:rPr>
                <w:rFonts w:hint="eastAsia"/>
                <w:sz w:val="24"/>
              </w:rPr>
              <w:t>（6）废水外运过程事故影响分析</w:t>
            </w:r>
          </w:p>
          <w:p w14:paraId="2D3B87BE">
            <w:pPr>
              <w:spacing w:line="360" w:lineRule="auto"/>
              <w:ind w:firstLine="480" w:firstLineChars="200"/>
              <w:rPr>
                <w:sz w:val="24"/>
              </w:rPr>
            </w:pPr>
            <w:r>
              <w:rPr>
                <w:rFonts w:hint="eastAsia"/>
                <w:sz w:val="24"/>
              </w:rPr>
              <w:t>本项目压裂返排液外运处理，运输过程中可能会发生事故泄漏风险而产生环境影响。压裂返排液转运采用罐体装载污水，罐体为钢板密封罐，发生翻车泄漏的几率很小；压裂返排液罐车转运过程中发生事故污染的可能性极小，在环境所能接受的范围内。</w:t>
            </w:r>
          </w:p>
          <w:p w14:paraId="259AEAEC">
            <w:pPr>
              <w:spacing w:line="360" w:lineRule="auto"/>
              <w:ind w:firstLine="480" w:firstLineChars="200"/>
              <w:rPr>
                <w:sz w:val="24"/>
              </w:rPr>
            </w:pPr>
            <w:r>
              <w:rPr>
                <w:rFonts w:hint="eastAsia"/>
                <w:sz w:val="24"/>
              </w:rPr>
              <w:t>本项目风险事故发生</w:t>
            </w:r>
            <w:r>
              <w:rPr>
                <w:rFonts w:hint="eastAsia"/>
                <w:sz w:val="24"/>
                <w:lang w:val="en-US" w:eastAsia="zh-CN"/>
              </w:rPr>
              <w:t>几率</w:t>
            </w:r>
            <w:r>
              <w:rPr>
                <w:rFonts w:hint="eastAsia"/>
                <w:sz w:val="24"/>
              </w:rPr>
              <w:t>低，但事故发生对环境的影响重大，工程主管部门通过完善井控、防火、防爆安全以及硫化氢安全防护等措施，尤其是井喷失控后按15min内点火、撤离居民等关键措施，建设单位在建设过程中应落实项目提出的风险对策措施，当发生风险事故时立即启动事故应急预案，能确保事故不扩大，不会对周边环境造成较大危害。在采取完善的环境风险防范措施下，本项目环境风险可防控</w:t>
            </w:r>
            <w:r>
              <w:rPr>
                <w:sz w:val="24"/>
              </w:rPr>
              <w:t>。</w:t>
            </w:r>
          </w:p>
          <w:p w14:paraId="6FC96DEB">
            <w:pPr>
              <w:spacing w:line="360" w:lineRule="auto"/>
              <w:ind w:firstLine="482" w:firstLineChars="200"/>
              <w:rPr>
                <w:b/>
                <w:bCs/>
                <w:sz w:val="24"/>
              </w:rPr>
            </w:pPr>
            <w:r>
              <w:rPr>
                <w:b/>
                <w:bCs/>
                <w:sz w:val="24"/>
              </w:rPr>
              <w:t>项目环境风险影响分析详见《环境风险影响评价专题报告》。</w:t>
            </w:r>
          </w:p>
          <w:p w14:paraId="74619846">
            <w:pPr>
              <w:spacing w:line="360" w:lineRule="auto"/>
              <w:rPr>
                <w:sz w:val="24"/>
              </w:rPr>
            </w:pPr>
            <w:r>
              <w:rPr>
                <w:b/>
                <w:bCs/>
                <w:sz w:val="24"/>
              </w:rPr>
              <w:t>4.6土壤环境影响分析</w:t>
            </w:r>
          </w:p>
          <w:p w14:paraId="3B004F9D">
            <w:pPr>
              <w:spacing w:line="360" w:lineRule="auto"/>
              <w:rPr>
                <w:b/>
                <w:bCs/>
                <w:sz w:val="24"/>
              </w:rPr>
            </w:pPr>
            <w:r>
              <w:rPr>
                <w:b/>
                <w:bCs/>
                <w:sz w:val="24"/>
              </w:rPr>
              <w:t>4.6.1影响途径</w:t>
            </w:r>
          </w:p>
          <w:p w14:paraId="487267B7">
            <w:pPr>
              <w:spacing w:line="360" w:lineRule="auto"/>
              <w:ind w:firstLine="480" w:firstLineChars="200"/>
              <w:rPr>
                <w:sz w:val="24"/>
              </w:rPr>
            </w:pPr>
            <w:r>
              <w:rPr>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14:paraId="542D5D04">
            <w:pPr>
              <w:pStyle w:val="19"/>
              <w:widowControl w:val="0"/>
              <w:tabs>
                <w:tab w:val="left" w:pos="0"/>
                <w:tab w:val="left" w:pos="833"/>
              </w:tabs>
              <w:spacing w:before="0" w:after="0" w:line="360" w:lineRule="auto"/>
              <w:ind w:left="420" w:right="0"/>
              <w:jc w:val="center"/>
              <w:rPr>
                <w:b/>
                <w:sz w:val="24"/>
                <w:szCs w:val="24"/>
              </w:rPr>
            </w:pPr>
            <w:r>
              <w:rPr>
                <w:b/>
                <w:sz w:val="24"/>
                <w:szCs w:val="24"/>
              </w:rPr>
              <w:t>表4-19 建设项目土壤环境影响类型与影响途径表</w:t>
            </w:r>
          </w:p>
          <w:tbl>
            <w:tblPr>
              <w:tblStyle w:val="45"/>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14:paraId="6EE5D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14:paraId="4CFBCB75">
                  <w:pPr>
                    <w:pStyle w:val="19"/>
                    <w:widowControl w:val="0"/>
                    <w:tabs>
                      <w:tab w:val="left" w:pos="0"/>
                      <w:tab w:val="left" w:pos="833"/>
                    </w:tabs>
                    <w:spacing w:before="0" w:after="0" w:line="240" w:lineRule="auto"/>
                    <w:ind w:right="0"/>
                    <w:jc w:val="center"/>
                    <w:rPr>
                      <w:b/>
                      <w:sz w:val="21"/>
                      <w:szCs w:val="21"/>
                    </w:rPr>
                  </w:pPr>
                  <w:r>
                    <w:rPr>
                      <w:b/>
                      <w:sz w:val="21"/>
                      <w:szCs w:val="21"/>
                    </w:rPr>
                    <w:t>不同时段</w:t>
                  </w:r>
                </w:p>
              </w:tc>
              <w:tc>
                <w:tcPr>
                  <w:tcW w:w="6170" w:type="dxa"/>
                  <w:gridSpan w:val="4"/>
                  <w:tcBorders>
                    <w:tl2br w:val="nil"/>
                    <w:tr2bl w:val="nil"/>
                  </w:tcBorders>
                  <w:vAlign w:val="center"/>
                </w:tcPr>
                <w:p w14:paraId="1685E58C">
                  <w:pPr>
                    <w:pStyle w:val="19"/>
                    <w:widowControl w:val="0"/>
                    <w:tabs>
                      <w:tab w:val="left" w:pos="0"/>
                      <w:tab w:val="left" w:pos="833"/>
                    </w:tabs>
                    <w:spacing w:before="0" w:after="0" w:line="240" w:lineRule="auto"/>
                    <w:ind w:right="0"/>
                    <w:jc w:val="center"/>
                    <w:rPr>
                      <w:b/>
                      <w:sz w:val="21"/>
                      <w:szCs w:val="21"/>
                    </w:rPr>
                  </w:pPr>
                  <w:r>
                    <w:rPr>
                      <w:b/>
                      <w:sz w:val="21"/>
                      <w:szCs w:val="21"/>
                    </w:rPr>
                    <w:t>污染影响型</w:t>
                  </w:r>
                </w:p>
              </w:tc>
            </w:tr>
            <w:tr w14:paraId="79E6D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14:paraId="35608B58">
                  <w:pPr>
                    <w:pStyle w:val="19"/>
                    <w:widowControl w:val="0"/>
                    <w:tabs>
                      <w:tab w:val="left" w:pos="0"/>
                      <w:tab w:val="left" w:pos="833"/>
                    </w:tabs>
                    <w:spacing w:before="0" w:after="0" w:line="240" w:lineRule="auto"/>
                    <w:ind w:right="0"/>
                    <w:jc w:val="center"/>
                    <w:rPr>
                      <w:b/>
                      <w:sz w:val="21"/>
                      <w:szCs w:val="21"/>
                    </w:rPr>
                  </w:pPr>
                </w:p>
              </w:tc>
              <w:tc>
                <w:tcPr>
                  <w:tcW w:w="1542" w:type="dxa"/>
                  <w:tcBorders>
                    <w:tl2br w:val="nil"/>
                    <w:tr2bl w:val="nil"/>
                  </w:tcBorders>
                  <w:vAlign w:val="center"/>
                </w:tcPr>
                <w:p w14:paraId="21C67A66">
                  <w:pPr>
                    <w:pStyle w:val="19"/>
                    <w:widowControl w:val="0"/>
                    <w:tabs>
                      <w:tab w:val="left" w:pos="0"/>
                      <w:tab w:val="left" w:pos="833"/>
                    </w:tabs>
                    <w:spacing w:before="0" w:after="0" w:line="240" w:lineRule="auto"/>
                    <w:ind w:right="0"/>
                    <w:jc w:val="center"/>
                    <w:rPr>
                      <w:b/>
                      <w:sz w:val="21"/>
                      <w:szCs w:val="21"/>
                    </w:rPr>
                  </w:pPr>
                  <w:r>
                    <w:rPr>
                      <w:szCs w:val="21"/>
                    </w:rPr>
                    <w:t>大气沉降</w:t>
                  </w:r>
                </w:p>
              </w:tc>
              <w:tc>
                <w:tcPr>
                  <w:tcW w:w="1542" w:type="dxa"/>
                  <w:tcBorders>
                    <w:tl2br w:val="nil"/>
                    <w:tr2bl w:val="nil"/>
                  </w:tcBorders>
                  <w:vAlign w:val="center"/>
                </w:tcPr>
                <w:p w14:paraId="30D406D0">
                  <w:pPr>
                    <w:pStyle w:val="19"/>
                    <w:widowControl w:val="0"/>
                    <w:tabs>
                      <w:tab w:val="left" w:pos="0"/>
                      <w:tab w:val="left" w:pos="833"/>
                    </w:tabs>
                    <w:spacing w:before="0" w:after="0" w:line="240" w:lineRule="auto"/>
                    <w:ind w:right="0"/>
                    <w:jc w:val="center"/>
                    <w:rPr>
                      <w:b/>
                      <w:sz w:val="21"/>
                      <w:szCs w:val="21"/>
                    </w:rPr>
                  </w:pPr>
                  <w:r>
                    <w:rPr>
                      <w:szCs w:val="21"/>
                    </w:rPr>
                    <w:t>地面漫流</w:t>
                  </w:r>
                </w:p>
              </w:tc>
              <w:tc>
                <w:tcPr>
                  <w:tcW w:w="1543" w:type="dxa"/>
                  <w:tcBorders>
                    <w:tl2br w:val="nil"/>
                    <w:tr2bl w:val="nil"/>
                  </w:tcBorders>
                  <w:vAlign w:val="center"/>
                </w:tcPr>
                <w:p w14:paraId="234E7DF6">
                  <w:pPr>
                    <w:pStyle w:val="19"/>
                    <w:widowControl w:val="0"/>
                    <w:tabs>
                      <w:tab w:val="left" w:pos="0"/>
                      <w:tab w:val="left" w:pos="833"/>
                    </w:tabs>
                    <w:spacing w:before="0" w:after="0" w:line="240" w:lineRule="auto"/>
                    <w:ind w:right="0"/>
                    <w:jc w:val="center"/>
                    <w:rPr>
                      <w:b/>
                      <w:sz w:val="21"/>
                      <w:szCs w:val="21"/>
                    </w:rPr>
                  </w:pPr>
                  <w:r>
                    <w:rPr>
                      <w:szCs w:val="21"/>
                    </w:rPr>
                    <w:t>垂直入渗</w:t>
                  </w:r>
                </w:p>
              </w:tc>
              <w:tc>
                <w:tcPr>
                  <w:tcW w:w="1543" w:type="dxa"/>
                  <w:tcBorders>
                    <w:tl2br w:val="nil"/>
                    <w:tr2bl w:val="nil"/>
                  </w:tcBorders>
                  <w:vAlign w:val="center"/>
                </w:tcPr>
                <w:p w14:paraId="717F29C5">
                  <w:pPr>
                    <w:pStyle w:val="19"/>
                    <w:widowControl w:val="0"/>
                    <w:tabs>
                      <w:tab w:val="left" w:pos="0"/>
                      <w:tab w:val="left" w:pos="833"/>
                    </w:tabs>
                    <w:spacing w:before="0" w:after="0" w:line="240" w:lineRule="auto"/>
                    <w:ind w:right="0"/>
                    <w:jc w:val="center"/>
                    <w:rPr>
                      <w:b/>
                      <w:sz w:val="21"/>
                      <w:szCs w:val="21"/>
                    </w:rPr>
                  </w:pPr>
                  <w:r>
                    <w:rPr>
                      <w:szCs w:val="21"/>
                    </w:rPr>
                    <w:t>其他</w:t>
                  </w:r>
                </w:p>
              </w:tc>
            </w:tr>
            <w:tr w14:paraId="3FE19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14:paraId="66F28F3C">
                  <w:pPr>
                    <w:pStyle w:val="19"/>
                    <w:widowControl w:val="0"/>
                    <w:tabs>
                      <w:tab w:val="left" w:pos="0"/>
                      <w:tab w:val="left" w:pos="833"/>
                    </w:tabs>
                    <w:spacing w:before="0" w:after="0" w:line="240" w:lineRule="auto"/>
                    <w:ind w:right="0"/>
                    <w:jc w:val="center"/>
                    <w:rPr>
                      <w:b/>
                      <w:sz w:val="21"/>
                      <w:szCs w:val="21"/>
                    </w:rPr>
                  </w:pPr>
                  <w:r>
                    <w:rPr>
                      <w:b/>
                      <w:sz w:val="21"/>
                      <w:szCs w:val="21"/>
                    </w:rPr>
                    <w:t>钻井期</w:t>
                  </w:r>
                </w:p>
              </w:tc>
              <w:tc>
                <w:tcPr>
                  <w:tcW w:w="1542" w:type="dxa"/>
                  <w:tcBorders>
                    <w:tl2br w:val="nil"/>
                    <w:tr2bl w:val="nil"/>
                  </w:tcBorders>
                  <w:vAlign w:val="center"/>
                </w:tcPr>
                <w:p w14:paraId="3F7A06D3">
                  <w:pPr>
                    <w:pStyle w:val="19"/>
                    <w:widowControl w:val="0"/>
                    <w:tabs>
                      <w:tab w:val="left" w:pos="0"/>
                      <w:tab w:val="left" w:pos="833"/>
                    </w:tabs>
                    <w:spacing w:before="0" w:after="0" w:line="240" w:lineRule="auto"/>
                    <w:ind w:right="0"/>
                    <w:jc w:val="center"/>
                    <w:rPr>
                      <w:b/>
                      <w:sz w:val="21"/>
                      <w:szCs w:val="21"/>
                    </w:rPr>
                  </w:pPr>
                  <w:r>
                    <w:rPr>
                      <w:szCs w:val="21"/>
                    </w:rPr>
                    <w:t>-</w:t>
                  </w:r>
                </w:p>
              </w:tc>
              <w:tc>
                <w:tcPr>
                  <w:tcW w:w="1542" w:type="dxa"/>
                  <w:tcBorders>
                    <w:tl2br w:val="nil"/>
                    <w:tr2bl w:val="nil"/>
                  </w:tcBorders>
                  <w:vAlign w:val="center"/>
                </w:tcPr>
                <w:p w14:paraId="71AD22F6">
                  <w:pPr>
                    <w:pStyle w:val="19"/>
                    <w:widowControl w:val="0"/>
                    <w:tabs>
                      <w:tab w:val="left" w:pos="0"/>
                      <w:tab w:val="left" w:pos="833"/>
                    </w:tabs>
                    <w:spacing w:before="0" w:after="0" w:line="240" w:lineRule="auto"/>
                    <w:ind w:right="0"/>
                    <w:jc w:val="center"/>
                    <w:rPr>
                      <w:b/>
                      <w:sz w:val="21"/>
                      <w:szCs w:val="21"/>
                    </w:rPr>
                  </w:pPr>
                  <w:r>
                    <w:rPr>
                      <w:szCs w:val="21"/>
                    </w:rPr>
                    <w:t>√</w:t>
                  </w:r>
                </w:p>
              </w:tc>
              <w:tc>
                <w:tcPr>
                  <w:tcW w:w="1543" w:type="dxa"/>
                  <w:tcBorders>
                    <w:tl2br w:val="nil"/>
                    <w:tr2bl w:val="nil"/>
                  </w:tcBorders>
                  <w:vAlign w:val="center"/>
                </w:tcPr>
                <w:p w14:paraId="65FFD98C">
                  <w:pPr>
                    <w:pStyle w:val="19"/>
                    <w:widowControl w:val="0"/>
                    <w:tabs>
                      <w:tab w:val="left" w:pos="0"/>
                      <w:tab w:val="left" w:pos="833"/>
                    </w:tabs>
                    <w:spacing w:before="0" w:after="0" w:line="240" w:lineRule="auto"/>
                    <w:ind w:right="0"/>
                    <w:jc w:val="center"/>
                    <w:rPr>
                      <w:b/>
                      <w:sz w:val="21"/>
                      <w:szCs w:val="21"/>
                    </w:rPr>
                  </w:pPr>
                  <w:r>
                    <w:rPr>
                      <w:szCs w:val="21"/>
                    </w:rPr>
                    <w:t>√</w:t>
                  </w:r>
                </w:p>
              </w:tc>
              <w:tc>
                <w:tcPr>
                  <w:tcW w:w="1543" w:type="dxa"/>
                  <w:tcBorders>
                    <w:tl2br w:val="nil"/>
                    <w:tr2bl w:val="nil"/>
                  </w:tcBorders>
                  <w:vAlign w:val="center"/>
                </w:tcPr>
                <w:p w14:paraId="2D23FB44">
                  <w:pPr>
                    <w:pStyle w:val="19"/>
                    <w:widowControl w:val="0"/>
                    <w:tabs>
                      <w:tab w:val="left" w:pos="0"/>
                      <w:tab w:val="left" w:pos="833"/>
                    </w:tabs>
                    <w:spacing w:before="0" w:after="0" w:line="240" w:lineRule="auto"/>
                    <w:ind w:right="0"/>
                    <w:jc w:val="center"/>
                    <w:rPr>
                      <w:b/>
                      <w:sz w:val="21"/>
                      <w:szCs w:val="21"/>
                    </w:rPr>
                  </w:pPr>
                  <w:r>
                    <w:rPr>
                      <w:szCs w:val="21"/>
                    </w:rPr>
                    <w:t>-</w:t>
                  </w:r>
                </w:p>
              </w:tc>
            </w:tr>
          </w:tbl>
          <w:p w14:paraId="70AF98D4">
            <w:pPr>
              <w:spacing w:line="360" w:lineRule="auto"/>
              <w:rPr>
                <w:b/>
                <w:bCs/>
                <w:sz w:val="24"/>
              </w:rPr>
            </w:pPr>
            <w:r>
              <w:rPr>
                <w:b/>
                <w:bCs/>
                <w:sz w:val="24"/>
              </w:rPr>
              <w:t>4.6.2影响源与影响因子</w:t>
            </w:r>
          </w:p>
          <w:p w14:paraId="3DFA2F5D">
            <w:pPr>
              <w:spacing w:line="360" w:lineRule="auto"/>
              <w:ind w:firstLine="480" w:firstLineChars="200"/>
              <w:jc w:val="left"/>
              <w:rPr>
                <w:sz w:val="24"/>
              </w:rPr>
            </w:pPr>
            <w:r>
              <w:rPr>
                <w:kern w:val="0"/>
                <w:sz w:val="24"/>
                <w:lang w:bidi="ar"/>
              </w:rPr>
              <w:t>根据工程分析，项目的主要土壤影响源为井场</w:t>
            </w:r>
            <w:r>
              <w:rPr>
                <w:sz w:val="24"/>
              </w:rPr>
              <w:t>污染区（泥浆循环区、井口区、动力机组区、泥浆不落地平台）废水、固废入渗影响，油罐区废水的入渗影响，井场区雨水的漫流影响。</w:t>
            </w:r>
          </w:p>
          <w:p w14:paraId="52DE3AC6">
            <w:pPr>
              <w:pStyle w:val="19"/>
              <w:widowControl w:val="0"/>
              <w:tabs>
                <w:tab w:val="left" w:pos="0"/>
                <w:tab w:val="left" w:pos="833"/>
              </w:tabs>
              <w:spacing w:before="0" w:after="0" w:line="360" w:lineRule="auto"/>
              <w:ind w:left="420" w:right="0"/>
              <w:jc w:val="center"/>
              <w:rPr>
                <w:b/>
                <w:sz w:val="24"/>
                <w:szCs w:val="24"/>
              </w:rPr>
            </w:pPr>
            <w:r>
              <w:rPr>
                <w:b/>
                <w:sz w:val="24"/>
                <w:szCs w:val="24"/>
              </w:rPr>
              <w:t>表4-20 土壤环境影响源及影响因子识别表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14:paraId="26E51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14:paraId="4704205D">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污染源</w:t>
                  </w:r>
                </w:p>
              </w:tc>
              <w:tc>
                <w:tcPr>
                  <w:tcW w:w="1515" w:type="dxa"/>
                  <w:tcBorders>
                    <w:tl2br w:val="nil"/>
                    <w:tr2bl w:val="nil"/>
                  </w:tcBorders>
                  <w:vAlign w:val="center"/>
                </w:tcPr>
                <w:p w14:paraId="5254EF65">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工艺流程/节点</w:t>
                  </w:r>
                </w:p>
              </w:tc>
              <w:tc>
                <w:tcPr>
                  <w:tcW w:w="1101" w:type="dxa"/>
                  <w:tcBorders>
                    <w:tl2br w:val="nil"/>
                    <w:tr2bl w:val="nil"/>
                  </w:tcBorders>
                  <w:vAlign w:val="center"/>
                </w:tcPr>
                <w:p w14:paraId="335A0C97">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污染途径</w:t>
                  </w:r>
                </w:p>
              </w:tc>
              <w:tc>
                <w:tcPr>
                  <w:tcW w:w="1627" w:type="dxa"/>
                  <w:tcBorders>
                    <w:tl2br w:val="nil"/>
                    <w:tr2bl w:val="nil"/>
                  </w:tcBorders>
                  <w:vAlign w:val="center"/>
                </w:tcPr>
                <w:p w14:paraId="586C3B70">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全部污染物指标</w:t>
                  </w:r>
                </w:p>
              </w:tc>
              <w:tc>
                <w:tcPr>
                  <w:tcW w:w="1430" w:type="dxa"/>
                  <w:tcBorders>
                    <w:tl2br w:val="nil"/>
                    <w:tr2bl w:val="nil"/>
                  </w:tcBorders>
                  <w:vAlign w:val="center"/>
                </w:tcPr>
                <w:p w14:paraId="2E61EE09">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特征因子</w:t>
                  </w:r>
                </w:p>
              </w:tc>
              <w:tc>
                <w:tcPr>
                  <w:tcW w:w="941" w:type="dxa"/>
                  <w:tcBorders>
                    <w:tl2br w:val="nil"/>
                    <w:tr2bl w:val="nil"/>
                  </w:tcBorders>
                  <w:vAlign w:val="center"/>
                </w:tcPr>
                <w:p w14:paraId="4720E9F3">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备注</w:t>
                  </w:r>
                </w:p>
              </w:tc>
            </w:tr>
            <w:tr w14:paraId="29038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14:paraId="67837DF8">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井场</w:t>
                  </w:r>
                </w:p>
              </w:tc>
              <w:tc>
                <w:tcPr>
                  <w:tcW w:w="1515" w:type="dxa"/>
                  <w:tcBorders>
                    <w:tl2br w:val="nil"/>
                    <w:tr2bl w:val="nil"/>
                  </w:tcBorders>
                  <w:vAlign w:val="center"/>
                </w:tcPr>
                <w:p w14:paraId="27F13DF3">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污染区（泥浆循环区、井口区、动力机组区、泥浆不落地平台）</w:t>
                  </w:r>
                </w:p>
              </w:tc>
              <w:tc>
                <w:tcPr>
                  <w:tcW w:w="1101" w:type="dxa"/>
                  <w:tcBorders>
                    <w:tl2br w:val="nil"/>
                    <w:tr2bl w:val="nil"/>
                  </w:tcBorders>
                  <w:vAlign w:val="center"/>
                </w:tcPr>
                <w:p w14:paraId="71A9248C">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tcBorders>
                    <w:tl2br w:val="nil"/>
                    <w:tr2bl w:val="nil"/>
                  </w:tcBorders>
                  <w:vAlign w:val="center"/>
                </w:tcPr>
                <w:p w14:paraId="69ECE0F8">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COD、SS、硫化物、石油类</w:t>
                  </w:r>
                </w:p>
              </w:tc>
              <w:tc>
                <w:tcPr>
                  <w:tcW w:w="1430" w:type="dxa"/>
                  <w:tcBorders>
                    <w:tl2br w:val="nil"/>
                    <w:tr2bl w:val="nil"/>
                  </w:tcBorders>
                  <w:vAlign w:val="center"/>
                </w:tcPr>
                <w:p w14:paraId="7168C52D">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石油烃、硫化物</w:t>
                  </w:r>
                </w:p>
              </w:tc>
              <w:tc>
                <w:tcPr>
                  <w:tcW w:w="941" w:type="dxa"/>
                  <w:tcBorders>
                    <w:tl2br w:val="nil"/>
                    <w:tr2bl w:val="nil"/>
                  </w:tcBorders>
                  <w:vAlign w:val="center"/>
                </w:tcPr>
                <w:p w14:paraId="7018FBBE">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14:paraId="6A3F9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14:paraId="617DA34A">
                  <w:pPr>
                    <w:widowControl/>
                    <w:jc w:val="center"/>
                    <w:rPr>
                      <w:szCs w:val="21"/>
                      <w:lang w:val="zh-CN" w:bidi="zh-CN"/>
                    </w:rPr>
                  </w:pPr>
                </w:p>
              </w:tc>
              <w:tc>
                <w:tcPr>
                  <w:tcW w:w="1515" w:type="dxa"/>
                  <w:vMerge w:val="restart"/>
                  <w:tcBorders>
                    <w:tl2br w:val="nil"/>
                    <w:tr2bl w:val="nil"/>
                  </w:tcBorders>
                  <w:vAlign w:val="center"/>
                </w:tcPr>
                <w:p w14:paraId="71D1988A">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清洁区</w:t>
                  </w:r>
                </w:p>
              </w:tc>
              <w:tc>
                <w:tcPr>
                  <w:tcW w:w="1101" w:type="dxa"/>
                  <w:tcBorders>
                    <w:tl2br w:val="nil"/>
                    <w:tr2bl w:val="nil"/>
                  </w:tcBorders>
                  <w:vAlign w:val="center"/>
                </w:tcPr>
                <w:p w14:paraId="1C9B6B39">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vMerge w:val="restart"/>
                  <w:tcBorders>
                    <w:tl2br w:val="nil"/>
                    <w:tr2bl w:val="nil"/>
                  </w:tcBorders>
                  <w:vAlign w:val="center"/>
                </w:tcPr>
                <w:p w14:paraId="170A0E23">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COD、SS、硫化物、石油类</w:t>
                  </w:r>
                </w:p>
              </w:tc>
              <w:tc>
                <w:tcPr>
                  <w:tcW w:w="1430" w:type="dxa"/>
                  <w:vMerge w:val="restart"/>
                  <w:tcBorders>
                    <w:tl2br w:val="nil"/>
                    <w:tr2bl w:val="nil"/>
                  </w:tcBorders>
                  <w:vAlign w:val="center"/>
                </w:tcPr>
                <w:p w14:paraId="66AE5DE7">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石油烃、硫化物</w:t>
                  </w:r>
                </w:p>
              </w:tc>
              <w:tc>
                <w:tcPr>
                  <w:tcW w:w="941" w:type="dxa"/>
                  <w:tcBorders>
                    <w:tl2br w:val="nil"/>
                    <w:tr2bl w:val="nil"/>
                  </w:tcBorders>
                  <w:vAlign w:val="center"/>
                </w:tcPr>
                <w:p w14:paraId="08DBAD04">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14:paraId="15669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14:paraId="718E324D">
                  <w:pPr>
                    <w:widowControl/>
                    <w:jc w:val="center"/>
                    <w:rPr>
                      <w:szCs w:val="21"/>
                      <w:lang w:val="zh-CN" w:bidi="zh-CN"/>
                    </w:rPr>
                  </w:pPr>
                </w:p>
              </w:tc>
              <w:tc>
                <w:tcPr>
                  <w:tcW w:w="1515" w:type="dxa"/>
                  <w:vMerge w:val="continue"/>
                  <w:tcBorders>
                    <w:tl2br w:val="nil"/>
                    <w:tr2bl w:val="nil"/>
                  </w:tcBorders>
                  <w:vAlign w:val="center"/>
                </w:tcPr>
                <w:p w14:paraId="53347763">
                  <w:pPr>
                    <w:widowControl/>
                    <w:jc w:val="center"/>
                    <w:rPr>
                      <w:szCs w:val="21"/>
                      <w:lang w:val="zh-CN" w:bidi="zh-CN"/>
                    </w:rPr>
                  </w:pPr>
                </w:p>
              </w:tc>
              <w:tc>
                <w:tcPr>
                  <w:tcW w:w="1101" w:type="dxa"/>
                  <w:tcBorders>
                    <w:tl2br w:val="nil"/>
                    <w:tr2bl w:val="nil"/>
                  </w:tcBorders>
                  <w:vAlign w:val="center"/>
                </w:tcPr>
                <w:p w14:paraId="7DC05165">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地面漫流</w:t>
                  </w:r>
                </w:p>
              </w:tc>
              <w:tc>
                <w:tcPr>
                  <w:tcW w:w="1627" w:type="dxa"/>
                  <w:vMerge w:val="continue"/>
                  <w:tcBorders>
                    <w:tl2br w:val="nil"/>
                    <w:tr2bl w:val="nil"/>
                  </w:tcBorders>
                  <w:vAlign w:val="center"/>
                </w:tcPr>
                <w:p w14:paraId="471F3F86">
                  <w:pPr>
                    <w:widowControl/>
                    <w:jc w:val="center"/>
                    <w:rPr>
                      <w:szCs w:val="21"/>
                      <w:lang w:val="zh-CN" w:bidi="zh-CN"/>
                    </w:rPr>
                  </w:pPr>
                </w:p>
              </w:tc>
              <w:tc>
                <w:tcPr>
                  <w:tcW w:w="1430" w:type="dxa"/>
                  <w:vMerge w:val="continue"/>
                  <w:tcBorders>
                    <w:tl2br w:val="nil"/>
                    <w:tr2bl w:val="nil"/>
                  </w:tcBorders>
                  <w:vAlign w:val="center"/>
                </w:tcPr>
                <w:p w14:paraId="79D17701">
                  <w:pPr>
                    <w:widowControl/>
                    <w:jc w:val="center"/>
                    <w:rPr>
                      <w:szCs w:val="21"/>
                      <w:lang w:val="zh-CN" w:bidi="zh-CN"/>
                    </w:rPr>
                  </w:pPr>
                </w:p>
              </w:tc>
              <w:tc>
                <w:tcPr>
                  <w:tcW w:w="941" w:type="dxa"/>
                  <w:tcBorders>
                    <w:tl2br w:val="nil"/>
                    <w:tr2bl w:val="nil"/>
                  </w:tcBorders>
                  <w:vAlign w:val="center"/>
                </w:tcPr>
                <w:p w14:paraId="0470308C">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14:paraId="7D4EC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14:paraId="57B988AF">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油罐区、</w:t>
                  </w:r>
                  <w:r>
                    <w:rPr>
                      <w:rFonts w:ascii="Times New Roman" w:hAnsi="Times New Roman" w:eastAsia="宋体" w:cs="Times New Roman"/>
                      <w:szCs w:val="21"/>
                      <w:lang w:val="en-US"/>
                    </w:rPr>
                    <w:t>环境监测池</w:t>
                  </w:r>
                </w:p>
              </w:tc>
              <w:tc>
                <w:tcPr>
                  <w:tcW w:w="1515" w:type="dxa"/>
                  <w:tcBorders>
                    <w:tl2br w:val="nil"/>
                    <w:tr2bl w:val="nil"/>
                  </w:tcBorders>
                  <w:vAlign w:val="center"/>
                </w:tcPr>
                <w:p w14:paraId="708099D5">
                  <w:pPr>
                    <w:pStyle w:val="254"/>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tcBorders>
                    <w:tl2br w:val="nil"/>
                    <w:tr2bl w:val="nil"/>
                  </w:tcBorders>
                  <w:vAlign w:val="center"/>
                </w:tcPr>
                <w:p w14:paraId="2D35F88D">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vMerge w:val="restart"/>
                  <w:tcBorders>
                    <w:tl2br w:val="nil"/>
                    <w:tr2bl w:val="nil"/>
                  </w:tcBorders>
                  <w:vAlign w:val="center"/>
                </w:tcPr>
                <w:p w14:paraId="36913246">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石油类</w:t>
                  </w:r>
                </w:p>
              </w:tc>
              <w:tc>
                <w:tcPr>
                  <w:tcW w:w="1430" w:type="dxa"/>
                  <w:vMerge w:val="restart"/>
                  <w:tcBorders>
                    <w:tl2br w:val="nil"/>
                    <w:tr2bl w:val="nil"/>
                  </w:tcBorders>
                  <w:vAlign w:val="center"/>
                </w:tcPr>
                <w:p w14:paraId="723E690D">
                  <w:pPr>
                    <w:pStyle w:val="254"/>
                    <w:ind w:firstLine="3"/>
                    <w:jc w:val="center"/>
                    <w:rPr>
                      <w:rFonts w:ascii="Times New Roman" w:hAnsi="Times New Roman" w:eastAsia="宋体" w:cs="Times New Roman"/>
                      <w:szCs w:val="21"/>
                    </w:rPr>
                  </w:pPr>
                  <w:r>
                    <w:rPr>
                      <w:rFonts w:ascii="Times New Roman" w:hAnsi="Times New Roman" w:eastAsia="宋体" w:cs="Times New Roman"/>
                      <w:szCs w:val="21"/>
                    </w:rPr>
                    <w:t>石油烃</w:t>
                  </w:r>
                </w:p>
              </w:tc>
              <w:tc>
                <w:tcPr>
                  <w:tcW w:w="941" w:type="dxa"/>
                  <w:tcBorders>
                    <w:tl2br w:val="nil"/>
                    <w:tr2bl w:val="nil"/>
                  </w:tcBorders>
                  <w:vAlign w:val="center"/>
                </w:tcPr>
                <w:p w14:paraId="4BBA7F88">
                  <w:pPr>
                    <w:pStyle w:val="254"/>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r w14:paraId="5D066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14:paraId="4085BB8A">
                  <w:pPr>
                    <w:widowControl/>
                    <w:jc w:val="center"/>
                    <w:rPr>
                      <w:szCs w:val="21"/>
                      <w:lang w:val="zh-CN" w:bidi="zh-CN"/>
                    </w:rPr>
                  </w:pPr>
                </w:p>
              </w:tc>
              <w:tc>
                <w:tcPr>
                  <w:tcW w:w="1515" w:type="dxa"/>
                  <w:tcBorders>
                    <w:tl2br w:val="nil"/>
                    <w:tr2bl w:val="nil"/>
                  </w:tcBorders>
                  <w:vAlign w:val="center"/>
                </w:tcPr>
                <w:p w14:paraId="7FC34ADD">
                  <w:pPr>
                    <w:pStyle w:val="254"/>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tcBorders>
                    <w:tl2br w:val="nil"/>
                    <w:tr2bl w:val="nil"/>
                  </w:tcBorders>
                  <w:vAlign w:val="center"/>
                </w:tcPr>
                <w:p w14:paraId="2928E8C6">
                  <w:pPr>
                    <w:pStyle w:val="254"/>
                    <w:jc w:val="center"/>
                    <w:rPr>
                      <w:rFonts w:ascii="Times New Roman" w:hAnsi="Times New Roman" w:eastAsia="宋体" w:cs="Times New Roman"/>
                      <w:szCs w:val="21"/>
                    </w:rPr>
                  </w:pPr>
                  <w:r>
                    <w:rPr>
                      <w:rFonts w:ascii="Times New Roman" w:hAnsi="Times New Roman" w:eastAsia="宋体" w:cs="Times New Roman"/>
                      <w:szCs w:val="21"/>
                    </w:rPr>
                    <w:t>地面漫流</w:t>
                  </w:r>
                </w:p>
              </w:tc>
              <w:tc>
                <w:tcPr>
                  <w:tcW w:w="1627" w:type="dxa"/>
                  <w:vMerge w:val="continue"/>
                  <w:tcBorders>
                    <w:tl2br w:val="nil"/>
                    <w:tr2bl w:val="nil"/>
                  </w:tcBorders>
                  <w:vAlign w:val="center"/>
                </w:tcPr>
                <w:p w14:paraId="0D89C8FB">
                  <w:pPr>
                    <w:widowControl/>
                    <w:jc w:val="center"/>
                    <w:rPr>
                      <w:szCs w:val="21"/>
                      <w:lang w:val="zh-CN" w:bidi="zh-CN"/>
                    </w:rPr>
                  </w:pPr>
                </w:p>
              </w:tc>
              <w:tc>
                <w:tcPr>
                  <w:tcW w:w="1430" w:type="dxa"/>
                  <w:vMerge w:val="continue"/>
                  <w:tcBorders>
                    <w:tl2br w:val="nil"/>
                    <w:tr2bl w:val="nil"/>
                  </w:tcBorders>
                  <w:vAlign w:val="center"/>
                </w:tcPr>
                <w:p w14:paraId="2C251D50">
                  <w:pPr>
                    <w:widowControl/>
                    <w:jc w:val="center"/>
                    <w:rPr>
                      <w:szCs w:val="21"/>
                      <w:lang w:val="zh-CN" w:bidi="zh-CN"/>
                    </w:rPr>
                  </w:pPr>
                </w:p>
              </w:tc>
              <w:tc>
                <w:tcPr>
                  <w:tcW w:w="941" w:type="dxa"/>
                  <w:tcBorders>
                    <w:tl2br w:val="nil"/>
                    <w:tr2bl w:val="nil"/>
                  </w:tcBorders>
                  <w:vAlign w:val="center"/>
                </w:tcPr>
                <w:p w14:paraId="20E6334E">
                  <w:pPr>
                    <w:pStyle w:val="254"/>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bl>
          <w:p w14:paraId="4D66ECD4">
            <w:pPr>
              <w:spacing w:line="360" w:lineRule="auto"/>
              <w:rPr>
                <w:b/>
                <w:bCs/>
                <w:snapToGrid w:val="0"/>
                <w:kern w:val="0"/>
                <w:sz w:val="24"/>
              </w:rPr>
            </w:pPr>
            <w:r>
              <w:rPr>
                <w:b/>
                <w:bCs/>
                <w:snapToGrid w:val="0"/>
                <w:kern w:val="0"/>
                <w:sz w:val="24"/>
              </w:rPr>
              <w:t>4.6.2土壤环境影响分析</w:t>
            </w:r>
          </w:p>
          <w:p w14:paraId="78837336">
            <w:pPr>
              <w:spacing w:line="360" w:lineRule="auto"/>
              <w:ind w:firstLine="480" w:firstLineChars="200"/>
              <w:jc w:val="left"/>
              <w:rPr>
                <w:bCs/>
                <w:snapToGrid w:val="0"/>
                <w:kern w:val="0"/>
                <w:sz w:val="24"/>
              </w:rPr>
            </w:pPr>
            <w:r>
              <w:rPr>
                <w:sz w:val="24"/>
              </w:rPr>
              <w:t>本项目土壤环境影响分析将从如下方面进行分析：</w:t>
            </w:r>
          </w:p>
          <w:p w14:paraId="05013E7A">
            <w:pPr>
              <w:spacing w:line="360" w:lineRule="auto"/>
              <w:ind w:firstLine="480" w:firstLineChars="200"/>
              <w:jc w:val="left"/>
              <w:rPr>
                <w:bCs/>
                <w:snapToGrid w:val="0"/>
                <w:kern w:val="0"/>
                <w:sz w:val="24"/>
              </w:rPr>
            </w:pPr>
            <w:r>
              <w:rPr>
                <w:bCs/>
                <w:snapToGrid w:val="0"/>
                <w:kern w:val="0"/>
                <w:sz w:val="24"/>
              </w:rPr>
              <w:t>（1）破坏土壤结构</w:t>
            </w:r>
          </w:p>
          <w:p w14:paraId="0ED90A90">
            <w:pPr>
              <w:spacing w:line="360" w:lineRule="auto"/>
              <w:ind w:firstLine="480" w:firstLineChars="200"/>
              <w:jc w:val="left"/>
              <w:rPr>
                <w:bCs/>
                <w:snapToGrid w:val="0"/>
                <w:kern w:val="0"/>
                <w:sz w:val="24"/>
              </w:rPr>
            </w:pPr>
            <w:r>
              <w:rPr>
                <w:bCs/>
                <w:snapToGrid w:val="0"/>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14:paraId="07E2945F">
            <w:pPr>
              <w:spacing w:line="360" w:lineRule="auto"/>
              <w:ind w:firstLine="480" w:firstLineChars="200"/>
              <w:jc w:val="left"/>
              <w:rPr>
                <w:bCs/>
                <w:snapToGrid w:val="0"/>
                <w:kern w:val="0"/>
                <w:sz w:val="24"/>
              </w:rPr>
            </w:pPr>
            <w:r>
              <w:rPr>
                <w:bCs/>
                <w:snapToGrid w:val="0"/>
                <w:kern w:val="0"/>
                <w:sz w:val="24"/>
              </w:rPr>
              <w:t>（2）改变土壤质地</w:t>
            </w:r>
          </w:p>
          <w:p w14:paraId="6D12E60A">
            <w:pPr>
              <w:spacing w:line="360" w:lineRule="auto"/>
              <w:ind w:firstLine="480" w:firstLineChars="200"/>
              <w:jc w:val="left"/>
              <w:rPr>
                <w:bCs/>
                <w:snapToGrid w:val="0"/>
                <w:kern w:val="0"/>
                <w:sz w:val="24"/>
              </w:rPr>
            </w:pPr>
            <w:r>
              <w:rPr>
                <w:bCs/>
                <w:snapToGrid w:val="0"/>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14:paraId="42516AFF">
            <w:pPr>
              <w:spacing w:line="360" w:lineRule="auto"/>
              <w:ind w:firstLine="480" w:firstLineChars="200"/>
              <w:jc w:val="left"/>
              <w:rPr>
                <w:bCs/>
                <w:snapToGrid w:val="0"/>
                <w:kern w:val="0"/>
                <w:sz w:val="24"/>
              </w:rPr>
            </w:pPr>
            <w:r>
              <w:rPr>
                <w:bCs/>
                <w:snapToGrid w:val="0"/>
                <w:kern w:val="0"/>
                <w:sz w:val="24"/>
              </w:rPr>
              <w:t>（3）影响土壤紧实度</w:t>
            </w:r>
          </w:p>
          <w:p w14:paraId="550F7784">
            <w:pPr>
              <w:spacing w:line="360" w:lineRule="auto"/>
              <w:ind w:firstLine="480" w:firstLineChars="200"/>
              <w:jc w:val="left"/>
              <w:rPr>
                <w:bCs/>
                <w:snapToGrid w:val="0"/>
                <w:kern w:val="0"/>
                <w:sz w:val="24"/>
              </w:rPr>
            </w:pPr>
            <w:r>
              <w:rPr>
                <w:bCs/>
                <w:snapToGrid w:val="0"/>
                <w:kern w:val="0"/>
                <w:sz w:val="24"/>
              </w:rPr>
              <w:t>基础施工后一般在短时期难以恢复其原有的紧实度。表层过于疏松时，因灌溉和降水容易造成水分下渗，使土层明显下陷形成凹沟。过于紧实时又会影响植物根系下扎。施工期间的车辆和重型机械的碾压也会造成管道两侧表层过于紧实，对植物生长产生不良影响。</w:t>
            </w:r>
          </w:p>
          <w:p w14:paraId="59D22769">
            <w:pPr>
              <w:spacing w:line="360" w:lineRule="auto"/>
              <w:ind w:firstLine="480" w:firstLineChars="200"/>
              <w:jc w:val="left"/>
              <w:rPr>
                <w:bCs/>
                <w:snapToGrid w:val="0"/>
                <w:kern w:val="0"/>
                <w:sz w:val="24"/>
              </w:rPr>
            </w:pPr>
            <w:r>
              <w:rPr>
                <w:bCs/>
                <w:snapToGrid w:val="0"/>
                <w:kern w:val="0"/>
                <w:sz w:val="24"/>
              </w:rPr>
              <w:t>（4）施工废弃物对土壤环境的影响</w:t>
            </w:r>
          </w:p>
          <w:p w14:paraId="1B041DE1">
            <w:pPr>
              <w:spacing w:line="360" w:lineRule="auto"/>
              <w:ind w:firstLine="480" w:firstLineChars="200"/>
              <w:jc w:val="left"/>
              <w:rPr>
                <w:bCs/>
                <w:snapToGrid w:val="0"/>
                <w:kern w:val="0"/>
                <w:sz w:val="24"/>
              </w:rPr>
            </w:pPr>
            <w:r>
              <w:rPr>
                <w:bCs/>
                <w:snapToGrid w:val="0"/>
                <w:kern w:val="0"/>
                <w:sz w:val="24"/>
              </w:rPr>
              <w:t>项目</w:t>
            </w:r>
            <w:r>
              <w:rPr>
                <w:rFonts w:hint="eastAsia"/>
                <w:bCs/>
                <w:snapToGrid w:val="0"/>
                <w:kern w:val="0"/>
                <w:sz w:val="24"/>
              </w:rPr>
              <w:t>施工</w:t>
            </w:r>
            <w:r>
              <w:rPr>
                <w:bCs/>
                <w:snapToGrid w:val="0"/>
                <w:kern w:val="0"/>
                <w:sz w:val="24"/>
              </w:rPr>
              <w:t>产生的泥浆若落入土地，有可能把固体废弃物残留于土壤之中。这些固体废物一般都比较难于分解，影响环境景观和作物生长，若埋于土壤中则会对作物根系的生长和发育造成影响。</w:t>
            </w:r>
          </w:p>
          <w:p w14:paraId="5A55E046">
            <w:pPr>
              <w:spacing w:line="360" w:lineRule="auto"/>
              <w:ind w:firstLine="480" w:firstLineChars="200"/>
              <w:jc w:val="left"/>
              <w:rPr>
                <w:bCs/>
                <w:snapToGrid w:val="0"/>
                <w:kern w:val="0"/>
                <w:sz w:val="24"/>
              </w:rPr>
            </w:pPr>
            <w:r>
              <w:rPr>
                <w:bCs/>
                <w:snapToGrid w:val="0"/>
                <w:kern w:val="0"/>
                <w:sz w:val="24"/>
              </w:rPr>
              <w:t>（5）项目建设对土壤养分现状的影响</w:t>
            </w:r>
          </w:p>
          <w:p w14:paraId="4DAAB95D">
            <w:pPr>
              <w:spacing w:line="360" w:lineRule="auto"/>
              <w:ind w:firstLine="480" w:firstLineChars="200"/>
              <w:jc w:val="left"/>
              <w:rPr>
                <w:bCs/>
                <w:snapToGrid w:val="0"/>
                <w:kern w:val="0"/>
                <w:sz w:val="24"/>
              </w:rPr>
            </w:pPr>
            <w:r>
              <w:rPr>
                <w:bCs/>
                <w:snapToGrid w:val="0"/>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以恢复。</w:t>
            </w:r>
          </w:p>
          <w:p w14:paraId="292F9E45">
            <w:pPr>
              <w:spacing w:line="360" w:lineRule="auto"/>
              <w:ind w:firstLine="480" w:firstLineChars="200"/>
              <w:jc w:val="left"/>
              <w:rPr>
                <w:bCs/>
                <w:snapToGrid w:val="0"/>
                <w:kern w:val="0"/>
                <w:sz w:val="24"/>
              </w:rPr>
            </w:pPr>
            <w:r>
              <w:rPr>
                <w:bCs/>
                <w:snapToGrid w:val="0"/>
                <w:kern w:val="0"/>
                <w:sz w:val="24"/>
              </w:rPr>
              <w:t>（6）事故状态下对土壤的影响</w:t>
            </w:r>
          </w:p>
          <w:p w14:paraId="07002175">
            <w:pPr>
              <w:spacing w:line="360" w:lineRule="auto"/>
              <w:ind w:firstLine="480" w:firstLineChars="200"/>
              <w:jc w:val="left"/>
              <w:rPr>
                <w:sz w:val="24"/>
              </w:rPr>
            </w:pPr>
            <w:r>
              <w:rPr>
                <w:bCs/>
                <w:snapToGrid w:val="0"/>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14:paraId="1A79C4E2">
            <w:pPr>
              <w:spacing w:line="360" w:lineRule="auto"/>
              <w:rPr>
                <w:b/>
                <w:bCs/>
                <w:sz w:val="24"/>
              </w:rPr>
            </w:pPr>
            <w:r>
              <w:rPr>
                <w:b/>
                <w:bCs/>
                <w:sz w:val="24"/>
              </w:rPr>
              <w:t>4.6.3其他影响源调查</w:t>
            </w:r>
          </w:p>
          <w:p w14:paraId="3BC7F94F">
            <w:pPr>
              <w:spacing w:line="360" w:lineRule="auto"/>
              <w:ind w:firstLine="480" w:firstLineChars="200"/>
              <w:rPr>
                <w:b/>
                <w:bCs/>
                <w:sz w:val="24"/>
              </w:rPr>
            </w:pPr>
            <w:r>
              <w:rPr>
                <w:sz w:val="24"/>
              </w:rPr>
              <w:t>项目周边为农村地区，无与建设项目产生同种特征因子或造成相同土壤环境影响后果的影响源。为防止项目实施过程中对周边土壤环境造成影响，采取以下措施：</w:t>
            </w:r>
          </w:p>
          <w:p w14:paraId="037DBAE1">
            <w:pPr>
              <w:spacing w:line="360" w:lineRule="auto"/>
              <w:ind w:firstLine="480" w:firstLineChars="200"/>
              <w:rPr>
                <w:sz w:val="24"/>
              </w:rPr>
            </w:pPr>
            <w:r>
              <w:rPr>
                <w:sz w:val="24"/>
              </w:rPr>
              <w:t>（1）岩屑堆放区设置雨棚，防止雨水淋滤导致污染物下渗污染。</w:t>
            </w:r>
          </w:p>
          <w:p w14:paraId="671B20B5">
            <w:pPr>
              <w:spacing w:line="360" w:lineRule="auto"/>
              <w:ind w:firstLine="480" w:firstLineChars="200"/>
              <w:rPr>
                <w:sz w:val="24"/>
              </w:rPr>
            </w:pPr>
            <w:r>
              <w:rPr>
                <w:sz w:val="24"/>
              </w:rPr>
              <w:t>（2）针对渗入影响落实地下水评价内容提出的防渗分区及防渗措施。</w:t>
            </w:r>
          </w:p>
          <w:p w14:paraId="494F2739">
            <w:pPr>
              <w:adjustRightInd w:val="0"/>
              <w:snapToGrid w:val="0"/>
              <w:spacing w:line="360" w:lineRule="auto"/>
              <w:ind w:firstLine="480" w:firstLineChars="200"/>
              <w:rPr>
                <w:sz w:val="24"/>
              </w:rPr>
            </w:pPr>
            <w:r>
              <w:rPr>
                <w:sz w:val="24"/>
              </w:rPr>
              <w:t>（3）针对地面漫流影响实施井场清污分流措施，在井场四周设置雨水排水沟，场外雨水随雨水沟排放；井场分为清洁区和污染区，通过挡墙隔离。污染区雨水进入集水坑收集泵</w:t>
            </w:r>
            <w:r>
              <w:rPr>
                <w:rFonts w:hint="eastAsia"/>
                <w:sz w:val="24"/>
              </w:rPr>
              <w:t>入泥浆不落地平台</w:t>
            </w:r>
            <w:r>
              <w:rPr>
                <w:sz w:val="24"/>
              </w:rPr>
              <w:t>处理后回用。油罐区雨水经过环境监测池处理后排入循环罐内回用。以上措施分别纳入地下水的分区防渗和地表水的清污分流措施投资，经济可行，技术简单可行。</w:t>
            </w:r>
          </w:p>
          <w:p w14:paraId="0836BD4E">
            <w:pPr>
              <w:spacing w:line="360" w:lineRule="auto"/>
              <w:rPr>
                <w:b/>
                <w:bCs/>
                <w:sz w:val="24"/>
              </w:rPr>
            </w:pPr>
            <w:r>
              <w:rPr>
                <w:b/>
                <w:bCs/>
                <w:sz w:val="24"/>
              </w:rPr>
              <w:t>4.7生态环境影响分析</w:t>
            </w:r>
          </w:p>
          <w:p w14:paraId="629434EB">
            <w:pPr>
              <w:spacing w:line="360" w:lineRule="auto"/>
              <w:rPr>
                <w:b/>
                <w:sz w:val="24"/>
              </w:rPr>
            </w:pPr>
            <w:bookmarkStart w:id="35" w:name="_Hlk66980492"/>
            <w:r>
              <w:rPr>
                <w:b/>
                <w:sz w:val="24"/>
              </w:rPr>
              <w:t>4.7.1生态影响分析</w:t>
            </w:r>
          </w:p>
          <w:p w14:paraId="0179047C">
            <w:pPr>
              <w:spacing w:line="360" w:lineRule="auto"/>
              <w:ind w:firstLine="480" w:firstLineChars="200"/>
              <w:rPr>
                <w:sz w:val="24"/>
              </w:rPr>
            </w:pPr>
            <w:r>
              <w:rPr>
                <w:sz w:val="24"/>
              </w:rPr>
              <w:t>本项目总占地面积为</w:t>
            </w:r>
            <w:r>
              <w:rPr>
                <w:rFonts w:hint="eastAsia"/>
                <w:sz w:val="24"/>
              </w:rPr>
              <w:t>21867</w:t>
            </w:r>
            <w:r>
              <w:rPr>
                <w:sz w:val="24"/>
              </w:rPr>
              <w:t>m</w:t>
            </w:r>
            <w:r>
              <w:rPr>
                <w:sz w:val="24"/>
                <w:vertAlign w:val="superscript"/>
              </w:rPr>
              <w:t>2</w:t>
            </w:r>
            <w:r>
              <w:rPr>
                <w:sz w:val="24"/>
              </w:rPr>
              <w:t>，本工程影响生态环境的因素主要是在钻前施工期间，在此期间会对井场、井场道路所</w:t>
            </w:r>
            <w:r>
              <w:rPr>
                <w:rFonts w:hint="eastAsia"/>
                <w:sz w:val="24"/>
              </w:rPr>
              <w:t>占用</w:t>
            </w:r>
            <w:r>
              <w:rPr>
                <w:sz w:val="24"/>
              </w:rPr>
              <w:t>土地的植被进行清除，改变土地利用现状；对井场及井场道路用地进行开挖、平整会改变土壤结构，造成地表裸露，开挖的土石方临时就近堆放，引起新的水土流失；环境改变和施工噪声可能会影响周围栖息的动物。对区域土地利用格局产生的影响甚微。</w:t>
            </w:r>
          </w:p>
          <w:bookmarkEnd w:id="35"/>
          <w:p w14:paraId="779E486B">
            <w:pPr>
              <w:spacing w:line="360" w:lineRule="auto"/>
              <w:rPr>
                <w:b/>
                <w:bCs/>
                <w:sz w:val="24"/>
              </w:rPr>
            </w:pPr>
            <w:r>
              <w:rPr>
                <w:b/>
                <w:bCs/>
                <w:sz w:val="24"/>
              </w:rPr>
              <w:t>4.7.2项目占地对土地利用影响分析</w:t>
            </w:r>
          </w:p>
          <w:p w14:paraId="2A42CA27">
            <w:pPr>
              <w:tabs>
                <w:tab w:val="left" w:pos="7170"/>
              </w:tabs>
              <w:autoSpaceDE w:val="0"/>
              <w:autoSpaceDN w:val="0"/>
              <w:spacing w:line="360" w:lineRule="auto"/>
              <w:ind w:firstLine="480" w:firstLineChars="200"/>
              <w:rPr>
                <w:sz w:val="24"/>
              </w:rPr>
            </w:pPr>
            <w:bookmarkStart w:id="36" w:name="_Hlk66980532"/>
            <w:r>
              <w:rPr>
                <w:sz w:val="24"/>
              </w:rPr>
              <w:t>本项目临时占地面积约</w:t>
            </w:r>
            <w:r>
              <w:rPr>
                <w:rFonts w:hint="eastAsia"/>
                <w:sz w:val="24"/>
              </w:rPr>
              <w:t>21867</w:t>
            </w:r>
            <w:r>
              <w:rPr>
                <w:sz w:val="24"/>
              </w:rPr>
              <w:t>m</w:t>
            </w:r>
            <w:r>
              <w:rPr>
                <w:sz w:val="24"/>
                <w:vertAlign w:val="superscript"/>
              </w:rPr>
              <w:t>2</w:t>
            </w:r>
            <w:r>
              <w:rPr>
                <w:sz w:val="24"/>
              </w:rPr>
              <w:t>，本项目新增临时占地主要为旱地、水田，区域土地利用结构破碎程度较高。项目施工期占地面积相对较小，不会导致区域土地利用格局发生明显变化。</w:t>
            </w:r>
            <w:bookmarkEnd w:id="36"/>
          </w:p>
          <w:p w14:paraId="7B9B39B5">
            <w:pPr>
              <w:tabs>
                <w:tab w:val="left" w:pos="7170"/>
              </w:tabs>
              <w:autoSpaceDE w:val="0"/>
              <w:autoSpaceDN w:val="0"/>
              <w:spacing w:line="360" w:lineRule="auto"/>
              <w:rPr>
                <w:b/>
                <w:bCs/>
                <w:sz w:val="24"/>
              </w:rPr>
            </w:pPr>
            <w:r>
              <w:rPr>
                <w:b/>
                <w:bCs/>
                <w:sz w:val="24"/>
              </w:rPr>
              <w:t>4.7.3水土流失影响分析</w:t>
            </w:r>
          </w:p>
          <w:p w14:paraId="042F0CA8">
            <w:pPr>
              <w:tabs>
                <w:tab w:val="left" w:pos="7170"/>
              </w:tabs>
              <w:autoSpaceDE w:val="0"/>
              <w:autoSpaceDN w:val="0"/>
              <w:spacing w:line="360" w:lineRule="auto"/>
              <w:ind w:firstLine="480" w:firstLineChars="200"/>
              <w:rPr>
                <w:sz w:val="24"/>
              </w:rPr>
            </w:pPr>
            <w:r>
              <w:rPr>
                <w:sz w:val="24"/>
              </w:rPr>
              <w:t>一般项目建设对水土流失的影响主要表现在以下两方面：由于地表开挖造成地面裸露，降雨时</w:t>
            </w:r>
            <w:r>
              <w:rPr>
                <w:rFonts w:hint="eastAsia"/>
                <w:sz w:val="24"/>
              </w:rPr>
              <w:t>加剧</w:t>
            </w:r>
            <w:r>
              <w:rPr>
                <w:sz w:val="24"/>
              </w:rPr>
              <w:t xml:space="preserve">土壤侵蚀和水土流失。为有效降低施工建设活动对水土流失的影响，现提出以下水土流失防治措施。 </w:t>
            </w:r>
          </w:p>
          <w:p w14:paraId="19193F71">
            <w:pPr>
              <w:tabs>
                <w:tab w:val="left" w:pos="7170"/>
              </w:tabs>
              <w:autoSpaceDE w:val="0"/>
              <w:autoSpaceDN w:val="0"/>
              <w:spacing w:line="360" w:lineRule="auto"/>
              <w:ind w:firstLine="480" w:firstLineChars="200"/>
              <w:rPr>
                <w:sz w:val="24"/>
              </w:rPr>
            </w:pPr>
            <w:r>
              <w:rPr>
                <w:sz w:val="24"/>
              </w:rPr>
              <w:t>①项目在建设井场、基础等施工时通过采取修建排水沟、护坡等措施，有效控制水土流失量。施工结束后，通过对施工迹地地表植被的恢复，水土流失将得到有效控制。</w:t>
            </w:r>
          </w:p>
          <w:p w14:paraId="54E78DF9">
            <w:pPr>
              <w:tabs>
                <w:tab w:val="left" w:pos="7170"/>
              </w:tabs>
              <w:autoSpaceDE w:val="0"/>
              <w:autoSpaceDN w:val="0"/>
              <w:spacing w:line="360" w:lineRule="auto"/>
              <w:ind w:firstLine="480" w:firstLineChars="200"/>
              <w:rPr>
                <w:sz w:val="24"/>
              </w:rPr>
            </w:pPr>
            <w:r>
              <w:rPr>
                <w:sz w:val="24"/>
              </w:rPr>
              <w:t>②对于工程施工所用的临时路线，尽量选择已有的便道，或者选择植被生长差的地段。对于施工机械车辆应固定其行驶路线，禁止乱压乱碾，任意破坏地表植被。</w:t>
            </w:r>
          </w:p>
          <w:p w14:paraId="3A9F4BBB">
            <w:pPr>
              <w:tabs>
                <w:tab w:val="left" w:pos="7170"/>
              </w:tabs>
              <w:autoSpaceDE w:val="0"/>
              <w:autoSpaceDN w:val="0"/>
              <w:spacing w:line="360" w:lineRule="auto"/>
              <w:ind w:firstLine="480" w:firstLineChars="200"/>
              <w:rPr>
                <w:sz w:val="24"/>
              </w:rPr>
            </w:pPr>
            <w:r>
              <w:rPr>
                <w:sz w:val="24"/>
              </w:rPr>
              <w:t xml:space="preserve">③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弃土进行临时遮掩，保证有效控制水土流失。 </w:t>
            </w:r>
          </w:p>
          <w:p w14:paraId="2FDB1094">
            <w:pPr>
              <w:tabs>
                <w:tab w:val="left" w:pos="7170"/>
              </w:tabs>
              <w:autoSpaceDE w:val="0"/>
              <w:autoSpaceDN w:val="0"/>
              <w:spacing w:line="360" w:lineRule="auto"/>
              <w:ind w:firstLine="480" w:firstLineChars="200"/>
              <w:rPr>
                <w:sz w:val="24"/>
              </w:rPr>
            </w:pPr>
            <w:r>
              <w:rPr>
                <w:sz w:val="24"/>
              </w:rPr>
              <w:t>④项目用地结束后，对临时占地进行土地整治，按照耕地的复垦要求对临时占用的土地实施土地复垦，恢复其使用功能。</w:t>
            </w:r>
          </w:p>
          <w:p w14:paraId="6248C763">
            <w:pPr>
              <w:tabs>
                <w:tab w:val="left" w:pos="7170"/>
              </w:tabs>
              <w:autoSpaceDE w:val="0"/>
              <w:autoSpaceDN w:val="0"/>
              <w:spacing w:line="360" w:lineRule="auto"/>
              <w:rPr>
                <w:b/>
                <w:bCs/>
                <w:sz w:val="24"/>
              </w:rPr>
            </w:pPr>
            <w:r>
              <w:rPr>
                <w:b/>
                <w:bCs/>
                <w:sz w:val="24"/>
              </w:rPr>
              <w:t>4.7.4对项目所在区域植物影响分析</w:t>
            </w:r>
          </w:p>
          <w:p w14:paraId="46B027C9">
            <w:pPr>
              <w:tabs>
                <w:tab w:val="left" w:pos="7170"/>
              </w:tabs>
              <w:autoSpaceDE w:val="0"/>
              <w:autoSpaceDN w:val="0"/>
              <w:spacing w:line="360" w:lineRule="auto"/>
              <w:ind w:firstLine="480" w:firstLineChars="200"/>
              <w:rPr>
                <w:sz w:val="24"/>
              </w:rPr>
            </w:pPr>
            <w:r>
              <w:rPr>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14:paraId="4F904862">
            <w:pPr>
              <w:tabs>
                <w:tab w:val="left" w:pos="7170"/>
              </w:tabs>
              <w:autoSpaceDE w:val="0"/>
              <w:autoSpaceDN w:val="0"/>
              <w:spacing w:line="360" w:lineRule="auto"/>
              <w:ind w:firstLine="480" w:firstLineChars="200"/>
              <w:rPr>
                <w:sz w:val="24"/>
              </w:rPr>
            </w:pPr>
            <w:r>
              <w:rPr>
                <w:sz w:val="24"/>
              </w:rPr>
              <w:t>（1）对生物量的影响</w:t>
            </w:r>
          </w:p>
          <w:p w14:paraId="722370BB">
            <w:pPr>
              <w:tabs>
                <w:tab w:val="left" w:pos="7170"/>
              </w:tabs>
              <w:autoSpaceDE w:val="0"/>
              <w:autoSpaceDN w:val="0"/>
              <w:spacing w:line="360" w:lineRule="auto"/>
              <w:ind w:firstLine="480" w:firstLineChars="200"/>
              <w:rPr>
                <w:sz w:val="24"/>
              </w:rPr>
            </w:pPr>
            <w:r>
              <w:rPr>
                <w:sz w:val="24"/>
              </w:rPr>
              <w:t>生活区临时占地等建设将清除地表植被，剥离地表覆盖层，势必降低植被覆盖率，导致区域植被的损失。一般工程临时占地对农作物的影响主要为当季影响，在施工结束后，第二年即可复种，根据同类工程调查，复垦地1～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w:t>
            </w:r>
            <w:r>
              <w:rPr>
                <w:rFonts w:hint="eastAsia"/>
                <w:sz w:val="24"/>
              </w:rPr>
              <w:t>期间</w:t>
            </w:r>
            <w:r>
              <w:rPr>
                <w:sz w:val="24"/>
              </w:rPr>
              <w:t>损失的地表植被生物总量和生产力会得到一定的补偿。</w:t>
            </w:r>
          </w:p>
          <w:p w14:paraId="66C73F8F">
            <w:pPr>
              <w:tabs>
                <w:tab w:val="left" w:pos="7170"/>
              </w:tabs>
              <w:autoSpaceDE w:val="0"/>
              <w:autoSpaceDN w:val="0"/>
              <w:spacing w:line="360" w:lineRule="auto"/>
              <w:ind w:firstLine="480" w:firstLineChars="200"/>
              <w:rPr>
                <w:sz w:val="24"/>
              </w:rPr>
            </w:pPr>
            <w:r>
              <w:rPr>
                <w:sz w:val="24"/>
              </w:rPr>
              <w:t>（2）对多样性的影响</w:t>
            </w:r>
          </w:p>
          <w:p w14:paraId="7C998095">
            <w:pPr>
              <w:tabs>
                <w:tab w:val="left" w:pos="7170"/>
              </w:tabs>
              <w:autoSpaceDE w:val="0"/>
              <w:autoSpaceDN w:val="0"/>
              <w:spacing w:line="360" w:lineRule="auto"/>
              <w:ind w:firstLine="480" w:firstLineChars="200"/>
              <w:rPr>
                <w:sz w:val="24"/>
              </w:rPr>
            </w:pPr>
            <w:r>
              <w:rPr>
                <w:sz w:val="24"/>
              </w:rPr>
              <w:t>本项目新建井场，根据现场调查，项目周边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也不会引起物种的损失。</w:t>
            </w:r>
          </w:p>
          <w:p w14:paraId="1803C650">
            <w:pPr>
              <w:tabs>
                <w:tab w:val="left" w:pos="7170"/>
              </w:tabs>
              <w:autoSpaceDE w:val="0"/>
              <w:autoSpaceDN w:val="0"/>
              <w:spacing w:line="360" w:lineRule="auto"/>
              <w:ind w:firstLine="480" w:firstLineChars="200"/>
              <w:rPr>
                <w:sz w:val="24"/>
              </w:rPr>
            </w:pPr>
            <w:r>
              <w:rPr>
                <w:sz w:val="24"/>
              </w:rPr>
              <w:t>（3）失火风险</w:t>
            </w:r>
          </w:p>
          <w:p w14:paraId="3079F756">
            <w:pPr>
              <w:tabs>
                <w:tab w:val="left" w:pos="7170"/>
              </w:tabs>
              <w:autoSpaceDE w:val="0"/>
              <w:autoSpaceDN w:val="0"/>
              <w:spacing w:line="360" w:lineRule="auto"/>
              <w:ind w:firstLine="480" w:firstLineChars="200"/>
              <w:rPr>
                <w:sz w:val="24"/>
              </w:rPr>
            </w:pPr>
            <w:r>
              <w:rPr>
                <w:sz w:val="24"/>
              </w:rPr>
              <w:t>根据施工规范，在放喷池周边设置防火带，加上井场施工自身的防火要求，将严格控制施工人员的管理，规范用火。做好相关管控措施后，造成周边植被起火风险性小。</w:t>
            </w:r>
          </w:p>
          <w:p w14:paraId="0B47741F">
            <w:pPr>
              <w:spacing w:line="360" w:lineRule="auto"/>
              <w:rPr>
                <w:b/>
                <w:bCs/>
                <w:sz w:val="24"/>
              </w:rPr>
            </w:pPr>
            <w:bookmarkStart w:id="37" w:name="_Hlk66980561"/>
            <w:r>
              <w:rPr>
                <w:b/>
                <w:bCs/>
                <w:sz w:val="24"/>
              </w:rPr>
              <w:t>4.7.5非正常生产时事故放喷对生态环境的影响分析</w:t>
            </w:r>
          </w:p>
          <w:bookmarkEnd w:id="37"/>
          <w:p w14:paraId="66BAACBA">
            <w:pPr>
              <w:pStyle w:val="206"/>
              <w:spacing w:line="360" w:lineRule="auto"/>
              <w:ind w:firstLine="480"/>
              <w:rPr>
                <w:szCs w:val="24"/>
              </w:rPr>
            </w:pPr>
            <w:bookmarkStart w:id="38" w:name="_Hlk66980570"/>
            <w:r>
              <w:rPr>
                <w:szCs w:val="24"/>
              </w:rPr>
              <w:t>钻井非正常生产时事故</w:t>
            </w:r>
            <w:r>
              <w:rPr>
                <w:rFonts w:hint="eastAsia"/>
                <w:szCs w:val="24"/>
              </w:rPr>
              <w:t>放喷</w:t>
            </w:r>
            <w:r>
              <w:rPr>
                <w:szCs w:val="24"/>
              </w:rPr>
              <w:t>对生态环境的影响主要是放喷产生的热辐射和SO</w:t>
            </w:r>
            <w:r>
              <w:rPr>
                <w:szCs w:val="24"/>
                <w:vertAlign w:val="subscript"/>
              </w:rPr>
              <w:t>2</w:t>
            </w:r>
            <w:r>
              <w:rPr>
                <w:szCs w:val="24"/>
              </w:rPr>
              <w:t>、CO</w:t>
            </w:r>
            <w:r>
              <w:rPr>
                <w:szCs w:val="24"/>
                <w:vertAlign w:val="subscript"/>
              </w:rPr>
              <w:t>2</w:t>
            </w:r>
            <w:r>
              <w:rPr>
                <w:szCs w:val="24"/>
              </w:rPr>
              <w:t>对生态的影响。</w:t>
            </w:r>
          </w:p>
          <w:p w14:paraId="12859C35">
            <w:pPr>
              <w:pStyle w:val="206"/>
              <w:spacing w:line="360" w:lineRule="auto"/>
              <w:ind w:firstLine="480"/>
              <w:rPr>
                <w:szCs w:val="24"/>
              </w:rPr>
            </w:pPr>
            <w:r>
              <w:rPr>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50m范围的农作物。天然气放喷在专门的放喷池中点火放喷，放喷池是由三面3m高的砖墙组成，采用放喷池放喷，可以有效减少放喷天然气燃烧产生的热辐射对周围的土壤和植被的灼伤。</w:t>
            </w:r>
          </w:p>
          <w:bookmarkEnd w:id="38"/>
          <w:p w14:paraId="678C181E">
            <w:pPr>
              <w:spacing w:line="360" w:lineRule="auto"/>
              <w:rPr>
                <w:b/>
                <w:sz w:val="24"/>
              </w:rPr>
            </w:pPr>
            <w:r>
              <w:rPr>
                <w:b/>
                <w:sz w:val="24"/>
              </w:rPr>
              <w:t>4.8结论</w:t>
            </w:r>
          </w:p>
          <w:p w14:paraId="4DC25C41">
            <w:pPr>
              <w:pStyle w:val="206"/>
              <w:spacing w:line="360" w:lineRule="auto"/>
              <w:ind w:firstLine="480"/>
              <w:rPr>
                <w:sz w:val="21"/>
                <w:szCs w:val="21"/>
              </w:rPr>
            </w:pPr>
            <w:r>
              <w:rPr>
                <w:szCs w:val="24"/>
              </w:rPr>
              <w:t>综上所述，项目实施将对周边环境带来一定的影响，但这种影响是局部和暂时的，随工程施工结束而消失，不会引起该区域野生动物大面积迁移而消亡，因此，项目的实施对生态环境影响较小。</w:t>
            </w:r>
          </w:p>
        </w:tc>
      </w:tr>
      <w:tr w14:paraId="6E611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14:paraId="1E0D4825">
            <w:pPr>
              <w:pStyle w:val="38"/>
              <w:widowControl w:val="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t>运营期生态环境影响分析</w:t>
            </w:r>
          </w:p>
        </w:tc>
        <w:tc>
          <w:tcPr>
            <w:tcW w:w="8363" w:type="dxa"/>
          </w:tcPr>
          <w:p w14:paraId="5594845E">
            <w:pPr>
              <w:adjustRightInd w:val="0"/>
              <w:snapToGrid w:val="0"/>
              <w:spacing w:line="360" w:lineRule="auto"/>
              <w:ind w:firstLine="480" w:firstLineChars="200"/>
              <w:rPr>
                <w:bCs/>
                <w:sz w:val="24"/>
              </w:rPr>
            </w:pPr>
            <w:r>
              <w:rPr>
                <w:bCs/>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14:paraId="026418A9">
            <w:pPr>
              <w:adjustRightInd w:val="0"/>
              <w:snapToGrid w:val="0"/>
              <w:spacing w:line="360" w:lineRule="auto"/>
              <w:ind w:firstLine="480" w:firstLineChars="200"/>
              <w:rPr>
                <w:bCs/>
                <w:szCs w:val="21"/>
              </w:rPr>
            </w:pPr>
            <w:r>
              <w:rPr>
                <w:bCs/>
                <w:sz w:val="24"/>
              </w:rPr>
              <w:t>因此，本项目不涉及运营期生态环境影响。</w:t>
            </w:r>
          </w:p>
        </w:tc>
      </w:tr>
      <w:tr w14:paraId="39ADF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14:paraId="44C0B6CE">
            <w:pPr>
              <w:pStyle w:val="38"/>
              <w:widowControl w:val="0"/>
              <w:adjustRightInd w:val="0"/>
              <w:snapToGrid w:val="0"/>
              <w:spacing w:before="0" w:beforeAutospacing="0" w:after="0" w:afterAutospacing="0"/>
              <w:jc w:val="center"/>
              <w:rPr>
                <w:rFonts w:ascii="Times New Roman" w:hAnsi="Times New Roman"/>
                <w:bCs/>
                <w:spacing w:val="10"/>
                <w:kern w:val="2"/>
                <w:sz w:val="21"/>
                <w:szCs w:val="21"/>
              </w:rPr>
            </w:pPr>
            <w:r>
              <w:rPr>
                <w:rFonts w:ascii="Times New Roman" w:hAnsi="Times New Roman"/>
                <w:bCs/>
                <w:spacing w:val="10"/>
                <w:kern w:val="2"/>
                <w:sz w:val="21"/>
                <w:szCs w:val="21"/>
              </w:rPr>
              <w:t>选址选线环境合理性分析</w:t>
            </w:r>
          </w:p>
        </w:tc>
        <w:tc>
          <w:tcPr>
            <w:tcW w:w="8363" w:type="dxa"/>
          </w:tcPr>
          <w:p w14:paraId="2F63619E">
            <w:pPr>
              <w:adjustRightInd w:val="0"/>
              <w:snapToGrid w:val="0"/>
              <w:spacing w:line="360" w:lineRule="auto"/>
              <w:rPr>
                <w:b/>
                <w:sz w:val="24"/>
              </w:rPr>
            </w:pPr>
            <w:r>
              <w:rPr>
                <w:rFonts w:hint="eastAsia"/>
                <w:b/>
                <w:sz w:val="24"/>
              </w:rPr>
              <w:t>4.9选址合理性分析</w:t>
            </w:r>
          </w:p>
          <w:p w14:paraId="608EE808">
            <w:pPr>
              <w:adjustRightInd w:val="0"/>
              <w:snapToGrid w:val="0"/>
              <w:spacing w:line="360" w:lineRule="auto"/>
              <w:ind w:firstLine="480" w:firstLineChars="200"/>
              <w:rPr>
                <w:bCs/>
                <w:sz w:val="24"/>
              </w:rPr>
            </w:pPr>
            <w:r>
              <w:rPr>
                <w:bCs/>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14:paraId="38950BDC">
            <w:pPr>
              <w:adjustRightInd w:val="0"/>
              <w:snapToGrid w:val="0"/>
              <w:spacing w:line="360" w:lineRule="auto"/>
              <w:ind w:firstLine="480" w:firstLineChars="200"/>
              <w:rPr>
                <w:bCs/>
                <w:sz w:val="24"/>
              </w:rPr>
            </w:pPr>
            <w:r>
              <w:rPr>
                <w:bCs/>
                <w:sz w:val="24"/>
              </w:rPr>
              <w:t>参考《钻前工程及井场布置技术要求》（SY/T5466-2013）的相关规定：油、气井井口距高压线及其他永久性设施不小于75m，距民宅不小于100m，距铁路、高速公路不小于200m，距学校、医院和大型油库等人口密集性、高</w:t>
            </w:r>
            <w:r>
              <w:rPr>
                <w:rFonts w:hint="eastAsia"/>
                <w:bCs/>
                <w:sz w:val="24"/>
              </w:rPr>
              <w:t>危型</w:t>
            </w:r>
            <w:r>
              <w:rPr>
                <w:bCs/>
                <w:sz w:val="24"/>
              </w:rPr>
              <w:t>场所不小于500m。在地下矿产采掘区钻井，井筒与采掘坑道、矿井坑道之间的距离不小于100m。工程井口与周围设施间距离等基本情况见下表。</w:t>
            </w:r>
          </w:p>
          <w:p w14:paraId="72783343">
            <w:pPr>
              <w:spacing w:line="360" w:lineRule="auto"/>
              <w:jc w:val="center"/>
              <w:rPr>
                <w:b/>
                <w:sz w:val="24"/>
              </w:rPr>
            </w:pPr>
            <w:r>
              <w:rPr>
                <w:b/>
                <w:sz w:val="24"/>
              </w:rPr>
              <w:t>表4-23 工程井口与周围设施间距离的符合性</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14:paraId="1BDE5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6C13A826">
                  <w:pPr>
                    <w:jc w:val="center"/>
                    <w:rPr>
                      <w:szCs w:val="21"/>
                    </w:rPr>
                  </w:pPr>
                  <w:r>
                    <w:rPr>
                      <w:szCs w:val="21"/>
                    </w:rPr>
                    <w:t>名称</w:t>
                  </w:r>
                </w:p>
              </w:tc>
              <w:tc>
                <w:tcPr>
                  <w:tcW w:w="1501" w:type="dxa"/>
                  <w:tcBorders>
                    <w:tl2br w:val="nil"/>
                    <w:tr2bl w:val="nil"/>
                  </w:tcBorders>
                  <w:vAlign w:val="center"/>
                </w:tcPr>
                <w:p w14:paraId="69D29F81">
                  <w:pPr>
                    <w:jc w:val="center"/>
                    <w:rPr>
                      <w:szCs w:val="21"/>
                    </w:rPr>
                  </w:pPr>
                  <w:r>
                    <w:rPr>
                      <w:szCs w:val="21"/>
                    </w:rPr>
                    <w:t>钻前工程井场技术要求</w:t>
                  </w:r>
                </w:p>
              </w:tc>
              <w:tc>
                <w:tcPr>
                  <w:tcW w:w="2567" w:type="dxa"/>
                  <w:tcBorders>
                    <w:tl2br w:val="nil"/>
                    <w:tr2bl w:val="nil"/>
                  </w:tcBorders>
                  <w:vAlign w:val="center"/>
                </w:tcPr>
                <w:p w14:paraId="3E4C0CEF">
                  <w:pPr>
                    <w:jc w:val="center"/>
                    <w:rPr>
                      <w:szCs w:val="21"/>
                    </w:rPr>
                  </w:pPr>
                  <w:r>
                    <w:rPr>
                      <w:szCs w:val="21"/>
                    </w:rPr>
                    <w:t>是否涉及居民区、铁路等</w:t>
                  </w:r>
                </w:p>
              </w:tc>
              <w:tc>
                <w:tcPr>
                  <w:tcW w:w="2035" w:type="dxa"/>
                  <w:tcBorders>
                    <w:tl2br w:val="nil"/>
                    <w:tr2bl w:val="nil"/>
                  </w:tcBorders>
                  <w:vAlign w:val="center"/>
                </w:tcPr>
                <w:p w14:paraId="356913F6">
                  <w:pPr>
                    <w:jc w:val="center"/>
                    <w:rPr>
                      <w:szCs w:val="21"/>
                    </w:rPr>
                  </w:pPr>
                  <w:r>
                    <w:rPr>
                      <w:szCs w:val="21"/>
                    </w:rPr>
                    <w:t>是否满足钻前技术要求</w:t>
                  </w:r>
                </w:p>
              </w:tc>
            </w:tr>
            <w:tr w14:paraId="3416A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5A81B3E2">
                  <w:pPr>
                    <w:jc w:val="center"/>
                    <w:rPr>
                      <w:szCs w:val="21"/>
                    </w:rPr>
                  </w:pPr>
                  <w:r>
                    <w:rPr>
                      <w:szCs w:val="21"/>
                    </w:rPr>
                    <w:t>高压线及其他永久设施</w:t>
                  </w:r>
                </w:p>
              </w:tc>
              <w:tc>
                <w:tcPr>
                  <w:tcW w:w="1501" w:type="dxa"/>
                  <w:tcBorders>
                    <w:tl2br w:val="nil"/>
                    <w:tr2bl w:val="nil"/>
                  </w:tcBorders>
                  <w:vAlign w:val="center"/>
                </w:tcPr>
                <w:p w14:paraId="73218CDD">
                  <w:pPr>
                    <w:jc w:val="center"/>
                    <w:rPr>
                      <w:szCs w:val="21"/>
                    </w:rPr>
                  </w:pPr>
                  <w:r>
                    <w:rPr>
                      <w:szCs w:val="21"/>
                    </w:rPr>
                    <w:t>≥75m</w:t>
                  </w:r>
                </w:p>
              </w:tc>
              <w:tc>
                <w:tcPr>
                  <w:tcW w:w="2567" w:type="dxa"/>
                  <w:tcBorders>
                    <w:tl2br w:val="nil"/>
                    <w:tr2bl w:val="nil"/>
                  </w:tcBorders>
                  <w:vAlign w:val="center"/>
                </w:tcPr>
                <w:p w14:paraId="037F1241">
                  <w:pPr>
                    <w:jc w:val="center"/>
                    <w:rPr>
                      <w:szCs w:val="21"/>
                    </w:rPr>
                  </w:pPr>
                  <w:r>
                    <w:rPr>
                      <w:szCs w:val="21"/>
                    </w:rPr>
                    <w:t>不涉及</w:t>
                  </w:r>
                </w:p>
              </w:tc>
              <w:tc>
                <w:tcPr>
                  <w:tcW w:w="2035" w:type="dxa"/>
                  <w:tcBorders>
                    <w:tl2br w:val="nil"/>
                    <w:tr2bl w:val="nil"/>
                  </w:tcBorders>
                  <w:vAlign w:val="center"/>
                </w:tcPr>
                <w:p w14:paraId="6CF20CE4">
                  <w:pPr>
                    <w:jc w:val="center"/>
                    <w:rPr>
                      <w:szCs w:val="21"/>
                    </w:rPr>
                  </w:pPr>
                  <w:r>
                    <w:rPr>
                      <w:szCs w:val="21"/>
                    </w:rPr>
                    <w:t>满足要求</w:t>
                  </w:r>
                </w:p>
              </w:tc>
            </w:tr>
            <w:tr w14:paraId="303A1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10E77C79">
                  <w:pPr>
                    <w:jc w:val="center"/>
                    <w:rPr>
                      <w:szCs w:val="21"/>
                    </w:rPr>
                  </w:pPr>
                  <w:r>
                    <w:rPr>
                      <w:szCs w:val="21"/>
                    </w:rPr>
                    <w:t>民宅</w:t>
                  </w:r>
                </w:p>
              </w:tc>
              <w:tc>
                <w:tcPr>
                  <w:tcW w:w="1501" w:type="dxa"/>
                  <w:tcBorders>
                    <w:tl2br w:val="nil"/>
                    <w:tr2bl w:val="nil"/>
                  </w:tcBorders>
                  <w:vAlign w:val="center"/>
                </w:tcPr>
                <w:p w14:paraId="5CF95DA8">
                  <w:pPr>
                    <w:jc w:val="center"/>
                    <w:rPr>
                      <w:szCs w:val="21"/>
                    </w:rPr>
                  </w:pPr>
                  <w:r>
                    <w:rPr>
                      <w:szCs w:val="21"/>
                    </w:rPr>
                    <w:t>≥100m</w:t>
                  </w:r>
                </w:p>
              </w:tc>
              <w:tc>
                <w:tcPr>
                  <w:tcW w:w="2567" w:type="dxa"/>
                  <w:tcBorders>
                    <w:tl2br w:val="nil"/>
                    <w:tr2bl w:val="nil"/>
                  </w:tcBorders>
                  <w:vAlign w:val="center"/>
                </w:tcPr>
                <w:p w14:paraId="6E3D4B8E">
                  <w:pPr>
                    <w:jc w:val="center"/>
                    <w:rPr>
                      <w:szCs w:val="21"/>
                    </w:rPr>
                  </w:pPr>
                  <w:r>
                    <w:rPr>
                      <w:szCs w:val="21"/>
                    </w:rPr>
                    <w:t>井口100m范围内无民房</w:t>
                  </w:r>
                </w:p>
              </w:tc>
              <w:tc>
                <w:tcPr>
                  <w:tcW w:w="2035" w:type="dxa"/>
                  <w:tcBorders>
                    <w:tl2br w:val="nil"/>
                    <w:tr2bl w:val="nil"/>
                  </w:tcBorders>
                  <w:vAlign w:val="center"/>
                </w:tcPr>
                <w:p w14:paraId="59F67C63">
                  <w:pPr>
                    <w:jc w:val="center"/>
                    <w:rPr>
                      <w:szCs w:val="21"/>
                    </w:rPr>
                  </w:pPr>
                  <w:r>
                    <w:rPr>
                      <w:szCs w:val="21"/>
                    </w:rPr>
                    <w:t>满足要求</w:t>
                  </w:r>
                </w:p>
              </w:tc>
            </w:tr>
            <w:tr w14:paraId="5582F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41C33F9B">
                  <w:pPr>
                    <w:jc w:val="center"/>
                    <w:rPr>
                      <w:szCs w:val="21"/>
                    </w:rPr>
                  </w:pPr>
                  <w:r>
                    <w:rPr>
                      <w:szCs w:val="21"/>
                    </w:rPr>
                    <w:t>铁路</w:t>
                  </w:r>
                </w:p>
              </w:tc>
              <w:tc>
                <w:tcPr>
                  <w:tcW w:w="1501" w:type="dxa"/>
                  <w:tcBorders>
                    <w:tl2br w:val="nil"/>
                    <w:tr2bl w:val="nil"/>
                  </w:tcBorders>
                  <w:vAlign w:val="center"/>
                </w:tcPr>
                <w:p w14:paraId="6EC8D2C8">
                  <w:pPr>
                    <w:jc w:val="center"/>
                    <w:rPr>
                      <w:szCs w:val="21"/>
                    </w:rPr>
                  </w:pPr>
                  <w:r>
                    <w:rPr>
                      <w:szCs w:val="21"/>
                    </w:rPr>
                    <w:t>≥200m</w:t>
                  </w:r>
                </w:p>
              </w:tc>
              <w:tc>
                <w:tcPr>
                  <w:tcW w:w="2567" w:type="dxa"/>
                  <w:tcBorders>
                    <w:tl2br w:val="nil"/>
                    <w:tr2bl w:val="nil"/>
                  </w:tcBorders>
                  <w:vAlign w:val="center"/>
                </w:tcPr>
                <w:p w14:paraId="05C52BA6">
                  <w:pPr>
                    <w:jc w:val="center"/>
                    <w:rPr>
                      <w:szCs w:val="21"/>
                    </w:rPr>
                  </w:pPr>
                  <w:r>
                    <w:rPr>
                      <w:szCs w:val="21"/>
                    </w:rPr>
                    <w:t>不涉及</w:t>
                  </w:r>
                </w:p>
              </w:tc>
              <w:tc>
                <w:tcPr>
                  <w:tcW w:w="2035" w:type="dxa"/>
                  <w:tcBorders>
                    <w:tl2br w:val="nil"/>
                    <w:tr2bl w:val="nil"/>
                  </w:tcBorders>
                  <w:vAlign w:val="center"/>
                </w:tcPr>
                <w:p w14:paraId="59FAE5E5">
                  <w:pPr>
                    <w:jc w:val="center"/>
                    <w:rPr>
                      <w:szCs w:val="21"/>
                    </w:rPr>
                  </w:pPr>
                  <w:r>
                    <w:rPr>
                      <w:szCs w:val="21"/>
                    </w:rPr>
                    <w:t>满足要求</w:t>
                  </w:r>
                </w:p>
              </w:tc>
            </w:tr>
            <w:tr w14:paraId="286FB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587BB5FB">
                  <w:pPr>
                    <w:jc w:val="center"/>
                    <w:rPr>
                      <w:szCs w:val="21"/>
                    </w:rPr>
                  </w:pPr>
                  <w:r>
                    <w:rPr>
                      <w:szCs w:val="21"/>
                    </w:rPr>
                    <w:t>高速公路</w:t>
                  </w:r>
                </w:p>
              </w:tc>
              <w:tc>
                <w:tcPr>
                  <w:tcW w:w="1501" w:type="dxa"/>
                  <w:tcBorders>
                    <w:tl2br w:val="nil"/>
                    <w:tr2bl w:val="nil"/>
                  </w:tcBorders>
                  <w:vAlign w:val="center"/>
                </w:tcPr>
                <w:p w14:paraId="2BB53DE5">
                  <w:pPr>
                    <w:jc w:val="center"/>
                    <w:rPr>
                      <w:szCs w:val="21"/>
                    </w:rPr>
                  </w:pPr>
                  <w:r>
                    <w:rPr>
                      <w:szCs w:val="21"/>
                    </w:rPr>
                    <w:t>≥200m</w:t>
                  </w:r>
                </w:p>
              </w:tc>
              <w:tc>
                <w:tcPr>
                  <w:tcW w:w="2567" w:type="dxa"/>
                  <w:tcBorders>
                    <w:tl2br w:val="nil"/>
                    <w:tr2bl w:val="nil"/>
                  </w:tcBorders>
                  <w:vAlign w:val="center"/>
                </w:tcPr>
                <w:p w14:paraId="6C039E1C">
                  <w:pPr>
                    <w:jc w:val="center"/>
                    <w:rPr>
                      <w:szCs w:val="21"/>
                    </w:rPr>
                  </w:pPr>
                  <w:r>
                    <w:rPr>
                      <w:szCs w:val="21"/>
                    </w:rPr>
                    <w:t>不涉及</w:t>
                  </w:r>
                </w:p>
              </w:tc>
              <w:tc>
                <w:tcPr>
                  <w:tcW w:w="2035" w:type="dxa"/>
                  <w:tcBorders>
                    <w:tl2br w:val="nil"/>
                    <w:tr2bl w:val="nil"/>
                  </w:tcBorders>
                  <w:vAlign w:val="center"/>
                </w:tcPr>
                <w:p w14:paraId="42538D6D">
                  <w:pPr>
                    <w:jc w:val="center"/>
                    <w:rPr>
                      <w:szCs w:val="21"/>
                    </w:rPr>
                  </w:pPr>
                  <w:r>
                    <w:rPr>
                      <w:szCs w:val="21"/>
                    </w:rPr>
                    <w:t>满足要求</w:t>
                  </w:r>
                </w:p>
              </w:tc>
            </w:tr>
            <w:tr w14:paraId="5B850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31FB73AD">
                  <w:pPr>
                    <w:jc w:val="center"/>
                    <w:rPr>
                      <w:szCs w:val="21"/>
                    </w:rPr>
                  </w:pPr>
                  <w:r>
                    <w:rPr>
                      <w:szCs w:val="21"/>
                    </w:rPr>
                    <w:t>学校</w:t>
                  </w:r>
                </w:p>
              </w:tc>
              <w:tc>
                <w:tcPr>
                  <w:tcW w:w="1501" w:type="dxa"/>
                  <w:tcBorders>
                    <w:tl2br w:val="nil"/>
                    <w:tr2bl w:val="nil"/>
                  </w:tcBorders>
                  <w:vAlign w:val="center"/>
                </w:tcPr>
                <w:p w14:paraId="038FEA9A">
                  <w:pPr>
                    <w:jc w:val="center"/>
                    <w:rPr>
                      <w:szCs w:val="21"/>
                    </w:rPr>
                  </w:pPr>
                  <w:r>
                    <w:rPr>
                      <w:szCs w:val="21"/>
                    </w:rPr>
                    <w:t>≥500m</w:t>
                  </w:r>
                </w:p>
              </w:tc>
              <w:tc>
                <w:tcPr>
                  <w:tcW w:w="2567" w:type="dxa"/>
                  <w:tcBorders>
                    <w:tl2br w:val="nil"/>
                    <w:tr2bl w:val="nil"/>
                  </w:tcBorders>
                  <w:vAlign w:val="center"/>
                </w:tcPr>
                <w:p w14:paraId="62F5BCD1">
                  <w:pPr>
                    <w:jc w:val="center"/>
                    <w:rPr>
                      <w:szCs w:val="21"/>
                    </w:rPr>
                  </w:pPr>
                  <w:r>
                    <w:rPr>
                      <w:szCs w:val="21"/>
                    </w:rPr>
                    <w:t>500m范围内不涉及</w:t>
                  </w:r>
                </w:p>
              </w:tc>
              <w:tc>
                <w:tcPr>
                  <w:tcW w:w="2035" w:type="dxa"/>
                  <w:tcBorders>
                    <w:tl2br w:val="nil"/>
                    <w:tr2bl w:val="nil"/>
                  </w:tcBorders>
                  <w:vAlign w:val="center"/>
                </w:tcPr>
                <w:p w14:paraId="478B0E0A">
                  <w:pPr>
                    <w:jc w:val="center"/>
                    <w:rPr>
                      <w:szCs w:val="21"/>
                    </w:rPr>
                  </w:pPr>
                  <w:r>
                    <w:rPr>
                      <w:szCs w:val="21"/>
                    </w:rPr>
                    <w:t>满足要求</w:t>
                  </w:r>
                </w:p>
              </w:tc>
            </w:tr>
            <w:tr w14:paraId="5355D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370E8C2D">
                  <w:pPr>
                    <w:jc w:val="center"/>
                    <w:rPr>
                      <w:szCs w:val="21"/>
                    </w:rPr>
                  </w:pPr>
                  <w:r>
                    <w:rPr>
                      <w:szCs w:val="21"/>
                    </w:rPr>
                    <w:t>医院</w:t>
                  </w:r>
                </w:p>
              </w:tc>
              <w:tc>
                <w:tcPr>
                  <w:tcW w:w="1501" w:type="dxa"/>
                  <w:tcBorders>
                    <w:tl2br w:val="nil"/>
                    <w:tr2bl w:val="nil"/>
                  </w:tcBorders>
                  <w:vAlign w:val="center"/>
                </w:tcPr>
                <w:p w14:paraId="3E1E30A3">
                  <w:pPr>
                    <w:jc w:val="center"/>
                    <w:rPr>
                      <w:szCs w:val="21"/>
                    </w:rPr>
                  </w:pPr>
                  <w:r>
                    <w:rPr>
                      <w:szCs w:val="21"/>
                    </w:rPr>
                    <w:t>≥500m</w:t>
                  </w:r>
                </w:p>
              </w:tc>
              <w:tc>
                <w:tcPr>
                  <w:tcW w:w="2567" w:type="dxa"/>
                  <w:tcBorders>
                    <w:tl2br w:val="nil"/>
                    <w:tr2bl w:val="nil"/>
                  </w:tcBorders>
                  <w:vAlign w:val="center"/>
                </w:tcPr>
                <w:p w14:paraId="67AE18C9">
                  <w:pPr>
                    <w:jc w:val="center"/>
                    <w:rPr>
                      <w:szCs w:val="21"/>
                    </w:rPr>
                  </w:pPr>
                  <w:r>
                    <w:rPr>
                      <w:szCs w:val="21"/>
                    </w:rPr>
                    <w:t>500m范围内不涉及</w:t>
                  </w:r>
                </w:p>
              </w:tc>
              <w:tc>
                <w:tcPr>
                  <w:tcW w:w="2035" w:type="dxa"/>
                  <w:tcBorders>
                    <w:tl2br w:val="nil"/>
                    <w:tr2bl w:val="nil"/>
                  </w:tcBorders>
                  <w:vAlign w:val="center"/>
                </w:tcPr>
                <w:p w14:paraId="45D7A970">
                  <w:pPr>
                    <w:jc w:val="center"/>
                    <w:rPr>
                      <w:szCs w:val="21"/>
                    </w:rPr>
                  </w:pPr>
                  <w:r>
                    <w:rPr>
                      <w:szCs w:val="21"/>
                    </w:rPr>
                    <w:t>满足要求</w:t>
                  </w:r>
                </w:p>
              </w:tc>
            </w:tr>
            <w:tr w14:paraId="4E9DB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2C99C9A2">
                  <w:pPr>
                    <w:jc w:val="center"/>
                    <w:rPr>
                      <w:szCs w:val="21"/>
                    </w:rPr>
                  </w:pPr>
                  <w:r>
                    <w:rPr>
                      <w:szCs w:val="21"/>
                    </w:rPr>
                    <w:t>油库等高危险场所</w:t>
                  </w:r>
                </w:p>
              </w:tc>
              <w:tc>
                <w:tcPr>
                  <w:tcW w:w="1501" w:type="dxa"/>
                  <w:tcBorders>
                    <w:tl2br w:val="nil"/>
                    <w:tr2bl w:val="nil"/>
                  </w:tcBorders>
                  <w:vAlign w:val="center"/>
                </w:tcPr>
                <w:p w14:paraId="0BFBF54A">
                  <w:pPr>
                    <w:jc w:val="center"/>
                    <w:rPr>
                      <w:szCs w:val="21"/>
                    </w:rPr>
                  </w:pPr>
                  <w:r>
                    <w:rPr>
                      <w:szCs w:val="21"/>
                    </w:rPr>
                    <w:t>≥500m</w:t>
                  </w:r>
                </w:p>
              </w:tc>
              <w:tc>
                <w:tcPr>
                  <w:tcW w:w="2567" w:type="dxa"/>
                  <w:tcBorders>
                    <w:tl2br w:val="nil"/>
                    <w:tr2bl w:val="nil"/>
                  </w:tcBorders>
                  <w:vAlign w:val="center"/>
                </w:tcPr>
                <w:p w14:paraId="512B48F3">
                  <w:pPr>
                    <w:jc w:val="center"/>
                    <w:rPr>
                      <w:szCs w:val="21"/>
                    </w:rPr>
                  </w:pPr>
                  <w:r>
                    <w:rPr>
                      <w:szCs w:val="21"/>
                    </w:rPr>
                    <w:t>500m范围内不涉及</w:t>
                  </w:r>
                </w:p>
              </w:tc>
              <w:tc>
                <w:tcPr>
                  <w:tcW w:w="2035" w:type="dxa"/>
                  <w:tcBorders>
                    <w:tl2br w:val="nil"/>
                    <w:tr2bl w:val="nil"/>
                  </w:tcBorders>
                  <w:vAlign w:val="center"/>
                </w:tcPr>
                <w:p w14:paraId="360888B6">
                  <w:pPr>
                    <w:jc w:val="center"/>
                    <w:rPr>
                      <w:szCs w:val="21"/>
                    </w:rPr>
                  </w:pPr>
                  <w:r>
                    <w:rPr>
                      <w:szCs w:val="21"/>
                    </w:rPr>
                    <w:t>满足要求</w:t>
                  </w:r>
                </w:p>
              </w:tc>
            </w:tr>
            <w:tr w14:paraId="25F56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77E490C1">
                  <w:pPr>
                    <w:jc w:val="center"/>
                    <w:rPr>
                      <w:szCs w:val="21"/>
                    </w:rPr>
                  </w:pPr>
                  <w:r>
                    <w:rPr>
                      <w:szCs w:val="21"/>
                    </w:rPr>
                    <w:t>集中居住地、人员密集区</w:t>
                  </w:r>
                </w:p>
              </w:tc>
              <w:tc>
                <w:tcPr>
                  <w:tcW w:w="1501" w:type="dxa"/>
                  <w:tcBorders>
                    <w:tl2br w:val="nil"/>
                    <w:tr2bl w:val="nil"/>
                  </w:tcBorders>
                  <w:vAlign w:val="center"/>
                </w:tcPr>
                <w:p w14:paraId="2EB097C7">
                  <w:pPr>
                    <w:jc w:val="center"/>
                    <w:rPr>
                      <w:szCs w:val="21"/>
                    </w:rPr>
                  </w:pPr>
                  <w:r>
                    <w:rPr>
                      <w:szCs w:val="21"/>
                    </w:rPr>
                    <w:t>≥500m</w:t>
                  </w:r>
                </w:p>
              </w:tc>
              <w:tc>
                <w:tcPr>
                  <w:tcW w:w="2567" w:type="dxa"/>
                  <w:tcBorders>
                    <w:tl2br w:val="nil"/>
                    <w:tr2bl w:val="nil"/>
                  </w:tcBorders>
                  <w:vAlign w:val="center"/>
                </w:tcPr>
                <w:p w14:paraId="78605DA2">
                  <w:pPr>
                    <w:jc w:val="center"/>
                    <w:rPr>
                      <w:szCs w:val="21"/>
                    </w:rPr>
                  </w:pPr>
                  <w:r>
                    <w:rPr>
                      <w:szCs w:val="21"/>
                    </w:rPr>
                    <w:t>500m范围内不涉及</w:t>
                  </w:r>
                </w:p>
              </w:tc>
              <w:tc>
                <w:tcPr>
                  <w:tcW w:w="2035" w:type="dxa"/>
                  <w:tcBorders>
                    <w:tl2br w:val="nil"/>
                    <w:tr2bl w:val="nil"/>
                  </w:tcBorders>
                  <w:vAlign w:val="center"/>
                </w:tcPr>
                <w:p w14:paraId="4E639B3A">
                  <w:pPr>
                    <w:jc w:val="center"/>
                    <w:rPr>
                      <w:szCs w:val="21"/>
                    </w:rPr>
                  </w:pPr>
                  <w:r>
                    <w:rPr>
                      <w:szCs w:val="21"/>
                    </w:rPr>
                    <w:t>满足要求</w:t>
                  </w:r>
                </w:p>
              </w:tc>
            </w:tr>
            <w:tr w14:paraId="70835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14:paraId="1F0AC2B9">
                  <w:pPr>
                    <w:jc w:val="center"/>
                    <w:rPr>
                      <w:szCs w:val="21"/>
                    </w:rPr>
                  </w:pPr>
                  <w:r>
                    <w:rPr>
                      <w:szCs w:val="21"/>
                    </w:rPr>
                    <w:t>地下矿产采掘坑、矿井坑道</w:t>
                  </w:r>
                </w:p>
              </w:tc>
              <w:tc>
                <w:tcPr>
                  <w:tcW w:w="1501" w:type="dxa"/>
                  <w:tcBorders>
                    <w:tl2br w:val="nil"/>
                    <w:tr2bl w:val="nil"/>
                  </w:tcBorders>
                  <w:vAlign w:val="center"/>
                </w:tcPr>
                <w:p w14:paraId="7A78839D">
                  <w:pPr>
                    <w:jc w:val="center"/>
                    <w:rPr>
                      <w:szCs w:val="21"/>
                    </w:rPr>
                  </w:pPr>
                  <w:r>
                    <w:rPr>
                      <w:szCs w:val="21"/>
                    </w:rPr>
                    <w:t>≥100m</w:t>
                  </w:r>
                </w:p>
              </w:tc>
              <w:tc>
                <w:tcPr>
                  <w:tcW w:w="2567" w:type="dxa"/>
                  <w:tcBorders>
                    <w:tl2br w:val="nil"/>
                    <w:tr2bl w:val="nil"/>
                  </w:tcBorders>
                  <w:vAlign w:val="center"/>
                </w:tcPr>
                <w:p w14:paraId="050DFA15">
                  <w:pPr>
                    <w:jc w:val="center"/>
                    <w:rPr>
                      <w:szCs w:val="21"/>
                    </w:rPr>
                  </w:pPr>
                  <w:r>
                    <w:rPr>
                      <w:szCs w:val="21"/>
                    </w:rPr>
                    <w:t>不涉及</w:t>
                  </w:r>
                </w:p>
              </w:tc>
              <w:tc>
                <w:tcPr>
                  <w:tcW w:w="2035" w:type="dxa"/>
                  <w:tcBorders>
                    <w:tl2br w:val="nil"/>
                    <w:tr2bl w:val="nil"/>
                  </w:tcBorders>
                  <w:vAlign w:val="center"/>
                </w:tcPr>
                <w:p w14:paraId="3325B472">
                  <w:pPr>
                    <w:jc w:val="center"/>
                    <w:rPr>
                      <w:szCs w:val="21"/>
                    </w:rPr>
                  </w:pPr>
                  <w:r>
                    <w:rPr>
                      <w:szCs w:val="21"/>
                    </w:rPr>
                    <w:t>满足要求</w:t>
                  </w:r>
                </w:p>
              </w:tc>
            </w:tr>
          </w:tbl>
          <w:p w14:paraId="2025B25C">
            <w:pPr>
              <w:spacing w:line="360" w:lineRule="auto"/>
              <w:ind w:firstLine="480" w:firstLineChars="200"/>
              <w:rPr>
                <w:bCs/>
                <w:sz w:val="24"/>
              </w:rPr>
            </w:pPr>
            <w:r>
              <w:rPr>
                <w:bCs/>
                <w:sz w:val="24"/>
              </w:rPr>
              <w:t>本项目放喷池距离井口距离约为</w:t>
            </w:r>
            <w:r>
              <w:rPr>
                <w:rFonts w:hint="eastAsia"/>
                <w:bCs/>
                <w:sz w:val="24"/>
              </w:rPr>
              <w:t>119</w:t>
            </w:r>
            <w:r>
              <w:rPr>
                <w:bCs/>
                <w:sz w:val="24"/>
              </w:rPr>
              <w:t>m。周边主要为旱地及少量杂草。放喷池周边100m无居民和其他建构筑物设施。因此，</w:t>
            </w:r>
            <w:r>
              <w:rPr>
                <w:rFonts w:hint="eastAsia"/>
                <w:bCs/>
                <w:sz w:val="24"/>
              </w:rPr>
              <w:t>双庙页1HF井</w:t>
            </w:r>
            <w:r>
              <w:rPr>
                <w:bCs/>
                <w:sz w:val="24"/>
              </w:rPr>
              <w:t>符合《钻前工程及井场布置技术要求》（SY/T5466-2013）的相关要求。</w:t>
            </w:r>
          </w:p>
          <w:p w14:paraId="6BCA0B06">
            <w:pPr>
              <w:spacing w:line="360" w:lineRule="auto"/>
              <w:ind w:firstLine="480" w:firstLineChars="200"/>
              <w:rPr>
                <w:sz w:val="24"/>
              </w:rPr>
            </w:pPr>
            <w:r>
              <w:rPr>
                <w:sz w:val="24"/>
              </w:rPr>
              <w:t>项目产生的危险废物主要为油类，油类由废油桶收集。经调查，危废临时收集设施附近无自然保护区、风景名胜区</w:t>
            </w:r>
            <w:r>
              <w:rPr>
                <w:rFonts w:hint="eastAsia"/>
                <w:sz w:val="24"/>
              </w:rPr>
              <w:t>等</w:t>
            </w:r>
            <w:r>
              <w:rPr>
                <w:sz w:val="24"/>
              </w:rPr>
              <w:t>敏感</w:t>
            </w:r>
            <w:r>
              <w:rPr>
                <w:rFonts w:hint="eastAsia"/>
                <w:sz w:val="24"/>
              </w:rPr>
              <w:t>对象</w:t>
            </w:r>
            <w:r>
              <w:rPr>
                <w:sz w:val="24"/>
              </w:rPr>
              <w:t>分布，在采取措施后对其影响较小，各危废经分类收集后交由有资质单位进行处置。</w:t>
            </w:r>
          </w:p>
          <w:p w14:paraId="0EB535AE">
            <w:pPr>
              <w:adjustRightInd w:val="0"/>
              <w:snapToGrid w:val="0"/>
              <w:spacing w:line="360" w:lineRule="auto"/>
              <w:ind w:firstLine="480" w:firstLineChars="200"/>
              <w:rPr>
                <w:sz w:val="24"/>
              </w:rPr>
            </w:pPr>
            <w:r>
              <w:rPr>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p w14:paraId="7E02FC6C">
            <w:pPr>
              <w:adjustRightInd w:val="0"/>
              <w:snapToGrid w:val="0"/>
              <w:spacing w:line="360" w:lineRule="auto"/>
              <w:rPr>
                <w:b/>
                <w:bCs/>
                <w:sz w:val="24"/>
              </w:rPr>
            </w:pPr>
            <w:r>
              <w:rPr>
                <w:rFonts w:hint="eastAsia"/>
                <w:b/>
                <w:bCs/>
                <w:sz w:val="24"/>
              </w:rPr>
              <w:t>4.10</w:t>
            </w:r>
            <w:r>
              <w:rPr>
                <w:b/>
                <w:bCs/>
                <w:sz w:val="24"/>
              </w:rPr>
              <w:t xml:space="preserve"> 项目临时占用永久基本农田符合性分析</w:t>
            </w:r>
          </w:p>
          <w:p w14:paraId="4CDADCCE">
            <w:pPr>
              <w:adjustRightInd w:val="0"/>
              <w:snapToGrid w:val="0"/>
              <w:spacing w:line="360" w:lineRule="auto"/>
              <w:ind w:firstLine="480" w:firstLineChars="200"/>
              <w:rPr>
                <w:color w:val="auto"/>
                <w:sz w:val="24"/>
              </w:rPr>
            </w:pPr>
            <w:r>
              <w:rPr>
                <w:sz w:val="24"/>
              </w:rPr>
              <w:t>项目占地包括井场占地、道路、油罐、放喷池、耕植土堆放区和生活区占地等，除井口区域外，其他占地均属于临时占地，占地类型以旱地为主。根据三区三线核实结果，项目</w:t>
            </w:r>
            <w:r>
              <w:rPr>
                <w:rFonts w:hint="eastAsia"/>
                <w:sz w:val="24"/>
              </w:rPr>
              <w:t>不</w:t>
            </w:r>
            <w:r>
              <w:rPr>
                <w:sz w:val="24"/>
              </w:rPr>
              <w:t>占用永久基本农田。项目与宣汉县永久基本农田位置关系如</w:t>
            </w:r>
            <w:r>
              <w:rPr>
                <w:rFonts w:hint="eastAsia"/>
                <w:sz w:val="24"/>
              </w:rPr>
              <w:t>附图9所示，评价要求严格控制施工范围，尽量不占用永久基本农田。</w:t>
            </w:r>
            <w:r>
              <w:rPr>
                <w:sz w:val="24"/>
              </w:rPr>
              <w:t>建设单位在钻井工程</w:t>
            </w:r>
            <w:r>
              <w:rPr>
                <w:color w:val="auto"/>
                <w:sz w:val="24"/>
              </w:rPr>
              <w:t>施工过程中应做好临时占地表土集中堆放、截排水沟、表面覆盖等水土流失控制措施，临时占用应及时按土地复垦方式实施临时占地生态恢复，确保临时占地土地使用功能不降低。</w:t>
            </w:r>
          </w:p>
          <w:p w14:paraId="6D3A2BDA">
            <w:pPr>
              <w:adjustRightInd w:val="0"/>
              <w:snapToGrid w:val="0"/>
              <w:spacing w:line="360" w:lineRule="auto"/>
              <w:rPr>
                <w:b/>
                <w:bCs/>
                <w:color w:val="auto"/>
                <w:sz w:val="24"/>
              </w:rPr>
            </w:pPr>
            <w:r>
              <w:rPr>
                <w:b/>
                <w:bCs/>
                <w:color w:val="auto"/>
                <w:sz w:val="24"/>
              </w:rPr>
              <w:t>4.11与《达州市集中式饮用水水源保护管理条例》符合性分析</w:t>
            </w:r>
          </w:p>
          <w:p w14:paraId="5EA60748">
            <w:pPr>
              <w:adjustRightInd w:val="0"/>
              <w:snapToGrid w:val="0"/>
              <w:spacing w:line="360" w:lineRule="auto"/>
              <w:ind w:firstLine="480" w:firstLineChars="200"/>
              <w:rPr>
                <w:color w:val="auto"/>
                <w:sz w:val="24"/>
              </w:rPr>
            </w:pPr>
            <w:r>
              <w:rPr>
                <w:color w:val="auto"/>
                <w:sz w:val="24"/>
              </w:rPr>
              <w:t>根据达州市集中式饮用水水源保护管理条例符合性如下所示</w:t>
            </w:r>
          </w:p>
          <w:p w14:paraId="53B2F1A9">
            <w:pPr>
              <w:adjustRightInd w:val="0"/>
              <w:snapToGrid w:val="0"/>
              <w:spacing w:line="360" w:lineRule="auto"/>
              <w:ind w:firstLine="480" w:firstLineChars="200"/>
              <w:rPr>
                <w:color w:val="auto"/>
                <w:sz w:val="24"/>
              </w:rPr>
            </w:pPr>
            <w:r>
              <w:rPr>
                <w:color w:val="auto"/>
                <w:sz w:val="24"/>
              </w:rPr>
              <w:t>表</w:t>
            </w:r>
            <w:r>
              <w:rPr>
                <w:rFonts w:hint="eastAsia"/>
                <w:color w:val="auto"/>
                <w:sz w:val="24"/>
              </w:rPr>
              <w:t>4-24</w:t>
            </w:r>
            <w:r>
              <w:rPr>
                <w:color w:val="auto"/>
                <w:sz w:val="24"/>
              </w:rPr>
              <w:t xml:space="preserve"> 《达州市集中式饮用水水源保护管理条例》符合性分析一览表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932"/>
              <w:gridCol w:w="1876"/>
              <w:gridCol w:w="614"/>
            </w:tblGrid>
            <w:tr w14:paraId="3EEDA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tcPr>
                <w:p w14:paraId="2E130DED">
                  <w:pPr>
                    <w:pStyle w:val="53"/>
                    <w:rPr>
                      <w:rFonts w:hint="default"/>
                      <w:color w:val="auto"/>
                      <w:sz w:val="21"/>
                      <w:szCs w:val="21"/>
                    </w:rPr>
                  </w:pPr>
                  <w:r>
                    <w:rPr>
                      <w:rFonts w:hint="default"/>
                      <w:color w:val="auto"/>
                      <w:sz w:val="21"/>
                      <w:szCs w:val="21"/>
                    </w:rPr>
                    <w:t>序号</w:t>
                  </w:r>
                </w:p>
              </w:tc>
              <w:tc>
                <w:tcPr>
                  <w:tcW w:w="4932" w:type="dxa"/>
                  <w:tcBorders>
                    <w:tl2br w:val="nil"/>
                    <w:tr2bl w:val="nil"/>
                  </w:tcBorders>
                </w:tcPr>
                <w:p w14:paraId="054A12BC">
                  <w:pPr>
                    <w:pStyle w:val="53"/>
                    <w:rPr>
                      <w:rFonts w:hint="default"/>
                      <w:color w:val="auto"/>
                      <w:sz w:val="21"/>
                      <w:szCs w:val="21"/>
                    </w:rPr>
                  </w:pPr>
                  <w:r>
                    <w:rPr>
                      <w:rFonts w:hint="default"/>
                      <w:color w:val="auto"/>
                      <w:sz w:val="21"/>
                      <w:szCs w:val="21"/>
                    </w:rPr>
                    <w:t>要求</w:t>
                  </w:r>
                </w:p>
              </w:tc>
              <w:tc>
                <w:tcPr>
                  <w:tcW w:w="1876" w:type="dxa"/>
                  <w:tcBorders>
                    <w:tl2br w:val="nil"/>
                    <w:tr2bl w:val="nil"/>
                  </w:tcBorders>
                </w:tcPr>
                <w:p w14:paraId="5AB31BCC">
                  <w:pPr>
                    <w:pStyle w:val="53"/>
                    <w:rPr>
                      <w:rFonts w:hint="default"/>
                      <w:color w:val="auto"/>
                      <w:sz w:val="21"/>
                      <w:szCs w:val="21"/>
                    </w:rPr>
                  </w:pPr>
                  <w:r>
                    <w:rPr>
                      <w:rFonts w:hint="default"/>
                      <w:color w:val="auto"/>
                      <w:sz w:val="21"/>
                      <w:szCs w:val="21"/>
                    </w:rPr>
                    <w:t>本项目情况</w:t>
                  </w:r>
                </w:p>
              </w:tc>
              <w:tc>
                <w:tcPr>
                  <w:tcW w:w="614" w:type="dxa"/>
                  <w:tcBorders>
                    <w:tl2br w:val="nil"/>
                    <w:tr2bl w:val="nil"/>
                  </w:tcBorders>
                </w:tcPr>
                <w:p w14:paraId="4D0E67CC">
                  <w:pPr>
                    <w:pStyle w:val="53"/>
                    <w:rPr>
                      <w:rFonts w:hint="default"/>
                      <w:color w:val="auto"/>
                      <w:sz w:val="21"/>
                      <w:szCs w:val="21"/>
                    </w:rPr>
                  </w:pPr>
                  <w:r>
                    <w:rPr>
                      <w:rFonts w:hint="default"/>
                      <w:color w:val="auto"/>
                      <w:sz w:val="21"/>
                      <w:szCs w:val="21"/>
                    </w:rPr>
                    <w:t>符合性</w:t>
                  </w:r>
                </w:p>
              </w:tc>
            </w:tr>
            <w:tr w14:paraId="36F5C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tcPr>
                <w:p w14:paraId="73BB1E64">
                  <w:pPr>
                    <w:pStyle w:val="53"/>
                    <w:rPr>
                      <w:rFonts w:hint="default"/>
                      <w:color w:val="auto"/>
                      <w:sz w:val="21"/>
                      <w:szCs w:val="21"/>
                    </w:rPr>
                  </w:pPr>
                  <w:r>
                    <w:rPr>
                      <w:rFonts w:hint="default"/>
                      <w:color w:val="auto"/>
                      <w:sz w:val="21"/>
                      <w:szCs w:val="21"/>
                    </w:rPr>
                    <w:t>1</w:t>
                  </w:r>
                </w:p>
              </w:tc>
              <w:tc>
                <w:tcPr>
                  <w:tcW w:w="4932" w:type="dxa"/>
                  <w:tcBorders>
                    <w:tl2br w:val="nil"/>
                    <w:tr2bl w:val="nil"/>
                  </w:tcBorders>
                </w:tcPr>
                <w:p w14:paraId="670C2D5F">
                  <w:pPr>
                    <w:pStyle w:val="53"/>
                    <w:rPr>
                      <w:rFonts w:hint="default"/>
                      <w:color w:val="auto"/>
                      <w:sz w:val="21"/>
                      <w:szCs w:val="21"/>
                    </w:rPr>
                  </w:pPr>
                  <w:r>
                    <w:rPr>
                      <w:rFonts w:hint="default"/>
                      <w:color w:val="auto"/>
                      <w:sz w:val="21"/>
                      <w:szCs w:val="21"/>
                    </w:rPr>
                    <w:t>集中式地表水饮用水水源准保护区内，应当遵守下列规定：</w:t>
                  </w:r>
                </w:p>
                <w:p w14:paraId="0298E9A6">
                  <w:pPr>
                    <w:pStyle w:val="53"/>
                    <w:rPr>
                      <w:rFonts w:hint="default"/>
                      <w:color w:val="auto"/>
                      <w:sz w:val="21"/>
                      <w:szCs w:val="21"/>
                    </w:rPr>
                  </w:pPr>
                  <w:r>
                    <w:rPr>
                      <w:rFonts w:hint="default"/>
                      <w:color w:val="auto"/>
                      <w:sz w:val="21"/>
                      <w:szCs w:val="21"/>
                    </w:rPr>
                    <w:t>（一）禁止新建、扩建造纸、制革、印染、染料、炼焦、炼砷、炼油、电镀、农药、化工、冶炼等对水体污染严重的建设项目；改建建设项目，不得增加排污量；</w:t>
                  </w:r>
                </w:p>
                <w:p w14:paraId="30D7B2FC">
                  <w:pPr>
                    <w:pStyle w:val="53"/>
                    <w:rPr>
                      <w:rFonts w:hint="default"/>
                      <w:color w:val="auto"/>
                      <w:sz w:val="21"/>
                      <w:szCs w:val="21"/>
                    </w:rPr>
                  </w:pPr>
                  <w:r>
                    <w:rPr>
                      <w:rFonts w:hint="default"/>
                      <w:color w:val="auto"/>
                      <w:sz w:val="21"/>
                      <w:szCs w:val="21"/>
                    </w:rPr>
                    <w:t>（二）禁止设置易溶性、有毒有害废弃物和危险废物的暂存和转运场所；禁止设置生活垃圾和工业固体废物的处置场所，生活垃圾转运站和工业固体废物暂存场所应当设置防护设施；</w:t>
                  </w:r>
                </w:p>
                <w:p w14:paraId="404D8639">
                  <w:pPr>
                    <w:pStyle w:val="53"/>
                    <w:rPr>
                      <w:rFonts w:hint="default"/>
                      <w:color w:val="auto"/>
                      <w:sz w:val="21"/>
                      <w:szCs w:val="21"/>
                    </w:rPr>
                  </w:pPr>
                  <w:r>
                    <w:rPr>
                      <w:rFonts w:hint="default"/>
                      <w:color w:val="auto"/>
                      <w:sz w:val="21"/>
                      <w:szCs w:val="21"/>
                    </w:rPr>
                    <w:t>（三）禁止进行可能影响饮用水水源水质的天然气、石灰石、盐卤等矿产勘查、开采等活动；</w:t>
                  </w:r>
                </w:p>
                <w:p w14:paraId="7D145E59">
                  <w:pPr>
                    <w:pStyle w:val="53"/>
                    <w:rPr>
                      <w:rFonts w:hint="default"/>
                      <w:color w:val="auto"/>
                      <w:sz w:val="21"/>
                      <w:szCs w:val="21"/>
                    </w:rPr>
                  </w:pPr>
                  <w:r>
                    <w:rPr>
                      <w:rFonts w:hint="default"/>
                      <w:color w:val="auto"/>
                      <w:sz w:val="21"/>
                      <w:szCs w:val="21"/>
                    </w:rPr>
                    <w:t>（四）法律、法规禁止的其他行为。</w:t>
                  </w:r>
                </w:p>
              </w:tc>
              <w:tc>
                <w:tcPr>
                  <w:tcW w:w="1876" w:type="dxa"/>
                  <w:tcBorders>
                    <w:tl2br w:val="nil"/>
                    <w:tr2bl w:val="nil"/>
                  </w:tcBorders>
                </w:tcPr>
                <w:p w14:paraId="7BED7AB7">
                  <w:pPr>
                    <w:pStyle w:val="53"/>
                    <w:rPr>
                      <w:rFonts w:hint="eastAsia" w:eastAsia="宋体"/>
                      <w:color w:val="auto"/>
                      <w:sz w:val="21"/>
                      <w:szCs w:val="21"/>
                      <w:lang w:eastAsia="zh-CN"/>
                    </w:rPr>
                  </w:pPr>
                  <w:r>
                    <w:rPr>
                      <w:rFonts w:hint="default"/>
                      <w:color w:val="auto"/>
                      <w:sz w:val="21"/>
                      <w:szCs w:val="21"/>
                    </w:rPr>
                    <w:t>本项目不涉及集中式地表水饮用水水源准保护区</w:t>
                  </w:r>
                  <w:r>
                    <w:rPr>
                      <w:color w:val="auto"/>
                      <w:sz w:val="21"/>
                      <w:szCs w:val="21"/>
                    </w:rPr>
                    <w:t>，距离最近</w:t>
                  </w:r>
                  <w:r>
                    <w:rPr>
                      <w:rFonts w:hint="eastAsia"/>
                      <w:color w:val="auto"/>
                      <w:sz w:val="21"/>
                      <w:szCs w:val="21"/>
                      <w:lang w:val="en-US" w:eastAsia="zh-CN"/>
                    </w:rPr>
                    <w:t>罗江饮用水源保护区准保护区约1.5km</w:t>
                  </w:r>
                </w:p>
              </w:tc>
              <w:tc>
                <w:tcPr>
                  <w:tcW w:w="614" w:type="dxa"/>
                  <w:tcBorders>
                    <w:tl2br w:val="nil"/>
                    <w:tr2bl w:val="nil"/>
                  </w:tcBorders>
                </w:tcPr>
                <w:p w14:paraId="2F7DF83E">
                  <w:pPr>
                    <w:pStyle w:val="53"/>
                    <w:rPr>
                      <w:rFonts w:hint="default"/>
                      <w:color w:val="auto"/>
                      <w:sz w:val="21"/>
                      <w:szCs w:val="21"/>
                    </w:rPr>
                  </w:pPr>
                  <w:r>
                    <w:rPr>
                      <w:rFonts w:hint="default"/>
                      <w:color w:val="auto"/>
                      <w:sz w:val="21"/>
                      <w:szCs w:val="21"/>
                    </w:rPr>
                    <w:t>符合</w:t>
                  </w:r>
                </w:p>
              </w:tc>
            </w:tr>
            <w:tr w14:paraId="5D0DE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tcPr>
                <w:p w14:paraId="6A15A9B3">
                  <w:pPr>
                    <w:pStyle w:val="53"/>
                    <w:rPr>
                      <w:rFonts w:hint="default"/>
                      <w:color w:val="auto"/>
                      <w:sz w:val="21"/>
                      <w:szCs w:val="21"/>
                    </w:rPr>
                  </w:pPr>
                  <w:r>
                    <w:rPr>
                      <w:rFonts w:hint="default"/>
                      <w:color w:val="auto"/>
                      <w:sz w:val="21"/>
                      <w:szCs w:val="21"/>
                    </w:rPr>
                    <w:t>2</w:t>
                  </w:r>
                </w:p>
              </w:tc>
              <w:tc>
                <w:tcPr>
                  <w:tcW w:w="4932" w:type="dxa"/>
                  <w:tcBorders>
                    <w:tl2br w:val="nil"/>
                    <w:tr2bl w:val="nil"/>
                  </w:tcBorders>
                </w:tcPr>
                <w:p w14:paraId="45F0E0FB">
                  <w:pPr>
                    <w:pStyle w:val="53"/>
                    <w:rPr>
                      <w:rFonts w:hint="default"/>
                      <w:color w:val="auto"/>
                      <w:sz w:val="21"/>
                      <w:szCs w:val="21"/>
                    </w:rPr>
                  </w:pPr>
                  <w:r>
                    <w:rPr>
                      <w:rFonts w:hint="default"/>
                      <w:color w:val="auto"/>
                      <w:sz w:val="21"/>
                      <w:szCs w:val="21"/>
                    </w:rPr>
                    <w:t>第二十条 集中式地表水饮用水水源二级保护区内，应当遵守下列规定：</w:t>
                  </w:r>
                </w:p>
                <w:p w14:paraId="48794DF0">
                  <w:pPr>
                    <w:pStyle w:val="53"/>
                    <w:rPr>
                      <w:rFonts w:hint="default"/>
                      <w:color w:val="auto"/>
                      <w:sz w:val="21"/>
                      <w:szCs w:val="21"/>
                    </w:rPr>
                  </w:pPr>
                  <w:r>
                    <w:rPr>
                      <w:rFonts w:hint="default"/>
                      <w:color w:val="auto"/>
                      <w:sz w:val="21"/>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14:paraId="7A9A8ED7">
                  <w:pPr>
                    <w:pStyle w:val="53"/>
                    <w:rPr>
                      <w:rFonts w:hint="default"/>
                      <w:color w:val="auto"/>
                      <w:sz w:val="21"/>
                      <w:szCs w:val="21"/>
                    </w:rPr>
                  </w:pPr>
                  <w:r>
                    <w:rPr>
                      <w:rFonts w:hint="default"/>
                      <w:color w:val="auto"/>
                      <w:sz w:val="21"/>
                      <w:szCs w:val="21"/>
                    </w:rPr>
                    <w:t>（二）禁止从事经营性取土和采石（砂）等活动；</w:t>
                  </w:r>
                </w:p>
                <w:p w14:paraId="206D6D3D">
                  <w:pPr>
                    <w:pStyle w:val="53"/>
                    <w:rPr>
                      <w:rFonts w:hint="default"/>
                      <w:color w:val="auto"/>
                      <w:sz w:val="21"/>
                      <w:szCs w:val="21"/>
                    </w:rPr>
                  </w:pPr>
                  <w:r>
                    <w:rPr>
                      <w:rFonts w:hint="default"/>
                      <w:color w:val="auto"/>
                      <w:sz w:val="21"/>
                      <w:szCs w:val="21"/>
                    </w:rPr>
                    <w:t>（三）禁止设置畜禽养殖场、养殖小区；</w:t>
                  </w:r>
                </w:p>
                <w:p w14:paraId="6B72EB06">
                  <w:pPr>
                    <w:pStyle w:val="53"/>
                    <w:rPr>
                      <w:rFonts w:hint="default"/>
                      <w:color w:val="auto"/>
                      <w:sz w:val="21"/>
                      <w:szCs w:val="21"/>
                    </w:rPr>
                  </w:pPr>
                  <w:r>
                    <w:rPr>
                      <w:rFonts w:hint="default"/>
                      <w:color w:val="auto"/>
                      <w:sz w:val="21"/>
                      <w:szCs w:val="21"/>
                    </w:rPr>
                    <w:t>（四）禁止从事网箱养殖、施肥养鱼、超标准养殖、投放暂存鱼、电鱼、炸鱼、毒鱼等污染饮用水水体的活动；</w:t>
                  </w:r>
                </w:p>
                <w:p w14:paraId="2248687F">
                  <w:pPr>
                    <w:pStyle w:val="53"/>
                    <w:rPr>
                      <w:rFonts w:hint="default"/>
                      <w:color w:val="auto"/>
                      <w:sz w:val="21"/>
                      <w:szCs w:val="21"/>
                    </w:rPr>
                  </w:pPr>
                  <w:r>
                    <w:rPr>
                      <w:rFonts w:hint="default"/>
                      <w:color w:val="auto"/>
                      <w:sz w:val="21"/>
                      <w:szCs w:val="21"/>
                    </w:rPr>
                    <w:t>（五）禁止使用农药；禁止丢弃农药、农药包装物或者清洗施药器械；限制使用化肥；</w:t>
                  </w:r>
                </w:p>
                <w:p w14:paraId="3067D3D9">
                  <w:pPr>
                    <w:pStyle w:val="53"/>
                    <w:rPr>
                      <w:rFonts w:hint="default"/>
                      <w:color w:val="auto"/>
                      <w:sz w:val="21"/>
                      <w:szCs w:val="21"/>
                    </w:rPr>
                  </w:pPr>
                  <w:r>
                    <w:rPr>
                      <w:rFonts w:hint="default"/>
                      <w:color w:val="auto"/>
                      <w:sz w:val="21"/>
                      <w:szCs w:val="21"/>
                    </w:rPr>
                    <w:t>（六）法律、法规和本条例第十九条禁止的其他行为。</w:t>
                  </w:r>
                </w:p>
              </w:tc>
              <w:tc>
                <w:tcPr>
                  <w:tcW w:w="1876" w:type="dxa"/>
                  <w:tcBorders>
                    <w:tl2br w:val="nil"/>
                    <w:tr2bl w:val="nil"/>
                  </w:tcBorders>
                </w:tcPr>
                <w:p w14:paraId="1874754A">
                  <w:pPr>
                    <w:pStyle w:val="53"/>
                    <w:rPr>
                      <w:rFonts w:hint="eastAsia" w:eastAsia="宋体"/>
                      <w:color w:val="auto"/>
                      <w:sz w:val="21"/>
                      <w:szCs w:val="21"/>
                      <w:lang w:eastAsia="zh-CN"/>
                    </w:rPr>
                  </w:pPr>
                  <w:r>
                    <w:rPr>
                      <w:rFonts w:hint="default"/>
                      <w:color w:val="auto"/>
                      <w:sz w:val="21"/>
                      <w:szCs w:val="21"/>
                    </w:rPr>
                    <w:t>本项目不涉及集中式地表水饮用水水源二级保护区</w:t>
                  </w:r>
                  <w:r>
                    <w:rPr>
                      <w:color w:val="auto"/>
                      <w:sz w:val="21"/>
                      <w:szCs w:val="21"/>
                    </w:rPr>
                    <w:t>，距离最近</w:t>
                  </w:r>
                  <w:r>
                    <w:rPr>
                      <w:rFonts w:hint="eastAsia"/>
                      <w:color w:val="auto"/>
                      <w:sz w:val="21"/>
                      <w:szCs w:val="21"/>
                      <w:lang w:val="en-US" w:eastAsia="zh-CN"/>
                    </w:rPr>
                    <w:t>罗江饮用水源保护二级保护区陆域范围约2.2km</w:t>
                  </w:r>
                </w:p>
              </w:tc>
              <w:tc>
                <w:tcPr>
                  <w:tcW w:w="614" w:type="dxa"/>
                  <w:tcBorders>
                    <w:tl2br w:val="nil"/>
                    <w:tr2bl w:val="nil"/>
                  </w:tcBorders>
                </w:tcPr>
                <w:p w14:paraId="16D7DDBC">
                  <w:pPr>
                    <w:pStyle w:val="53"/>
                    <w:rPr>
                      <w:rFonts w:hint="default"/>
                      <w:color w:val="auto"/>
                      <w:sz w:val="21"/>
                      <w:szCs w:val="21"/>
                    </w:rPr>
                  </w:pPr>
                  <w:r>
                    <w:rPr>
                      <w:rFonts w:hint="default"/>
                      <w:color w:val="auto"/>
                      <w:sz w:val="21"/>
                      <w:szCs w:val="21"/>
                    </w:rPr>
                    <w:t>符合</w:t>
                  </w:r>
                </w:p>
              </w:tc>
            </w:tr>
            <w:tr w14:paraId="03A64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tcPr>
                <w:p w14:paraId="0A5B17D6">
                  <w:pPr>
                    <w:pStyle w:val="53"/>
                    <w:rPr>
                      <w:rFonts w:hint="default"/>
                      <w:color w:val="auto"/>
                      <w:sz w:val="21"/>
                      <w:szCs w:val="21"/>
                    </w:rPr>
                  </w:pPr>
                  <w:r>
                    <w:rPr>
                      <w:rFonts w:hint="default"/>
                      <w:color w:val="auto"/>
                      <w:sz w:val="21"/>
                      <w:szCs w:val="21"/>
                    </w:rPr>
                    <w:t>3</w:t>
                  </w:r>
                </w:p>
              </w:tc>
              <w:tc>
                <w:tcPr>
                  <w:tcW w:w="4932" w:type="dxa"/>
                  <w:tcBorders>
                    <w:tl2br w:val="nil"/>
                    <w:tr2bl w:val="nil"/>
                  </w:tcBorders>
                </w:tcPr>
                <w:p w14:paraId="31011817">
                  <w:pPr>
                    <w:pStyle w:val="53"/>
                    <w:rPr>
                      <w:rFonts w:hint="default"/>
                      <w:color w:val="auto"/>
                      <w:sz w:val="21"/>
                      <w:szCs w:val="21"/>
                    </w:rPr>
                  </w:pPr>
                  <w:r>
                    <w:rPr>
                      <w:rFonts w:hint="default"/>
                      <w:color w:val="auto"/>
                      <w:sz w:val="21"/>
                      <w:szCs w:val="21"/>
                    </w:rPr>
                    <w:t>第二十一条 集中式地表水饮用水水源一级保护区内，应当遵守下列规定：</w:t>
                  </w:r>
                </w:p>
                <w:p w14:paraId="5C2D0D22">
                  <w:pPr>
                    <w:pStyle w:val="53"/>
                    <w:rPr>
                      <w:rFonts w:hint="default"/>
                      <w:color w:val="auto"/>
                      <w:sz w:val="21"/>
                      <w:szCs w:val="21"/>
                    </w:rPr>
                  </w:pPr>
                  <w:r>
                    <w:rPr>
                      <w:rFonts w:hint="default"/>
                      <w:color w:val="auto"/>
                      <w:sz w:val="21"/>
                      <w:szCs w:val="21"/>
                    </w:rPr>
                    <w:t>（一）禁止从事餐饮、旅游、游泳、垂钓或者其他可能污染水体的活动；</w:t>
                  </w:r>
                </w:p>
                <w:p w14:paraId="14324BAE">
                  <w:pPr>
                    <w:pStyle w:val="53"/>
                    <w:rPr>
                      <w:rFonts w:hint="default"/>
                      <w:color w:val="auto"/>
                      <w:sz w:val="21"/>
                      <w:szCs w:val="21"/>
                    </w:rPr>
                  </w:pPr>
                  <w:r>
                    <w:rPr>
                      <w:rFonts w:hint="default"/>
                      <w:color w:val="auto"/>
                      <w:sz w:val="21"/>
                      <w:szCs w:val="21"/>
                    </w:rPr>
                    <w:t>（二）法律、法规和本条例第十九条、第二十条禁止的行为。</w:t>
                  </w:r>
                </w:p>
              </w:tc>
              <w:tc>
                <w:tcPr>
                  <w:tcW w:w="1876" w:type="dxa"/>
                  <w:tcBorders>
                    <w:tl2br w:val="nil"/>
                    <w:tr2bl w:val="nil"/>
                  </w:tcBorders>
                </w:tcPr>
                <w:p w14:paraId="75945FB7">
                  <w:pPr>
                    <w:pStyle w:val="53"/>
                    <w:rPr>
                      <w:rFonts w:hint="default"/>
                      <w:color w:val="auto"/>
                      <w:sz w:val="21"/>
                      <w:szCs w:val="21"/>
                    </w:rPr>
                  </w:pPr>
                  <w:r>
                    <w:rPr>
                      <w:rFonts w:hint="default"/>
                      <w:color w:val="auto"/>
                      <w:sz w:val="21"/>
                      <w:szCs w:val="21"/>
                    </w:rPr>
                    <w:t>本项目不涉及集中式地表水饮用水水源一级保护区</w:t>
                  </w:r>
                  <w:r>
                    <w:rPr>
                      <w:color w:val="auto"/>
                      <w:sz w:val="21"/>
                      <w:szCs w:val="21"/>
                    </w:rPr>
                    <w:t>，距离最近</w:t>
                  </w:r>
                  <w:r>
                    <w:rPr>
                      <w:rFonts w:hint="eastAsia"/>
                      <w:color w:val="auto"/>
                      <w:sz w:val="21"/>
                      <w:szCs w:val="21"/>
                      <w:lang w:val="en-US" w:eastAsia="zh-CN"/>
                    </w:rPr>
                    <w:t>罗江饮用水源保护一级保护区陆域范围约2.5km</w:t>
                  </w:r>
                  <w:r>
                    <w:rPr>
                      <w:color w:val="auto"/>
                      <w:sz w:val="21"/>
                      <w:szCs w:val="21"/>
                    </w:rPr>
                    <w:t>。</w:t>
                  </w:r>
                </w:p>
              </w:tc>
              <w:tc>
                <w:tcPr>
                  <w:tcW w:w="614" w:type="dxa"/>
                  <w:tcBorders>
                    <w:tl2br w:val="nil"/>
                    <w:tr2bl w:val="nil"/>
                  </w:tcBorders>
                </w:tcPr>
                <w:p w14:paraId="4C1AD92E">
                  <w:pPr>
                    <w:pStyle w:val="53"/>
                    <w:rPr>
                      <w:rFonts w:hint="default"/>
                      <w:color w:val="auto"/>
                      <w:sz w:val="21"/>
                      <w:szCs w:val="21"/>
                    </w:rPr>
                  </w:pPr>
                  <w:r>
                    <w:rPr>
                      <w:rFonts w:hint="default"/>
                      <w:color w:val="auto"/>
                      <w:sz w:val="21"/>
                      <w:szCs w:val="21"/>
                    </w:rPr>
                    <w:t>符合</w:t>
                  </w:r>
                </w:p>
              </w:tc>
            </w:tr>
          </w:tbl>
          <w:p w14:paraId="78F729D9">
            <w:pPr>
              <w:pStyle w:val="53"/>
              <w:spacing w:line="360" w:lineRule="auto"/>
              <w:ind w:firstLine="480" w:firstLineChars="200"/>
              <w:rPr>
                <w:rFonts w:hint="default"/>
              </w:rPr>
            </w:pPr>
            <w:r>
              <w:rPr>
                <w:rFonts w:hint="default" w:ascii="Times New Roman" w:cs="Times New Roman"/>
                <w:color w:val="auto"/>
                <w:kern w:val="2"/>
              </w:rPr>
              <w:t>综上所述，本项目不涉及饮用水源保护区、不涉及自然保护区、风景名胜区等敏感对象，不涉及达州市生态保护红线，因此项目选址合理。</w:t>
            </w:r>
          </w:p>
        </w:tc>
      </w:tr>
    </w:tbl>
    <w:p w14:paraId="7A6F5489">
      <w:pPr>
        <w:pStyle w:val="38"/>
        <w:jc w:val="center"/>
        <w:rPr>
          <w:rFonts w:ascii="Times New Roman" w:hAnsi="Times New Roman" w:eastAsia="黑体"/>
          <w:snapToGrid w:val="0"/>
          <w:sz w:val="21"/>
          <w:szCs w:val="21"/>
        </w:rPr>
        <w:sectPr>
          <w:pgSz w:w="11906" w:h="16838"/>
          <w:pgMar w:top="1417" w:right="1417" w:bottom="1417" w:left="1701" w:header="851" w:footer="1077" w:gutter="0"/>
          <w:cols w:space="720" w:num="1"/>
          <w:docGrid w:linePitch="312" w:charSpace="0"/>
        </w:sectPr>
      </w:pPr>
    </w:p>
    <w:p w14:paraId="6BA75240">
      <w:pPr>
        <w:pStyle w:val="38"/>
        <w:adjustRightInd w:val="0"/>
        <w:snapToGrid w:val="0"/>
        <w:spacing w:before="0" w:beforeAutospacing="0" w:after="0" w:afterAutospacing="0" w:line="14" w:lineRule="auto"/>
        <w:jc w:val="center"/>
        <w:rPr>
          <w:rFonts w:ascii="Times New Roman" w:hAnsi="Times New Roman" w:eastAsia="黑体"/>
          <w:snapToGrid w:val="0"/>
          <w:sz w:val="21"/>
          <w:szCs w:val="21"/>
        </w:rPr>
      </w:pPr>
    </w:p>
    <w:p w14:paraId="24C3D121">
      <w:pPr>
        <w:pStyle w:val="38"/>
        <w:jc w:val="center"/>
        <w:outlineLvl w:val="0"/>
        <w:rPr>
          <w:rFonts w:ascii="Times New Roman" w:hAnsi="Times New Roman" w:eastAsia="黑体"/>
          <w:snapToGrid w:val="0"/>
          <w:sz w:val="32"/>
          <w:szCs w:val="21"/>
        </w:rPr>
      </w:pPr>
      <w:r>
        <w:rPr>
          <w:rFonts w:ascii="Times New Roman" w:hAnsi="Times New Roman" w:eastAsia="黑体"/>
          <w:snapToGrid w:val="0"/>
          <w:sz w:val="32"/>
          <w:szCs w:val="21"/>
        </w:rPr>
        <w:t>五、主要生态环境保护措施</w:t>
      </w:r>
    </w:p>
    <w:tbl>
      <w:tblPr>
        <w:tblStyle w:val="4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0A395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8" w:hRule="atLeast"/>
          <w:jc w:val="center"/>
        </w:trPr>
        <w:tc>
          <w:tcPr>
            <w:tcW w:w="753" w:type="dxa"/>
            <w:tcMar>
              <w:left w:w="28" w:type="dxa"/>
              <w:right w:w="28" w:type="dxa"/>
            </w:tcMar>
            <w:vAlign w:val="center"/>
          </w:tcPr>
          <w:p w14:paraId="74B70606">
            <w:pPr>
              <w:adjustRightInd w:val="0"/>
              <w:snapToGrid w:val="0"/>
              <w:jc w:val="center"/>
              <w:rPr>
                <w:bCs/>
                <w:szCs w:val="21"/>
              </w:rPr>
            </w:pPr>
            <w:r>
              <w:rPr>
                <w:bCs/>
                <w:spacing w:val="10"/>
                <w:szCs w:val="21"/>
              </w:rPr>
              <w:t>施工期生态环境保护措施</w:t>
            </w:r>
          </w:p>
        </w:tc>
        <w:tc>
          <w:tcPr>
            <w:tcW w:w="8457" w:type="dxa"/>
          </w:tcPr>
          <w:p w14:paraId="5EF80A95">
            <w:pPr>
              <w:spacing w:line="360" w:lineRule="auto"/>
              <w:rPr>
                <w:b/>
                <w:bCs/>
                <w:sz w:val="24"/>
              </w:rPr>
            </w:pPr>
            <w:r>
              <w:rPr>
                <w:b/>
                <w:bCs/>
                <w:sz w:val="24"/>
              </w:rPr>
              <w:t>5.1钻前工程环境保护措施</w:t>
            </w:r>
          </w:p>
          <w:p w14:paraId="5615E679">
            <w:pPr>
              <w:spacing w:line="360" w:lineRule="auto"/>
              <w:rPr>
                <w:b/>
                <w:bCs/>
                <w:sz w:val="24"/>
              </w:rPr>
            </w:pPr>
            <w:r>
              <w:rPr>
                <w:b/>
                <w:bCs/>
                <w:sz w:val="24"/>
              </w:rPr>
              <w:t>5.1.1废气治理措施及可行性分析</w:t>
            </w:r>
          </w:p>
          <w:p w14:paraId="77377718">
            <w:pPr>
              <w:spacing w:line="360" w:lineRule="auto"/>
              <w:ind w:firstLine="480" w:firstLineChars="200"/>
              <w:rPr>
                <w:bCs/>
                <w:sz w:val="24"/>
              </w:rPr>
            </w:pPr>
            <w:r>
              <w:rPr>
                <w:bCs/>
                <w:sz w:val="24"/>
              </w:rPr>
              <w:t>（1）建设井场、放喷池等过程中，</w:t>
            </w:r>
            <w:r>
              <w:rPr>
                <w:rFonts w:hint="eastAsia"/>
                <w:bCs/>
                <w:sz w:val="24"/>
              </w:rPr>
              <w:t>采取</w:t>
            </w:r>
            <w:r>
              <w:rPr>
                <w:bCs/>
                <w:sz w:val="24"/>
              </w:rPr>
              <w:t>现场定期洒水</w:t>
            </w:r>
            <w:r>
              <w:rPr>
                <w:rFonts w:hint="eastAsia"/>
                <w:bCs/>
                <w:sz w:val="24"/>
              </w:rPr>
              <w:t>措施</w:t>
            </w:r>
            <w:r>
              <w:rPr>
                <w:bCs/>
                <w:sz w:val="24"/>
              </w:rPr>
              <w:t>，减少扬尘产生量和影响范围；</w:t>
            </w:r>
          </w:p>
          <w:p w14:paraId="009AE5B7">
            <w:pPr>
              <w:spacing w:line="360" w:lineRule="auto"/>
              <w:ind w:firstLine="480" w:firstLineChars="200"/>
              <w:rPr>
                <w:bCs/>
                <w:sz w:val="24"/>
              </w:rPr>
            </w:pPr>
            <w:r>
              <w:rPr>
                <w:bCs/>
                <w:sz w:val="24"/>
              </w:rPr>
              <w:t>（2）运输建筑材料等车辆，车厢</w:t>
            </w:r>
            <w:r>
              <w:rPr>
                <w:rFonts w:hint="eastAsia"/>
                <w:bCs/>
                <w:sz w:val="24"/>
              </w:rPr>
              <w:t>经</w:t>
            </w:r>
            <w:r>
              <w:rPr>
                <w:bCs/>
                <w:sz w:val="24"/>
              </w:rPr>
              <w:t>遮盖严密后方可运出场外；</w:t>
            </w:r>
          </w:p>
          <w:p w14:paraId="4EBE7F60">
            <w:pPr>
              <w:spacing w:line="360" w:lineRule="auto"/>
              <w:ind w:firstLine="480" w:firstLineChars="200"/>
              <w:rPr>
                <w:bCs/>
                <w:sz w:val="24"/>
              </w:rPr>
            </w:pPr>
            <w:r>
              <w:rPr>
                <w:bCs/>
                <w:sz w:val="24"/>
              </w:rPr>
              <w:t>（3）对临时堆场</w:t>
            </w:r>
            <w:r>
              <w:rPr>
                <w:rFonts w:hint="eastAsia"/>
                <w:bCs/>
                <w:sz w:val="24"/>
              </w:rPr>
              <w:t>和</w:t>
            </w:r>
            <w:r>
              <w:rPr>
                <w:bCs/>
                <w:sz w:val="24"/>
              </w:rPr>
              <w:t>建筑材料</w:t>
            </w:r>
            <w:r>
              <w:rPr>
                <w:rFonts w:hint="eastAsia"/>
                <w:bCs/>
                <w:sz w:val="24"/>
              </w:rPr>
              <w:t>堆放处</w:t>
            </w:r>
            <w:r>
              <w:rPr>
                <w:bCs/>
                <w:sz w:val="24"/>
              </w:rPr>
              <w:t>（如水泥、砂石等）修建</w:t>
            </w:r>
            <w:r>
              <w:rPr>
                <w:rFonts w:hint="eastAsia"/>
                <w:bCs/>
                <w:sz w:val="24"/>
              </w:rPr>
              <w:t>临时</w:t>
            </w:r>
            <w:r>
              <w:rPr>
                <w:bCs/>
                <w:sz w:val="24"/>
              </w:rPr>
              <w:t>围护设施，并合理堆放物料，减少迎风面积，同时定时洒水，减少风对料堆表面细小颗粒物的侵蚀引起的扬尘量；</w:t>
            </w:r>
          </w:p>
          <w:p w14:paraId="263F1974">
            <w:pPr>
              <w:spacing w:line="360" w:lineRule="auto"/>
              <w:ind w:firstLine="480" w:firstLineChars="200"/>
              <w:rPr>
                <w:bCs/>
                <w:sz w:val="24"/>
              </w:rPr>
            </w:pPr>
            <w:r>
              <w:rPr>
                <w:bCs/>
                <w:sz w:val="24"/>
              </w:rPr>
              <w:t>由于钻前工程施工</w:t>
            </w:r>
            <w:r>
              <w:rPr>
                <w:rFonts w:hint="eastAsia"/>
                <w:bCs/>
                <w:sz w:val="24"/>
              </w:rPr>
              <w:t>时间</w:t>
            </w:r>
            <w:r>
              <w:rPr>
                <w:bCs/>
                <w:sz w:val="24"/>
              </w:rPr>
              <w:t>不长，施工人员不多，不会对当地环境空气造成明显不利影响，对周围环境影响是可接受的。</w:t>
            </w:r>
          </w:p>
          <w:p w14:paraId="3E2F83A8">
            <w:pPr>
              <w:spacing w:line="360" w:lineRule="auto"/>
              <w:rPr>
                <w:b/>
                <w:bCs/>
                <w:sz w:val="24"/>
              </w:rPr>
            </w:pPr>
            <w:r>
              <w:rPr>
                <w:b/>
                <w:bCs/>
                <w:sz w:val="24"/>
              </w:rPr>
              <w:t>5.1.2废水治理措施及可行性分析</w:t>
            </w:r>
          </w:p>
          <w:p w14:paraId="505C2814">
            <w:pPr>
              <w:spacing w:line="360" w:lineRule="auto"/>
              <w:ind w:firstLine="480" w:firstLineChars="200"/>
              <w:rPr>
                <w:bCs/>
                <w:sz w:val="24"/>
              </w:rPr>
            </w:pPr>
            <w:r>
              <w:rPr>
                <w:bCs/>
                <w:sz w:val="24"/>
              </w:rPr>
              <w:t>钻前工程废水由施工废水和生活污水两部分组成。</w:t>
            </w:r>
            <w:r>
              <w:rPr>
                <w:rFonts w:hint="eastAsia"/>
                <w:bCs/>
                <w:sz w:val="24"/>
              </w:rPr>
              <w:t>废水治理措施如下：</w:t>
            </w:r>
          </w:p>
          <w:p w14:paraId="5F1148A6">
            <w:pPr>
              <w:spacing w:line="360" w:lineRule="auto"/>
              <w:ind w:firstLine="480" w:firstLineChars="200"/>
              <w:rPr>
                <w:bCs/>
                <w:sz w:val="24"/>
              </w:rPr>
            </w:pPr>
            <w:r>
              <w:rPr>
                <w:bCs/>
                <w:sz w:val="24"/>
              </w:rPr>
              <w:t>（1）施工废水经沉淀处理后循环使用，不外排。</w:t>
            </w:r>
          </w:p>
          <w:p w14:paraId="0310BCC9">
            <w:pPr>
              <w:spacing w:line="360" w:lineRule="auto"/>
              <w:ind w:firstLine="480" w:firstLineChars="200"/>
              <w:rPr>
                <w:bCs/>
                <w:sz w:val="24"/>
              </w:rPr>
            </w:pPr>
            <w:r>
              <w:rPr>
                <w:bCs/>
                <w:sz w:val="24"/>
              </w:rPr>
              <w:t>（2）生活污水来自施工人员，施工期间生活污水产生量小，钻前工程人员生活污水依托周边农户已建设施处理。</w:t>
            </w:r>
          </w:p>
          <w:p w14:paraId="4B4D768B">
            <w:pPr>
              <w:spacing w:line="360" w:lineRule="auto"/>
              <w:ind w:firstLine="480" w:firstLineChars="200"/>
              <w:rPr>
                <w:bCs/>
                <w:sz w:val="24"/>
              </w:rPr>
            </w:pPr>
            <w:r>
              <w:rPr>
                <w:rFonts w:hint="eastAsia"/>
                <w:bCs/>
                <w:sz w:val="24"/>
              </w:rPr>
              <w:t>本项目</w:t>
            </w:r>
            <w:r>
              <w:rPr>
                <w:bCs/>
                <w:sz w:val="24"/>
              </w:rPr>
              <w:t>现场无生活污水产生和排放，不会对井场周边地表水产生影响。</w:t>
            </w:r>
          </w:p>
          <w:p w14:paraId="4783903E">
            <w:pPr>
              <w:spacing w:line="360" w:lineRule="auto"/>
              <w:rPr>
                <w:b/>
                <w:bCs/>
                <w:sz w:val="24"/>
              </w:rPr>
            </w:pPr>
            <w:r>
              <w:rPr>
                <w:b/>
                <w:bCs/>
                <w:sz w:val="24"/>
              </w:rPr>
              <w:t>5.1.3噪声控制措施及可行性分析</w:t>
            </w:r>
          </w:p>
          <w:p w14:paraId="51F84651">
            <w:pPr>
              <w:spacing w:line="360" w:lineRule="auto"/>
              <w:ind w:firstLine="480" w:firstLineChars="200"/>
              <w:rPr>
                <w:bCs/>
                <w:sz w:val="24"/>
              </w:rPr>
            </w:pPr>
            <w:r>
              <w:rPr>
                <w:bCs/>
                <w:sz w:val="24"/>
              </w:rPr>
              <w:t>（1）运输设备等车辆沿固定路线行驶，尽量减少鸣笛。</w:t>
            </w:r>
          </w:p>
          <w:p w14:paraId="633FC8BB">
            <w:pPr>
              <w:spacing w:line="360" w:lineRule="auto"/>
              <w:ind w:firstLine="480" w:firstLineChars="200"/>
              <w:rPr>
                <w:bCs/>
                <w:sz w:val="24"/>
              </w:rPr>
            </w:pPr>
            <w:r>
              <w:rPr>
                <w:bCs/>
                <w:sz w:val="24"/>
              </w:rPr>
              <w:t>（2）钻前工程建设时合理安排施工时间，在靠近民居点施工时不得深夜施工。</w:t>
            </w:r>
          </w:p>
          <w:p w14:paraId="7D34E401">
            <w:pPr>
              <w:spacing w:line="360" w:lineRule="auto"/>
              <w:ind w:firstLine="480" w:firstLineChars="200"/>
              <w:rPr>
                <w:bCs/>
                <w:sz w:val="24"/>
              </w:rPr>
            </w:pPr>
            <w:r>
              <w:rPr>
                <w:rFonts w:hint="eastAsia"/>
                <w:bCs/>
                <w:sz w:val="24"/>
              </w:rPr>
              <w:t>本项目</w:t>
            </w:r>
            <w:r>
              <w:rPr>
                <w:bCs/>
                <w:sz w:val="24"/>
              </w:rPr>
              <w:t>100m范围内无农户分布，周边农户较分散，</w:t>
            </w:r>
            <w:r>
              <w:rPr>
                <w:rFonts w:hint="eastAsia"/>
                <w:bCs/>
                <w:sz w:val="24"/>
              </w:rPr>
              <w:t>且</w:t>
            </w:r>
            <w:r>
              <w:rPr>
                <w:bCs/>
                <w:sz w:val="24"/>
              </w:rPr>
              <w:t>施工噪声影响随施工的结束而消失，在当地环境可接受范围内。</w:t>
            </w:r>
          </w:p>
          <w:p w14:paraId="54D3F7E3">
            <w:pPr>
              <w:spacing w:line="360" w:lineRule="auto"/>
              <w:rPr>
                <w:b/>
                <w:bCs/>
                <w:sz w:val="24"/>
              </w:rPr>
            </w:pPr>
            <w:r>
              <w:rPr>
                <w:b/>
                <w:bCs/>
                <w:sz w:val="24"/>
              </w:rPr>
              <w:t>5.1.4固废处理措施可行性分析</w:t>
            </w:r>
          </w:p>
          <w:p w14:paraId="1A797835">
            <w:pPr>
              <w:pStyle w:val="215"/>
              <w:rPr>
                <w:rFonts w:ascii="Times New Roman" w:hAnsi="Times New Roman" w:cs="Times New Roman"/>
                <w:szCs w:val="24"/>
              </w:rPr>
            </w:pPr>
            <w:r>
              <w:rPr>
                <w:rFonts w:ascii="Times New Roman" w:hAnsi="Times New Roman" w:cs="Times New Roman"/>
                <w:szCs w:val="24"/>
              </w:rPr>
              <w:t>钻前工程施工期固体废物主要来自井场平整施工过程产生的垃圾，包括</w:t>
            </w:r>
            <w:r>
              <w:rPr>
                <w:rFonts w:hint="eastAsia" w:ascii="Times New Roman" w:hAnsi="Times New Roman" w:cs="Times New Roman"/>
                <w:szCs w:val="24"/>
              </w:rPr>
              <w:t>建筑垃圾</w:t>
            </w:r>
            <w:r>
              <w:rPr>
                <w:rFonts w:ascii="Times New Roman" w:hAnsi="Times New Roman" w:cs="Times New Roman"/>
                <w:szCs w:val="24"/>
              </w:rPr>
              <w:t>、生活垃圾等。施工过程中产生的生活垃圾等固体废物统一收集，定期</w:t>
            </w:r>
            <w:r>
              <w:rPr>
                <w:rFonts w:hint="eastAsia" w:ascii="Times New Roman" w:hAnsi="Times New Roman" w:cs="Times New Roman"/>
                <w:szCs w:val="24"/>
              </w:rPr>
              <w:t>交由环卫部门统一</w:t>
            </w:r>
            <w:r>
              <w:rPr>
                <w:rFonts w:ascii="Times New Roman" w:hAnsi="Times New Roman" w:cs="Times New Roman"/>
                <w:szCs w:val="24"/>
              </w:rPr>
              <w:t>处理</w:t>
            </w:r>
            <w:r>
              <w:rPr>
                <w:rFonts w:hint="eastAsia" w:ascii="Times New Roman" w:hAnsi="Times New Roman" w:cs="Times New Roman"/>
                <w:szCs w:val="24"/>
              </w:rPr>
              <w:t>，建筑垃圾可以回收部分经分类回收，无回收价值的建筑废料必须统一分类收集后，作为填充材料充填场地、便道、路堤等</w:t>
            </w:r>
            <w:r>
              <w:rPr>
                <w:rFonts w:ascii="Times New Roman" w:hAnsi="Times New Roman" w:cs="Times New Roman"/>
                <w:szCs w:val="24"/>
              </w:rPr>
              <w:t>。通过采取上述措施后，施工过程中产生的固废不会对环境产生影响。</w:t>
            </w:r>
          </w:p>
          <w:p w14:paraId="45F4021C">
            <w:pPr>
              <w:pStyle w:val="215"/>
              <w:ind w:firstLine="0" w:firstLineChars="0"/>
              <w:rPr>
                <w:rFonts w:ascii="Times New Roman" w:hAnsi="Times New Roman" w:cs="Times New Roman"/>
                <w:b/>
                <w:bCs/>
                <w:szCs w:val="24"/>
              </w:rPr>
            </w:pPr>
            <w:r>
              <w:rPr>
                <w:rFonts w:ascii="Times New Roman" w:hAnsi="Times New Roman" w:cs="Times New Roman"/>
                <w:b/>
                <w:bCs/>
                <w:szCs w:val="24"/>
              </w:rPr>
              <w:t>5.1.5生态防治措施</w:t>
            </w:r>
          </w:p>
          <w:p w14:paraId="3865D6AC">
            <w:pPr>
              <w:pStyle w:val="215"/>
              <w:rPr>
                <w:rFonts w:ascii="Times New Roman" w:hAnsi="Times New Roman" w:cs="Times New Roman"/>
                <w:szCs w:val="24"/>
              </w:rPr>
            </w:pPr>
            <w:r>
              <w:rPr>
                <w:rFonts w:ascii="Times New Roman" w:hAnsi="Times New Roman" w:cs="Times New Roman"/>
                <w:szCs w:val="24"/>
              </w:rPr>
              <w:t>（1）施工期生态环境影响减缓与避免措施</w:t>
            </w:r>
          </w:p>
          <w:p w14:paraId="6E7A30FD">
            <w:pPr>
              <w:pStyle w:val="215"/>
              <w:rPr>
                <w:rFonts w:ascii="Times New Roman" w:hAnsi="Times New Roman" w:cs="Times New Roman"/>
                <w:szCs w:val="24"/>
              </w:rPr>
            </w:pPr>
            <w:r>
              <w:rPr>
                <w:rFonts w:ascii="Times New Roman" w:hAnsi="Times New Roman" w:cs="Times New Roman"/>
                <w:szCs w:val="24"/>
              </w:rPr>
              <w:t>①本项目</w:t>
            </w:r>
            <w:r>
              <w:rPr>
                <w:rFonts w:hint="eastAsia" w:ascii="Times New Roman" w:hAnsi="Times New Roman" w:cs="Times New Roman"/>
                <w:szCs w:val="24"/>
              </w:rPr>
              <w:t>应</w:t>
            </w:r>
            <w:r>
              <w:rPr>
                <w:rFonts w:ascii="Times New Roman" w:hAnsi="Times New Roman" w:cs="Times New Roman"/>
                <w:szCs w:val="24"/>
              </w:rPr>
              <w:t>严格控制临时施工范围，临时占地应避开植被良好区以及容易引起水土流失的地段，尽量减少对</w:t>
            </w:r>
            <w:r>
              <w:rPr>
                <w:rFonts w:hint="eastAsia" w:ascii="Times New Roman" w:hAnsi="Times New Roman" w:cs="Times New Roman"/>
                <w:szCs w:val="24"/>
              </w:rPr>
              <w:t>施工区域及周边</w:t>
            </w:r>
            <w:r>
              <w:rPr>
                <w:rFonts w:ascii="Times New Roman" w:hAnsi="Times New Roman" w:cs="Times New Roman"/>
                <w:szCs w:val="24"/>
              </w:rPr>
              <w:t>植被的破坏。施工期应避开雨天与大风天气，减少水土流失量。</w:t>
            </w:r>
          </w:p>
          <w:p w14:paraId="587299F7">
            <w:pPr>
              <w:pStyle w:val="215"/>
              <w:rPr>
                <w:rFonts w:ascii="Times New Roman" w:hAnsi="Times New Roman" w:cs="Times New Roman"/>
                <w:szCs w:val="24"/>
              </w:rPr>
            </w:pPr>
            <w:r>
              <w:rPr>
                <w:rFonts w:ascii="Times New Roman" w:hAnsi="Times New Roman" w:cs="Times New Roman"/>
                <w:szCs w:val="24"/>
              </w:rPr>
              <w:t>②</w:t>
            </w:r>
            <w:r>
              <w:rPr>
                <w:rFonts w:hint="eastAsia" w:ascii="Times New Roman" w:hAnsi="Times New Roman" w:cs="Times New Roman"/>
                <w:szCs w:val="24"/>
              </w:rPr>
              <w:t>施工单位</w:t>
            </w:r>
            <w:r>
              <w:rPr>
                <w:rFonts w:ascii="Times New Roman" w:hAnsi="Times New Roman" w:cs="Times New Roman"/>
                <w:szCs w:val="24"/>
              </w:rPr>
              <w:t>制定严格的施工操作规范，建立施工期生态环境监理制度。</w:t>
            </w:r>
          </w:p>
          <w:p w14:paraId="459AB3F6">
            <w:pPr>
              <w:pStyle w:val="215"/>
              <w:rPr>
                <w:rFonts w:ascii="Times New Roman" w:hAnsi="Times New Roman" w:cs="Times New Roman"/>
                <w:szCs w:val="24"/>
              </w:rPr>
            </w:pPr>
            <w:r>
              <w:rPr>
                <w:rFonts w:ascii="Times New Roman" w:hAnsi="Times New Roman" w:cs="Times New Roman"/>
                <w:szCs w:val="24"/>
              </w:rPr>
              <w:t>③对因项目建设过程中形成的裸露地表，应及时采取绿化措施，选择适宜当地生长的乔</w:t>
            </w:r>
            <w:r>
              <w:rPr>
                <w:rFonts w:hint="eastAsia" w:ascii="Times New Roman" w:hAnsi="Times New Roman" w:cs="Times New Roman"/>
                <w:szCs w:val="24"/>
              </w:rPr>
              <w:t>、</w:t>
            </w:r>
            <w:r>
              <w:rPr>
                <w:rFonts w:ascii="Times New Roman" w:hAnsi="Times New Roman" w:cs="Times New Roman"/>
                <w:szCs w:val="24"/>
              </w:rPr>
              <w:t>灌木及草本品种</w:t>
            </w:r>
            <w:r>
              <w:rPr>
                <w:rFonts w:hint="eastAsia" w:ascii="Times New Roman" w:hAnsi="Times New Roman" w:cs="Times New Roman"/>
                <w:szCs w:val="24"/>
              </w:rPr>
              <w:t>进行种植</w:t>
            </w:r>
            <w:r>
              <w:rPr>
                <w:rFonts w:ascii="Times New Roman" w:hAnsi="Times New Roman" w:cs="Times New Roman"/>
                <w:szCs w:val="24"/>
              </w:rPr>
              <w:t>。</w:t>
            </w:r>
          </w:p>
          <w:p w14:paraId="5FD20847">
            <w:pPr>
              <w:pStyle w:val="215"/>
              <w:rPr>
                <w:rFonts w:ascii="Times New Roman" w:hAnsi="Times New Roman" w:cs="Times New Roman"/>
                <w:szCs w:val="24"/>
              </w:rPr>
            </w:pPr>
            <w:r>
              <w:rPr>
                <w:rFonts w:ascii="Times New Roman" w:hAnsi="Times New Roman" w:cs="Times New Roman"/>
                <w:szCs w:val="24"/>
              </w:rPr>
              <w:t>④做好施工组织安排工作，减轻</w:t>
            </w:r>
            <w:r>
              <w:rPr>
                <w:rFonts w:hint="eastAsia" w:ascii="Times New Roman" w:hAnsi="Times New Roman" w:cs="Times New Roman"/>
                <w:szCs w:val="24"/>
              </w:rPr>
              <w:t>因项目建设导致的生物量</w:t>
            </w:r>
            <w:r>
              <w:rPr>
                <w:rFonts w:ascii="Times New Roman" w:hAnsi="Times New Roman" w:cs="Times New Roman"/>
                <w:szCs w:val="24"/>
              </w:rPr>
              <w:t>损失。应根据当地农业活动特点组织施工，减轻</w:t>
            </w:r>
            <w:r>
              <w:rPr>
                <w:rFonts w:hint="eastAsia" w:ascii="Times New Roman" w:hAnsi="Times New Roman" w:cs="Times New Roman"/>
                <w:szCs w:val="24"/>
              </w:rPr>
              <w:t>因项目</w:t>
            </w:r>
            <w:r>
              <w:rPr>
                <w:rFonts w:ascii="Times New Roman" w:hAnsi="Times New Roman" w:cs="Times New Roman"/>
                <w:szCs w:val="24"/>
              </w:rPr>
              <w:t>破坏造成</w:t>
            </w:r>
            <w:r>
              <w:rPr>
                <w:rFonts w:hint="eastAsia" w:ascii="Times New Roman" w:hAnsi="Times New Roman" w:cs="Times New Roman"/>
                <w:szCs w:val="24"/>
              </w:rPr>
              <w:t>对当地农业生产</w:t>
            </w:r>
            <w:r>
              <w:rPr>
                <w:rFonts w:ascii="Times New Roman" w:hAnsi="Times New Roman" w:cs="Times New Roman"/>
                <w:szCs w:val="24"/>
              </w:rPr>
              <w:t>损失。施工期应选择在一季作物生长期间完成，尽量不占用作物的生长时间。</w:t>
            </w:r>
          </w:p>
          <w:p w14:paraId="2BAEE0C6">
            <w:pPr>
              <w:pStyle w:val="215"/>
              <w:rPr>
                <w:rFonts w:ascii="Times New Roman" w:hAnsi="Times New Roman" w:cs="Times New Roman"/>
                <w:szCs w:val="24"/>
              </w:rPr>
            </w:pPr>
            <w:r>
              <w:rPr>
                <w:rFonts w:ascii="Times New Roman" w:hAnsi="Times New Roman" w:cs="Times New Roman"/>
                <w:szCs w:val="24"/>
              </w:rPr>
              <w:t>（2）施工迹地恢复</w:t>
            </w:r>
          </w:p>
          <w:p w14:paraId="7F914821">
            <w:pPr>
              <w:pStyle w:val="215"/>
              <w:rPr>
                <w:rFonts w:ascii="Times New Roman" w:hAnsi="Times New Roman" w:cs="Times New Roman"/>
                <w:szCs w:val="24"/>
              </w:rPr>
            </w:pPr>
            <w:r>
              <w:rPr>
                <w:rFonts w:ascii="Times New Roman" w:hAnsi="Times New Roman" w:cs="Times New Roman"/>
                <w:szCs w:val="24"/>
              </w:rPr>
              <w:t>竣工后及时拆除生活区等临时设施，并进行迹地恢复，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14:paraId="1B462531">
            <w:pPr>
              <w:pStyle w:val="215"/>
              <w:ind w:firstLine="0" w:firstLineChars="0"/>
              <w:rPr>
                <w:rFonts w:ascii="Times New Roman" w:hAnsi="Times New Roman" w:cs="Times New Roman"/>
                <w:b/>
                <w:bCs/>
                <w:szCs w:val="24"/>
              </w:rPr>
            </w:pPr>
            <w:r>
              <w:rPr>
                <w:rFonts w:ascii="Times New Roman" w:hAnsi="Times New Roman" w:cs="Times New Roman"/>
                <w:b/>
                <w:bCs/>
                <w:szCs w:val="24"/>
              </w:rPr>
              <w:t>5.2钻井工程环境保护措施</w:t>
            </w:r>
          </w:p>
          <w:p w14:paraId="137605F3">
            <w:pPr>
              <w:pStyle w:val="215"/>
              <w:ind w:firstLine="0" w:firstLineChars="0"/>
              <w:rPr>
                <w:rFonts w:ascii="Times New Roman" w:hAnsi="Times New Roman" w:cs="Times New Roman"/>
                <w:b/>
                <w:bCs/>
                <w:szCs w:val="24"/>
              </w:rPr>
            </w:pPr>
            <w:r>
              <w:rPr>
                <w:rFonts w:ascii="Times New Roman" w:hAnsi="Times New Roman" w:cs="Times New Roman"/>
                <w:b/>
                <w:bCs/>
                <w:szCs w:val="24"/>
              </w:rPr>
              <w:t>5.2.1废气治理措施及可行性分析</w:t>
            </w:r>
          </w:p>
          <w:p w14:paraId="460E086E">
            <w:pPr>
              <w:pStyle w:val="215"/>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w:t>
            </w:r>
            <w:r>
              <w:rPr>
                <w:rFonts w:ascii="Times New Roman" w:hAnsi="Times New Roman" w:cs="Times New Roman"/>
                <w:szCs w:val="24"/>
              </w:rPr>
              <w:t>）备用柴油发电机燃烧废气</w:t>
            </w:r>
          </w:p>
          <w:p w14:paraId="0050173D">
            <w:pPr>
              <w:pStyle w:val="215"/>
              <w:rPr>
                <w:rFonts w:ascii="Times New Roman" w:hAnsi="Times New Roman" w:cs="Times New Roman"/>
                <w:szCs w:val="24"/>
              </w:rPr>
            </w:pPr>
            <w:r>
              <w:rPr>
                <w:rFonts w:ascii="Times New Roman" w:hAnsi="Times New Roman" w:cs="Times New Roman"/>
                <w:szCs w:val="24"/>
              </w:rPr>
              <w:t>本项目优先采用网电钻井，仅</w:t>
            </w:r>
            <w:r>
              <w:rPr>
                <w:rFonts w:hint="eastAsia" w:ascii="Times New Roman" w:hAnsi="Times New Roman" w:cs="Times New Roman"/>
                <w:szCs w:val="24"/>
              </w:rPr>
              <w:t>在</w:t>
            </w:r>
            <w:r>
              <w:rPr>
                <w:rFonts w:ascii="Times New Roman" w:hAnsi="Times New Roman" w:cs="Times New Roman"/>
                <w:szCs w:val="24"/>
              </w:rPr>
              <w:t>停电情况下采用柴油发电机提供动力，柴油燃烧过程</w:t>
            </w:r>
            <w:r>
              <w:rPr>
                <w:rFonts w:hint="eastAsia" w:ascii="Times New Roman" w:hAnsi="Times New Roman" w:cs="Times New Roman"/>
                <w:szCs w:val="24"/>
              </w:rPr>
              <w:t>产生的</w:t>
            </w:r>
            <w:r>
              <w:rPr>
                <w:rFonts w:ascii="Times New Roman" w:hAnsi="Times New Roman" w:cs="Times New Roman"/>
                <w:szCs w:val="24"/>
              </w:rPr>
              <w:t>烟尘和NO</w:t>
            </w:r>
            <w:r>
              <w:rPr>
                <w:rFonts w:ascii="Times New Roman" w:hAnsi="Times New Roman" w:cs="Times New Roman"/>
                <w:szCs w:val="24"/>
                <w:vertAlign w:val="subscript"/>
              </w:rPr>
              <w:t>X</w:t>
            </w:r>
            <w:r>
              <w:rPr>
                <w:rFonts w:ascii="Times New Roman" w:hAnsi="Times New Roman" w:cs="Times New Roman"/>
                <w:szCs w:val="24"/>
              </w:rPr>
              <w:t>经柴油发电机</w:t>
            </w:r>
            <w:r>
              <w:rPr>
                <w:rFonts w:hint="eastAsia" w:ascii="Times New Roman" w:hAnsi="Times New Roman" w:cs="Times New Roman"/>
                <w:szCs w:val="24"/>
              </w:rPr>
              <w:t>自带</w:t>
            </w:r>
            <w:r>
              <w:rPr>
                <w:rFonts w:ascii="Times New Roman" w:hAnsi="Times New Roman" w:cs="Times New Roman"/>
                <w:szCs w:val="24"/>
              </w:rPr>
              <w:t>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14:paraId="2C5F48D2">
            <w:pPr>
              <w:pStyle w:val="215"/>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2</w:t>
            </w:r>
            <w:r>
              <w:rPr>
                <w:rFonts w:ascii="Times New Roman" w:hAnsi="Times New Roman" w:cs="Times New Roman"/>
                <w:szCs w:val="24"/>
              </w:rPr>
              <w:t>）事故放喷废气</w:t>
            </w:r>
          </w:p>
          <w:p w14:paraId="400DD9FB">
            <w:pPr>
              <w:pStyle w:val="215"/>
              <w:rPr>
                <w:rFonts w:ascii="Times New Roman" w:hAnsi="Times New Roman" w:cs="Times New Roman"/>
                <w:szCs w:val="24"/>
              </w:rPr>
            </w:pPr>
            <w:r>
              <w:rPr>
                <w:rFonts w:ascii="Times New Roman" w:hAnsi="Times New Roman" w:cs="Times New Roman"/>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4h，属于临时排放。</w:t>
            </w:r>
          </w:p>
          <w:p w14:paraId="6A373DB0">
            <w:pPr>
              <w:pStyle w:val="215"/>
              <w:rPr>
                <w:rFonts w:ascii="Times New Roman" w:hAnsi="Times New Roman" w:cs="Times New Roman"/>
                <w:szCs w:val="24"/>
              </w:rPr>
            </w:pPr>
            <w:r>
              <w:rPr>
                <w:rFonts w:ascii="Times New Roman" w:hAnsi="Times New Roman" w:cs="Times New Roman"/>
                <w:szCs w:val="24"/>
              </w:rPr>
              <w:t>综上所述，新增废气主要为施工废气，同时根据钻井进度，项目钻井周期6个月，排气时间短，项目仅有施工期的特性，不改变区域的环境空气功能，故项目对所在区域大气环境影响可接受。</w:t>
            </w:r>
          </w:p>
          <w:p w14:paraId="4EE124F8">
            <w:pPr>
              <w:spacing w:line="360" w:lineRule="auto"/>
              <w:rPr>
                <w:b/>
                <w:bCs/>
                <w:sz w:val="24"/>
              </w:rPr>
            </w:pPr>
            <w:r>
              <w:rPr>
                <w:b/>
                <w:bCs/>
                <w:sz w:val="24"/>
              </w:rPr>
              <w:t>5.2.2废水治理措施及可行性分析</w:t>
            </w:r>
          </w:p>
          <w:p w14:paraId="42526C81">
            <w:pPr>
              <w:pStyle w:val="215"/>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废水产生</w:t>
            </w:r>
          </w:p>
          <w:p w14:paraId="4F062BFB">
            <w:pPr>
              <w:pStyle w:val="215"/>
              <w:rPr>
                <w:rFonts w:ascii="Times New Roman" w:hAnsi="Times New Roman" w:cs="Times New Roman"/>
                <w:szCs w:val="24"/>
              </w:rPr>
            </w:pPr>
            <w:r>
              <w:rPr>
                <w:rFonts w:ascii="Times New Roman" w:hAnsi="Times New Roman" w:cs="Times New Roman"/>
                <w:szCs w:val="24"/>
              </w:rPr>
              <w:t>本项目钻井工程主要产生的废水主要包括钻井废水、雨水、生活污水。</w:t>
            </w:r>
          </w:p>
          <w:p w14:paraId="5D5B4A85">
            <w:pPr>
              <w:pStyle w:val="215"/>
              <w:rPr>
                <w:rFonts w:ascii="Times New Roman" w:hAnsi="Times New Roman" w:cs="Times New Roman"/>
                <w:szCs w:val="24"/>
              </w:rPr>
            </w:pPr>
            <w:r>
              <w:rPr>
                <w:rFonts w:hint="eastAsia" w:ascii="Times New Roman" w:hAnsi="Times New Roman" w:cs="Times New Roman"/>
                <w:szCs w:val="24"/>
              </w:rPr>
              <w:t>（2）</w:t>
            </w:r>
            <w:r>
              <w:rPr>
                <w:rFonts w:ascii="Times New Roman" w:hAnsi="Times New Roman" w:cs="Times New Roman"/>
                <w:szCs w:val="24"/>
              </w:rPr>
              <w:t>环保措施</w:t>
            </w:r>
          </w:p>
          <w:p w14:paraId="21F4BAC1">
            <w:pPr>
              <w:pStyle w:val="215"/>
              <w:rPr>
                <w:rFonts w:ascii="Times New Roman" w:hAnsi="Times New Roman" w:cs="Times New Roman"/>
                <w:szCs w:val="24"/>
              </w:rPr>
            </w:pPr>
            <w:r>
              <w:rPr>
                <w:rFonts w:ascii="Times New Roman" w:hAnsi="Times New Roman" w:cs="Times New Roman"/>
                <w:szCs w:val="24"/>
              </w:rPr>
              <w:t>a.井场内四周设排水边沟，清洁雨水随四周排水边沟汇至排放口，场内污染区初期雨水收集进入</w:t>
            </w:r>
            <w:r>
              <w:rPr>
                <w:rFonts w:hint="eastAsia" w:ascii="Times New Roman" w:hAnsi="Times New Roman" w:cs="Times New Roman"/>
                <w:szCs w:val="24"/>
              </w:rPr>
              <w:t>泥浆不落地平台</w:t>
            </w:r>
            <w:r>
              <w:rPr>
                <w:rFonts w:ascii="Times New Roman" w:hAnsi="Times New Roman" w:cs="Times New Roman"/>
                <w:szCs w:val="24"/>
              </w:rPr>
              <w:t>回用，不外排。</w:t>
            </w:r>
          </w:p>
          <w:p w14:paraId="29BC884B">
            <w:pPr>
              <w:pStyle w:val="215"/>
              <w:rPr>
                <w:rFonts w:ascii="Times New Roman" w:hAnsi="Times New Roman" w:cs="Times New Roman"/>
                <w:color w:val="0000FF"/>
                <w:szCs w:val="24"/>
              </w:rPr>
            </w:pPr>
            <w:r>
              <w:rPr>
                <w:rFonts w:ascii="Times New Roman" w:hAnsi="Times New Roman" w:cs="Times New Roman"/>
                <w:color w:val="0000FF"/>
                <w:szCs w:val="24"/>
              </w:rPr>
              <w:t>b.钻井废水临时存放于循环罐中，</w:t>
            </w:r>
            <w:r>
              <w:rPr>
                <w:rFonts w:hint="eastAsia" w:ascii="Times New Roman" w:hAnsi="Times New Roman" w:cs="Times New Roman"/>
                <w:color w:val="0000FF"/>
                <w:szCs w:val="24"/>
              </w:rPr>
              <w:t>优先</w:t>
            </w:r>
            <w:r>
              <w:rPr>
                <w:rFonts w:ascii="Times New Roman" w:hAnsi="Times New Roman" w:cs="Times New Roman"/>
                <w:color w:val="0000FF"/>
                <w:szCs w:val="24"/>
              </w:rPr>
              <w:t>回用于</w:t>
            </w:r>
            <w:r>
              <w:rPr>
                <w:rFonts w:hint="eastAsia" w:ascii="Times New Roman" w:hAnsi="Times New Roman" w:cs="Times New Roman"/>
                <w:color w:val="0000FF"/>
                <w:szCs w:val="24"/>
              </w:rPr>
              <w:t>钻井</w:t>
            </w:r>
            <w:r>
              <w:rPr>
                <w:rFonts w:ascii="Times New Roman" w:hAnsi="Times New Roman" w:cs="Times New Roman"/>
                <w:color w:val="0000FF"/>
                <w:szCs w:val="24"/>
              </w:rPr>
              <w:t>工序</w:t>
            </w:r>
            <w:r>
              <w:rPr>
                <w:rFonts w:hint="eastAsia" w:ascii="Times New Roman" w:hAnsi="Times New Roman" w:cs="Times New Roman"/>
                <w:color w:val="0000FF"/>
                <w:szCs w:val="24"/>
              </w:rPr>
              <w:t>，不能回用的废水由罐车转运至赵家坝污水处理站处理后运至普光3井等回注站回注；随岩屑带走的部分废水由岩屑处理单位处理后回用（主要用于喷淋降尘用水），无法回用时由罐车转运至赵家坝污水处理站处理后运至普光3井等回注站回注。</w:t>
            </w:r>
          </w:p>
          <w:p w14:paraId="1BF72B39">
            <w:pPr>
              <w:pStyle w:val="215"/>
              <w:rPr>
                <w:rFonts w:ascii="Times New Roman" w:hAnsi="Times New Roman" w:cs="Times New Roman"/>
                <w:szCs w:val="24"/>
              </w:rPr>
            </w:pPr>
            <w:r>
              <w:rPr>
                <w:rFonts w:ascii="Times New Roman" w:hAnsi="Times New Roman" w:cs="Times New Roman"/>
                <w:szCs w:val="24"/>
              </w:rPr>
              <w:t>c.生活污水经生态环保厕所收集拉运至</w:t>
            </w:r>
            <w:r>
              <w:rPr>
                <w:rFonts w:hint="eastAsia" w:ascii="Times New Roman" w:hAnsi="Times New Roman" w:cs="Times New Roman"/>
                <w:szCs w:val="24"/>
              </w:rPr>
              <w:t>君塘镇</w:t>
            </w:r>
            <w:r>
              <w:rPr>
                <w:rFonts w:ascii="Times New Roman" w:hAnsi="Times New Roman" w:cs="Times New Roman"/>
                <w:szCs w:val="24"/>
              </w:rPr>
              <w:t>污水处理厂处理，员工洗澡、食堂废水经收集池单独收集后拉运至</w:t>
            </w:r>
            <w:r>
              <w:rPr>
                <w:rFonts w:hint="eastAsia" w:ascii="Times New Roman" w:hAnsi="Times New Roman" w:cs="Times New Roman"/>
                <w:szCs w:val="24"/>
              </w:rPr>
              <w:t>君塘镇</w:t>
            </w:r>
            <w:r>
              <w:rPr>
                <w:rFonts w:ascii="Times New Roman" w:hAnsi="Times New Roman" w:cs="Times New Roman"/>
                <w:szCs w:val="24"/>
              </w:rPr>
              <w:t>污水处理厂处理。</w:t>
            </w:r>
          </w:p>
          <w:p w14:paraId="3E6C55ED">
            <w:pPr>
              <w:pStyle w:val="215"/>
              <w:rPr>
                <w:rFonts w:ascii="Times New Roman" w:hAnsi="Times New Roman" w:cs="Times New Roman"/>
                <w:szCs w:val="24"/>
              </w:rPr>
            </w:pPr>
            <w:r>
              <w:rPr>
                <w:rFonts w:ascii="Times New Roman" w:hAnsi="Times New Roman" w:cs="Times New Roman"/>
                <w:szCs w:val="24"/>
              </w:rPr>
              <w:t>d. 对相关罐体采取严格的防渗、防溢流、防泄漏、防腐蚀等措施，项目防渗措施完整，正常工况下物料或污水等不会渗漏和进入地下，对地下水不会造成污染。</w:t>
            </w:r>
          </w:p>
          <w:p w14:paraId="4C922439">
            <w:pPr>
              <w:pStyle w:val="215"/>
              <w:rPr>
                <w:rFonts w:ascii="Times New Roman" w:hAnsi="Times New Roman" w:cs="Times New Roman"/>
                <w:szCs w:val="24"/>
              </w:rPr>
            </w:pPr>
            <w:r>
              <w:rPr>
                <w:rFonts w:ascii="Times New Roman" w:hAnsi="Times New Roman" w:cs="Times New Roman"/>
                <w:szCs w:val="24"/>
              </w:rPr>
              <w:t>施工期采取以上废水污染治理措施后，本项目施工期废水对环境影响较小，废水污染治理措施技术经济合理可行。</w:t>
            </w:r>
          </w:p>
          <w:p w14:paraId="3BC26862">
            <w:pPr>
              <w:pStyle w:val="215"/>
              <w:ind w:firstLine="482"/>
              <w:rPr>
                <w:rFonts w:ascii="Times New Roman" w:hAnsi="Times New Roman" w:cs="Times New Roman"/>
                <w:b/>
                <w:bCs/>
                <w:szCs w:val="24"/>
              </w:rPr>
            </w:pPr>
            <w:r>
              <w:rPr>
                <w:rFonts w:ascii="Times New Roman" w:hAnsi="Times New Roman" w:cs="Times New Roman"/>
                <w:b/>
                <w:bCs/>
                <w:szCs w:val="24"/>
              </w:rPr>
              <w:t>可行性分析：</w:t>
            </w:r>
          </w:p>
          <w:p w14:paraId="2627E848">
            <w:pPr>
              <w:pStyle w:val="215"/>
              <w:rPr>
                <w:rFonts w:ascii="Times New Roman" w:hAnsi="Times New Roman" w:cs="Times New Roman"/>
                <w:szCs w:val="24"/>
              </w:rPr>
            </w:pPr>
            <w:r>
              <w:rPr>
                <w:rFonts w:ascii="Times New Roman" w:hAnsi="Times New Roman" w:cs="Times New Roman"/>
                <w:szCs w:val="24"/>
              </w:rPr>
              <w:t>根据调查，本项目附近场镇污水处理厂为</w:t>
            </w:r>
            <w:r>
              <w:rPr>
                <w:rFonts w:hint="eastAsia" w:ascii="Times New Roman" w:hAnsi="Times New Roman" w:cs="Times New Roman"/>
                <w:szCs w:val="24"/>
              </w:rPr>
              <w:t>君塘镇</w:t>
            </w:r>
            <w:r>
              <w:rPr>
                <w:rFonts w:ascii="Times New Roman" w:hAnsi="Times New Roman" w:cs="Times New Roman"/>
                <w:szCs w:val="24"/>
              </w:rPr>
              <w:t>污水处理厂，位于达州市宣汉县</w:t>
            </w:r>
            <w:r>
              <w:rPr>
                <w:rFonts w:hint="eastAsia" w:ascii="Times New Roman" w:hAnsi="Times New Roman" w:cs="Times New Roman"/>
                <w:szCs w:val="24"/>
              </w:rPr>
              <w:t>君塘镇</w:t>
            </w:r>
            <w:r>
              <w:rPr>
                <w:rFonts w:ascii="Times New Roman" w:hAnsi="Times New Roman" w:cs="Times New Roman"/>
                <w:szCs w:val="24"/>
              </w:rPr>
              <w:t>谢生坝，设计处理规模为200m</w:t>
            </w:r>
            <w:r>
              <w:rPr>
                <w:rFonts w:ascii="Times New Roman" w:hAnsi="Times New Roman" w:cs="Times New Roman"/>
                <w:szCs w:val="24"/>
                <w:vertAlign w:val="superscript"/>
              </w:rPr>
              <w:t>3</w:t>
            </w:r>
            <w:r>
              <w:rPr>
                <w:rFonts w:ascii="Times New Roman" w:hAnsi="Times New Roman" w:cs="Times New Roman"/>
                <w:szCs w:val="24"/>
              </w:rPr>
              <w:t>/d，污水处理厂主要收集处理宣汉县</w:t>
            </w:r>
            <w:r>
              <w:rPr>
                <w:rFonts w:hint="eastAsia" w:ascii="Times New Roman" w:hAnsi="Times New Roman" w:cs="Times New Roman"/>
                <w:szCs w:val="24"/>
              </w:rPr>
              <w:t>君塘镇</w:t>
            </w:r>
            <w:r>
              <w:rPr>
                <w:rFonts w:ascii="Times New Roman" w:hAnsi="Times New Roman" w:cs="Times New Roman"/>
                <w:szCs w:val="24"/>
              </w:rPr>
              <w:t>场镇居民生活污水，处理工艺采用CASS工艺处理工艺，出水排放标准为《城镇污水处理厂污染物排放标准》（GB18919-2002）一级A标准。</w:t>
            </w:r>
          </w:p>
          <w:p w14:paraId="1E0859A7">
            <w:pPr>
              <w:pStyle w:val="215"/>
              <w:rPr>
                <w:rFonts w:ascii="Times New Roman" w:hAnsi="Times New Roman" w:cs="Times New Roman"/>
                <w:szCs w:val="24"/>
              </w:rPr>
            </w:pPr>
            <w:r>
              <w:rPr>
                <w:rFonts w:ascii="Times New Roman" w:hAnsi="Times New Roman" w:cs="Times New Roman"/>
                <w:szCs w:val="24"/>
              </w:rPr>
              <w:t>本项目最大生活污水产生量约</w:t>
            </w:r>
            <w:r>
              <w:rPr>
                <w:rFonts w:hint="eastAsia" w:ascii="Times New Roman" w:hAnsi="Times New Roman" w:cs="Times New Roman"/>
                <w:szCs w:val="24"/>
              </w:rPr>
              <w:t>8.1</w:t>
            </w:r>
            <w:r>
              <w:rPr>
                <w:rFonts w:ascii="Times New Roman" w:hAnsi="Times New Roman" w:cs="Times New Roman"/>
                <w:szCs w:val="24"/>
              </w:rPr>
              <w:t>m</w:t>
            </w:r>
            <w:r>
              <w:rPr>
                <w:rFonts w:ascii="Times New Roman" w:hAnsi="Times New Roman" w:cs="Times New Roman"/>
                <w:szCs w:val="24"/>
                <w:vertAlign w:val="superscript"/>
              </w:rPr>
              <w:t>3</w:t>
            </w:r>
            <w:r>
              <w:rPr>
                <w:rFonts w:ascii="Times New Roman" w:hAnsi="Times New Roman" w:cs="Times New Roman"/>
                <w:szCs w:val="24"/>
              </w:rPr>
              <w:t>/d，排放因子为常规生活污水因子COD、BOD</w:t>
            </w:r>
            <w:r>
              <w:rPr>
                <w:rFonts w:ascii="Times New Roman" w:hAnsi="Times New Roman" w:cs="Times New Roman"/>
                <w:szCs w:val="24"/>
                <w:vertAlign w:val="subscript"/>
              </w:rPr>
              <w:t>5</w:t>
            </w:r>
            <w:r>
              <w:rPr>
                <w:rFonts w:ascii="Times New Roman" w:hAnsi="Times New Roman" w:cs="Times New Roman"/>
                <w:szCs w:val="24"/>
              </w:rPr>
              <w:t>、氨氮等，排放浓度不高，因此对</w:t>
            </w:r>
            <w:r>
              <w:rPr>
                <w:rFonts w:hint="eastAsia" w:ascii="Times New Roman" w:hAnsi="Times New Roman" w:cs="Times New Roman"/>
                <w:szCs w:val="24"/>
              </w:rPr>
              <w:t>君塘镇</w:t>
            </w:r>
            <w:r>
              <w:rPr>
                <w:rFonts w:ascii="Times New Roman" w:hAnsi="Times New Roman" w:cs="Times New Roman"/>
                <w:szCs w:val="24"/>
              </w:rPr>
              <w:t>污水处理厂冲击不大，能够满足本项目生活污水处理要求。</w:t>
            </w:r>
          </w:p>
          <w:p w14:paraId="21D10B55">
            <w:pPr>
              <w:pStyle w:val="215"/>
              <w:rPr>
                <w:rFonts w:ascii="Times New Roman" w:hAnsi="Times New Roman" w:cs="Times New Roman"/>
                <w:color w:val="0000FF"/>
                <w:szCs w:val="24"/>
              </w:rPr>
            </w:pPr>
            <w:r>
              <w:rPr>
                <w:rFonts w:hint="eastAsia" w:ascii="Times New Roman" w:hAnsi="Times New Roman" w:cs="Times New Roman"/>
                <w:color w:val="0000FF"/>
                <w:szCs w:val="24"/>
              </w:rPr>
              <w:t>若岩屑带走部分废水不能回用，由罐车转运至赵家坝污水处理站处理后运至普光3井等回注站回注，赵家坝污水处理站剩余处理能力为400m</w:t>
            </w:r>
            <w:r>
              <w:rPr>
                <w:rFonts w:hint="eastAsia" w:ascii="Times New Roman" w:hAnsi="Times New Roman" w:cs="Times New Roman"/>
                <w:color w:val="0000FF"/>
                <w:szCs w:val="24"/>
                <w:vertAlign w:val="superscript"/>
              </w:rPr>
              <w:t>3</w:t>
            </w:r>
            <w:r>
              <w:rPr>
                <w:rFonts w:hint="eastAsia" w:ascii="Times New Roman" w:hAnsi="Times New Roman" w:cs="Times New Roman"/>
                <w:color w:val="0000FF"/>
                <w:szCs w:val="24"/>
              </w:rPr>
              <w:t>/d，岩屑内含水量较小，赵家坝污水处理站可处理该废水，详见5.3.2废水治理措施及可行性分析章节。</w:t>
            </w:r>
          </w:p>
          <w:p w14:paraId="41240A01">
            <w:pPr>
              <w:spacing w:line="360" w:lineRule="auto"/>
              <w:rPr>
                <w:b/>
                <w:bCs/>
                <w:sz w:val="24"/>
              </w:rPr>
            </w:pPr>
            <w:r>
              <w:rPr>
                <w:b/>
                <w:bCs/>
                <w:sz w:val="24"/>
              </w:rPr>
              <w:t>5.2.3噪声治理措施及可行性分析</w:t>
            </w:r>
          </w:p>
          <w:p w14:paraId="59AEC397">
            <w:pPr>
              <w:pStyle w:val="215"/>
              <w:rPr>
                <w:rFonts w:ascii="Times New Roman" w:hAnsi="Times New Roman" w:cs="Times New Roman"/>
                <w:color w:val="0000FF"/>
                <w:szCs w:val="24"/>
              </w:rPr>
            </w:pPr>
            <w:r>
              <w:rPr>
                <w:rFonts w:ascii="Times New Roman" w:hAnsi="Times New Roman" w:cs="Times New Roman"/>
                <w:color w:val="0000FF"/>
                <w:szCs w:val="24"/>
              </w:rPr>
              <w:t>根据钻井阶段噪声预测结果可知，钻井作业昼间井口周边敏感点均能满足《声环境质量标准》（GB3096-2008）2类标准。</w:t>
            </w:r>
          </w:p>
          <w:p w14:paraId="6BDE187B">
            <w:pPr>
              <w:pStyle w:val="215"/>
              <w:rPr>
                <w:rFonts w:ascii="Times New Roman" w:hAnsi="Times New Roman" w:cs="Times New Roman"/>
                <w:color w:val="0000FF"/>
                <w:szCs w:val="24"/>
              </w:rPr>
            </w:pPr>
            <w:r>
              <w:rPr>
                <w:rFonts w:ascii="Times New Roman" w:hAnsi="Times New Roman" w:cs="Times New Roman"/>
                <w:color w:val="0000FF"/>
                <w:szCs w:val="24"/>
              </w:rPr>
              <w:t>为了减缓噪声扰民情况，本评价提出以下噪声防治措施：</w:t>
            </w:r>
          </w:p>
          <w:p w14:paraId="7B8D6ED3">
            <w:pPr>
              <w:pStyle w:val="215"/>
              <w:rPr>
                <w:rFonts w:ascii="Times New Roman" w:hAnsi="Times New Roman" w:cs="Times New Roman"/>
                <w:color w:val="0000FF"/>
                <w:szCs w:val="24"/>
              </w:rPr>
            </w:pPr>
            <w:r>
              <w:rPr>
                <w:rFonts w:ascii="Times New Roman" w:hAnsi="Times New Roman" w:cs="Times New Roman"/>
                <w:color w:val="0000FF"/>
                <w:szCs w:val="24"/>
              </w:rPr>
              <w:t>（1）发电机设置于发电机房内、并采取基础减振、安装吸声材料等降噪措施，柴油发电机排气筒设消声罩。同时</w:t>
            </w:r>
            <w:r>
              <w:rPr>
                <w:rFonts w:hint="eastAsia" w:ascii="Times New Roman" w:hAnsi="Times New Roman" w:cs="Times New Roman"/>
                <w:color w:val="0000FF"/>
                <w:szCs w:val="24"/>
              </w:rPr>
              <w:t>将发电机布置于远离居民区一侧，</w:t>
            </w:r>
            <w:r>
              <w:rPr>
                <w:rFonts w:ascii="Times New Roman" w:hAnsi="Times New Roman" w:cs="Times New Roman"/>
                <w:color w:val="0000FF"/>
                <w:szCs w:val="24"/>
              </w:rPr>
              <w:t>在钻井过程中平稳操作，避免特种作业时产生非正常的噪声。</w:t>
            </w:r>
          </w:p>
          <w:p w14:paraId="3C6C5FCD">
            <w:pPr>
              <w:pStyle w:val="215"/>
              <w:rPr>
                <w:rFonts w:ascii="Times New Roman" w:hAnsi="Times New Roman" w:cs="Times New Roman"/>
                <w:color w:val="0000FF"/>
                <w:szCs w:val="24"/>
              </w:rPr>
            </w:pPr>
            <w:r>
              <w:rPr>
                <w:rFonts w:ascii="Times New Roman" w:hAnsi="Times New Roman" w:cs="Times New Roman"/>
                <w:color w:val="0000FF"/>
                <w:szCs w:val="24"/>
              </w:rPr>
              <w:t>（2）由于项目钻井期间施工噪声对周边农户影响较明显，建议建设单位根据钻井实际影响情况对受影响的农户，</w:t>
            </w:r>
            <w:r>
              <w:rPr>
                <w:rFonts w:hint="eastAsia" w:ascii="Times New Roman" w:hAnsi="Times New Roman" w:cs="Times New Roman"/>
                <w:color w:val="0000FF"/>
                <w:szCs w:val="24"/>
              </w:rPr>
              <w:t>采取</w:t>
            </w:r>
            <w:r>
              <w:rPr>
                <w:rFonts w:ascii="Times New Roman" w:hAnsi="Times New Roman" w:cs="Times New Roman"/>
                <w:color w:val="0000FF"/>
                <w:szCs w:val="24"/>
              </w:rPr>
              <w:t>临时安置</w:t>
            </w:r>
            <w:r>
              <w:rPr>
                <w:rFonts w:hint="eastAsia" w:ascii="Times New Roman" w:hAnsi="Times New Roman" w:cs="Times New Roman"/>
                <w:color w:val="0000FF"/>
                <w:szCs w:val="24"/>
              </w:rPr>
              <w:t>等措施</w:t>
            </w:r>
            <w:r>
              <w:rPr>
                <w:rFonts w:ascii="Times New Roman" w:hAnsi="Times New Roman" w:cs="Times New Roman"/>
                <w:color w:val="0000FF"/>
                <w:szCs w:val="24"/>
              </w:rPr>
              <w:t>，以降低项目施工期对农户的影响。</w:t>
            </w:r>
          </w:p>
          <w:p w14:paraId="3A9518DA">
            <w:pPr>
              <w:pStyle w:val="215"/>
              <w:rPr>
                <w:rFonts w:ascii="Times New Roman" w:hAnsi="Times New Roman" w:cs="Times New Roman"/>
                <w:color w:val="0000FF"/>
                <w:szCs w:val="24"/>
              </w:rPr>
            </w:pPr>
            <w:r>
              <w:rPr>
                <w:rFonts w:ascii="Times New Roman" w:hAnsi="Times New Roman" w:cs="Times New Roman"/>
                <w:color w:val="0000FF"/>
                <w:szCs w:val="24"/>
              </w:rPr>
              <w:t>（3）施工方在钻井作业期间应加强施工管理，钻机、泥浆泵、压裂车等设备应做好日常维护，同时在操作时做到平稳操作，避免特种作业时产生非正常的噪声。</w:t>
            </w:r>
          </w:p>
          <w:p w14:paraId="42BB0BE0">
            <w:pPr>
              <w:pStyle w:val="215"/>
              <w:rPr>
                <w:rFonts w:ascii="Times New Roman" w:hAnsi="Times New Roman" w:cs="Times New Roman"/>
                <w:color w:val="0000FF"/>
                <w:szCs w:val="24"/>
              </w:rPr>
            </w:pPr>
            <w:r>
              <w:rPr>
                <w:rFonts w:ascii="Times New Roman" w:hAnsi="Times New Roman" w:cs="Times New Roman"/>
                <w:color w:val="0000FF"/>
                <w:szCs w:val="24"/>
              </w:rPr>
              <w:t>（4）钻井阶段运输车辆沿规定路线行驶，减少鸣笛。</w:t>
            </w:r>
          </w:p>
          <w:p w14:paraId="56E35896">
            <w:pPr>
              <w:pStyle w:val="215"/>
              <w:rPr>
                <w:rFonts w:ascii="Times New Roman" w:hAnsi="Times New Roman" w:cs="Times New Roman"/>
                <w:color w:val="0000FF"/>
                <w:szCs w:val="24"/>
              </w:rPr>
            </w:pPr>
            <w:r>
              <w:rPr>
                <w:rFonts w:ascii="Times New Roman" w:hAnsi="Times New Roman" w:cs="Times New Roman"/>
                <w:color w:val="0000FF"/>
                <w:szCs w:val="24"/>
              </w:rPr>
              <w:t>（5）在设备选型时尽可能选用低噪声设备，合理布置施工总平面布置，较强噪声源尽可能远离周边的敏感点。</w:t>
            </w:r>
          </w:p>
          <w:p w14:paraId="0F31F98D">
            <w:pPr>
              <w:pStyle w:val="215"/>
              <w:rPr>
                <w:rFonts w:ascii="Times New Roman" w:hAnsi="Times New Roman" w:cs="Times New Roman"/>
                <w:color w:val="0000FF"/>
                <w:szCs w:val="24"/>
              </w:rPr>
            </w:pPr>
            <w:r>
              <w:rPr>
                <w:rFonts w:ascii="Times New Roman" w:hAnsi="Times New Roman" w:cs="Times New Roman"/>
                <w:color w:val="0000FF"/>
                <w:szCs w:val="24"/>
              </w:rPr>
              <w:t>（6）合理安排施工强度，尽量缩短施工周期。</w:t>
            </w:r>
          </w:p>
          <w:p w14:paraId="19AD8D94">
            <w:pPr>
              <w:pStyle w:val="215"/>
              <w:rPr>
                <w:rFonts w:ascii="Times New Roman" w:hAnsi="Times New Roman" w:cs="Times New Roman"/>
                <w:color w:val="0000FF"/>
                <w:szCs w:val="24"/>
              </w:rPr>
            </w:pPr>
            <w:r>
              <w:rPr>
                <w:rFonts w:ascii="Times New Roman" w:hAnsi="Times New Roman" w:cs="Times New Roman"/>
                <w:color w:val="0000FF"/>
                <w:szCs w:val="24"/>
              </w:rPr>
              <w:t>综上所述：通过以上措施，</w:t>
            </w:r>
            <w:r>
              <w:rPr>
                <w:rFonts w:hint="eastAsia" w:ascii="Times New Roman" w:hAnsi="Times New Roman" w:cs="Times New Roman"/>
                <w:color w:val="0000FF"/>
                <w:szCs w:val="24"/>
              </w:rPr>
              <w:t>本项目</w:t>
            </w:r>
            <w:r>
              <w:rPr>
                <w:rFonts w:ascii="Times New Roman" w:hAnsi="Times New Roman" w:cs="Times New Roman"/>
                <w:color w:val="0000FF"/>
                <w:szCs w:val="24"/>
              </w:rPr>
              <w:t>施工期噪声对声环境的影响是可以接受的。同时由于钻井噪声属于施工噪声，钻井作业时间及压裂作业时间较短，随着钻井工程的结束，</w:t>
            </w:r>
            <w:r>
              <w:rPr>
                <w:rFonts w:hint="eastAsia" w:ascii="Times New Roman" w:hAnsi="Times New Roman" w:cs="Times New Roman"/>
                <w:color w:val="0000FF"/>
                <w:szCs w:val="24"/>
              </w:rPr>
              <w:t>本项目</w:t>
            </w:r>
            <w:r>
              <w:rPr>
                <w:rFonts w:ascii="Times New Roman" w:hAnsi="Times New Roman" w:cs="Times New Roman"/>
                <w:color w:val="0000FF"/>
                <w:szCs w:val="24"/>
              </w:rPr>
              <w:t>对周边环境造成的影响也会随之消失。</w:t>
            </w:r>
          </w:p>
          <w:p w14:paraId="4361DECC">
            <w:pPr>
              <w:spacing w:line="360" w:lineRule="auto"/>
              <w:rPr>
                <w:b/>
                <w:bCs/>
                <w:sz w:val="24"/>
              </w:rPr>
            </w:pPr>
            <w:r>
              <w:rPr>
                <w:b/>
                <w:bCs/>
                <w:sz w:val="24"/>
              </w:rPr>
              <w:t>5.2.4固体废物治理措施及可行性分析</w:t>
            </w:r>
          </w:p>
          <w:p w14:paraId="5B1F7403">
            <w:pPr>
              <w:pStyle w:val="215"/>
              <w:rPr>
                <w:rFonts w:ascii="Times New Roman" w:hAnsi="Times New Roman" w:cs="Times New Roman"/>
                <w:szCs w:val="24"/>
              </w:rPr>
            </w:pPr>
            <w:r>
              <w:rPr>
                <w:rFonts w:ascii="Times New Roman" w:hAnsi="Times New Roman" w:cs="Times New Roman"/>
                <w:szCs w:val="24"/>
              </w:rPr>
              <w:t>①固废产生</w:t>
            </w:r>
          </w:p>
          <w:p w14:paraId="609F74EC">
            <w:pPr>
              <w:pStyle w:val="215"/>
              <w:rPr>
                <w:rFonts w:ascii="Times New Roman" w:hAnsi="Times New Roman" w:cs="Times New Roman"/>
                <w:szCs w:val="24"/>
              </w:rPr>
            </w:pPr>
            <w:r>
              <w:rPr>
                <w:rFonts w:ascii="Times New Roman" w:hAnsi="Times New Roman" w:cs="Times New Roman"/>
                <w:szCs w:val="24"/>
              </w:rPr>
              <w:t>本项目施工期固废主要为清水岩屑、水基岩屑</w:t>
            </w:r>
            <w:r>
              <w:rPr>
                <w:rFonts w:hint="eastAsia" w:ascii="Times New Roman" w:hAnsi="Times New Roman" w:cs="Times New Roman"/>
                <w:szCs w:val="24"/>
              </w:rPr>
              <w:t>、油基岩屑</w:t>
            </w:r>
            <w:r>
              <w:rPr>
                <w:rFonts w:ascii="Times New Roman" w:hAnsi="Times New Roman" w:cs="Times New Roman"/>
                <w:szCs w:val="24"/>
              </w:rPr>
              <w:t>、废水基泥浆</w:t>
            </w:r>
            <w:r>
              <w:rPr>
                <w:rFonts w:hint="eastAsia" w:ascii="Times New Roman" w:hAnsi="Times New Roman" w:cs="Times New Roman"/>
                <w:szCs w:val="24"/>
              </w:rPr>
              <w:t>、油基泥浆</w:t>
            </w:r>
            <w:r>
              <w:rPr>
                <w:rFonts w:ascii="Times New Roman" w:hAnsi="Times New Roman" w:cs="Times New Roman"/>
                <w:szCs w:val="24"/>
              </w:rPr>
              <w:t>、废油、生活垃圾等其他固废</w:t>
            </w:r>
            <w:r>
              <w:rPr>
                <w:rFonts w:hint="eastAsia" w:cs="Times New Roman"/>
                <w:szCs w:val="24"/>
              </w:rPr>
              <w:t>。</w:t>
            </w:r>
          </w:p>
          <w:p w14:paraId="7B16C543">
            <w:pPr>
              <w:pStyle w:val="215"/>
              <w:rPr>
                <w:rFonts w:ascii="Times New Roman" w:hAnsi="Times New Roman" w:cs="Times New Roman"/>
                <w:szCs w:val="24"/>
              </w:rPr>
            </w:pPr>
            <w:r>
              <w:rPr>
                <w:rFonts w:ascii="Times New Roman" w:hAnsi="Times New Roman" w:cs="Times New Roman"/>
                <w:szCs w:val="24"/>
              </w:rPr>
              <w:t>②环保措施</w:t>
            </w:r>
          </w:p>
          <w:p w14:paraId="6E330402">
            <w:pPr>
              <w:pStyle w:val="215"/>
              <w:rPr>
                <w:rFonts w:ascii="Times New Roman" w:hAnsi="Times New Roman" w:cs="Times New Roman"/>
                <w:szCs w:val="24"/>
              </w:rPr>
            </w:pPr>
            <w:r>
              <w:rPr>
                <w:rFonts w:ascii="Times New Roman" w:hAnsi="Times New Roman" w:cs="Times New Roman"/>
                <w:szCs w:val="24"/>
              </w:rPr>
              <w:t>本项目采用泥浆不落地措施，项目产生的废水基泥浆与常规钻产生的废清水岩屑、水基岩屑一起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危险废物贮存点，面积约</w:t>
            </w:r>
            <w:r>
              <w:rPr>
                <w:rFonts w:hint="eastAsia" w:ascii="Times New Roman" w:hAnsi="Times New Roman" w:cs="Times New Roman"/>
                <w:szCs w:val="24"/>
              </w:rPr>
              <w:t>2</w:t>
            </w:r>
            <w:r>
              <w:rPr>
                <w:rFonts w:ascii="Times New Roman" w:hAnsi="Times New Roman" w:cs="Times New Roman"/>
                <w:szCs w:val="24"/>
              </w:rPr>
              <w:t>0m</w:t>
            </w:r>
            <w:r>
              <w:rPr>
                <w:rFonts w:ascii="Times New Roman" w:hAnsi="Times New Roman" w:cs="Times New Roman"/>
                <w:szCs w:val="24"/>
                <w:vertAlign w:val="superscript"/>
              </w:rPr>
              <w:t>2</w:t>
            </w:r>
            <w:r>
              <w:rPr>
                <w:rFonts w:ascii="Times New Roman" w:hAnsi="Times New Roman" w:cs="Times New Roman"/>
                <w:szCs w:val="24"/>
              </w:rPr>
              <w:t>，暂存间地面采取必要的防护措施（防风、防雨、防晒、防渗、防漏、防腐）及其他环境污染防护措施，并及时经有危废运输资质的单位通过专用车辆密闭清运至企业净化厂危险废物贮存仓库，委托有资质单位处理，废油运输线路需按照规定的线路限速行驶，避开人口密集区、饮用水源保护区等环境敏感区。</w:t>
            </w:r>
          </w:p>
          <w:p w14:paraId="0F8D9BA6">
            <w:pPr>
              <w:keepNext/>
              <w:spacing w:line="360" w:lineRule="auto"/>
              <w:ind w:firstLine="480" w:firstLineChars="200"/>
              <w:rPr>
                <w:color w:val="0000FF"/>
                <w:sz w:val="24"/>
                <w:lang w:bidi="ar"/>
              </w:rPr>
            </w:pPr>
            <w:r>
              <w:rPr>
                <w:rFonts w:hint="eastAsia"/>
                <w:color w:val="0000FF"/>
                <w:sz w:val="24"/>
                <w:lang w:bidi="ar"/>
              </w:rPr>
              <w:t>清水岩屑、水基岩屑处理可行性分析：</w:t>
            </w:r>
          </w:p>
          <w:p w14:paraId="70B737E5">
            <w:pPr>
              <w:keepNext/>
              <w:spacing w:line="360" w:lineRule="auto"/>
              <w:ind w:firstLine="480" w:firstLineChars="200"/>
              <w:rPr>
                <w:color w:val="0000FF"/>
                <w:sz w:val="24"/>
                <w:lang w:bidi="ar"/>
              </w:rPr>
            </w:pPr>
            <w:r>
              <w:rPr>
                <w:rFonts w:hint="eastAsia"/>
                <w:color w:val="0000FF"/>
                <w:sz w:val="24"/>
                <w:lang w:bidi="ar"/>
              </w:rPr>
              <w:t>本项目清水岩屑、水基岩屑拟交由四川光隆环保科技有限公司等按照《达州市生态环境局办公室关于进一步加强固体废物污染防治工作的通知》（达市环办发〔2021〕24号）要求，取得生态环境部门关于利用和处置相关工业固体废物项目环评批复、具有处理处置相应固体废物能力并配套建设有废气、废水、固废等污染物治理设施的单位进行资源化利用。本项目以四川光隆环保科技有限公司处理清水岩屑、水基岩屑为例进行分析处理可行性，其工艺流程如下图所示。</w:t>
            </w:r>
          </w:p>
          <w:p w14:paraId="0AB90E2D">
            <w:pPr>
              <w:keepNext/>
              <w:rPr>
                <w:color w:val="0000FF"/>
                <w:sz w:val="24"/>
                <w:lang w:bidi="ar"/>
              </w:rPr>
            </w:pPr>
            <w:r>
              <w:rPr>
                <w:rFonts w:hint="eastAsia"/>
                <w:color w:val="0000FF"/>
                <w:sz w:val="24"/>
                <w:lang w:bidi="ar"/>
              </w:rPr>
              <mc:AlternateContent>
                <mc:Choice Requires="wpg">
                  <w:drawing>
                    <wp:inline distT="0" distB="0" distL="114300" distR="114300">
                      <wp:extent cx="5168265" cy="1332230"/>
                      <wp:effectExtent l="4445" t="4445" r="8890" b="15875"/>
                      <wp:docPr id="42" name="组合 42"/>
                      <wp:cNvGraphicFramePr/>
                      <a:graphic xmlns:a="http://schemas.openxmlformats.org/drawingml/2006/main">
                        <a:graphicData uri="http://schemas.microsoft.com/office/word/2010/wordprocessingGroup">
                          <wpg:wgp>
                            <wpg:cNvGrpSpPr/>
                            <wpg:grpSpPr>
                              <a:xfrm>
                                <a:off x="0" y="0"/>
                                <a:ext cx="5168265" cy="1332230"/>
                                <a:chOff x="2658" y="2349059"/>
                                <a:chExt cx="8139" cy="2098"/>
                              </a:xfrm>
                            </wpg:grpSpPr>
                            <wps:wsp>
                              <wps:cNvPr id="16" name="矩形 16"/>
                              <wps:cNvSpPr/>
                              <wps:spPr>
                                <a:xfrm>
                                  <a:off x="4946" y="2349059"/>
                                  <a:ext cx="1412" cy="724"/>
                                </a:xfrm>
                                <a:prstGeom prst="rect">
                                  <a:avLst/>
                                </a:prstGeom>
                                <a:noFill/>
                                <a:ln w="9525" cap="flat" cmpd="sng">
                                  <a:solidFill>
                                    <a:srgbClr val="000000"/>
                                  </a:solidFill>
                                  <a:prstDash val="solid"/>
                                  <a:round/>
                                  <a:headEnd type="none" w="med" len="med"/>
                                  <a:tailEnd type="none" w="med" len="med"/>
                                </a:ln>
                              </wps:spPr>
                              <wps:txbx>
                                <w:txbxContent>
                                  <w:p w14:paraId="4C53B4E3">
                                    <w:pPr>
                                      <w:jc w:val="center"/>
                                      <w:rPr>
                                        <w:color w:val="0000FF"/>
                                      </w:rPr>
                                    </w:pPr>
                                    <w:r>
                                      <w:rPr>
                                        <w:rFonts w:hint="eastAsia"/>
                                        <w:color w:val="0000FF"/>
                                      </w:rPr>
                                      <w:t>进料</w:t>
                                    </w:r>
                                  </w:p>
                                </w:txbxContent>
                              </wps:txbx>
                              <wps:bodyPr anchor="ctr" anchorCtr="0" upright="1"/>
                            </wps:wsp>
                            <wps:wsp>
                              <wps:cNvPr id="18" name="矩形 18"/>
                              <wps:cNvSpPr/>
                              <wps:spPr>
                                <a:xfrm>
                                  <a:off x="2658" y="2349131"/>
                                  <a:ext cx="1412" cy="550"/>
                                </a:xfrm>
                                <a:prstGeom prst="rect">
                                  <a:avLst/>
                                </a:prstGeom>
                                <a:noFill/>
                                <a:ln w="9525" cap="flat" cmpd="sng">
                                  <a:solidFill>
                                    <a:srgbClr val="000000"/>
                                  </a:solidFill>
                                  <a:prstDash val="solid"/>
                                  <a:round/>
                                  <a:headEnd type="none" w="med" len="med"/>
                                  <a:tailEnd type="none" w="med" len="med"/>
                                </a:ln>
                              </wps:spPr>
                              <wps:txbx>
                                <w:txbxContent>
                                  <w:p w14:paraId="7457C1FB">
                                    <w:pPr>
                                      <w:jc w:val="center"/>
                                      <w:rPr>
                                        <w:color w:val="0000FF"/>
                                      </w:rPr>
                                    </w:pPr>
                                    <w:r>
                                      <w:rPr>
                                        <w:rFonts w:hint="eastAsia"/>
                                        <w:color w:val="000000"/>
                                      </w:rPr>
                                      <w:t>钻屑堆放</w:t>
                                    </w:r>
                                  </w:p>
                                </w:txbxContent>
                              </wps:txbx>
                              <wps:bodyPr anchor="ctr" anchorCtr="0" upright="1"/>
                            </wps:wsp>
                            <wps:wsp>
                              <wps:cNvPr id="19" name="直接连接符 19"/>
                              <wps:cNvCnPr/>
                              <wps:spPr>
                                <a:xfrm>
                                  <a:off x="10287" y="2349730"/>
                                  <a:ext cx="6" cy="682"/>
                                </a:xfrm>
                                <a:prstGeom prst="line">
                                  <a:avLst/>
                                </a:prstGeom>
                                <a:ln w="9525" cap="flat" cmpd="sng">
                                  <a:solidFill>
                                    <a:srgbClr val="000000"/>
                                  </a:solidFill>
                                  <a:prstDash val="solid"/>
                                  <a:round/>
                                  <a:headEnd type="none" w="med" len="med"/>
                                  <a:tailEnd type="triangle" w="med" len="med"/>
                                </a:ln>
                              </wps:spPr>
                              <wps:bodyPr/>
                            </wps:wsp>
                            <wps:wsp>
                              <wps:cNvPr id="20" name="矩形 20"/>
                              <wps:cNvSpPr/>
                              <wps:spPr>
                                <a:xfrm>
                                  <a:off x="9521" y="2349180"/>
                                  <a:ext cx="1277" cy="550"/>
                                </a:xfrm>
                                <a:prstGeom prst="rect">
                                  <a:avLst/>
                                </a:prstGeom>
                                <a:noFill/>
                                <a:ln w="9525" cap="flat" cmpd="sng">
                                  <a:solidFill>
                                    <a:srgbClr val="000000"/>
                                  </a:solidFill>
                                  <a:prstDash val="solid"/>
                                  <a:round/>
                                  <a:headEnd type="none" w="med" len="med"/>
                                  <a:tailEnd type="none" w="med" len="med"/>
                                </a:ln>
                              </wps:spPr>
                              <wps:txbx>
                                <w:txbxContent>
                                  <w:p w14:paraId="5FD42B8F">
                                    <w:pPr>
                                      <w:jc w:val="center"/>
                                      <w:rPr>
                                        <w:color w:val="0000FF"/>
                                      </w:rPr>
                                    </w:pPr>
                                    <w:r>
                                      <w:rPr>
                                        <w:rFonts w:hint="eastAsia"/>
                                        <w:color w:val="0000FF"/>
                                      </w:rPr>
                                      <w:t>回转窑燃烧</w:t>
                                    </w:r>
                                  </w:p>
                                </w:txbxContent>
                              </wps:txbx>
                              <wps:bodyPr anchor="ctr" anchorCtr="0" upright="1"/>
                            </wps:wsp>
                            <wps:wsp>
                              <wps:cNvPr id="21" name="直接连接符 21"/>
                              <wps:cNvCnPr/>
                              <wps:spPr>
                                <a:xfrm flipV="1">
                                  <a:off x="8645" y="2349478"/>
                                  <a:ext cx="875" cy="5"/>
                                </a:xfrm>
                                <a:prstGeom prst="line">
                                  <a:avLst/>
                                </a:prstGeom>
                                <a:ln w="9525" cap="flat" cmpd="sng">
                                  <a:solidFill>
                                    <a:srgbClr val="000000"/>
                                  </a:solidFill>
                                  <a:prstDash val="solid"/>
                                  <a:round/>
                                  <a:headEnd type="none" w="med" len="med"/>
                                  <a:tailEnd type="triangle" w="med" len="med"/>
                                </a:ln>
                              </wps:spPr>
                              <wps:bodyPr/>
                            </wps:wsp>
                            <wps:wsp>
                              <wps:cNvPr id="22" name="矩形 22"/>
                              <wps:cNvSpPr/>
                              <wps:spPr>
                                <a:xfrm>
                                  <a:off x="7235" y="2349178"/>
                                  <a:ext cx="1412" cy="550"/>
                                </a:xfrm>
                                <a:prstGeom prst="rect">
                                  <a:avLst/>
                                </a:prstGeom>
                                <a:noFill/>
                                <a:ln w="9525" cap="flat" cmpd="sng">
                                  <a:solidFill>
                                    <a:srgbClr val="000000"/>
                                  </a:solidFill>
                                  <a:prstDash val="solid"/>
                                  <a:round/>
                                  <a:headEnd type="none" w="med" len="med"/>
                                  <a:tailEnd type="none" w="med" len="med"/>
                                </a:ln>
                              </wps:spPr>
                              <wps:txbx>
                                <w:txbxContent>
                                  <w:p w14:paraId="27F71041">
                                    <w:pPr>
                                      <w:jc w:val="center"/>
                                      <w:rPr>
                                        <w:color w:val="0000FF"/>
                                      </w:rPr>
                                    </w:pPr>
                                    <w:r>
                                      <w:rPr>
                                        <w:rFonts w:hint="eastAsia"/>
                                        <w:color w:val="0000FF"/>
                                      </w:rPr>
                                      <w:t>粉煤燃烧</w:t>
                                    </w:r>
                                  </w:p>
                                </w:txbxContent>
                              </wps:txbx>
                              <wps:bodyPr anchor="ctr" anchorCtr="0" upright="1"/>
                            </wps:wsp>
                            <wps:wsp>
                              <wps:cNvPr id="25" name="直接连接符 25"/>
                              <wps:cNvCnPr/>
                              <wps:spPr>
                                <a:xfrm flipV="1">
                                  <a:off x="6390" y="2349430"/>
                                  <a:ext cx="875" cy="5"/>
                                </a:xfrm>
                                <a:prstGeom prst="line">
                                  <a:avLst/>
                                </a:prstGeom>
                                <a:ln w="9525" cap="flat" cmpd="sng">
                                  <a:solidFill>
                                    <a:srgbClr val="000000"/>
                                  </a:solidFill>
                                  <a:prstDash val="solid"/>
                                  <a:round/>
                                  <a:headEnd type="none" w="med" len="med"/>
                                  <a:tailEnd type="triangle" w="med" len="med"/>
                                </a:ln>
                              </wps:spPr>
                              <wps:bodyPr/>
                            </wps:wsp>
                            <wps:wsp>
                              <wps:cNvPr id="26" name="直接连接符 26"/>
                              <wps:cNvCnPr/>
                              <wps:spPr>
                                <a:xfrm flipV="1">
                                  <a:off x="4070" y="2349425"/>
                                  <a:ext cx="875" cy="5"/>
                                </a:xfrm>
                                <a:prstGeom prst="line">
                                  <a:avLst/>
                                </a:prstGeom>
                                <a:ln w="9525" cap="flat" cmpd="sng">
                                  <a:solidFill>
                                    <a:srgbClr val="000000"/>
                                  </a:solidFill>
                                  <a:prstDash val="solid"/>
                                  <a:round/>
                                  <a:headEnd type="none" w="med" len="med"/>
                                  <a:tailEnd type="triangle" w="med" len="med"/>
                                </a:ln>
                              </wps:spPr>
                              <wps:bodyPr/>
                            </wps:wsp>
                            <wps:wsp>
                              <wps:cNvPr id="29" name="矩形 29"/>
                              <wps:cNvSpPr/>
                              <wps:spPr>
                                <a:xfrm>
                                  <a:off x="9501" y="2350491"/>
                                  <a:ext cx="1277" cy="587"/>
                                </a:xfrm>
                                <a:prstGeom prst="rect">
                                  <a:avLst/>
                                </a:prstGeom>
                                <a:noFill/>
                                <a:ln w="9525" cap="flat" cmpd="sng">
                                  <a:solidFill>
                                    <a:srgbClr val="000000"/>
                                  </a:solidFill>
                                  <a:prstDash val="solid"/>
                                  <a:round/>
                                  <a:headEnd type="none" w="med" len="med"/>
                                  <a:tailEnd type="none" w="med" len="med"/>
                                </a:ln>
                              </wps:spPr>
                              <wps:txbx>
                                <w:txbxContent>
                                  <w:p w14:paraId="78C27C0F">
                                    <w:pPr>
                                      <w:jc w:val="center"/>
                                      <w:rPr>
                                        <w:color w:val="0000FF"/>
                                      </w:rPr>
                                    </w:pPr>
                                    <w:r>
                                      <w:rPr>
                                        <w:rFonts w:hint="eastAsia"/>
                                        <w:color w:val="0000FF"/>
                                      </w:rPr>
                                      <w:t>灰渣</w:t>
                                    </w:r>
                                  </w:p>
                                </w:txbxContent>
                              </wps:txbx>
                              <wps:bodyPr anchor="ctr" anchorCtr="0" upright="1"/>
                            </wps:wsp>
                            <wps:wsp>
                              <wps:cNvPr id="30" name="矩形 30"/>
                              <wps:cNvSpPr/>
                              <wps:spPr>
                                <a:xfrm>
                                  <a:off x="5265" y="2350571"/>
                                  <a:ext cx="1412" cy="587"/>
                                </a:xfrm>
                                <a:prstGeom prst="rect">
                                  <a:avLst/>
                                </a:prstGeom>
                                <a:noFill/>
                                <a:ln w="9525" cap="flat" cmpd="sng">
                                  <a:solidFill>
                                    <a:srgbClr val="000000"/>
                                  </a:solidFill>
                                  <a:prstDash val="solid"/>
                                  <a:round/>
                                  <a:headEnd type="none" w="med" len="med"/>
                                  <a:tailEnd type="none" w="med" len="med"/>
                                </a:ln>
                              </wps:spPr>
                              <wps:txbx>
                                <w:txbxContent>
                                  <w:p w14:paraId="3D0B8DD6">
                                    <w:pPr>
                                      <w:jc w:val="center"/>
                                      <w:rPr>
                                        <w:color w:val="0000FF"/>
                                      </w:rPr>
                                    </w:pPr>
                                    <w:r>
                                      <w:rPr>
                                        <w:rFonts w:hint="eastAsia"/>
                                        <w:color w:val="0000FF"/>
                                      </w:rPr>
                                      <w:t>渣库</w:t>
                                    </w:r>
                                  </w:p>
                                </w:txbxContent>
                              </wps:txbx>
                              <wps:bodyPr anchor="ctr" anchorCtr="0" upright="1"/>
                            </wps:wsp>
                            <wps:wsp>
                              <wps:cNvPr id="34" name="矩形 34"/>
                              <wps:cNvSpPr/>
                              <wps:spPr>
                                <a:xfrm>
                                  <a:off x="7562" y="2350519"/>
                                  <a:ext cx="1412" cy="587"/>
                                </a:xfrm>
                                <a:prstGeom prst="rect">
                                  <a:avLst/>
                                </a:prstGeom>
                                <a:noFill/>
                                <a:ln w="9525" cap="flat" cmpd="sng">
                                  <a:solidFill>
                                    <a:srgbClr val="000000"/>
                                  </a:solidFill>
                                  <a:prstDash val="solid"/>
                                  <a:round/>
                                  <a:headEnd type="none" w="med" len="med"/>
                                  <a:tailEnd type="none" w="med" len="med"/>
                                </a:ln>
                              </wps:spPr>
                              <wps:txbx>
                                <w:txbxContent>
                                  <w:p w14:paraId="5C9FD69B">
                                    <w:pPr>
                                      <w:jc w:val="center"/>
                                      <w:rPr>
                                        <w:color w:val="0000FF"/>
                                      </w:rPr>
                                    </w:pPr>
                                    <w:r>
                                      <w:rPr>
                                        <w:rFonts w:hint="eastAsia"/>
                                        <w:color w:val="000000"/>
                                      </w:rPr>
                                      <w:t>灰渣冷却</w:t>
                                    </w:r>
                                  </w:p>
                                </w:txbxContent>
                              </wps:txbx>
                              <wps:bodyPr anchor="ctr" anchorCtr="0" upright="1"/>
                            </wps:wsp>
                            <wps:wsp>
                              <wps:cNvPr id="37" name="直接连接符 37"/>
                              <wps:cNvCnPr/>
                              <wps:spPr>
                                <a:xfrm flipH="1">
                                  <a:off x="8951" y="2350795"/>
                                  <a:ext cx="498" cy="1"/>
                                </a:xfrm>
                                <a:prstGeom prst="line">
                                  <a:avLst/>
                                </a:prstGeom>
                                <a:ln w="9525" cap="flat" cmpd="sng">
                                  <a:solidFill>
                                    <a:srgbClr val="000000"/>
                                  </a:solidFill>
                                  <a:prstDash val="solid"/>
                                  <a:round/>
                                  <a:headEnd type="none" w="med" len="med"/>
                                  <a:tailEnd type="triangle" w="med" len="med"/>
                                </a:ln>
                              </wps:spPr>
                              <wps:bodyPr/>
                            </wps:wsp>
                            <wps:wsp>
                              <wps:cNvPr id="41" name="直接连接符 41"/>
                              <wps:cNvCnPr/>
                              <wps:spPr>
                                <a:xfrm flipH="1">
                                  <a:off x="6652" y="2350830"/>
                                  <a:ext cx="888" cy="0"/>
                                </a:xfrm>
                                <a:prstGeom prst="line">
                                  <a:avLst/>
                                </a:prstGeom>
                                <a:ln w="9525" cap="flat" cmpd="sng">
                                  <a:solidFill>
                                    <a:srgbClr val="000000"/>
                                  </a:solidFill>
                                  <a:prstDash val="solid"/>
                                  <a:round/>
                                  <a:headEnd type="none" w="med" len="med"/>
                                  <a:tailEnd type="triangle" w="med" len="med"/>
                                </a:ln>
                              </wps:spPr>
                              <wps:bodyPr/>
                            </wps:wsp>
                          </wpg:wgp>
                        </a:graphicData>
                      </a:graphic>
                    </wp:inline>
                  </w:drawing>
                </mc:Choice>
                <mc:Fallback>
                  <w:pict>
                    <v:group id="_x0000_s1026" o:spid="_x0000_s1026" o:spt="203" style="height:104.9pt;width:406.95pt;" coordorigin="2658,2349059" coordsize="8139,2098" o:gfxdata="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iI5Jf1gAAAAUBAAAPAAAAAAAAAAEAIAAAACIAAABkcnMvZG93bnJldi54bWxQSwECFAAUAAAA&#10;CACHTuJAUpqvwJwEAABvHwAADgAAAAAAAAABACAAAAAlAQAAZHJzL2Uyb0RvYy54bWxQSwUGAAAA&#10;AAYABgBZAQAAMwgAAAAA&#10;">
                      <o:lock v:ext="edit" aspectratio="f"/>
                      <v:rect id="_x0000_s1026" o:spid="_x0000_s1026" o:spt="1" style="position:absolute;left:4946;top:2349059;height:724;width:1412;v-text-anchor:middle;" filled="f" stroked="t" coordsize="21600,21600" o:gfxdata="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GK3K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14:paraId="4C53B4E3">
                              <w:pPr>
                                <w:jc w:val="center"/>
                                <w:rPr>
                                  <w:color w:val="0000FF"/>
                                </w:rPr>
                              </w:pPr>
                              <w:r>
                                <w:rPr>
                                  <w:rFonts w:hint="eastAsia"/>
                                  <w:color w:val="0000FF"/>
                                </w:rPr>
                                <w:t>进料</w:t>
                              </w:r>
                            </w:p>
                          </w:txbxContent>
                        </v:textbox>
                      </v:rect>
                      <v:rect id="_x0000_s1026" o:spid="_x0000_s1026" o:spt="1" style="position:absolute;left:2658;top:2349131;height:550;width:1412;v-text-anchor:middle;" filled="f" stroked="t" coordsize="21600,21600" o:gfxdata="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nCO/&#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14:paraId="7457C1FB">
                              <w:pPr>
                                <w:jc w:val="center"/>
                                <w:rPr>
                                  <w:color w:val="0000FF"/>
                                </w:rPr>
                              </w:pPr>
                              <w:r>
                                <w:rPr>
                                  <w:rFonts w:hint="eastAsia"/>
                                  <w:color w:val="000000"/>
                                </w:rPr>
                                <w:t>钻屑堆放</w:t>
                              </w:r>
                            </w:p>
                          </w:txbxContent>
                        </v:textbox>
                      </v:rect>
                      <v:line id="_x0000_s1026" o:spid="_x0000_s1026" o:spt="20" style="position:absolute;left:10287;top:2349730;height:682;width:6;"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9521;top:2349180;height:550;width:1277;v-text-anchor:middle;" filled="f" stroked="t" coordsize="21600,21600" o:gfxdata="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Wp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textbox>
                          <w:txbxContent>
                            <w:p w14:paraId="5FD42B8F">
                              <w:pPr>
                                <w:jc w:val="center"/>
                                <w:rPr>
                                  <w:color w:val="0000FF"/>
                                </w:rPr>
                              </w:pPr>
                              <w:r>
                                <w:rPr>
                                  <w:rFonts w:hint="eastAsia"/>
                                  <w:color w:val="0000FF"/>
                                </w:rPr>
                                <w:t>回转窑燃烧</w:t>
                              </w:r>
                            </w:p>
                          </w:txbxContent>
                        </v:textbox>
                      </v:rect>
                      <v:line id="_x0000_s1026" o:spid="_x0000_s1026" o:spt="20" style="position:absolute;left:8645;top:2349478;flip:y;height:5;width:875;" filled="f" stroked="t" coordsize="21600,21600" o:gfxdata="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K1U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235;top:2349178;height:550;width:1412;v-text-anchor:middle;" filled="f" stroked="t" coordsize="21600,21600" o:gfxdata="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PYXS/&#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14:paraId="27F71041">
                              <w:pPr>
                                <w:jc w:val="center"/>
                                <w:rPr>
                                  <w:color w:val="0000FF"/>
                                </w:rPr>
                              </w:pPr>
                              <w:r>
                                <w:rPr>
                                  <w:rFonts w:hint="eastAsia"/>
                                  <w:color w:val="0000FF"/>
                                </w:rPr>
                                <w:t>粉煤燃烧</w:t>
                              </w:r>
                            </w:p>
                          </w:txbxContent>
                        </v:textbox>
                      </v:rect>
                      <v:line id="_x0000_s1026" o:spid="_x0000_s1026" o:spt="20" style="position:absolute;left:6390;top:2349430;flip:y;height:5;width:875;" filled="f" stroked="t" coordsize="21600,21600" o:gfxdata="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mz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070;top:2349425;flip:y;height:5;width:875;"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501;top:2350491;height:587;width:1277;v-text-anchor:middle;" filled="f" stroked="t" coordsize="21600,21600" o:gfxdata="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vzB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14:paraId="78C27C0F">
                              <w:pPr>
                                <w:jc w:val="center"/>
                                <w:rPr>
                                  <w:color w:val="0000FF"/>
                                </w:rPr>
                              </w:pPr>
                              <w:r>
                                <w:rPr>
                                  <w:rFonts w:hint="eastAsia"/>
                                  <w:color w:val="0000FF"/>
                                </w:rPr>
                                <w:t>灰渣</w:t>
                              </w:r>
                            </w:p>
                          </w:txbxContent>
                        </v:textbox>
                      </v:rect>
                      <v:rect id="_x0000_s1026" o:spid="_x0000_s1026" o:spt="1" style="position:absolute;left:5265;top:2350571;height:587;width:1412;v-text-anchor:middle;" filled="f" stroked="t" coordsize="21600,21600" o:gfxdata="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jMR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w:txbxContent>
                            <w:p w14:paraId="3D0B8DD6">
                              <w:pPr>
                                <w:jc w:val="center"/>
                                <w:rPr>
                                  <w:color w:val="0000FF"/>
                                </w:rPr>
                              </w:pPr>
                              <w:r>
                                <w:rPr>
                                  <w:rFonts w:hint="eastAsia"/>
                                  <w:color w:val="0000FF"/>
                                </w:rPr>
                                <w:t>渣库</w:t>
                              </w:r>
                            </w:p>
                          </w:txbxContent>
                        </v:textbox>
                      </v:rect>
                      <v:rect id="_x0000_s1026" o:spid="_x0000_s1026" o:spt="1" style="position:absolute;left:7562;top:2350519;height:587;width:1412;v-text-anchor:middle;" filled="f" stroked="t" coordsize="21600,21600" o:gfxdata="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zyk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14:paraId="5C9FD69B">
                              <w:pPr>
                                <w:jc w:val="center"/>
                                <w:rPr>
                                  <w:color w:val="0000FF"/>
                                </w:rPr>
                              </w:pPr>
                              <w:r>
                                <w:rPr>
                                  <w:rFonts w:hint="eastAsia"/>
                                  <w:color w:val="000000"/>
                                </w:rPr>
                                <w:t>灰渣冷却</w:t>
                              </w:r>
                            </w:p>
                          </w:txbxContent>
                        </v:textbox>
                      </v:rect>
                      <v:line id="_x0000_s1026" o:spid="_x0000_s1026" o:spt="20" style="position:absolute;left:8951;top:2350795;flip:x;height:1;width:498;"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52;top:2350830;flip:x;height:0;width:888;"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79AE0EF8">
            <w:pPr>
              <w:keepNext/>
              <w:spacing w:line="360" w:lineRule="auto"/>
              <w:jc w:val="center"/>
              <w:rPr>
                <w:color w:val="0000FF"/>
                <w:sz w:val="24"/>
                <w:lang w:bidi="ar"/>
              </w:rPr>
            </w:pPr>
            <w:r>
              <w:rPr>
                <w:rFonts w:hint="eastAsia"/>
                <w:color w:val="0000FF"/>
                <w:sz w:val="24"/>
                <w:lang w:bidi="ar"/>
              </w:rPr>
              <w:t>图5.5-1   水基钻井固废资源化综合利用处置工艺流程图</w:t>
            </w:r>
          </w:p>
          <w:p w14:paraId="2F093B6F">
            <w:pPr>
              <w:keepNext/>
              <w:spacing w:line="360" w:lineRule="auto"/>
              <w:ind w:firstLine="480" w:firstLineChars="200"/>
              <w:rPr>
                <w:color w:val="0000FF"/>
                <w:sz w:val="24"/>
                <w:lang w:bidi="ar"/>
              </w:rPr>
            </w:pPr>
            <w:r>
              <w:rPr>
                <w:rFonts w:hint="eastAsia"/>
                <w:color w:val="0000FF"/>
                <w:sz w:val="24"/>
                <w:lang w:bidi="ar"/>
              </w:rPr>
              <w:t>工艺流程描述如下：</w:t>
            </w:r>
          </w:p>
          <w:p w14:paraId="573C9461">
            <w:pPr>
              <w:keepNext/>
              <w:spacing w:line="360" w:lineRule="auto"/>
              <w:ind w:firstLine="480" w:firstLineChars="200"/>
              <w:rPr>
                <w:color w:val="0000FF"/>
                <w:sz w:val="24"/>
                <w:lang w:bidi="ar"/>
              </w:rPr>
            </w:pPr>
            <w:r>
              <w:rPr>
                <w:rFonts w:hint="eastAsia"/>
                <w:color w:val="0000FF"/>
                <w:sz w:val="24"/>
                <w:lang w:bidi="ar"/>
              </w:rPr>
              <w:t>a钻屑的堆放：钻屑经现场泥浆不落地收集后运至光隆环保厂内仓棚进行堆存。</w:t>
            </w:r>
          </w:p>
          <w:p w14:paraId="590F9DEF">
            <w:pPr>
              <w:keepNext/>
              <w:spacing w:line="360" w:lineRule="auto"/>
              <w:ind w:firstLine="480" w:firstLineChars="200"/>
              <w:rPr>
                <w:color w:val="0000FF"/>
                <w:sz w:val="24"/>
                <w:lang w:bidi="ar"/>
              </w:rPr>
            </w:pPr>
            <w:r>
              <w:rPr>
                <w:rFonts w:hint="eastAsia"/>
                <w:color w:val="0000FF"/>
                <w:sz w:val="24"/>
                <w:lang w:bidi="ar"/>
              </w:rPr>
              <w:t>b.进料：进料系统主要由斗式提升机、进料料斗、溜槽、压紧装置、绞龙进料、液压系统、窑头下灰斗、窑头密封、平台楼梯和进料下部钢架等设施组成。</w:t>
            </w:r>
          </w:p>
          <w:p w14:paraId="4D847FE6">
            <w:pPr>
              <w:keepNext/>
              <w:spacing w:line="360" w:lineRule="auto"/>
              <w:ind w:firstLine="480" w:firstLineChars="200"/>
              <w:rPr>
                <w:color w:val="0000FF"/>
                <w:sz w:val="24"/>
                <w:lang w:bidi="ar"/>
              </w:rPr>
            </w:pPr>
            <w:r>
              <w:rPr>
                <w:rFonts w:hint="eastAsia"/>
                <w:color w:val="0000FF"/>
                <w:sz w:val="24"/>
                <w:lang w:bidi="ar"/>
              </w:rPr>
              <w:t>c.粉煤燃烧：在煤粉一次风喷口外设置以小型流化床煤粉预燃加热室，该室与煤粉一二次风喷口一起组成流化床煤粉预燃加热燃烧器。</w:t>
            </w:r>
          </w:p>
          <w:p w14:paraId="709C8D2E">
            <w:pPr>
              <w:keepNext/>
              <w:spacing w:line="360" w:lineRule="auto"/>
              <w:ind w:firstLine="480" w:firstLineChars="200"/>
              <w:rPr>
                <w:color w:val="0000FF"/>
                <w:sz w:val="24"/>
                <w:lang w:bidi="ar"/>
              </w:rPr>
            </w:pPr>
            <w:r>
              <w:rPr>
                <w:rFonts w:hint="eastAsia"/>
                <w:color w:val="0000FF"/>
                <w:sz w:val="24"/>
                <w:lang w:bidi="ar"/>
              </w:rPr>
              <w:t>d.回转窑燃烧：由专用输送设备送入回转窑，固体废物在回转窑内完成水分蒸发、挥发份析出、着火及燃烧的过程，灰渣由窑尾出料装置排出，所产生的烟气进入后续尾气净化设备。</w:t>
            </w:r>
          </w:p>
          <w:p w14:paraId="0C3D014D">
            <w:pPr>
              <w:keepNext/>
              <w:spacing w:line="360" w:lineRule="auto"/>
              <w:ind w:firstLine="480" w:firstLineChars="200"/>
              <w:rPr>
                <w:color w:val="0000FF"/>
                <w:sz w:val="24"/>
                <w:lang w:bidi="ar"/>
              </w:rPr>
            </w:pPr>
            <w:r>
              <w:rPr>
                <w:rFonts w:hint="eastAsia"/>
                <w:color w:val="0000FF"/>
                <w:sz w:val="24"/>
                <w:lang w:bidi="ar"/>
              </w:rPr>
              <w:t>e.灰渣、灰渣冷却、渣库：出窑高温灰渣经密闭冷渣机冷却后，由输送机送入渣库储存。</w:t>
            </w:r>
          </w:p>
          <w:p w14:paraId="0602C0A0">
            <w:pPr>
              <w:keepNext/>
              <w:spacing w:line="360" w:lineRule="auto"/>
              <w:ind w:firstLine="480" w:firstLineChars="200"/>
              <w:rPr>
                <w:color w:val="0000FF"/>
                <w:sz w:val="24"/>
                <w:lang w:bidi="ar"/>
              </w:rPr>
            </w:pPr>
            <w:r>
              <w:rPr>
                <w:rFonts w:hint="eastAsia"/>
                <w:color w:val="0000FF"/>
                <w:sz w:val="24"/>
                <w:lang w:bidi="ar"/>
              </w:rPr>
              <w:t>根据调查，四川光隆环保科技有限公司与中石化中原石油工程有限公司工程服务管理中心签订了相关处理协议（详见附件）。四川光隆环保科技有限公司（以下简称“四川光隆”）建设的工业废弃物综合利用项目位于达州市宣汉县中国（普光）微玻纤材料产业园，占地面积35亩。安装回转窑焚烧处理固体废弃物生产线，处理水基岩屑等一般工业废弃物50000t/a。均已按相关要求履行环保手续。本项目钻井平台距离四川光隆约25km，距离较近，同时企业年处理水基岩屑规模较大，本项目钻井工程合计产生水基（清水）岩屑、泥渣约0.3万t，仅占其总生产规模的5.08%，可完全消纳本项目钻井过程产生的水基（清水）岩屑、泥渣。</w:t>
            </w:r>
          </w:p>
          <w:p w14:paraId="26161776">
            <w:pPr>
              <w:keepNext/>
              <w:spacing w:line="360" w:lineRule="auto"/>
              <w:ind w:firstLine="480" w:firstLineChars="200"/>
              <w:rPr>
                <w:color w:val="0000FF"/>
                <w:sz w:val="24"/>
                <w:lang w:bidi="ar"/>
              </w:rPr>
            </w:pPr>
            <w:r>
              <w:rPr>
                <w:rFonts w:hint="eastAsia"/>
                <w:color w:val="0000FF"/>
                <w:sz w:val="24"/>
                <w:lang w:bidi="ar"/>
              </w:rPr>
              <w:t>环评要求：项目污染治理前，明确钻井固废处置单位，并签订相关拉运及处理协议。若在后期实际运行过程中，水基岩屑等不能运至上述单位资源化利用，也可运至其他环保手续齐全、具有处理能力及资质的接纳单位处置，确保水基岩屑等得到合理有效处置，禁止随意排放。</w:t>
            </w:r>
          </w:p>
          <w:p w14:paraId="57A7598C">
            <w:pPr>
              <w:keepNext/>
              <w:spacing w:line="360" w:lineRule="auto"/>
              <w:ind w:firstLine="480" w:firstLineChars="200"/>
              <w:rPr>
                <w:sz w:val="24"/>
                <w:lang w:bidi="ar"/>
              </w:rPr>
            </w:pPr>
            <w:r>
              <w:rPr>
                <w:rFonts w:hint="eastAsia"/>
                <w:sz w:val="24"/>
                <w:lang w:bidi="ar"/>
              </w:rPr>
              <w:t>当四开侧钻采用</w:t>
            </w:r>
            <w:r>
              <w:rPr>
                <w:sz w:val="24"/>
                <w:lang w:bidi="ar"/>
              </w:rPr>
              <w:t>油基钻井液钻井</w:t>
            </w:r>
            <w:r>
              <w:rPr>
                <w:rFonts w:hint="eastAsia"/>
                <w:sz w:val="24"/>
                <w:lang w:bidi="ar"/>
              </w:rPr>
              <w:t>时</w:t>
            </w:r>
            <w:r>
              <w:rPr>
                <w:sz w:val="24"/>
                <w:lang w:bidi="ar"/>
              </w:rPr>
              <w:t>，废油基泥浆暂存于泥浆储备罐，采用</w:t>
            </w:r>
            <w:r>
              <w:rPr>
                <w:rFonts w:hint="eastAsia"/>
                <w:sz w:val="24"/>
                <w:lang w:bidi="ar"/>
              </w:rPr>
              <w:t>吨桶</w:t>
            </w:r>
            <w:r>
              <w:rPr>
                <w:sz w:val="24"/>
                <w:lang w:bidi="ar"/>
              </w:rPr>
              <w:t>收集，定期委托有资质单位进行处理。油基岩屑经</w:t>
            </w:r>
            <w:r>
              <w:rPr>
                <w:rFonts w:hint="eastAsia"/>
                <w:sz w:val="24"/>
                <w:lang w:bidi="ar"/>
              </w:rPr>
              <w:t>吨桶</w:t>
            </w:r>
            <w:r>
              <w:rPr>
                <w:sz w:val="24"/>
                <w:lang w:bidi="ar"/>
              </w:rPr>
              <w:t>收集后定期交由有资质单位进行处置。</w:t>
            </w:r>
          </w:p>
          <w:p w14:paraId="6C82B885">
            <w:pPr>
              <w:keepNext/>
              <w:spacing w:line="360" w:lineRule="auto"/>
              <w:ind w:firstLine="480" w:firstLineChars="200"/>
              <w:rPr>
                <w:sz w:val="24"/>
              </w:rPr>
            </w:pPr>
            <w:r>
              <w:rPr>
                <w:sz w:val="24"/>
                <w:lang w:bidi="ar"/>
              </w:rPr>
              <w:t>危险废物应按照《危险废物产生单位管理计划制定指南》进行管理。工程对危险废物的收集、贮存和运输应满足</w:t>
            </w:r>
            <w:r>
              <w:rPr>
                <w:rStyle w:val="189"/>
                <w:szCs w:val="24"/>
                <w:lang w:bidi="ar"/>
              </w:rPr>
              <w:t>《危险废物收集、贮存、运输技术规范》（HJ2025-2012）、</w:t>
            </w:r>
            <w:r>
              <w:rPr>
                <w:sz w:val="24"/>
                <w:lang w:bidi="ar"/>
              </w:rPr>
              <w:t>《危险废物贮存污染控制标准》（GB18597-2023）。</w:t>
            </w:r>
          </w:p>
          <w:p w14:paraId="546917AC">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依据《危险废物收集、贮存、运输技术规范》（HJ2025-2012），项目应加强以下措施：</w:t>
            </w:r>
          </w:p>
          <w:p w14:paraId="72BFB4C4">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1）危险废物的收集作业</w:t>
            </w:r>
          </w:p>
          <w:p w14:paraId="122478F3">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①应根据收集设备、转运车辆以及现场人员等实际情况确定相应作业区域，同时要设置作业界限标志和警示牌。</w:t>
            </w:r>
          </w:p>
          <w:p w14:paraId="64BB6893">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②作业区域内应设置危险废物收集专用通道和人员避险通道。</w:t>
            </w:r>
          </w:p>
          <w:p w14:paraId="43A4B15F">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③收集时应配备必要的收集工具和包装物，以及必要的应急监测设备及应急装备。</w:t>
            </w:r>
          </w:p>
          <w:p w14:paraId="0ECFCC21">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④危险废物收集应参照本标准附录A填写记录表，并将记录表作为危险废物管理的重要档案妥善保存。</w:t>
            </w:r>
          </w:p>
          <w:p w14:paraId="28DA3F8B">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⑤收集结束后应清理和恢复收集作业区域，确保作业区域环境整洁安全。</w:t>
            </w:r>
          </w:p>
          <w:p w14:paraId="2F009FE3">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⑥收集过危险废物的容器、设备、设施、场所及其他物品转作它用时，应消除污染，确保其使用安全。</w:t>
            </w:r>
          </w:p>
          <w:p w14:paraId="23227FED">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2）危险废物贮存</w:t>
            </w:r>
          </w:p>
          <w:p w14:paraId="5120EF24">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①危险废物贮存设施应配备通讯设备、照明设施和消防设施。</w:t>
            </w:r>
          </w:p>
          <w:p w14:paraId="5EA79BEF">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②贮存危险废物时应按危险废物的种类和特性进行分区贮存，每个贮存区域之间宜设置挡墙间隔，并应设置防雨、防火、防雷、防扬尘装置。</w:t>
            </w:r>
          </w:p>
          <w:p w14:paraId="2A507753">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③建设单位应参照《危险废物环境管理指南 陆上石油天然气开采》完善危险废物贮存点设施，完善贮存危险废物的标识、类别、名称、数量。</w:t>
            </w:r>
          </w:p>
          <w:p w14:paraId="4EDFC514">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3）危险废物的运输</w:t>
            </w:r>
          </w:p>
          <w:p w14:paraId="2F42901D">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①危险废物公路运输应按照《道路危险货物运输管理规定》（交通部令[2005年]第9号）、JT617以及JT618 执行。</w:t>
            </w:r>
          </w:p>
          <w:p w14:paraId="7D5B9E71">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②输单位承运危险废物时，应在危险废物包装上按照GB18597附录A设置标志。</w:t>
            </w:r>
          </w:p>
          <w:p w14:paraId="0AF46D8F">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③危险废物公路运输时，运输车辆应按GB13392设置车辆标志。</w:t>
            </w:r>
          </w:p>
          <w:p w14:paraId="19A8337B">
            <w:pPr>
              <w:pStyle w:val="38"/>
              <w:keepNext/>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ascii="Times New Roman" w:hAnsi="Times New Roman"/>
                <w:kern w:val="2"/>
                <w:lang w:bidi="ar"/>
              </w:rPr>
              <w:t>④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14:paraId="24C9B07C">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rPr>
              <w:fldChar w:fldCharType="begin"/>
            </w:r>
            <w:r>
              <w:rPr>
                <w:rFonts w:ascii="Times New Roman" w:hAnsi="Times New Roman"/>
              </w:rPr>
              <w:instrText xml:space="preserve"> = 5 \* GB3 </w:instrText>
            </w:r>
            <w:r>
              <w:rPr>
                <w:rFonts w:ascii="Times New Roman" w:hAnsi="Times New Roman"/>
              </w:rPr>
              <w:fldChar w:fldCharType="separate"/>
            </w:r>
            <w:r>
              <w:rPr>
                <w:rFonts w:ascii="Times New Roman" w:hAnsi="Times New Roman"/>
              </w:rPr>
              <w:t>⑤</w:t>
            </w:r>
            <w:r>
              <w:rPr>
                <w:rFonts w:ascii="Times New Roman" w:hAnsi="Times New Roman"/>
              </w:rPr>
              <w:fldChar w:fldCharType="end"/>
            </w:r>
            <w:r>
              <w:rPr>
                <w:rFonts w:ascii="Times New Roman" w:hAnsi="Times New Roman"/>
              </w:rPr>
              <w:t>根据《天然气开采含油污泥综合利用后剩余固相利用处置标准》（DB51/T 2850-2021），运输工具应符合“防雨、防渗漏、防遗撒”措施。</w:t>
            </w:r>
          </w:p>
          <w:p w14:paraId="3D7F0214">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4）危险废物转移</w:t>
            </w:r>
          </w:p>
          <w:p w14:paraId="21FEDDA7">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本工程建设过程中涉及的危险废物交由有危废运输资质的单位进行转运，转运过程参照《危险废物收集、贮存、运输技术规范》（HJ2025-2012）严格执行危废申报和五联单管理制度，在项目建设过程中，建设方结合钻井施工进度，建立分季度内部管理台账，同时为确保转运安全，对危废转运采取如下管理措施：</w:t>
            </w:r>
          </w:p>
          <w:p w14:paraId="17266F58">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A.制定科学合理的车辆运输，根据车辆运输实施相应的管理。</w:t>
            </w:r>
          </w:p>
          <w:p w14:paraId="7482F7FD">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B.危废承运单位为非建设所属单位，承运方需具备建设单位的HSE准入资格和相应的运输服务准入资格。</w:t>
            </w:r>
          </w:p>
          <w:p w14:paraId="295C6AFE">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C.承运单位在开展运输工作之前，应对运输人员进行相关安全环保知识培训，运输车辆、装卸工具必须符合安全环保要求，装卸和运输危废过程中不得溢出和渗漏。严禁任意倾倒、排放或向第三方转移危废。</w:t>
            </w:r>
          </w:p>
          <w:p w14:paraId="50BCDB2E">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D.承运人员进入井场装卸危险废物时，必须遵守有关安全环保管理规定，并服从井站值班人员的管理，不得擅自进入生产装置区和操作井场设备设施。</w:t>
            </w:r>
          </w:p>
          <w:p w14:paraId="6FB6AF42">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E.危废车辆运输严格执行签认制度。签认单复印件报属地管理单位安全部门和承运单位备查，保存期不得少于二年。</w:t>
            </w:r>
          </w:p>
          <w:p w14:paraId="1475B836">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F.危废转运路线应尽可能绕避集中式饮用水源保护区等环境敏感地。</w:t>
            </w:r>
          </w:p>
          <w:p w14:paraId="22FBD19F">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G.转运时采取槽车密闭输送。</w:t>
            </w:r>
          </w:p>
          <w:p w14:paraId="51452CA9">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H.尽量避免在雨天和大雾天转运。</w:t>
            </w:r>
          </w:p>
          <w:p w14:paraId="05AA852E">
            <w:pPr>
              <w:pStyle w:val="215"/>
              <w:rPr>
                <w:rFonts w:ascii="Times New Roman" w:hAnsi="Times New Roman" w:cs="Times New Roman"/>
                <w:szCs w:val="24"/>
              </w:rPr>
            </w:pPr>
            <w:r>
              <w:rPr>
                <w:rFonts w:ascii="Times New Roman" w:hAnsi="Times New Roman" w:cs="Times New Roman"/>
                <w:szCs w:val="24"/>
              </w:rPr>
              <w:t>（4）废棉纱/手套及废油桶处置方式</w:t>
            </w:r>
          </w:p>
          <w:p w14:paraId="00822E2B">
            <w:pPr>
              <w:pStyle w:val="215"/>
              <w:rPr>
                <w:rFonts w:ascii="Times New Roman" w:hAnsi="Times New Roman" w:cs="Times New Roman"/>
                <w:szCs w:val="24"/>
              </w:rPr>
            </w:pPr>
            <w:r>
              <w:rPr>
                <w:rFonts w:ascii="Times New Roman" w:hAnsi="Times New Roman" w:cs="Times New Roman"/>
                <w:szCs w:val="24"/>
              </w:rPr>
              <w:t>钻机等设备保养产生的废棉纱/手套，暂存于危险废物贮存点，废油桶暂存于危险废物贮存点内，交有资质单位处置。要求建设单位严格按照《危险废物收集、贮存、运输技术规范》（HJ2025-2012）及《建设项目危险废物环境影响评价指南》中相关规定做好收集、暂存和转运工作。</w:t>
            </w:r>
          </w:p>
          <w:p w14:paraId="365D73A5">
            <w:pPr>
              <w:pStyle w:val="215"/>
              <w:rPr>
                <w:rFonts w:ascii="Times New Roman" w:hAnsi="Times New Roman" w:cs="Times New Roman"/>
                <w:szCs w:val="24"/>
              </w:rPr>
            </w:pPr>
            <w:r>
              <w:rPr>
                <w:rFonts w:ascii="Times New Roman" w:hAnsi="Times New Roman" w:cs="Times New Roman"/>
                <w:szCs w:val="24"/>
              </w:rPr>
              <w:t>（5）生活垃圾处置方式</w:t>
            </w:r>
          </w:p>
          <w:p w14:paraId="6A4C0E37">
            <w:pPr>
              <w:pStyle w:val="215"/>
              <w:rPr>
                <w:rFonts w:ascii="Times New Roman" w:hAnsi="Times New Roman" w:cs="Times New Roman"/>
                <w:szCs w:val="24"/>
              </w:rPr>
            </w:pPr>
            <w:r>
              <w:rPr>
                <w:rFonts w:ascii="Times New Roman" w:hAnsi="Times New Roman" w:cs="Times New Roman"/>
                <w:szCs w:val="24"/>
              </w:rPr>
              <w:t>生活垃圾处置要求：钻井施工单位应对垃圾箱中的生活垃圾等进行清理，并送当地城镇生活垃圾收集系统。</w:t>
            </w:r>
          </w:p>
          <w:p w14:paraId="7261294B">
            <w:pPr>
              <w:pStyle w:val="215"/>
              <w:rPr>
                <w:rFonts w:ascii="Times New Roman" w:hAnsi="Times New Roman" w:cs="Times New Roman"/>
                <w:szCs w:val="24"/>
              </w:rPr>
            </w:pPr>
            <w:r>
              <w:rPr>
                <w:rFonts w:ascii="Times New Roman" w:hAnsi="Times New Roman" w:cs="Times New Roman"/>
                <w:szCs w:val="24"/>
              </w:rPr>
              <w:t>（6）废包装材料处置方式</w:t>
            </w:r>
          </w:p>
          <w:p w14:paraId="68C5A5E9">
            <w:pPr>
              <w:pStyle w:val="215"/>
              <w:rPr>
                <w:rFonts w:ascii="Times New Roman" w:hAnsi="Times New Roman" w:cs="Times New Roman"/>
                <w:szCs w:val="24"/>
              </w:rPr>
            </w:pPr>
            <w:r>
              <w:rPr>
                <w:rFonts w:ascii="Times New Roman" w:hAnsi="Times New Roman" w:cs="Times New Roman"/>
                <w:szCs w:val="24"/>
              </w:rPr>
              <w:t>钻井期间产生的废包装材料主要为各原辅材料的包装袋，为一般废物，集中收集后定期运至就近的废品回收站进行处理。</w:t>
            </w:r>
          </w:p>
          <w:p w14:paraId="47E27329">
            <w:pPr>
              <w:pStyle w:val="215"/>
              <w:rPr>
                <w:rFonts w:ascii="Times New Roman" w:hAnsi="Times New Roman" w:cs="Times New Roman"/>
                <w:szCs w:val="24"/>
              </w:rPr>
            </w:pPr>
            <w:r>
              <w:rPr>
                <w:rFonts w:ascii="Times New Roman" w:hAnsi="Times New Roman" w:cs="Times New Roman"/>
                <w:szCs w:val="24"/>
              </w:rPr>
              <w:t>综上，</w:t>
            </w:r>
            <w:r>
              <w:rPr>
                <w:rFonts w:hint="eastAsia" w:ascii="Times New Roman" w:hAnsi="Times New Roman" w:cs="Times New Roman"/>
                <w:szCs w:val="24"/>
              </w:rPr>
              <w:t>本项目</w:t>
            </w:r>
            <w:r>
              <w:rPr>
                <w:rFonts w:ascii="Times New Roman" w:hAnsi="Times New Roman" w:cs="Times New Roman"/>
                <w:szCs w:val="24"/>
              </w:rPr>
              <w:t>产生的固废采取上述分类收集、分类处置的措施后，可合理处置各类固废，对周围环境不会造成污染影响。</w:t>
            </w:r>
          </w:p>
          <w:p w14:paraId="0E26EDC8">
            <w:pPr>
              <w:pStyle w:val="215"/>
              <w:ind w:firstLine="0" w:firstLineChars="0"/>
              <w:rPr>
                <w:rFonts w:ascii="Times New Roman" w:hAnsi="Times New Roman" w:cs="Times New Roman"/>
                <w:b/>
                <w:bCs/>
                <w:szCs w:val="24"/>
              </w:rPr>
            </w:pPr>
            <w:r>
              <w:rPr>
                <w:rFonts w:ascii="Times New Roman" w:hAnsi="Times New Roman" w:cs="Times New Roman"/>
                <w:b/>
                <w:bCs/>
                <w:szCs w:val="24"/>
              </w:rPr>
              <w:t>5.3试气工程环境保护措施</w:t>
            </w:r>
          </w:p>
          <w:p w14:paraId="39D2350A">
            <w:pPr>
              <w:pStyle w:val="215"/>
              <w:ind w:firstLine="0" w:firstLineChars="0"/>
              <w:rPr>
                <w:rFonts w:ascii="Times New Roman" w:hAnsi="Times New Roman" w:cs="Times New Roman"/>
                <w:b/>
                <w:bCs/>
                <w:szCs w:val="24"/>
              </w:rPr>
            </w:pPr>
            <w:r>
              <w:rPr>
                <w:rFonts w:ascii="Times New Roman" w:hAnsi="Times New Roman" w:cs="Times New Roman"/>
                <w:b/>
                <w:bCs/>
                <w:szCs w:val="24"/>
              </w:rPr>
              <w:t>5.3.1废气治理措施及可行性分析</w:t>
            </w:r>
          </w:p>
          <w:p w14:paraId="4A2F7FEA">
            <w:pPr>
              <w:pStyle w:val="215"/>
              <w:rPr>
                <w:rFonts w:ascii="Times New Roman" w:hAnsi="Times New Roman" w:cs="Times New Roman"/>
                <w:szCs w:val="24"/>
              </w:rPr>
            </w:pPr>
            <w:r>
              <w:rPr>
                <w:rFonts w:ascii="Times New Roman" w:hAnsi="Times New Roman" w:cs="Times New Roman"/>
                <w:szCs w:val="24"/>
              </w:rPr>
              <w:t>试气工程期间废气主要为测试放喷废气。测试时间较短，产生废气量较少，对环境影响较小。污染物排放随产量测试结束而结束，不会长期存在，不会影响区域环境空气功能区划。</w:t>
            </w:r>
          </w:p>
          <w:p w14:paraId="42EA140E">
            <w:pPr>
              <w:spacing w:line="360" w:lineRule="auto"/>
              <w:rPr>
                <w:b/>
                <w:bCs/>
                <w:sz w:val="24"/>
              </w:rPr>
            </w:pPr>
            <w:r>
              <w:rPr>
                <w:b/>
                <w:bCs/>
                <w:sz w:val="24"/>
              </w:rPr>
              <w:t>5.3.2废水治理措施及可行性分析</w:t>
            </w:r>
          </w:p>
          <w:p w14:paraId="674710C7">
            <w:pPr>
              <w:pStyle w:val="215"/>
              <w:rPr>
                <w:rFonts w:ascii="Times New Roman" w:hAnsi="Times New Roman" w:cs="Times New Roman"/>
                <w:szCs w:val="24"/>
              </w:rPr>
            </w:pPr>
            <w:r>
              <w:rPr>
                <w:rFonts w:ascii="Times New Roman" w:hAnsi="Times New Roman" w:cs="Times New Roman"/>
                <w:szCs w:val="24"/>
              </w:rPr>
              <w:t>（1）洗井废水</w:t>
            </w:r>
          </w:p>
          <w:p w14:paraId="5B49760D">
            <w:pPr>
              <w:pStyle w:val="215"/>
              <w:rPr>
                <w:rFonts w:ascii="Times New Roman" w:hAnsi="Times New Roman" w:cs="Times New Roman"/>
                <w:szCs w:val="24"/>
              </w:rPr>
            </w:pPr>
            <w:r>
              <w:rPr>
                <w:rFonts w:ascii="Times New Roman" w:hAnsi="Times New Roman" w:cs="Times New Roman"/>
                <w:szCs w:val="24"/>
              </w:rPr>
              <w:t>本项目洗井废水约300m</w:t>
            </w:r>
            <w:r>
              <w:rPr>
                <w:rFonts w:ascii="Times New Roman" w:hAnsi="Times New Roman" w:cs="Times New Roman"/>
                <w:szCs w:val="24"/>
                <w:vertAlign w:val="superscript"/>
              </w:rPr>
              <w:t>3</w:t>
            </w:r>
            <w:r>
              <w:rPr>
                <w:rFonts w:ascii="Times New Roman" w:hAnsi="Times New Roman" w:cs="Times New Roman"/>
                <w:szCs w:val="24"/>
              </w:rPr>
              <w:t>，均经现场预处理后暂存于重叠液罐内，优先回用于本井场压裂液的配制，不能回用时用密闭罐车定期拉运至</w:t>
            </w:r>
            <w:r>
              <w:rPr>
                <w:rFonts w:hint="eastAsia" w:cs="Times New Roman"/>
                <w:szCs w:val="24"/>
              </w:rPr>
              <w:t>赵家坝污水处理站</w:t>
            </w:r>
            <w:r>
              <w:rPr>
                <w:rFonts w:ascii="Times New Roman" w:hAnsi="Times New Roman" w:cs="Times New Roman"/>
                <w:szCs w:val="24"/>
              </w:rPr>
              <w:t>处理达标后</w:t>
            </w:r>
            <w:r>
              <w:rPr>
                <w:rFonts w:hint="eastAsia" w:cs="Times New Roman"/>
                <w:szCs w:val="24"/>
              </w:rPr>
              <w:t>由罐车拉运至普光3井等回注站</w:t>
            </w:r>
            <w:r>
              <w:rPr>
                <w:rFonts w:ascii="Times New Roman" w:hAnsi="Times New Roman" w:cs="Times New Roman"/>
                <w:szCs w:val="24"/>
              </w:rPr>
              <w:t>回注。</w:t>
            </w:r>
          </w:p>
          <w:p w14:paraId="41643FE2">
            <w:pPr>
              <w:pStyle w:val="215"/>
              <w:rPr>
                <w:rFonts w:ascii="Times New Roman" w:hAnsi="Times New Roman" w:cs="Times New Roman"/>
                <w:szCs w:val="24"/>
              </w:rPr>
            </w:pPr>
            <w:r>
              <w:rPr>
                <w:rFonts w:ascii="Times New Roman" w:hAnsi="Times New Roman" w:cs="Times New Roman"/>
                <w:szCs w:val="24"/>
              </w:rPr>
              <w:t>（2）压裂返排液废水</w:t>
            </w:r>
          </w:p>
          <w:p w14:paraId="6CCFB196">
            <w:pPr>
              <w:pStyle w:val="215"/>
              <w:rPr>
                <w:rFonts w:ascii="Times New Roman" w:hAnsi="Times New Roman" w:cs="Times New Roman"/>
                <w:color w:val="0000FF"/>
                <w:szCs w:val="24"/>
              </w:rPr>
            </w:pPr>
            <w:r>
              <w:rPr>
                <w:rFonts w:hint="eastAsia" w:ascii="Times New Roman" w:hAnsi="Times New Roman" w:cs="Times New Roman"/>
                <w:color w:val="0000FF"/>
                <w:szCs w:val="24"/>
              </w:rPr>
              <w:t>双庙页1HF井</w:t>
            </w:r>
            <w:r>
              <w:rPr>
                <w:rFonts w:ascii="Times New Roman" w:hAnsi="Times New Roman" w:cs="Times New Roman"/>
                <w:color w:val="0000FF"/>
                <w:szCs w:val="24"/>
              </w:rPr>
              <w:t>产生压裂返排液约</w:t>
            </w:r>
            <w:r>
              <w:rPr>
                <w:rFonts w:hint="eastAsia" w:ascii="Times New Roman" w:hAnsi="Times New Roman" w:cs="Times New Roman"/>
                <w:color w:val="0000FF"/>
                <w:szCs w:val="24"/>
              </w:rPr>
              <w:t>27369</w:t>
            </w:r>
            <w:r>
              <w:rPr>
                <w:rFonts w:ascii="Times New Roman" w:hAnsi="Times New Roman" w:cs="Times New Roman"/>
                <w:color w:val="0000FF"/>
                <w:szCs w:val="24"/>
              </w:rPr>
              <w:t>m</w:t>
            </w:r>
            <w:r>
              <w:rPr>
                <w:rFonts w:ascii="Times New Roman" w:hAnsi="Times New Roman" w:cs="Times New Roman"/>
                <w:color w:val="0000FF"/>
                <w:szCs w:val="24"/>
                <w:vertAlign w:val="superscript"/>
              </w:rPr>
              <w:t>3</w:t>
            </w:r>
            <w:r>
              <w:rPr>
                <w:rFonts w:ascii="Times New Roman" w:hAnsi="Times New Roman" w:cs="Times New Roman"/>
                <w:color w:val="0000FF"/>
                <w:szCs w:val="24"/>
              </w:rPr>
              <w:t>。</w:t>
            </w:r>
            <w:r>
              <w:rPr>
                <w:rFonts w:hint="eastAsia" w:ascii="Times New Roman" w:hAnsi="Times New Roman" w:cs="Times New Roman"/>
                <w:color w:val="0000FF"/>
                <w:szCs w:val="24"/>
              </w:rPr>
              <w:t>单段压裂返排液产生量为912.3m</w:t>
            </w:r>
            <w:r>
              <w:rPr>
                <w:rFonts w:hint="eastAsia" w:ascii="Times New Roman" w:hAnsi="Times New Roman" w:cs="Times New Roman"/>
                <w:color w:val="0000FF"/>
                <w:szCs w:val="24"/>
                <w:vertAlign w:val="superscript"/>
              </w:rPr>
              <w:t>3</w:t>
            </w:r>
            <w:r>
              <w:rPr>
                <w:rFonts w:hint="eastAsia" w:ascii="Times New Roman" w:hAnsi="Times New Roman" w:cs="Times New Roman"/>
                <w:color w:val="0000FF"/>
                <w:szCs w:val="24"/>
              </w:rPr>
              <w:t>，预计每天最大返排液量为183m</w:t>
            </w:r>
            <w:r>
              <w:rPr>
                <w:rFonts w:hint="eastAsia" w:ascii="Times New Roman" w:hAnsi="Times New Roman" w:cs="Times New Roman"/>
                <w:color w:val="0000FF"/>
                <w:szCs w:val="24"/>
                <w:vertAlign w:val="superscript"/>
              </w:rPr>
              <w:t>3</w:t>
            </w:r>
            <w:r>
              <w:rPr>
                <w:rFonts w:hint="eastAsia" w:ascii="Times New Roman" w:hAnsi="Times New Roman" w:cs="Times New Roman"/>
                <w:color w:val="0000FF"/>
                <w:szCs w:val="24"/>
              </w:rPr>
              <w:t>/d，根据建设单位部署，双庙页1HF井</w:t>
            </w:r>
            <w:r>
              <w:rPr>
                <w:rFonts w:ascii="Times New Roman" w:hAnsi="Times New Roman" w:cs="Times New Roman"/>
                <w:color w:val="0000FF"/>
                <w:szCs w:val="24"/>
              </w:rPr>
              <w:t>产生的压裂返排液经</w:t>
            </w:r>
            <w:r>
              <w:rPr>
                <w:rFonts w:hint="eastAsia" w:ascii="Times New Roman" w:hAnsi="Times New Roman" w:cs="Times New Roman"/>
                <w:color w:val="0000FF"/>
                <w:szCs w:val="24"/>
              </w:rPr>
              <w:t>放喷池经絮凝沉淀处理后由罐车直接拉运</w:t>
            </w:r>
            <w:r>
              <w:rPr>
                <w:rFonts w:hint="eastAsia" w:cs="Times New Roman"/>
                <w:color w:val="0000FF"/>
                <w:szCs w:val="24"/>
              </w:rPr>
              <w:t>赵家坝污水处理站</w:t>
            </w:r>
            <w:r>
              <w:rPr>
                <w:rFonts w:ascii="Times New Roman" w:hAnsi="Times New Roman" w:cs="Times New Roman"/>
                <w:color w:val="0000FF"/>
                <w:szCs w:val="24"/>
              </w:rPr>
              <w:t>处理达标后</w:t>
            </w:r>
            <w:r>
              <w:rPr>
                <w:rFonts w:hint="eastAsia" w:cs="Times New Roman"/>
                <w:color w:val="0000FF"/>
                <w:szCs w:val="24"/>
              </w:rPr>
              <w:t>由罐车拉运至普光3井等回注站</w:t>
            </w:r>
            <w:r>
              <w:rPr>
                <w:rFonts w:ascii="Times New Roman" w:hAnsi="Times New Roman" w:cs="Times New Roman"/>
                <w:color w:val="0000FF"/>
                <w:szCs w:val="24"/>
              </w:rPr>
              <w:t>回注</w:t>
            </w:r>
            <w:r>
              <w:rPr>
                <w:rFonts w:hint="eastAsia" w:ascii="Times New Roman" w:hAnsi="Times New Roman" w:cs="Times New Roman"/>
                <w:color w:val="0000FF"/>
                <w:szCs w:val="24"/>
              </w:rPr>
              <w:t>，因此压裂返排液不在现场暂存，即产即运，减少压裂返排液于现场暂存的风险。</w:t>
            </w:r>
          </w:p>
          <w:p w14:paraId="4D5715BD">
            <w:pPr>
              <w:pStyle w:val="215"/>
              <w:numPr>
                <w:ilvl w:val="0"/>
                <w:numId w:val="9"/>
              </w:numPr>
              <w:rPr>
                <w:rFonts w:ascii="Times New Roman" w:hAnsi="Times New Roman" w:cs="Times New Roman"/>
                <w:szCs w:val="24"/>
              </w:rPr>
            </w:pPr>
            <w:r>
              <w:rPr>
                <w:rFonts w:ascii="Times New Roman" w:hAnsi="Times New Roman" w:cs="Times New Roman"/>
                <w:szCs w:val="24"/>
              </w:rPr>
              <w:t>生活废水</w:t>
            </w:r>
          </w:p>
          <w:p w14:paraId="23F68336">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rPr>
              <w:t>试气工程期间生活污水经生态一体化厕所收集后运至</w:t>
            </w:r>
            <w:r>
              <w:rPr>
                <w:rFonts w:hint="eastAsia" w:ascii="Times New Roman" w:hAnsi="Times New Roman"/>
              </w:rPr>
              <w:t>君塘镇</w:t>
            </w:r>
            <w:r>
              <w:rPr>
                <w:rFonts w:ascii="Times New Roman" w:hAnsi="Times New Roman"/>
              </w:rPr>
              <w:t>污水处理厂处理后排放，对地表水环境影响小。</w:t>
            </w:r>
          </w:p>
          <w:p w14:paraId="7E6C07FD">
            <w:pPr>
              <w:pStyle w:val="38"/>
              <w:keepNext/>
              <w:tabs>
                <w:tab w:val="left" w:pos="377"/>
              </w:tabs>
              <w:spacing w:before="0" w:beforeAutospacing="0" w:after="0" w:afterAutospacing="0" w:line="360" w:lineRule="auto"/>
              <w:ind w:firstLine="482" w:firstLineChars="200"/>
              <w:jc w:val="both"/>
              <w:rPr>
                <w:rFonts w:ascii="Times New Roman" w:hAnsi="Times New Roman"/>
              </w:rPr>
            </w:pPr>
            <w:r>
              <w:rPr>
                <w:rFonts w:hint="eastAsia" w:ascii="Times New Roman" w:hAnsi="Times New Roman"/>
                <w:b/>
                <w:kern w:val="2"/>
                <w:lang w:bidi="ar"/>
              </w:rPr>
              <w:t>赵家坝污水处理站</w:t>
            </w:r>
            <w:r>
              <w:rPr>
                <w:rFonts w:ascii="Times New Roman" w:hAnsi="Times New Roman"/>
                <w:b/>
                <w:kern w:val="2"/>
                <w:lang w:bidi="ar"/>
              </w:rPr>
              <w:t>、</w:t>
            </w:r>
            <w:r>
              <w:rPr>
                <w:rFonts w:hint="eastAsia" w:ascii="Times New Roman" w:hAnsi="Times New Roman"/>
                <w:b/>
                <w:kern w:val="2"/>
                <w:lang w:bidi="ar"/>
              </w:rPr>
              <w:t>普光3井</w:t>
            </w:r>
            <w:r>
              <w:rPr>
                <w:rFonts w:ascii="Times New Roman" w:hAnsi="Times New Roman"/>
                <w:b/>
                <w:kern w:val="2"/>
                <w:lang w:bidi="ar"/>
              </w:rPr>
              <w:t>污水回注站处理可行性分析</w:t>
            </w:r>
          </w:p>
          <w:p w14:paraId="6678F326">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color w:val="0000FF"/>
                <w:lang w:bidi="ar"/>
              </w:rPr>
              <w:t>本项目压裂返排液经放喷池及清水池收集后由罐车拉运至赵家坝污水处理站集中处理后由罐车拉运至普光3井等回注处理，现场不外排。</w:t>
            </w:r>
          </w:p>
          <w:p w14:paraId="27E3549F">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废水依托处理可行性分析：</w:t>
            </w:r>
          </w:p>
          <w:p w14:paraId="3E8A6CE3">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①赵家坝污水处理站：</w:t>
            </w:r>
          </w:p>
          <w:p w14:paraId="44C1E63B">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赵家坝污水处理站位于天然气净化厂内，属于普光主体工程，赵家坝污水处理站设计处理能力800m</w:t>
            </w:r>
            <w:r>
              <w:rPr>
                <w:rFonts w:hint="eastAsia" w:ascii="Times New Roman" w:hAnsi="Times New Roman"/>
                <w:vertAlign w:val="superscript"/>
                <w:lang w:bidi="ar"/>
              </w:rPr>
              <w:t>3</w:t>
            </w:r>
            <w:r>
              <w:rPr>
                <w:rFonts w:hint="eastAsia" w:ascii="Times New Roman" w:hAnsi="Times New Roman"/>
                <w:lang w:bidi="ar"/>
              </w:rPr>
              <w:t>/d，目前实际处理污水量为400m</w:t>
            </w:r>
            <w:r>
              <w:rPr>
                <w:rFonts w:hint="eastAsia" w:ascii="Times New Roman" w:hAnsi="Times New Roman"/>
                <w:vertAlign w:val="superscript"/>
                <w:lang w:bidi="ar"/>
              </w:rPr>
              <w:t>3</w:t>
            </w:r>
            <w:r>
              <w:rPr>
                <w:rFonts w:hint="eastAsia" w:ascii="Times New Roman" w:hAnsi="Times New Roman"/>
                <w:lang w:bidi="ar"/>
              </w:rPr>
              <w:t>/d，污水处理系统采用“氧化除硫+混凝沉降+过滤”工艺。</w:t>
            </w:r>
          </w:p>
          <w:p w14:paraId="7E23FA5D">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color w:val="0000FF"/>
                <w:lang w:bidi="ar"/>
              </w:rPr>
              <w:t>本项目单段废水产生量约为912.3m</w:t>
            </w:r>
            <w:r>
              <w:rPr>
                <w:rFonts w:hint="eastAsia" w:ascii="Times New Roman" w:hAnsi="Times New Roman"/>
                <w:color w:val="0000FF"/>
                <w:vertAlign w:val="superscript"/>
                <w:lang w:bidi="ar"/>
              </w:rPr>
              <w:t>3</w:t>
            </w:r>
            <w:r>
              <w:rPr>
                <w:rFonts w:hint="eastAsia" w:ascii="Times New Roman" w:hAnsi="Times New Roman"/>
                <w:color w:val="0000FF"/>
                <w:lang w:bidi="ar"/>
              </w:rPr>
              <w:t>，总压裂返排液量为27369m</w:t>
            </w:r>
            <w:r>
              <w:rPr>
                <w:rFonts w:hint="eastAsia" w:ascii="Times New Roman" w:hAnsi="Times New Roman"/>
                <w:color w:val="0000FF"/>
                <w:vertAlign w:val="superscript"/>
                <w:lang w:bidi="ar"/>
              </w:rPr>
              <w:t>3</w:t>
            </w:r>
            <w:r>
              <w:rPr>
                <w:rFonts w:hint="eastAsia" w:ascii="Times New Roman" w:hAnsi="Times New Roman"/>
                <w:color w:val="0000FF"/>
                <w:lang w:bidi="ar"/>
              </w:rPr>
              <w:t>，预计每天最大返排液量为183m</w:t>
            </w:r>
            <w:r>
              <w:rPr>
                <w:rFonts w:hint="eastAsia" w:ascii="Times New Roman" w:hAnsi="Times New Roman"/>
                <w:color w:val="0000FF"/>
                <w:vertAlign w:val="superscript"/>
                <w:lang w:bidi="ar"/>
              </w:rPr>
              <w:t>3</w:t>
            </w:r>
            <w:r>
              <w:rPr>
                <w:rFonts w:hint="eastAsia" w:ascii="Times New Roman" w:hAnsi="Times New Roman"/>
                <w:color w:val="0000FF"/>
                <w:lang w:bidi="ar"/>
              </w:rPr>
              <w:t>/d，</w:t>
            </w:r>
            <w:r>
              <w:rPr>
                <w:rFonts w:hint="eastAsia" w:ascii="Times New Roman" w:hAnsi="Times New Roman"/>
                <w:lang w:bidi="ar"/>
              </w:rPr>
              <w:t>目前赵家坝污水处理站剩余处理能力为400m</w:t>
            </w:r>
            <w:r>
              <w:rPr>
                <w:rFonts w:hint="eastAsia" w:ascii="Times New Roman" w:hAnsi="Times New Roman"/>
                <w:vertAlign w:val="superscript"/>
                <w:lang w:bidi="ar"/>
              </w:rPr>
              <w:t>3</w:t>
            </w:r>
            <w:r>
              <w:rPr>
                <w:rFonts w:hint="eastAsia" w:ascii="Times New Roman" w:hAnsi="Times New Roman"/>
                <w:lang w:bidi="ar"/>
              </w:rPr>
              <w:t>/d，因此其有足够的处理能力处理本项目采出水。</w:t>
            </w:r>
          </w:p>
          <w:p w14:paraId="7EDA086A">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赵家坝污水处理站环保手续执行情况：</w:t>
            </w:r>
          </w:p>
          <w:p w14:paraId="74496249">
            <w:pPr>
              <w:pStyle w:val="38"/>
              <w:keepNext/>
              <w:tabs>
                <w:tab w:val="left" w:pos="377"/>
              </w:tabs>
              <w:spacing w:before="0" w:beforeAutospacing="0" w:after="0" w:afterAutospacing="0" w:line="360" w:lineRule="auto"/>
              <w:jc w:val="center"/>
              <w:rPr>
                <w:rFonts w:ascii="Times New Roman" w:hAnsi="Times New Roman"/>
                <w:b/>
                <w:bCs/>
                <w:lang w:bidi="ar"/>
              </w:rPr>
            </w:pPr>
            <w:r>
              <w:rPr>
                <w:rFonts w:hint="eastAsia" w:ascii="Times New Roman" w:hAnsi="Times New Roman"/>
                <w:b/>
                <w:bCs/>
                <w:lang w:bidi="ar"/>
              </w:rPr>
              <w:t>表5.2-1 依托工程“三同时”情况一览表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23"/>
              <w:gridCol w:w="1443"/>
              <w:gridCol w:w="3023"/>
              <w:gridCol w:w="2084"/>
            </w:tblGrid>
            <w:tr w14:paraId="444D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14:paraId="4503C9E0">
                  <w:pPr>
                    <w:keepNext/>
                    <w:jc w:val="center"/>
                    <w:rPr>
                      <w:szCs w:val="21"/>
                      <w:lang w:bidi="ar"/>
                    </w:rPr>
                  </w:pPr>
                  <w:r>
                    <w:rPr>
                      <w:rFonts w:hint="eastAsia"/>
                      <w:szCs w:val="21"/>
                      <w:lang w:bidi="ar"/>
                    </w:rPr>
                    <w:t>序号</w:t>
                  </w:r>
                </w:p>
              </w:tc>
              <w:tc>
                <w:tcPr>
                  <w:tcW w:w="923" w:type="dxa"/>
                  <w:vAlign w:val="center"/>
                </w:tcPr>
                <w:p w14:paraId="2276B973">
                  <w:pPr>
                    <w:keepNext/>
                    <w:jc w:val="center"/>
                    <w:rPr>
                      <w:szCs w:val="21"/>
                      <w:lang w:bidi="ar"/>
                    </w:rPr>
                  </w:pPr>
                  <w:r>
                    <w:rPr>
                      <w:rFonts w:hint="eastAsia"/>
                      <w:szCs w:val="21"/>
                      <w:lang w:bidi="ar"/>
                    </w:rPr>
                    <w:t>项目名称</w:t>
                  </w:r>
                </w:p>
              </w:tc>
              <w:tc>
                <w:tcPr>
                  <w:tcW w:w="1443" w:type="dxa"/>
                  <w:vAlign w:val="center"/>
                </w:tcPr>
                <w:p w14:paraId="145FDD04">
                  <w:pPr>
                    <w:keepNext/>
                    <w:jc w:val="center"/>
                    <w:rPr>
                      <w:szCs w:val="21"/>
                      <w:lang w:bidi="ar"/>
                    </w:rPr>
                  </w:pPr>
                  <w:r>
                    <w:rPr>
                      <w:rFonts w:hint="eastAsia"/>
                      <w:szCs w:val="21"/>
                      <w:lang w:bidi="ar"/>
                    </w:rPr>
                    <w:t>工程内容</w:t>
                  </w:r>
                </w:p>
              </w:tc>
              <w:tc>
                <w:tcPr>
                  <w:tcW w:w="3023" w:type="dxa"/>
                  <w:vAlign w:val="center"/>
                </w:tcPr>
                <w:p w14:paraId="6C407D31">
                  <w:pPr>
                    <w:keepNext/>
                    <w:jc w:val="center"/>
                    <w:rPr>
                      <w:szCs w:val="21"/>
                      <w:lang w:bidi="ar"/>
                    </w:rPr>
                  </w:pPr>
                  <w:r>
                    <w:rPr>
                      <w:rFonts w:hint="eastAsia"/>
                      <w:szCs w:val="21"/>
                      <w:lang w:bidi="ar"/>
                    </w:rPr>
                    <w:t>环评批复、文号及批复时间</w:t>
                  </w:r>
                </w:p>
              </w:tc>
              <w:tc>
                <w:tcPr>
                  <w:tcW w:w="2084" w:type="dxa"/>
                  <w:vAlign w:val="center"/>
                </w:tcPr>
                <w:p w14:paraId="30FC18B5">
                  <w:pPr>
                    <w:keepNext/>
                    <w:jc w:val="center"/>
                    <w:rPr>
                      <w:szCs w:val="21"/>
                      <w:lang w:bidi="ar"/>
                    </w:rPr>
                  </w:pPr>
                  <w:r>
                    <w:rPr>
                      <w:rFonts w:hint="eastAsia"/>
                      <w:szCs w:val="21"/>
                      <w:lang w:bidi="ar"/>
                    </w:rPr>
                    <w:t>竣工环保验收时间、文号及验收部分</w:t>
                  </w:r>
                </w:p>
              </w:tc>
            </w:tr>
            <w:tr w14:paraId="3226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14:paraId="38FDAD65">
                  <w:pPr>
                    <w:keepNext/>
                    <w:jc w:val="center"/>
                    <w:rPr>
                      <w:szCs w:val="21"/>
                      <w:lang w:bidi="ar"/>
                    </w:rPr>
                  </w:pPr>
                  <w:r>
                    <w:rPr>
                      <w:rFonts w:hint="eastAsia"/>
                      <w:szCs w:val="21"/>
                      <w:lang w:bidi="ar"/>
                    </w:rPr>
                    <w:t>1</w:t>
                  </w:r>
                </w:p>
              </w:tc>
              <w:tc>
                <w:tcPr>
                  <w:tcW w:w="923" w:type="dxa"/>
                  <w:vAlign w:val="center"/>
                </w:tcPr>
                <w:p w14:paraId="30316A80">
                  <w:pPr>
                    <w:keepNext/>
                    <w:jc w:val="center"/>
                    <w:rPr>
                      <w:szCs w:val="21"/>
                      <w:lang w:bidi="ar"/>
                    </w:rPr>
                  </w:pPr>
                  <w:r>
                    <w:rPr>
                      <w:rFonts w:hint="eastAsia"/>
                      <w:szCs w:val="21"/>
                      <w:lang w:bidi="ar"/>
                    </w:rPr>
                    <w:t xml:space="preserve">赵家坝污水处理站 </w:t>
                  </w:r>
                </w:p>
              </w:tc>
              <w:tc>
                <w:tcPr>
                  <w:tcW w:w="1443" w:type="dxa"/>
                  <w:vAlign w:val="center"/>
                </w:tcPr>
                <w:p w14:paraId="34F15C08">
                  <w:pPr>
                    <w:keepNext/>
                    <w:jc w:val="center"/>
                    <w:rPr>
                      <w:szCs w:val="21"/>
                      <w:lang w:bidi="ar"/>
                    </w:rPr>
                  </w:pPr>
                  <w:r>
                    <w:rPr>
                      <w:rFonts w:hint="eastAsia"/>
                      <w:szCs w:val="21"/>
                      <w:lang w:bidi="ar"/>
                    </w:rPr>
                    <w:t>赵家坝污水处理站（1号气田水处理站）</w:t>
                  </w:r>
                </w:p>
              </w:tc>
              <w:tc>
                <w:tcPr>
                  <w:tcW w:w="3023" w:type="dxa"/>
                  <w:vAlign w:val="center"/>
                </w:tcPr>
                <w:p w14:paraId="1E1BA969">
                  <w:pPr>
                    <w:keepNext/>
                    <w:jc w:val="center"/>
                    <w:rPr>
                      <w:szCs w:val="21"/>
                      <w:lang w:bidi="ar"/>
                    </w:rPr>
                  </w:pPr>
                  <w:r>
                    <w:rPr>
                      <w:rFonts w:hint="eastAsia"/>
                      <w:szCs w:val="21"/>
                      <w:lang w:bidi="ar"/>
                    </w:rPr>
                    <w:t>2015年4月20日，宣汉县</w:t>
                  </w:r>
                  <w:r>
                    <w:rPr>
                      <w:rFonts w:hint="eastAsia"/>
                      <w:szCs w:val="21"/>
                      <w:lang w:val="en-US" w:eastAsia="zh-CN" w:bidi="ar"/>
                    </w:rPr>
                    <w:t xml:space="preserve"> </w:t>
                  </w:r>
                  <w:r>
                    <w:rPr>
                      <w:rFonts w:hint="eastAsia"/>
                      <w:szCs w:val="21"/>
                      <w:lang w:bidi="ar"/>
                    </w:rPr>
                    <w:t>环境</w:t>
                  </w:r>
                  <w:r>
                    <w:rPr>
                      <w:rFonts w:hint="eastAsia"/>
                      <w:szCs w:val="21"/>
                      <w:lang w:val="en-US" w:eastAsia="zh-CN" w:bidi="ar"/>
                    </w:rPr>
                    <w:t xml:space="preserve"> </w:t>
                  </w:r>
                  <w:r>
                    <w:rPr>
                      <w:rFonts w:hint="eastAsia"/>
                      <w:szCs w:val="21"/>
                      <w:lang w:bidi="ar"/>
                    </w:rPr>
                    <w:t>保护</w:t>
                  </w:r>
                  <w:r>
                    <w:rPr>
                      <w:rFonts w:hint="eastAsia"/>
                      <w:szCs w:val="21"/>
                      <w:lang w:val="en-US" w:eastAsia="zh-CN" w:bidi="ar"/>
                    </w:rPr>
                    <w:t xml:space="preserve"> </w:t>
                  </w:r>
                  <w:r>
                    <w:rPr>
                      <w:rFonts w:hint="eastAsia"/>
                      <w:szCs w:val="21"/>
                      <w:lang w:bidi="ar"/>
                    </w:rPr>
                    <w:t>局，宣环审〔2015〕33号；</w:t>
                  </w:r>
                </w:p>
              </w:tc>
              <w:tc>
                <w:tcPr>
                  <w:tcW w:w="2084" w:type="dxa"/>
                  <w:vAlign w:val="center"/>
                </w:tcPr>
                <w:p w14:paraId="3F39E0B0">
                  <w:pPr>
                    <w:keepNext/>
                    <w:jc w:val="center"/>
                    <w:rPr>
                      <w:szCs w:val="21"/>
                      <w:lang w:bidi="ar"/>
                    </w:rPr>
                  </w:pPr>
                  <w:r>
                    <w:rPr>
                      <w:rFonts w:hint="eastAsia"/>
                      <w:szCs w:val="21"/>
                      <w:lang w:bidi="ar"/>
                    </w:rPr>
                    <w:t>2016年3月4日，宣汉县</w:t>
                  </w:r>
                  <w:r>
                    <w:rPr>
                      <w:rFonts w:hint="eastAsia"/>
                      <w:szCs w:val="21"/>
                      <w:lang w:val="en-US" w:eastAsia="zh-CN" w:bidi="ar"/>
                    </w:rPr>
                    <w:t xml:space="preserve"> </w:t>
                  </w:r>
                  <w:r>
                    <w:rPr>
                      <w:rFonts w:hint="eastAsia"/>
                      <w:szCs w:val="21"/>
                      <w:lang w:bidi="ar"/>
                    </w:rPr>
                    <w:t>环境</w:t>
                  </w:r>
                  <w:r>
                    <w:rPr>
                      <w:rFonts w:hint="eastAsia"/>
                      <w:szCs w:val="21"/>
                      <w:lang w:val="en-US" w:eastAsia="zh-CN" w:bidi="ar"/>
                    </w:rPr>
                    <w:t xml:space="preserve"> </w:t>
                  </w:r>
                  <w:r>
                    <w:rPr>
                      <w:rFonts w:hint="eastAsia"/>
                      <w:szCs w:val="21"/>
                      <w:lang w:bidi="ar"/>
                    </w:rPr>
                    <w:t>保护</w:t>
                  </w:r>
                  <w:r>
                    <w:rPr>
                      <w:rFonts w:hint="eastAsia"/>
                      <w:szCs w:val="21"/>
                      <w:lang w:val="en-US" w:eastAsia="zh-CN" w:bidi="ar"/>
                    </w:rPr>
                    <w:t xml:space="preserve"> </w:t>
                  </w:r>
                  <w:r>
                    <w:rPr>
                      <w:rFonts w:hint="eastAsia"/>
                      <w:szCs w:val="21"/>
                      <w:lang w:bidi="ar"/>
                    </w:rPr>
                    <w:t>局，宣环验〔2016〕1号</w:t>
                  </w:r>
                </w:p>
              </w:tc>
            </w:tr>
            <w:tr w14:paraId="2797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14:paraId="39DCAF25">
                  <w:pPr>
                    <w:keepNext/>
                    <w:jc w:val="center"/>
                    <w:rPr>
                      <w:szCs w:val="21"/>
                      <w:lang w:bidi="ar"/>
                    </w:rPr>
                  </w:pPr>
                  <w:r>
                    <w:rPr>
                      <w:rFonts w:hint="eastAsia"/>
                      <w:szCs w:val="21"/>
                      <w:lang w:bidi="ar"/>
                    </w:rPr>
                    <w:t>2</w:t>
                  </w:r>
                </w:p>
              </w:tc>
              <w:tc>
                <w:tcPr>
                  <w:tcW w:w="923" w:type="dxa"/>
                  <w:vAlign w:val="center"/>
                </w:tcPr>
                <w:p w14:paraId="41D63616">
                  <w:pPr>
                    <w:keepNext/>
                    <w:jc w:val="center"/>
                    <w:rPr>
                      <w:szCs w:val="21"/>
                      <w:lang w:bidi="ar"/>
                    </w:rPr>
                  </w:pPr>
                  <w:r>
                    <w:rPr>
                      <w:rFonts w:hint="eastAsia"/>
                      <w:szCs w:val="21"/>
                      <w:lang w:bidi="ar"/>
                    </w:rPr>
                    <w:t>普光3井等回注站</w:t>
                  </w:r>
                </w:p>
              </w:tc>
              <w:tc>
                <w:tcPr>
                  <w:tcW w:w="1443" w:type="dxa"/>
                  <w:vAlign w:val="center"/>
                </w:tcPr>
                <w:p w14:paraId="74835F7E">
                  <w:pPr>
                    <w:keepNext/>
                    <w:jc w:val="center"/>
                    <w:rPr>
                      <w:szCs w:val="21"/>
                      <w:lang w:bidi="ar"/>
                    </w:rPr>
                  </w:pPr>
                  <w:r>
                    <w:rPr>
                      <w:rFonts w:hint="eastAsia"/>
                      <w:szCs w:val="21"/>
                      <w:lang w:bidi="ar"/>
                    </w:rPr>
                    <w:t>普光3井回注站管线</w:t>
                  </w:r>
                </w:p>
              </w:tc>
              <w:tc>
                <w:tcPr>
                  <w:tcW w:w="3023" w:type="dxa"/>
                  <w:vAlign w:val="center"/>
                </w:tcPr>
                <w:p w14:paraId="01B6E610">
                  <w:pPr>
                    <w:keepNext/>
                    <w:jc w:val="center"/>
                    <w:rPr>
                      <w:szCs w:val="21"/>
                      <w:lang w:bidi="ar"/>
                    </w:rPr>
                  </w:pPr>
                  <w:r>
                    <w:rPr>
                      <w:rFonts w:hint="eastAsia"/>
                      <w:szCs w:val="21"/>
                      <w:lang w:bidi="ar"/>
                    </w:rPr>
                    <w:t>2013年10月24日，四川省环境保护厅，川环审批〔2013〕634号</w:t>
                  </w:r>
                </w:p>
              </w:tc>
              <w:tc>
                <w:tcPr>
                  <w:tcW w:w="2084" w:type="dxa"/>
                  <w:vAlign w:val="center"/>
                </w:tcPr>
                <w:p w14:paraId="659336E3">
                  <w:pPr>
                    <w:keepNext/>
                    <w:jc w:val="center"/>
                    <w:rPr>
                      <w:szCs w:val="21"/>
                      <w:lang w:bidi="ar"/>
                    </w:rPr>
                  </w:pPr>
                  <w:r>
                    <w:rPr>
                      <w:rFonts w:hint="eastAsia"/>
                      <w:szCs w:val="21"/>
                      <w:lang w:bidi="ar"/>
                    </w:rPr>
                    <w:t>2015年9月15日，四川省环境保护厅，川环验〔2015〕195号</w:t>
                  </w:r>
                </w:p>
              </w:tc>
            </w:tr>
            <w:tr w14:paraId="11FF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14:paraId="018F6749">
                  <w:pPr>
                    <w:keepNext/>
                    <w:jc w:val="center"/>
                    <w:rPr>
                      <w:szCs w:val="21"/>
                      <w:lang w:bidi="ar"/>
                    </w:rPr>
                  </w:pPr>
                  <w:r>
                    <w:rPr>
                      <w:rFonts w:hint="eastAsia"/>
                      <w:szCs w:val="21"/>
                      <w:lang w:bidi="ar"/>
                    </w:rPr>
                    <w:t>3</w:t>
                  </w:r>
                </w:p>
              </w:tc>
              <w:tc>
                <w:tcPr>
                  <w:tcW w:w="923" w:type="dxa"/>
                  <w:vAlign w:val="center"/>
                </w:tcPr>
                <w:p w14:paraId="2546F3C9">
                  <w:pPr>
                    <w:keepNext/>
                    <w:jc w:val="center"/>
                    <w:rPr>
                      <w:szCs w:val="21"/>
                      <w:lang w:bidi="ar"/>
                    </w:rPr>
                  </w:pPr>
                  <w:r>
                    <w:rPr>
                      <w:rFonts w:hint="eastAsia"/>
                      <w:szCs w:val="21"/>
                      <w:lang w:bidi="ar"/>
                    </w:rPr>
                    <w:t>毛开1回注站</w:t>
                  </w:r>
                </w:p>
              </w:tc>
              <w:tc>
                <w:tcPr>
                  <w:tcW w:w="1443" w:type="dxa"/>
                  <w:vAlign w:val="center"/>
                </w:tcPr>
                <w:p w14:paraId="61F266FA">
                  <w:pPr>
                    <w:keepNext/>
                    <w:jc w:val="center"/>
                    <w:rPr>
                      <w:szCs w:val="21"/>
                      <w:lang w:bidi="ar"/>
                    </w:rPr>
                  </w:pPr>
                  <w:r>
                    <w:rPr>
                      <w:rFonts w:hint="eastAsia"/>
                      <w:szCs w:val="21"/>
                      <w:lang w:bidi="ar"/>
                    </w:rPr>
                    <w:t>毛开1井回注管线</w:t>
                  </w:r>
                </w:p>
              </w:tc>
              <w:tc>
                <w:tcPr>
                  <w:tcW w:w="3023" w:type="dxa"/>
                  <w:vAlign w:val="center"/>
                </w:tcPr>
                <w:p w14:paraId="58546D59">
                  <w:pPr>
                    <w:keepNext/>
                    <w:jc w:val="center"/>
                    <w:rPr>
                      <w:szCs w:val="21"/>
                      <w:lang w:bidi="ar"/>
                    </w:rPr>
                  </w:pPr>
                  <w:r>
                    <w:rPr>
                      <w:rFonts w:hint="eastAsia"/>
                      <w:szCs w:val="21"/>
                      <w:lang w:bidi="ar"/>
                    </w:rPr>
                    <w:t>2011年8月，川环审批〔2011〕325号</w:t>
                  </w:r>
                </w:p>
              </w:tc>
              <w:tc>
                <w:tcPr>
                  <w:tcW w:w="2084" w:type="dxa"/>
                  <w:vAlign w:val="center"/>
                </w:tcPr>
                <w:p w14:paraId="25730E01">
                  <w:pPr>
                    <w:keepNext/>
                    <w:jc w:val="center"/>
                    <w:rPr>
                      <w:szCs w:val="21"/>
                      <w:lang w:bidi="ar"/>
                    </w:rPr>
                  </w:pPr>
                  <w:r>
                    <w:rPr>
                      <w:rFonts w:hint="eastAsia"/>
                      <w:szCs w:val="21"/>
                      <w:lang w:bidi="ar"/>
                    </w:rPr>
                    <w:t>2013年，川环验〔2013〕194号文</w:t>
                  </w:r>
                </w:p>
              </w:tc>
            </w:tr>
          </w:tbl>
          <w:p w14:paraId="25C58035">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②普光3井回注站：</w:t>
            </w:r>
          </w:p>
          <w:p w14:paraId="6E19AFE6">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本项目经赵家坝污水处理站处理后的作业废水经处理达标后均通过普光3井回注地层。普光3井等回注站位于达州市宣汉县黄金镇斑竹村3组，</w:t>
            </w:r>
            <w:r>
              <w:rPr>
                <w:rFonts w:hint="eastAsia" w:ascii="Times New Roman" w:hAnsi="Times New Roman"/>
                <w:color w:val="0000FF"/>
                <w:lang w:bidi="ar"/>
              </w:rPr>
              <w:t>该站场已建废水池容积为1200m</w:t>
            </w:r>
            <w:r>
              <w:rPr>
                <w:rFonts w:hint="eastAsia" w:ascii="Times New Roman" w:hAnsi="Times New Roman"/>
                <w:color w:val="0000FF"/>
                <w:vertAlign w:val="superscript"/>
                <w:lang w:bidi="ar"/>
              </w:rPr>
              <w:t>3</w:t>
            </w:r>
            <w:r>
              <w:rPr>
                <w:rFonts w:hint="eastAsia" w:ascii="Times New Roman" w:hAnsi="Times New Roman"/>
                <w:color w:val="0000FF"/>
                <w:lang w:bidi="ar"/>
              </w:rPr>
              <w:t>，池内现有水量为345m</w:t>
            </w:r>
            <w:r>
              <w:rPr>
                <w:rFonts w:hint="eastAsia" w:ascii="Times New Roman" w:hAnsi="Times New Roman"/>
                <w:color w:val="0000FF"/>
                <w:vertAlign w:val="superscript"/>
                <w:lang w:bidi="ar"/>
              </w:rPr>
              <w:t>3</w:t>
            </w:r>
            <w:r>
              <w:rPr>
                <w:rFonts w:hint="eastAsia" w:ascii="Times New Roman" w:hAnsi="Times New Roman"/>
                <w:color w:val="0000FF"/>
                <w:lang w:bidi="ar"/>
              </w:rPr>
              <w:t>，</w:t>
            </w:r>
            <w:r>
              <w:rPr>
                <w:rFonts w:hint="eastAsia" w:ascii="Times New Roman" w:hAnsi="Times New Roman"/>
                <w:lang w:bidi="ar"/>
              </w:rPr>
              <w:t>回注层位为飞仙关组飞一段~飞二段、飞二段~飞三段，注水深度为5423.6m~5476.0m，回注储集空间191×10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，注水压力约为35MPa，污水回注设计规模为300m</w:t>
            </w:r>
            <w:r>
              <w:rPr>
                <w:rFonts w:hint="eastAsia" w:ascii="Times New Roman" w:hAnsi="Times New Roman"/>
                <w:vertAlign w:val="superscript"/>
                <w:lang w:bidi="ar"/>
              </w:rPr>
              <w:t>3</w:t>
            </w:r>
            <w:r>
              <w:rPr>
                <w:rFonts w:hint="eastAsia" w:ascii="Times New Roman" w:hAnsi="Times New Roman"/>
                <w:lang w:bidi="ar"/>
              </w:rPr>
              <w:t>/d，目前回注量为90~130m</w:t>
            </w:r>
            <w:r>
              <w:rPr>
                <w:rFonts w:hint="eastAsia" w:ascii="Times New Roman" w:hAnsi="Times New Roman"/>
                <w:vertAlign w:val="superscript"/>
                <w:lang w:bidi="ar"/>
              </w:rPr>
              <w:t>3</w:t>
            </w:r>
            <w:r>
              <w:rPr>
                <w:rFonts w:hint="eastAsia" w:ascii="Times New Roman" w:hAnsi="Times New Roman"/>
                <w:lang w:bidi="ar"/>
              </w:rPr>
              <w:t>/d，已回注总量为90.33×10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，剩余100.67×10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w:t>
            </w:r>
            <w:r>
              <w:rPr>
                <w:rFonts w:hint="eastAsia" w:ascii="Times New Roman" w:hAnsi="Times New Roman"/>
                <w:color w:val="0000FF"/>
                <w:lang w:bidi="ar"/>
              </w:rPr>
              <w:t>本项目试气工程期间普光3井有足够的回注能力及空间接纳本项目废水</w:t>
            </w:r>
            <w:r>
              <w:rPr>
                <w:rFonts w:hint="eastAsia" w:ascii="Times New Roman" w:hAnsi="Times New Roman"/>
                <w:lang w:bidi="ar"/>
              </w:rPr>
              <w:t>。因此，本项目未能回用完的作业废水可由赵家坝污水处理站通过氧化除硫+混凝沉降+过滤”工艺处理本项目废水，处理后能够满足《气田水回注方法》（SY/T6596-2004）表1中标准，并通过普光3井回注地层。同时普光3井已稳定运行多年，地下空间结构稳定，运行期间未检测到地下空间发生结构变化，剩余总回注量远大于本项目试气废水产生量，剩余储集空间较大，满足回注要求。</w:t>
            </w:r>
          </w:p>
          <w:p w14:paraId="6DB80A33">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ascii="Times New Roman" w:hAnsi="Times New Roman"/>
                <w:lang w:bidi="ar"/>
              </w:rPr>
              <w:t>③</w:t>
            </w:r>
            <w:r>
              <w:rPr>
                <w:rFonts w:hint="eastAsia" w:ascii="Times New Roman" w:hAnsi="Times New Roman"/>
                <w:lang w:bidi="ar"/>
              </w:rPr>
              <w:t>毛开1井回注站</w:t>
            </w:r>
          </w:p>
          <w:p w14:paraId="733A921A">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bookmarkStart w:id="39" w:name="OLE_LINK47"/>
            <w:bookmarkStart w:id="40" w:name="OLE_LINK48"/>
            <w:r>
              <w:rPr>
                <w:rFonts w:hint="eastAsia" w:ascii="Times New Roman" w:hAnsi="Times New Roman"/>
                <w:lang w:bidi="ar"/>
              </w:rPr>
              <w:t>毛开1井回注站位于达州市宣汉县普光镇堰口村6组旁，</w:t>
            </w:r>
            <w:r>
              <w:rPr>
                <w:rFonts w:hint="eastAsia" w:ascii="Times New Roman" w:hAnsi="Times New Roman"/>
                <w:color w:val="0000FF"/>
                <w:lang w:bidi="ar"/>
              </w:rPr>
              <w:t>该站场已建废水池容积为600m</w:t>
            </w:r>
            <w:r>
              <w:rPr>
                <w:rFonts w:hint="eastAsia" w:ascii="Times New Roman" w:hAnsi="Times New Roman"/>
                <w:color w:val="0000FF"/>
                <w:vertAlign w:val="superscript"/>
                <w:lang w:bidi="ar"/>
              </w:rPr>
              <w:t>3</w:t>
            </w:r>
            <w:r>
              <w:rPr>
                <w:rFonts w:hint="eastAsia" w:ascii="Times New Roman" w:hAnsi="Times New Roman"/>
                <w:color w:val="0000FF"/>
                <w:lang w:bidi="ar"/>
              </w:rPr>
              <w:t>，池内现有水量为120m</w:t>
            </w:r>
            <w:r>
              <w:rPr>
                <w:rFonts w:hint="eastAsia" w:ascii="Times New Roman" w:hAnsi="Times New Roman"/>
                <w:color w:val="0000FF"/>
                <w:vertAlign w:val="superscript"/>
                <w:lang w:bidi="ar"/>
              </w:rPr>
              <w:t>3</w:t>
            </w:r>
            <w:r>
              <w:rPr>
                <w:rFonts w:hint="eastAsia" w:ascii="Times New Roman" w:hAnsi="Times New Roman"/>
                <w:color w:val="0000FF"/>
                <w:lang w:bidi="ar"/>
              </w:rPr>
              <w:t>，</w:t>
            </w:r>
            <w:r>
              <w:rPr>
                <w:rFonts w:hint="eastAsia" w:ascii="Times New Roman" w:hAnsi="Times New Roman"/>
                <w:lang w:bidi="ar"/>
              </w:rPr>
              <w:t>该井站回注层位为嘉陵江组（井段3680m～3790m）、雷口坡组（井段2235m～2350m），回注水量储集空间为226.77×10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，井口高压管线设计压力为37MPa，目前回注压力为28MPa，污水回注设计规模为120m</w:t>
            </w:r>
            <w:r>
              <w:rPr>
                <w:rFonts w:hint="eastAsia" w:ascii="Times New Roman" w:hAnsi="Times New Roman"/>
                <w:vertAlign w:val="superscript"/>
                <w:lang w:bidi="ar"/>
              </w:rPr>
              <w:t>3</w:t>
            </w:r>
            <w:r>
              <w:rPr>
                <w:rFonts w:hint="eastAsia" w:ascii="Times New Roman" w:hAnsi="Times New Roman"/>
                <w:lang w:bidi="ar"/>
              </w:rPr>
              <w:t>/d，目前回注量为70~90m</w:t>
            </w:r>
            <w:r>
              <w:rPr>
                <w:rFonts w:hint="eastAsia" w:ascii="Times New Roman" w:hAnsi="Times New Roman"/>
                <w:vertAlign w:val="superscript"/>
                <w:lang w:bidi="ar"/>
              </w:rPr>
              <w:t>3</w:t>
            </w:r>
            <w:r>
              <w:rPr>
                <w:rFonts w:hint="eastAsia" w:ascii="Times New Roman" w:hAnsi="Times New Roman"/>
                <w:lang w:bidi="ar"/>
              </w:rPr>
              <w:t>/d，已回注总量为20×10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w:t>
            </w:r>
            <w:bookmarkEnd w:id="39"/>
            <w:bookmarkEnd w:id="40"/>
            <w:r>
              <w:rPr>
                <w:rFonts w:hint="eastAsia" w:ascii="Times New Roman" w:hAnsi="Times New Roman"/>
                <w:lang w:bidi="ar"/>
              </w:rPr>
              <w:t>剩余206.77×10</w:t>
            </w:r>
            <w:r>
              <w:rPr>
                <w:rFonts w:hint="eastAsia" w:ascii="Times New Roman" w:hAnsi="Times New Roman"/>
                <w:vertAlign w:val="superscript"/>
                <w:lang w:bidi="ar"/>
              </w:rPr>
              <w:t>4</w:t>
            </w:r>
            <w:r>
              <w:rPr>
                <w:rFonts w:hint="eastAsia" w:ascii="Times New Roman" w:hAnsi="Times New Roman"/>
                <w:lang w:bidi="ar"/>
              </w:rPr>
              <w:t>m</w:t>
            </w:r>
            <w:r>
              <w:rPr>
                <w:rFonts w:hint="eastAsia" w:ascii="Times New Roman" w:hAnsi="Times New Roman"/>
                <w:vertAlign w:val="superscript"/>
                <w:lang w:bidi="ar"/>
              </w:rPr>
              <w:t>3</w:t>
            </w:r>
            <w:r>
              <w:rPr>
                <w:rFonts w:hint="eastAsia" w:ascii="Times New Roman" w:hAnsi="Times New Roman"/>
                <w:lang w:bidi="ar"/>
              </w:rPr>
              <w:t>。</w:t>
            </w:r>
            <w:r>
              <w:rPr>
                <w:rFonts w:hint="eastAsia" w:ascii="Times New Roman" w:hAnsi="Times New Roman"/>
                <w:color w:val="0000FF"/>
                <w:lang w:bidi="ar"/>
              </w:rPr>
              <w:t>本项目试气工程期间毛开1井有足够的回注能力及空间接纳本项目废水，剩余总回注量远大于本项目试气废水产生量，剩余储集空间较大，满足回注要求。</w:t>
            </w:r>
          </w:p>
          <w:p w14:paraId="2A50C823">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hint="eastAsia" w:ascii="Times New Roman" w:hAnsi="Times New Roman"/>
                <w:lang w:bidi="ar"/>
              </w:rPr>
              <w:t>本项目污水处理站及回注站依托工程可行性见表 5.2-2。</w:t>
            </w:r>
          </w:p>
          <w:p w14:paraId="6B491640">
            <w:pPr>
              <w:pStyle w:val="38"/>
              <w:keepNext/>
              <w:tabs>
                <w:tab w:val="left" w:pos="377"/>
              </w:tabs>
              <w:spacing w:before="0" w:beforeAutospacing="0" w:after="0" w:afterAutospacing="0" w:line="360" w:lineRule="auto"/>
              <w:jc w:val="center"/>
              <w:rPr>
                <w:rFonts w:ascii="Times New Roman" w:hAnsi="Times New Roman"/>
                <w:b/>
                <w:bCs/>
                <w:lang w:bidi="ar"/>
              </w:rPr>
            </w:pPr>
            <w:r>
              <w:rPr>
                <w:rFonts w:hint="eastAsia" w:ascii="Times New Roman" w:hAnsi="Times New Roman"/>
                <w:b/>
                <w:bCs/>
                <w:lang w:bidi="ar"/>
              </w:rPr>
              <w:t>表 5.2-2 本项目污水处理站及回注站依托可行性</w:t>
            </w:r>
          </w:p>
          <w:tbl>
            <w:tblPr>
              <w:tblStyle w:val="45"/>
              <w:tblW w:w="85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1"/>
              <w:gridCol w:w="1421"/>
            </w:tblGrid>
            <w:tr w14:paraId="5670B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207281A4">
                  <w:pPr>
                    <w:keepNext/>
                    <w:jc w:val="center"/>
                    <w:rPr>
                      <w:szCs w:val="21"/>
                      <w:lang w:bidi="ar"/>
                    </w:rPr>
                  </w:pPr>
                  <w:r>
                    <w:rPr>
                      <w:rFonts w:hint="eastAsia"/>
                      <w:szCs w:val="21"/>
                      <w:lang w:bidi="ar"/>
                    </w:rPr>
                    <w:t>依托工程名称</w:t>
                  </w:r>
                </w:p>
              </w:tc>
              <w:tc>
                <w:tcPr>
                  <w:tcW w:w="1421" w:type="dxa"/>
                  <w:tcBorders>
                    <w:tl2br w:val="nil"/>
                    <w:tr2bl w:val="nil"/>
                  </w:tcBorders>
                  <w:vAlign w:val="center"/>
                </w:tcPr>
                <w:p w14:paraId="57EE4C17">
                  <w:pPr>
                    <w:keepNext/>
                    <w:jc w:val="center"/>
                    <w:rPr>
                      <w:szCs w:val="21"/>
                      <w:lang w:bidi="ar"/>
                    </w:rPr>
                  </w:pPr>
                  <w:r>
                    <w:rPr>
                      <w:rFonts w:hint="eastAsia"/>
                      <w:szCs w:val="21"/>
                      <w:lang w:bidi="ar"/>
                    </w:rPr>
                    <w:t>设计规模（m</w:t>
                  </w:r>
                  <w:r>
                    <w:rPr>
                      <w:rFonts w:hint="eastAsia"/>
                      <w:szCs w:val="21"/>
                      <w:vertAlign w:val="superscript"/>
                      <w:lang w:bidi="ar"/>
                    </w:rPr>
                    <w:t>3</w:t>
                  </w:r>
                  <w:r>
                    <w:rPr>
                      <w:rFonts w:hint="eastAsia"/>
                      <w:szCs w:val="21"/>
                      <w:lang w:bidi="ar"/>
                    </w:rPr>
                    <w:t>/d）</w:t>
                  </w:r>
                </w:p>
              </w:tc>
              <w:tc>
                <w:tcPr>
                  <w:tcW w:w="1421" w:type="dxa"/>
                  <w:tcBorders>
                    <w:tl2br w:val="nil"/>
                    <w:tr2bl w:val="nil"/>
                  </w:tcBorders>
                  <w:vAlign w:val="center"/>
                </w:tcPr>
                <w:p w14:paraId="6F6964FA">
                  <w:pPr>
                    <w:keepNext/>
                    <w:jc w:val="center"/>
                    <w:rPr>
                      <w:szCs w:val="21"/>
                      <w:lang w:bidi="ar"/>
                    </w:rPr>
                  </w:pPr>
                  <w:r>
                    <w:rPr>
                      <w:rFonts w:hint="eastAsia"/>
                      <w:szCs w:val="21"/>
                      <w:lang w:bidi="ar"/>
                    </w:rPr>
                    <w:t>现处理规模（m</w:t>
                  </w:r>
                  <w:r>
                    <w:rPr>
                      <w:rFonts w:hint="eastAsia"/>
                      <w:szCs w:val="21"/>
                      <w:vertAlign w:val="superscript"/>
                      <w:lang w:bidi="ar"/>
                    </w:rPr>
                    <w:t>3</w:t>
                  </w:r>
                  <w:r>
                    <w:rPr>
                      <w:rFonts w:hint="eastAsia"/>
                      <w:szCs w:val="21"/>
                      <w:lang w:bidi="ar"/>
                    </w:rPr>
                    <w:t>/d）</w:t>
                  </w:r>
                </w:p>
              </w:tc>
              <w:tc>
                <w:tcPr>
                  <w:tcW w:w="1421" w:type="dxa"/>
                  <w:tcBorders>
                    <w:tl2br w:val="nil"/>
                    <w:tr2bl w:val="nil"/>
                  </w:tcBorders>
                  <w:vAlign w:val="center"/>
                </w:tcPr>
                <w:p w14:paraId="0D95537A">
                  <w:pPr>
                    <w:keepNext/>
                    <w:jc w:val="center"/>
                    <w:rPr>
                      <w:szCs w:val="21"/>
                      <w:lang w:bidi="ar"/>
                    </w:rPr>
                  </w:pPr>
                  <w:r>
                    <w:rPr>
                      <w:rFonts w:hint="eastAsia"/>
                      <w:szCs w:val="21"/>
                      <w:lang w:bidi="ar"/>
                    </w:rPr>
                    <w:t>富裕能力（m</w:t>
                  </w:r>
                  <w:r>
                    <w:rPr>
                      <w:rFonts w:hint="eastAsia"/>
                      <w:szCs w:val="21"/>
                      <w:vertAlign w:val="superscript"/>
                      <w:lang w:bidi="ar"/>
                    </w:rPr>
                    <w:t>3</w:t>
                  </w:r>
                  <w:r>
                    <w:rPr>
                      <w:rFonts w:hint="eastAsia"/>
                      <w:szCs w:val="21"/>
                      <w:lang w:bidi="ar"/>
                    </w:rPr>
                    <w:t>/d）</w:t>
                  </w:r>
                </w:p>
              </w:tc>
              <w:tc>
                <w:tcPr>
                  <w:tcW w:w="1421" w:type="dxa"/>
                  <w:tcBorders>
                    <w:tl2br w:val="nil"/>
                    <w:tr2bl w:val="nil"/>
                  </w:tcBorders>
                  <w:vAlign w:val="center"/>
                </w:tcPr>
                <w:p w14:paraId="0810F273">
                  <w:pPr>
                    <w:keepNext/>
                    <w:jc w:val="center"/>
                    <w:rPr>
                      <w:szCs w:val="21"/>
                      <w:lang w:bidi="ar"/>
                    </w:rPr>
                  </w:pPr>
                  <w:r>
                    <w:rPr>
                      <w:rFonts w:hint="eastAsia"/>
                      <w:szCs w:val="21"/>
                      <w:lang w:bidi="ar"/>
                    </w:rPr>
                    <w:t>本项目产生量（m</w:t>
                  </w:r>
                  <w:r>
                    <w:rPr>
                      <w:rFonts w:hint="eastAsia"/>
                      <w:szCs w:val="21"/>
                      <w:vertAlign w:val="superscript"/>
                      <w:lang w:bidi="ar"/>
                    </w:rPr>
                    <w:t>3</w:t>
                  </w:r>
                  <w:r>
                    <w:rPr>
                      <w:rFonts w:hint="eastAsia"/>
                      <w:szCs w:val="21"/>
                      <w:lang w:bidi="ar"/>
                    </w:rPr>
                    <w:t>/d）</w:t>
                  </w:r>
                </w:p>
              </w:tc>
              <w:tc>
                <w:tcPr>
                  <w:tcW w:w="1421" w:type="dxa"/>
                  <w:tcBorders>
                    <w:tl2br w:val="nil"/>
                    <w:tr2bl w:val="nil"/>
                  </w:tcBorders>
                  <w:vAlign w:val="center"/>
                </w:tcPr>
                <w:p w14:paraId="7CE93829">
                  <w:pPr>
                    <w:keepNext/>
                    <w:jc w:val="center"/>
                    <w:rPr>
                      <w:szCs w:val="21"/>
                      <w:lang w:bidi="ar"/>
                    </w:rPr>
                  </w:pPr>
                  <w:r>
                    <w:rPr>
                      <w:rFonts w:hint="eastAsia"/>
                      <w:szCs w:val="21"/>
                      <w:lang w:bidi="ar"/>
                    </w:rPr>
                    <w:t>是否可行</w:t>
                  </w:r>
                </w:p>
              </w:tc>
            </w:tr>
            <w:tr w14:paraId="43D72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3B16B540">
                  <w:pPr>
                    <w:keepNext/>
                    <w:jc w:val="center"/>
                    <w:rPr>
                      <w:szCs w:val="21"/>
                      <w:lang w:bidi="ar"/>
                    </w:rPr>
                  </w:pPr>
                  <w:r>
                    <w:rPr>
                      <w:rFonts w:hint="eastAsia"/>
                      <w:szCs w:val="21"/>
                      <w:lang w:bidi="ar"/>
                    </w:rPr>
                    <w:t>赵家坝污水处理站</w:t>
                  </w:r>
                </w:p>
              </w:tc>
              <w:tc>
                <w:tcPr>
                  <w:tcW w:w="1421" w:type="dxa"/>
                  <w:tcBorders>
                    <w:tl2br w:val="nil"/>
                    <w:tr2bl w:val="nil"/>
                  </w:tcBorders>
                  <w:vAlign w:val="center"/>
                </w:tcPr>
                <w:p w14:paraId="35D3E590">
                  <w:pPr>
                    <w:keepNext/>
                    <w:jc w:val="center"/>
                    <w:rPr>
                      <w:szCs w:val="21"/>
                      <w:lang w:bidi="ar"/>
                    </w:rPr>
                  </w:pPr>
                  <w:r>
                    <w:rPr>
                      <w:rFonts w:hint="eastAsia"/>
                      <w:szCs w:val="21"/>
                      <w:lang w:bidi="ar"/>
                    </w:rPr>
                    <w:t>800</w:t>
                  </w:r>
                </w:p>
              </w:tc>
              <w:tc>
                <w:tcPr>
                  <w:tcW w:w="1421" w:type="dxa"/>
                  <w:tcBorders>
                    <w:tl2br w:val="nil"/>
                    <w:tr2bl w:val="nil"/>
                  </w:tcBorders>
                  <w:vAlign w:val="center"/>
                </w:tcPr>
                <w:p w14:paraId="2FDE52C5">
                  <w:pPr>
                    <w:keepNext/>
                    <w:jc w:val="center"/>
                    <w:rPr>
                      <w:szCs w:val="21"/>
                      <w:lang w:bidi="ar"/>
                    </w:rPr>
                  </w:pPr>
                  <w:r>
                    <w:rPr>
                      <w:rFonts w:hint="eastAsia"/>
                      <w:szCs w:val="21"/>
                      <w:lang w:bidi="ar"/>
                    </w:rPr>
                    <w:t>400</w:t>
                  </w:r>
                </w:p>
              </w:tc>
              <w:tc>
                <w:tcPr>
                  <w:tcW w:w="1421" w:type="dxa"/>
                  <w:tcBorders>
                    <w:tl2br w:val="nil"/>
                    <w:tr2bl w:val="nil"/>
                  </w:tcBorders>
                  <w:vAlign w:val="center"/>
                </w:tcPr>
                <w:p w14:paraId="5D835B00">
                  <w:pPr>
                    <w:keepNext/>
                    <w:jc w:val="center"/>
                    <w:rPr>
                      <w:szCs w:val="21"/>
                      <w:lang w:bidi="ar"/>
                    </w:rPr>
                  </w:pPr>
                  <w:r>
                    <w:rPr>
                      <w:rFonts w:hint="eastAsia"/>
                      <w:szCs w:val="21"/>
                      <w:lang w:bidi="ar"/>
                    </w:rPr>
                    <w:t>400</w:t>
                  </w:r>
                </w:p>
              </w:tc>
              <w:tc>
                <w:tcPr>
                  <w:tcW w:w="1421" w:type="dxa"/>
                  <w:tcBorders>
                    <w:tl2br w:val="nil"/>
                    <w:tr2bl w:val="nil"/>
                  </w:tcBorders>
                  <w:vAlign w:val="center"/>
                </w:tcPr>
                <w:p w14:paraId="03E09E4E">
                  <w:pPr>
                    <w:keepNext/>
                    <w:jc w:val="center"/>
                    <w:rPr>
                      <w:szCs w:val="21"/>
                      <w:lang w:bidi="ar"/>
                    </w:rPr>
                  </w:pPr>
                  <w:r>
                    <w:rPr>
                      <w:rFonts w:hint="eastAsia"/>
                      <w:szCs w:val="21"/>
                      <w:lang w:bidi="ar"/>
                    </w:rPr>
                    <w:t>183</w:t>
                  </w:r>
                </w:p>
              </w:tc>
              <w:tc>
                <w:tcPr>
                  <w:tcW w:w="1421" w:type="dxa"/>
                  <w:tcBorders>
                    <w:tl2br w:val="nil"/>
                    <w:tr2bl w:val="nil"/>
                  </w:tcBorders>
                  <w:vAlign w:val="center"/>
                </w:tcPr>
                <w:p w14:paraId="72793B26">
                  <w:pPr>
                    <w:keepNext/>
                    <w:jc w:val="center"/>
                    <w:rPr>
                      <w:szCs w:val="21"/>
                      <w:lang w:bidi="ar"/>
                    </w:rPr>
                  </w:pPr>
                  <w:r>
                    <w:rPr>
                      <w:rFonts w:hint="eastAsia"/>
                      <w:szCs w:val="21"/>
                      <w:lang w:bidi="ar"/>
                    </w:rPr>
                    <w:t>可行</w:t>
                  </w:r>
                </w:p>
              </w:tc>
            </w:tr>
            <w:tr w14:paraId="273A0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694D5F61">
                  <w:pPr>
                    <w:keepNext/>
                    <w:jc w:val="center"/>
                    <w:rPr>
                      <w:szCs w:val="21"/>
                      <w:lang w:bidi="ar"/>
                    </w:rPr>
                  </w:pPr>
                  <w:r>
                    <w:rPr>
                      <w:rFonts w:hint="eastAsia"/>
                      <w:szCs w:val="21"/>
                      <w:lang w:bidi="ar"/>
                    </w:rPr>
                    <w:t>普光3井回注站</w:t>
                  </w:r>
                </w:p>
              </w:tc>
              <w:tc>
                <w:tcPr>
                  <w:tcW w:w="1421" w:type="dxa"/>
                  <w:tcBorders>
                    <w:tl2br w:val="nil"/>
                    <w:tr2bl w:val="nil"/>
                  </w:tcBorders>
                  <w:vAlign w:val="center"/>
                </w:tcPr>
                <w:p w14:paraId="69E0EA44">
                  <w:pPr>
                    <w:keepNext/>
                    <w:jc w:val="center"/>
                    <w:rPr>
                      <w:szCs w:val="21"/>
                      <w:lang w:bidi="ar"/>
                    </w:rPr>
                  </w:pPr>
                  <w:r>
                    <w:rPr>
                      <w:rFonts w:hint="eastAsia"/>
                      <w:szCs w:val="21"/>
                      <w:lang w:bidi="ar"/>
                    </w:rPr>
                    <w:t>300</w:t>
                  </w:r>
                </w:p>
              </w:tc>
              <w:tc>
                <w:tcPr>
                  <w:tcW w:w="1421" w:type="dxa"/>
                  <w:tcBorders>
                    <w:tl2br w:val="nil"/>
                    <w:tr2bl w:val="nil"/>
                  </w:tcBorders>
                  <w:vAlign w:val="center"/>
                </w:tcPr>
                <w:p w14:paraId="26188A9D">
                  <w:pPr>
                    <w:keepNext/>
                    <w:jc w:val="center"/>
                    <w:rPr>
                      <w:szCs w:val="21"/>
                      <w:lang w:bidi="ar"/>
                    </w:rPr>
                  </w:pPr>
                  <w:r>
                    <w:rPr>
                      <w:rFonts w:hint="eastAsia"/>
                      <w:szCs w:val="21"/>
                      <w:lang w:bidi="ar"/>
                    </w:rPr>
                    <w:t>130</w:t>
                  </w:r>
                </w:p>
              </w:tc>
              <w:tc>
                <w:tcPr>
                  <w:tcW w:w="1421" w:type="dxa"/>
                  <w:tcBorders>
                    <w:tl2br w:val="nil"/>
                    <w:tr2bl w:val="nil"/>
                  </w:tcBorders>
                  <w:vAlign w:val="center"/>
                </w:tcPr>
                <w:p w14:paraId="51E8C77F">
                  <w:pPr>
                    <w:keepNext/>
                    <w:jc w:val="center"/>
                    <w:rPr>
                      <w:szCs w:val="21"/>
                      <w:lang w:bidi="ar"/>
                    </w:rPr>
                  </w:pPr>
                  <w:r>
                    <w:rPr>
                      <w:rFonts w:hint="eastAsia"/>
                      <w:szCs w:val="21"/>
                      <w:lang w:bidi="ar"/>
                    </w:rPr>
                    <w:t>170</w:t>
                  </w:r>
                </w:p>
              </w:tc>
              <w:tc>
                <w:tcPr>
                  <w:tcW w:w="1421" w:type="dxa"/>
                  <w:vMerge w:val="restart"/>
                  <w:tcBorders>
                    <w:tl2br w:val="nil"/>
                    <w:tr2bl w:val="nil"/>
                  </w:tcBorders>
                  <w:vAlign w:val="center"/>
                </w:tcPr>
                <w:p w14:paraId="1BE768AF">
                  <w:pPr>
                    <w:keepNext/>
                    <w:jc w:val="center"/>
                    <w:rPr>
                      <w:szCs w:val="21"/>
                      <w:lang w:bidi="ar"/>
                    </w:rPr>
                  </w:pPr>
                  <w:r>
                    <w:rPr>
                      <w:rFonts w:hint="eastAsia"/>
                      <w:szCs w:val="21"/>
                      <w:lang w:bidi="ar"/>
                    </w:rPr>
                    <w:t>183</w:t>
                  </w:r>
                </w:p>
              </w:tc>
              <w:tc>
                <w:tcPr>
                  <w:tcW w:w="1421" w:type="dxa"/>
                  <w:vMerge w:val="restart"/>
                  <w:tcBorders>
                    <w:tl2br w:val="nil"/>
                    <w:tr2bl w:val="nil"/>
                  </w:tcBorders>
                  <w:vAlign w:val="center"/>
                </w:tcPr>
                <w:p w14:paraId="639BF432">
                  <w:pPr>
                    <w:keepNext/>
                    <w:jc w:val="center"/>
                    <w:rPr>
                      <w:szCs w:val="21"/>
                      <w:lang w:bidi="ar"/>
                    </w:rPr>
                  </w:pPr>
                  <w:r>
                    <w:rPr>
                      <w:rFonts w:hint="eastAsia"/>
                      <w:szCs w:val="21"/>
                      <w:lang w:bidi="ar"/>
                    </w:rPr>
                    <w:t>合计处理量可行</w:t>
                  </w:r>
                </w:p>
              </w:tc>
            </w:tr>
            <w:tr w14:paraId="061DD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410217A2">
                  <w:pPr>
                    <w:keepNext/>
                    <w:jc w:val="center"/>
                    <w:rPr>
                      <w:szCs w:val="21"/>
                      <w:lang w:bidi="ar"/>
                    </w:rPr>
                  </w:pPr>
                  <w:r>
                    <w:rPr>
                      <w:rFonts w:hint="eastAsia"/>
                      <w:szCs w:val="21"/>
                      <w:lang w:bidi="ar"/>
                    </w:rPr>
                    <w:t>毛开1回注站</w:t>
                  </w:r>
                </w:p>
              </w:tc>
              <w:tc>
                <w:tcPr>
                  <w:tcW w:w="1421" w:type="dxa"/>
                  <w:tcBorders>
                    <w:tl2br w:val="nil"/>
                    <w:tr2bl w:val="nil"/>
                  </w:tcBorders>
                  <w:vAlign w:val="center"/>
                </w:tcPr>
                <w:p w14:paraId="5C9C48A5">
                  <w:pPr>
                    <w:keepNext/>
                    <w:jc w:val="center"/>
                    <w:rPr>
                      <w:szCs w:val="21"/>
                      <w:lang w:bidi="ar"/>
                    </w:rPr>
                  </w:pPr>
                  <w:r>
                    <w:rPr>
                      <w:rFonts w:hint="eastAsia"/>
                      <w:szCs w:val="21"/>
                      <w:lang w:bidi="ar"/>
                    </w:rPr>
                    <w:t>120</w:t>
                  </w:r>
                </w:p>
              </w:tc>
              <w:tc>
                <w:tcPr>
                  <w:tcW w:w="1421" w:type="dxa"/>
                  <w:tcBorders>
                    <w:tl2br w:val="nil"/>
                    <w:tr2bl w:val="nil"/>
                  </w:tcBorders>
                  <w:vAlign w:val="center"/>
                </w:tcPr>
                <w:p w14:paraId="33CAD062">
                  <w:pPr>
                    <w:keepNext/>
                    <w:jc w:val="center"/>
                    <w:rPr>
                      <w:szCs w:val="21"/>
                      <w:lang w:bidi="ar"/>
                    </w:rPr>
                  </w:pPr>
                  <w:r>
                    <w:rPr>
                      <w:rFonts w:hint="eastAsia"/>
                      <w:szCs w:val="21"/>
                      <w:lang w:bidi="ar"/>
                    </w:rPr>
                    <w:t>90</w:t>
                  </w:r>
                </w:p>
              </w:tc>
              <w:tc>
                <w:tcPr>
                  <w:tcW w:w="1421" w:type="dxa"/>
                  <w:tcBorders>
                    <w:tl2br w:val="nil"/>
                    <w:tr2bl w:val="nil"/>
                  </w:tcBorders>
                  <w:vAlign w:val="center"/>
                </w:tcPr>
                <w:p w14:paraId="00D56F1F">
                  <w:pPr>
                    <w:keepNext/>
                    <w:jc w:val="center"/>
                    <w:rPr>
                      <w:szCs w:val="21"/>
                      <w:lang w:bidi="ar"/>
                    </w:rPr>
                  </w:pPr>
                  <w:r>
                    <w:rPr>
                      <w:rFonts w:hint="eastAsia"/>
                      <w:szCs w:val="21"/>
                      <w:lang w:bidi="ar"/>
                    </w:rPr>
                    <w:t>30</w:t>
                  </w:r>
                </w:p>
              </w:tc>
              <w:tc>
                <w:tcPr>
                  <w:tcW w:w="1421" w:type="dxa"/>
                  <w:vMerge w:val="continue"/>
                  <w:tcBorders>
                    <w:tl2br w:val="nil"/>
                    <w:tr2bl w:val="nil"/>
                  </w:tcBorders>
                  <w:vAlign w:val="center"/>
                </w:tcPr>
                <w:p w14:paraId="49BD7096">
                  <w:pPr>
                    <w:keepNext/>
                    <w:jc w:val="center"/>
                    <w:rPr>
                      <w:szCs w:val="21"/>
                      <w:lang w:bidi="ar"/>
                    </w:rPr>
                  </w:pPr>
                </w:p>
              </w:tc>
              <w:tc>
                <w:tcPr>
                  <w:tcW w:w="1421" w:type="dxa"/>
                  <w:vMerge w:val="continue"/>
                  <w:tcBorders>
                    <w:tl2br w:val="nil"/>
                    <w:tr2bl w:val="nil"/>
                  </w:tcBorders>
                  <w:vAlign w:val="center"/>
                </w:tcPr>
                <w:p w14:paraId="70DE0C81">
                  <w:pPr>
                    <w:keepNext/>
                    <w:jc w:val="center"/>
                    <w:rPr>
                      <w:szCs w:val="21"/>
                      <w:lang w:bidi="ar"/>
                    </w:rPr>
                  </w:pPr>
                </w:p>
              </w:tc>
            </w:tr>
          </w:tbl>
          <w:p w14:paraId="276359D7">
            <w:pPr>
              <w:pStyle w:val="38"/>
              <w:keepNext/>
              <w:tabs>
                <w:tab w:val="left" w:pos="377"/>
              </w:tabs>
              <w:spacing w:before="0" w:beforeAutospacing="0" w:after="0" w:afterAutospacing="0" w:line="360" w:lineRule="auto"/>
              <w:jc w:val="center"/>
              <w:rPr>
                <w:rFonts w:ascii="Times New Roman" w:hAnsi="Times New Roman"/>
                <w:color w:val="0000FF"/>
                <w:lang w:bidi="ar"/>
              </w:rPr>
            </w:pPr>
            <w:r>
              <w:rPr>
                <w:rFonts w:hint="eastAsia" w:ascii="Times New Roman" w:hAnsi="Times New Roman"/>
                <w:color w:val="0000FF"/>
                <w:lang w:bidi="ar"/>
              </w:rPr>
              <w:t>表5.2-3  区域内其他平台施工废水产生时序及产生情况表</w:t>
            </w:r>
          </w:p>
          <w:tbl>
            <w:tblPr>
              <w:tblStyle w:val="45"/>
              <w:tblW w:w="85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1"/>
              <w:gridCol w:w="1421"/>
            </w:tblGrid>
            <w:tr w14:paraId="7C989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11E3A13D">
                  <w:pPr>
                    <w:keepNext/>
                    <w:jc w:val="center"/>
                    <w:rPr>
                      <w:color w:val="0000FF"/>
                      <w:szCs w:val="21"/>
                      <w:lang w:bidi="ar"/>
                    </w:rPr>
                  </w:pPr>
                  <w:r>
                    <w:rPr>
                      <w:rFonts w:hint="eastAsia"/>
                      <w:color w:val="0000FF"/>
                      <w:szCs w:val="21"/>
                      <w:lang w:bidi="ar"/>
                    </w:rPr>
                    <w:t>平台名称</w:t>
                  </w:r>
                </w:p>
              </w:tc>
              <w:tc>
                <w:tcPr>
                  <w:tcW w:w="1421" w:type="dxa"/>
                  <w:tcBorders>
                    <w:tl2br w:val="nil"/>
                    <w:tr2bl w:val="nil"/>
                  </w:tcBorders>
                  <w:vAlign w:val="center"/>
                </w:tcPr>
                <w:p w14:paraId="57FA7955">
                  <w:pPr>
                    <w:keepNext/>
                    <w:jc w:val="center"/>
                    <w:rPr>
                      <w:color w:val="0000FF"/>
                      <w:szCs w:val="21"/>
                      <w:lang w:bidi="ar"/>
                    </w:rPr>
                  </w:pPr>
                  <w:r>
                    <w:rPr>
                      <w:rFonts w:hint="eastAsia"/>
                      <w:color w:val="0000FF"/>
                      <w:szCs w:val="21"/>
                      <w:lang w:bidi="ar"/>
                    </w:rPr>
                    <w:t>环评批复时间</w:t>
                  </w:r>
                </w:p>
              </w:tc>
              <w:tc>
                <w:tcPr>
                  <w:tcW w:w="1421" w:type="dxa"/>
                  <w:tcBorders>
                    <w:tl2br w:val="nil"/>
                    <w:tr2bl w:val="nil"/>
                  </w:tcBorders>
                  <w:vAlign w:val="center"/>
                </w:tcPr>
                <w:p w14:paraId="678F5259">
                  <w:pPr>
                    <w:keepNext/>
                    <w:jc w:val="center"/>
                    <w:rPr>
                      <w:color w:val="0000FF"/>
                      <w:szCs w:val="21"/>
                      <w:lang w:bidi="ar"/>
                    </w:rPr>
                  </w:pPr>
                  <w:r>
                    <w:rPr>
                      <w:rFonts w:hint="eastAsia"/>
                      <w:color w:val="0000FF"/>
                      <w:szCs w:val="21"/>
                      <w:lang w:bidi="ar"/>
                    </w:rPr>
                    <w:t>钻井施工时间</w:t>
                  </w:r>
                </w:p>
              </w:tc>
              <w:tc>
                <w:tcPr>
                  <w:tcW w:w="1421" w:type="dxa"/>
                  <w:tcBorders>
                    <w:tl2br w:val="nil"/>
                    <w:tr2bl w:val="nil"/>
                  </w:tcBorders>
                  <w:vAlign w:val="center"/>
                </w:tcPr>
                <w:p w14:paraId="58E70B93">
                  <w:pPr>
                    <w:keepNext/>
                    <w:jc w:val="center"/>
                    <w:rPr>
                      <w:color w:val="0000FF"/>
                      <w:szCs w:val="21"/>
                      <w:lang w:bidi="ar"/>
                    </w:rPr>
                  </w:pPr>
                  <w:r>
                    <w:rPr>
                      <w:rFonts w:hint="eastAsia"/>
                      <w:color w:val="0000FF"/>
                      <w:szCs w:val="21"/>
                      <w:lang w:bidi="ar"/>
                    </w:rPr>
                    <w:t>预计压裂施工时间</w:t>
                  </w:r>
                </w:p>
              </w:tc>
              <w:tc>
                <w:tcPr>
                  <w:tcW w:w="1421" w:type="dxa"/>
                  <w:tcBorders>
                    <w:tl2br w:val="nil"/>
                    <w:tr2bl w:val="nil"/>
                  </w:tcBorders>
                  <w:shd w:val="clear" w:color="auto" w:fill="auto"/>
                  <w:vAlign w:val="center"/>
                </w:tcPr>
                <w:p w14:paraId="33B22A1D">
                  <w:pPr>
                    <w:keepNext/>
                    <w:jc w:val="center"/>
                    <w:rPr>
                      <w:color w:val="0000FF"/>
                      <w:szCs w:val="21"/>
                      <w:lang w:bidi="ar"/>
                    </w:rPr>
                  </w:pPr>
                  <w:r>
                    <w:rPr>
                      <w:rFonts w:hint="eastAsia"/>
                      <w:color w:val="0000FF"/>
                      <w:szCs w:val="21"/>
                      <w:lang w:bidi="ar"/>
                    </w:rPr>
                    <w:t>压裂返排液产生量/m</w:t>
                  </w:r>
                  <w:r>
                    <w:rPr>
                      <w:rFonts w:hint="eastAsia"/>
                      <w:color w:val="0000FF"/>
                      <w:szCs w:val="21"/>
                      <w:vertAlign w:val="superscript"/>
                      <w:lang w:bidi="ar"/>
                    </w:rPr>
                    <w:t>3</w:t>
                  </w:r>
                </w:p>
              </w:tc>
              <w:tc>
                <w:tcPr>
                  <w:tcW w:w="1421" w:type="dxa"/>
                  <w:tcBorders>
                    <w:tl2br w:val="nil"/>
                    <w:tr2bl w:val="nil"/>
                  </w:tcBorders>
                  <w:shd w:val="clear" w:color="auto" w:fill="auto"/>
                  <w:vAlign w:val="center"/>
                </w:tcPr>
                <w:p w14:paraId="15515C75">
                  <w:pPr>
                    <w:keepNext/>
                    <w:jc w:val="center"/>
                    <w:rPr>
                      <w:color w:val="0000FF"/>
                      <w:szCs w:val="21"/>
                      <w:lang w:bidi="ar"/>
                    </w:rPr>
                  </w:pPr>
                  <w:r>
                    <w:rPr>
                      <w:rFonts w:hint="eastAsia"/>
                      <w:color w:val="0000FF"/>
                      <w:szCs w:val="21"/>
                      <w:lang w:bidi="ar"/>
                    </w:rPr>
                    <w:t>预计每日转运量m</w:t>
                  </w:r>
                  <w:r>
                    <w:rPr>
                      <w:rFonts w:hint="eastAsia"/>
                      <w:color w:val="0000FF"/>
                      <w:szCs w:val="21"/>
                      <w:vertAlign w:val="superscript"/>
                      <w:lang w:bidi="ar"/>
                    </w:rPr>
                    <w:t>3</w:t>
                  </w:r>
                  <w:r>
                    <w:rPr>
                      <w:rFonts w:hint="eastAsia"/>
                      <w:color w:val="0000FF"/>
                      <w:szCs w:val="21"/>
                      <w:lang w:bidi="ar"/>
                    </w:rPr>
                    <w:t>/d</w:t>
                  </w:r>
                </w:p>
              </w:tc>
            </w:tr>
            <w:tr w14:paraId="2F8F8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05CA320D">
                  <w:pPr>
                    <w:keepNext/>
                    <w:jc w:val="center"/>
                    <w:rPr>
                      <w:color w:val="0000FF"/>
                      <w:szCs w:val="21"/>
                      <w:lang w:bidi="ar"/>
                    </w:rPr>
                  </w:pPr>
                  <w:r>
                    <w:rPr>
                      <w:rFonts w:hint="eastAsia"/>
                      <w:color w:val="0000FF"/>
                      <w:szCs w:val="21"/>
                      <w:lang w:bidi="ar"/>
                    </w:rPr>
                    <w:t>分401X井</w:t>
                  </w:r>
                </w:p>
              </w:tc>
              <w:tc>
                <w:tcPr>
                  <w:tcW w:w="1421" w:type="dxa"/>
                  <w:tcBorders>
                    <w:tl2br w:val="nil"/>
                    <w:tr2bl w:val="nil"/>
                  </w:tcBorders>
                  <w:vAlign w:val="center"/>
                </w:tcPr>
                <w:p w14:paraId="3CC283A3">
                  <w:pPr>
                    <w:keepNext/>
                    <w:jc w:val="center"/>
                    <w:rPr>
                      <w:color w:val="0000FF"/>
                      <w:szCs w:val="21"/>
                      <w:lang w:bidi="ar"/>
                    </w:rPr>
                  </w:pPr>
                  <w:r>
                    <w:rPr>
                      <w:rFonts w:hint="eastAsia"/>
                      <w:color w:val="0000FF"/>
                      <w:szCs w:val="21"/>
                      <w:lang w:bidi="ar"/>
                    </w:rPr>
                    <w:t>2025.1</w:t>
                  </w:r>
                </w:p>
              </w:tc>
              <w:tc>
                <w:tcPr>
                  <w:tcW w:w="1421" w:type="dxa"/>
                  <w:tcBorders>
                    <w:tl2br w:val="nil"/>
                    <w:tr2bl w:val="nil"/>
                  </w:tcBorders>
                  <w:vAlign w:val="center"/>
                </w:tcPr>
                <w:p w14:paraId="4071BAB1">
                  <w:pPr>
                    <w:keepNext/>
                    <w:jc w:val="center"/>
                    <w:rPr>
                      <w:color w:val="0000FF"/>
                      <w:szCs w:val="21"/>
                      <w:lang w:bidi="ar"/>
                    </w:rPr>
                  </w:pPr>
                  <w:r>
                    <w:rPr>
                      <w:rFonts w:hint="eastAsia"/>
                      <w:color w:val="0000FF"/>
                      <w:szCs w:val="21"/>
                      <w:lang w:bidi="ar"/>
                    </w:rPr>
                    <w:t>2025.4</w:t>
                  </w:r>
                </w:p>
              </w:tc>
              <w:tc>
                <w:tcPr>
                  <w:tcW w:w="1421" w:type="dxa"/>
                  <w:tcBorders>
                    <w:tl2br w:val="nil"/>
                    <w:tr2bl w:val="nil"/>
                  </w:tcBorders>
                  <w:vAlign w:val="center"/>
                </w:tcPr>
                <w:p w14:paraId="195E1B6D">
                  <w:pPr>
                    <w:keepNext/>
                    <w:jc w:val="center"/>
                    <w:rPr>
                      <w:color w:val="0000FF"/>
                      <w:szCs w:val="21"/>
                      <w:lang w:bidi="ar"/>
                    </w:rPr>
                  </w:pPr>
                  <w:r>
                    <w:rPr>
                      <w:rFonts w:hint="eastAsia"/>
                      <w:color w:val="0000FF"/>
                      <w:szCs w:val="21"/>
                      <w:lang w:bidi="ar"/>
                    </w:rPr>
                    <w:t>2025.9~11</w:t>
                  </w:r>
                </w:p>
              </w:tc>
              <w:tc>
                <w:tcPr>
                  <w:tcW w:w="1421" w:type="dxa"/>
                  <w:tcBorders>
                    <w:tl2br w:val="nil"/>
                    <w:tr2bl w:val="nil"/>
                  </w:tcBorders>
                  <w:shd w:val="clear" w:color="auto" w:fill="auto"/>
                  <w:vAlign w:val="center"/>
                </w:tcPr>
                <w:p w14:paraId="31236E6D">
                  <w:pPr>
                    <w:keepNext/>
                    <w:jc w:val="center"/>
                    <w:rPr>
                      <w:color w:val="0000FF"/>
                      <w:szCs w:val="21"/>
                      <w:lang w:bidi="ar"/>
                    </w:rPr>
                  </w:pPr>
                  <w:r>
                    <w:rPr>
                      <w:rFonts w:hint="eastAsia"/>
                      <w:color w:val="0000FF"/>
                      <w:szCs w:val="21"/>
                      <w:lang w:bidi="ar"/>
                    </w:rPr>
                    <w:t>2281.5</w:t>
                  </w:r>
                </w:p>
              </w:tc>
              <w:tc>
                <w:tcPr>
                  <w:tcW w:w="1421" w:type="dxa"/>
                  <w:tcBorders>
                    <w:tl2br w:val="nil"/>
                    <w:tr2bl w:val="nil"/>
                  </w:tcBorders>
                  <w:shd w:val="clear" w:color="auto" w:fill="auto"/>
                  <w:vAlign w:val="center"/>
                </w:tcPr>
                <w:p w14:paraId="40613CDD">
                  <w:pPr>
                    <w:keepNext/>
                    <w:jc w:val="center"/>
                    <w:rPr>
                      <w:color w:val="0000FF"/>
                      <w:szCs w:val="21"/>
                      <w:lang w:bidi="ar"/>
                    </w:rPr>
                  </w:pPr>
                  <w:r>
                    <w:rPr>
                      <w:rFonts w:hint="eastAsia"/>
                      <w:color w:val="0000FF"/>
                      <w:szCs w:val="21"/>
                      <w:lang w:bidi="ar"/>
                    </w:rPr>
                    <w:t>63</w:t>
                  </w:r>
                </w:p>
              </w:tc>
            </w:tr>
            <w:tr w14:paraId="123FC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64E6F9F1">
                  <w:pPr>
                    <w:keepNext/>
                    <w:jc w:val="center"/>
                    <w:rPr>
                      <w:color w:val="0000FF"/>
                      <w:szCs w:val="21"/>
                      <w:lang w:bidi="ar"/>
                    </w:rPr>
                  </w:pPr>
                  <w:r>
                    <w:rPr>
                      <w:rFonts w:hint="eastAsia"/>
                      <w:color w:val="0000FF"/>
                      <w:szCs w:val="21"/>
                      <w:lang w:bidi="ar"/>
                    </w:rPr>
                    <w:t>普陆12HF井</w:t>
                  </w:r>
                </w:p>
              </w:tc>
              <w:tc>
                <w:tcPr>
                  <w:tcW w:w="1421" w:type="dxa"/>
                  <w:tcBorders>
                    <w:tl2br w:val="nil"/>
                    <w:tr2bl w:val="nil"/>
                  </w:tcBorders>
                  <w:vAlign w:val="center"/>
                </w:tcPr>
                <w:p w14:paraId="06FA0C1D">
                  <w:pPr>
                    <w:keepNext/>
                    <w:jc w:val="center"/>
                    <w:rPr>
                      <w:color w:val="0000FF"/>
                      <w:szCs w:val="21"/>
                      <w:lang w:bidi="ar"/>
                    </w:rPr>
                  </w:pPr>
                  <w:r>
                    <w:rPr>
                      <w:rFonts w:hint="eastAsia"/>
                      <w:color w:val="0000FF"/>
                      <w:szCs w:val="21"/>
                      <w:lang w:bidi="ar"/>
                    </w:rPr>
                    <w:t>2025.1</w:t>
                  </w:r>
                </w:p>
              </w:tc>
              <w:tc>
                <w:tcPr>
                  <w:tcW w:w="1421" w:type="dxa"/>
                  <w:tcBorders>
                    <w:tl2br w:val="nil"/>
                    <w:tr2bl w:val="nil"/>
                  </w:tcBorders>
                  <w:vAlign w:val="center"/>
                </w:tcPr>
                <w:p w14:paraId="4CAF5077">
                  <w:pPr>
                    <w:keepNext/>
                    <w:jc w:val="center"/>
                    <w:rPr>
                      <w:color w:val="0000FF"/>
                      <w:szCs w:val="21"/>
                      <w:lang w:bidi="ar"/>
                    </w:rPr>
                  </w:pPr>
                  <w:r>
                    <w:rPr>
                      <w:rFonts w:hint="eastAsia"/>
                      <w:color w:val="0000FF"/>
                      <w:szCs w:val="21"/>
                      <w:lang w:bidi="ar"/>
                    </w:rPr>
                    <w:t>2025.4</w:t>
                  </w:r>
                </w:p>
              </w:tc>
              <w:tc>
                <w:tcPr>
                  <w:tcW w:w="1421" w:type="dxa"/>
                  <w:tcBorders>
                    <w:tl2br w:val="nil"/>
                    <w:tr2bl w:val="nil"/>
                  </w:tcBorders>
                  <w:vAlign w:val="center"/>
                </w:tcPr>
                <w:p w14:paraId="60B24850">
                  <w:pPr>
                    <w:keepNext/>
                    <w:jc w:val="center"/>
                    <w:rPr>
                      <w:color w:val="0000FF"/>
                      <w:szCs w:val="21"/>
                      <w:lang w:bidi="ar"/>
                    </w:rPr>
                  </w:pPr>
                  <w:r>
                    <w:rPr>
                      <w:rFonts w:hint="eastAsia"/>
                      <w:color w:val="0000FF"/>
                      <w:szCs w:val="21"/>
                      <w:lang w:bidi="ar"/>
                    </w:rPr>
                    <w:t>2025.8~10</w:t>
                  </w:r>
                </w:p>
              </w:tc>
              <w:tc>
                <w:tcPr>
                  <w:tcW w:w="1421" w:type="dxa"/>
                  <w:tcBorders>
                    <w:tl2br w:val="nil"/>
                    <w:tr2bl w:val="nil"/>
                  </w:tcBorders>
                  <w:shd w:val="clear" w:color="auto" w:fill="auto"/>
                  <w:vAlign w:val="center"/>
                </w:tcPr>
                <w:p w14:paraId="0F27A4C8">
                  <w:pPr>
                    <w:keepNext/>
                    <w:jc w:val="center"/>
                    <w:rPr>
                      <w:color w:val="0000FF"/>
                      <w:szCs w:val="21"/>
                      <w:lang w:bidi="ar"/>
                    </w:rPr>
                  </w:pPr>
                  <w:r>
                    <w:rPr>
                      <w:rFonts w:hint="eastAsia"/>
                      <w:color w:val="0000FF"/>
                      <w:szCs w:val="21"/>
                      <w:lang w:bidi="ar"/>
                    </w:rPr>
                    <w:t>5775</w:t>
                  </w:r>
                </w:p>
              </w:tc>
              <w:tc>
                <w:tcPr>
                  <w:tcW w:w="1421" w:type="dxa"/>
                  <w:tcBorders>
                    <w:tl2br w:val="nil"/>
                    <w:tr2bl w:val="nil"/>
                  </w:tcBorders>
                  <w:shd w:val="clear" w:color="auto" w:fill="auto"/>
                  <w:vAlign w:val="center"/>
                </w:tcPr>
                <w:p w14:paraId="3DA13A15">
                  <w:pPr>
                    <w:keepNext/>
                    <w:jc w:val="center"/>
                    <w:rPr>
                      <w:color w:val="0000FF"/>
                      <w:szCs w:val="21"/>
                      <w:lang w:bidi="ar"/>
                    </w:rPr>
                  </w:pPr>
                  <w:r>
                    <w:rPr>
                      <w:rFonts w:hint="eastAsia"/>
                      <w:color w:val="0000FF"/>
                      <w:szCs w:val="21"/>
                      <w:lang w:bidi="ar"/>
                    </w:rPr>
                    <w:t>192.5</w:t>
                  </w:r>
                </w:p>
              </w:tc>
            </w:tr>
            <w:tr w14:paraId="718C2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14:paraId="36A105EC">
                  <w:pPr>
                    <w:keepNext/>
                    <w:jc w:val="center"/>
                    <w:rPr>
                      <w:color w:val="0000FF"/>
                      <w:szCs w:val="21"/>
                      <w:lang w:bidi="ar"/>
                    </w:rPr>
                  </w:pPr>
                  <w:r>
                    <w:rPr>
                      <w:rFonts w:hint="eastAsia"/>
                      <w:color w:val="0000FF"/>
                      <w:szCs w:val="21"/>
                      <w:lang w:bidi="ar"/>
                    </w:rPr>
                    <w:t>双新1X井</w:t>
                  </w:r>
                </w:p>
              </w:tc>
              <w:tc>
                <w:tcPr>
                  <w:tcW w:w="1421" w:type="dxa"/>
                  <w:tcBorders>
                    <w:tl2br w:val="nil"/>
                    <w:tr2bl w:val="nil"/>
                  </w:tcBorders>
                  <w:vAlign w:val="center"/>
                </w:tcPr>
                <w:p w14:paraId="3472771D">
                  <w:pPr>
                    <w:keepNext/>
                    <w:jc w:val="center"/>
                    <w:rPr>
                      <w:color w:val="0000FF"/>
                      <w:szCs w:val="21"/>
                      <w:lang w:bidi="ar"/>
                    </w:rPr>
                  </w:pPr>
                  <w:r>
                    <w:rPr>
                      <w:rFonts w:hint="eastAsia"/>
                      <w:color w:val="0000FF"/>
                      <w:szCs w:val="21"/>
                      <w:lang w:bidi="ar"/>
                    </w:rPr>
                    <w:t>2025.1</w:t>
                  </w:r>
                </w:p>
              </w:tc>
              <w:tc>
                <w:tcPr>
                  <w:tcW w:w="1421" w:type="dxa"/>
                  <w:tcBorders>
                    <w:tl2br w:val="nil"/>
                    <w:tr2bl w:val="nil"/>
                  </w:tcBorders>
                  <w:vAlign w:val="center"/>
                </w:tcPr>
                <w:p w14:paraId="5DBB59C9">
                  <w:pPr>
                    <w:keepNext/>
                    <w:jc w:val="center"/>
                    <w:rPr>
                      <w:color w:val="0000FF"/>
                      <w:szCs w:val="21"/>
                      <w:lang w:bidi="ar"/>
                    </w:rPr>
                  </w:pPr>
                  <w:r>
                    <w:rPr>
                      <w:rFonts w:hint="eastAsia"/>
                      <w:color w:val="0000FF"/>
                      <w:szCs w:val="21"/>
                      <w:lang w:bidi="ar"/>
                    </w:rPr>
                    <w:t>2025.3</w:t>
                  </w:r>
                </w:p>
              </w:tc>
              <w:tc>
                <w:tcPr>
                  <w:tcW w:w="1421" w:type="dxa"/>
                  <w:tcBorders>
                    <w:tl2br w:val="nil"/>
                    <w:tr2bl w:val="nil"/>
                  </w:tcBorders>
                  <w:vAlign w:val="center"/>
                </w:tcPr>
                <w:p w14:paraId="53B09B1A">
                  <w:pPr>
                    <w:keepNext/>
                    <w:jc w:val="center"/>
                    <w:rPr>
                      <w:color w:val="0000FF"/>
                      <w:szCs w:val="21"/>
                      <w:lang w:bidi="ar"/>
                    </w:rPr>
                  </w:pPr>
                  <w:r>
                    <w:rPr>
                      <w:rFonts w:hint="eastAsia"/>
                      <w:color w:val="0000FF"/>
                      <w:szCs w:val="21"/>
                      <w:lang w:bidi="ar"/>
                    </w:rPr>
                    <w:t>2025.6~8</w:t>
                  </w:r>
                </w:p>
              </w:tc>
              <w:tc>
                <w:tcPr>
                  <w:tcW w:w="1421" w:type="dxa"/>
                  <w:tcBorders>
                    <w:tl2br w:val="nil"/>
                    <w:tr2bl w:val="nil"/>
                  </w:tcBorders>
                  <w:vAlign w:val="center"/>
                </w:tcPr>
                <w:p w14:paraId="35BE342C">
                  <w:pPr>
                    <w:keepNext/>
                    <w:jc w:val="center"/>
                    <w:rPr>
                      <w:color w:val="0000FF"/>
                      <w:szCs w:val="21"/>
                      <w:lang w:bidi="ar"/>
                    </w:rPr>
                  </w:pPr>
                  <w:r>
                    <w:rPr>
                      <w:rFonts w:hint="eastAsia"/>
                      <w:color w:val="0000FF"/>
                      <w:szCs w:val="21"/>
                      <w:lang w:bidi="ar"/>
                    </w:rPr>
                    <w:t>9648</w:t>
                  </w:r>
                </w:p>
              </w:tc>
              <w:tc>
                <w:tcPr>
                  <w:tcW w:w="1421" w:type="dxa"/>
                  <w:tcBorders>
                    <w:tl2br w:val="nil"/>
                    <w:tr2bl w:val="nil"/>
                  </w:tcBorders>
                  <w:vAlign w:val="center"/>
                </w:tcPr>
                <w:p w14:paraId="7546AAC7">
                  <w:pPr>
                    <w:keepNext/>
                    <w:jc w:val="center"/>
                    <w:rPr>
                      <w:color w:val="0000FF"/>
                      <w:szCs w:val="21"/>
                      <w:lang w:bidi="ar"/>
                    </w:rPr>
                  </w:pPr>
                  <w:r>
                    <w:rPr>
                      <w:rFonts w:hint="eastAsia"/>
                      <w:color w:val="0000FF"/>
                      <w:szCs w:val="21"/>
                      <w:lang w:bidi="ar"/>
                    </w:rPr>
                    <w:t>160.8</w:t>
                  </w:r>
                </w:p>
              </w:tc>
            </w:tr>
          </w:tbl>
          <w:p w14:paraId="5EA2B416">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lang w:bidi="ar"/>
              </w:rPr>
            </w:pPr>
            <w:r>
              <w:rPr>
                <w:rFonts w:hint="eastAsia" w:ascii="Times New Roman" w:hAnsi="Times New Roman"/>
                <w:color w:val="0000FF"/>
                <w:lang w:bidi="ar"/>
              </w:rPr>
              <w:t>由上表可知，区域内其他井压裂施工时间主要集中在6~11月，本项目钻前工程、钻井工程完工预计时间为2025.11月，试气工程施工时赵家坝污水处理站及普光3井等回注站有足够的富裕能力处理本项目压裂返排液。</w:t>
            </w:r>
          </w:p>
          <w:p w14:paraId="59180447">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lang w:bidi="ar"/>
              </w:rPr>
              <w:t>综上所述，本项目压裂返排液通过密闭罐车拉运至</w:t>
            </w:r>
            <w:r>
              <w:rPr>
                <w:rFonts w:hint="eastAsia" w:ascii="Times New Roman" w:hAnsi="Times New Roman"/>
                <w:lang w:bidi="ar"/>
              </w:rPr>
              <w:t>赵家坝污水处理站</w:t>
            </w:r>
            <w:r>
              <w:rPr>
                <w:rFonts w:ascii="Times New Roman" w:hAnsi="Times New Roman"/>
                <w:lang w:bidi="ar"/>
              </w:rPr>
              <w:t>处理达到《气田水回注方法》（SY/T 6596-2016）中注入水基本要求后</w:t>
            </w:r>
            <w:r>
              <w:rPr>
                <w:rFonts w:hint="eastAsia" w:ascii="Times New Roman" w:hAnsi="Times New Roman"/>
                <w:lang w:bidi="ar"/>
              </w:rPr>
              <w:t>由罐车拉运至普光3井等回注站</w:t>
            </w:r>
            <w:r>
              <w:rPr>
                <w:rFonts w:ascii="Times New Roman" w:hAnsi="Times New Roman"/>
                <w:lang w:bidi="ar"/>
              </w:rPr>
              <w:t>回注处理，不外排，得到妥善处置，未发生环境污染事故。</w:t>
            </w:r>
            <w:r>
              <w:rPr>
                <w:rFonts w:ascii="Times New Roman" w:hAnsi="Times New Roman"/>
              </w:rPr>
              <w:t>项目废水依托</w:t>
            </w:r>
            <w:r>
              <w:rPr>
                <w:rFonts w:hint="eastAsia" w:ascii="Times New Roman" w:hAnsi="Times New Roman"/>
              </w:rPr>
              <w:t>赵家坝污水处理站</w:t>
            </w:r>
            <w:r>
              <w:rPr>
                <w:rFonts w:ascii="Times New Roman" w:hAnsi="Times New Roman"/>
              </w:rPr>
              <w:t>、</w:t>
            </w:r>
            <w:r>
              <w:rPr>
                <w:rFonts w:hint="eastAsia" w:ascii="Times New Roman" w:hAnsi="Times New Roman"/>
              </w:rPr>
              <w:t>普光3井</w:t>
            </w:r>
            <w:r>
              <w:rPr>
                <w:rFonts w:ascii="Times New Roman" w:hAnsi="Times New Roman"/>
              </w:rPr>
              <w:t>污水回注站进行处理，在处理能力及工艺技术上均依托可行。</w:t>
            </w:r>
          </w:p>
          <w:p w14:paraId="2C2FDCB1">
            <w:pPr>
              <w:keepNext/>
              <w:spacing w:line="360" w:lineRule="auto"/>
              <w:ind w:firstLine="482" w:firstLineChars="200"/>
              <w:rPr>
                <w:b/>
                <w:sz w:val="24"/>
              </w:rPr>
            </w:pPr>
            <w:r>
              <w:rPr>
                <w:b/>
                <w:sz w:val="24"/>
                <w:lang w:bidi="ar"/>
              </w:rPr>
              <w:t>（4）废水收集、储存管理及可行性分析</w:t>
            </w:r>
          </w:p>
          <w:p w14:paraId="4308C3E5">
            <w:pPr>
              <w:pStyle w:val="38"/>
              <w:keepNext/>
              <w:widowControl w:val="0"/>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ascii="Times New Roman" w:hAnsi="Times New Roman"/>
                <w:kern w:val="2"/>
                <w:lang w:bidi="ar"/>
              </w:rPr>
              <w:t>1）废水产生及收集情况见下表。</w:t>
            </w:r>
          </w:p>
          <w:p w14:paraId="7AB10457">
            <w:pPr>
              <w:pStyle w:val="38"/>
              <w:widowControl w:val="0"/>
              <w:spacing w:before="0" w:beforeAutospacing="0" w:after="0" w:afterAutospacing="0"/>
              <w:ind w:firstLine="482" w:firstLineChars="200"/>
              <w:jc w:val="center"/>
              <w:rPr>
                <w:rFonts w:ascii="Times New Roman" w:hAnsi="Times New Roman"/>
                <w:sz w:val="21"/>
                <w:szCs w:val="21"/>
              </w:rPr>
            </w:pPr>
            <w:r>
              <w:rPr>
                <w:rFonts w:ascii="Times New Roman" w:hAnsi="Times New Roman"/>
                <w:b/>
                <w:lang w:bidi="ar"/>
              </w:rPr>
              <w:t>表5</w:t>
            </w:r>
            <w:r>
              <w:rPr>
                <w:rFonts w:hint="eastAsia" w:ascii="Times New Roman" w:hAnsi="Times New Roman"/>
                <w:b/>
                <w:lang w:bidi="ar"/>
              </w:rPr>
              <w:t>.2</w:t>
            </w:r>
            <w:r>
              <w:rPr>
                <w:rFonts w:ascii="Times New Roman" w:hAnsi="Times New Roman"/>
                <w:b/>
                <w:lang w:bidi="ar"/>
              </w:rPr>
              <w:t>-</w:t>
            </w:r>
            <w:r>
              <w:rPr>
                <w:rFonts w:hint="eastAsia" w:ascii="Times New Roman" w:hAnsi="Times New Roman"/>
                <w:b/>
                <w:lang w:bidi="ar"/>
              </w:rPr>
              <w:t>4</w:t>
            </w:r>
            <w:r>
              <w:rPr>
                <w:rFonts w:ascii="Times New Roman" w:hAnsi="Times New Roman"/>
                <w:b/>
                <w:lang w:bidi="ar"/>
              </w:rPr>
              <w:t xml:space="preserve">    废水产生及收集情况表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114"/>
              <w:gridCol w:w="2111"/>
              <w:gridCol w:w="1993"/>
              <w:gridCol w:w="1993"/>
            </w:tblGrid>
            <w:tr w14:paraId="08F7E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14:paraId="247BEAEB">
                  <w:pPr>
                    <w:keepNext/>
                    <w:jc w:val="center"/>
                    <w:rPr>
                      <w:b/>
                      <w:kern w:val="0"/>
                      <w:szCs w:val="21"/>
                    </w:rPr>
                  </w:pPr>
                  <w:r>
                    <w:rPr>
                      <w:b/>
                      <w:kern w:val="0"/>
                      <w:szCs w:val="21"/>
                    </w:rPr>
                    <w:t>井号</w:t>
                  </w:r>
                </w:p>
              </w:tc>
              <w:tc>
                <w:tcPr>
                  <w:tcW w:w="1699" w:type="dxa"/>
                  <w:tcBorders>
                    <w:tl2br w:val="nil"/>
                    <w:tr2bl w:val="nil"/>
                  </w:tcBorders>
                  <w:vAlign w:val="center"/>
                </w:tcPr>
                <w:p w14:paraId="46DD37D3">
                  <w:pPr>
                    <w:keepNext/>
                    <w:jc w:val="center"/>
                    <w:rPr>
                      <w:b/>
                      <w:szCs w:val="21"/>
                    </w:rPr>
                  </w:pPr>
                  <w:r>
                    <w:rPr>
                      <w:b/>
                      <w:szCs w:val="21"/>
                      <w:lang w:bidi="ar"/>
                    </w:rPr>
                    <w:t>钻井废水</w:t>
                  </w:r>
                </w:p>
              </w:tc>
              <w:tc>
                <w:tcPr>
                  <w:tcW w:w="1604" w:type="dxa"/>
                  <w:tcBorders>
                    <w:tl2br w:val="nil"/>
                    <w:tr2bl w:val="nil"/>
                  </w:tcBorders>
                  <w:vAlign w:val="center"/>
                </w:tcPr>
                <w:p w14:paraId="4D9C9B91">
                  <w:pPr>
                    <w:keepNext/>
                    <w:jc w:val="center"/>
                    <w:rPr>
                      <w:b/>
                      <w:szCs w:val="21"/>
                      <w:lang w:bidi="ar"/>
                    </w:rPr>
                  </w:pPr>
                  <w:r>
                    <w:rPr>
                      <w:b/>
                      <w:szCs w:val="21"/>
                      <w:lang w:bidi="ar"/>
                    </w:rPr>
                    <w:t>洗井废水</w:t>
                  </w:r>
                </w:p>
              </w:tc>
              <w:tc>
                <w:tcPr>
                  <w:tcW w:w="1604" w:type="dxa"/>
                  <w:tcBorders>
                    <w:tl2br w:val="nil"/>
                    <w:tr2bl w:val="nil"/>
                  </w:tcBorders>
                  <w:vAlign w:val="center"/>
                </w:tcPr>
                <w:p w14:paraId="2543FC41">
                  <w:pPr>
                    <w:keepNext/>
                    <w:jc w:val="center"/>
                    <w:rPr>
                      <w:b/>
                      <w:szCs w:val="21"/>
                      <w:lang w:bidi="ar"/>
                    </w:rPr>
                  </w:pPr>
                  <w:r>
                    <w:rPr>
                      <w:b/>
                      <w:szCs w:val="21"/>
                      <w:lang w:bidi="ar"/>
                    </w:rPr>
                    <w:t>压裂返排液</w:t>
                  </w:r>
                </w:p>
              </w:tc>
            </w:tr>
            <w:tr w14:paraId="10EFC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14:paraId="38CD2D10">
                  <w:pPr>
                    <w:widowControl/>
                    <w:jc w:val="center"/>
                    <w:textAlignment w:val="center"/>
                    <w:rPr>
                      <w:szCs w:val="21"/>
                    </w:rPr>
                  </w:pPr>
                  <w:r>
                    <w:rPr>
                      <w:rFonts w:hint="eastAsia"/>
                      <w:kern w:val="0"/>
                      <w:szCs w:val="21"/>
                      <w:lang w:bidi="ar"/>
                    </w:rPr>
                    <w:t>双庙页1HF井</w:t>
                  </w:r>
                </w:p>
              </w:tc>
              <w:tc>
                <w:tcPr>
                  <w:tcW w:w="1699" w:type="dxa"/>
                  <w:tcBorders>
                    <w:tl2br w:val="nil"/>
                    <w:tr2bl w:val="nil"/>
                  </w:tcBorders>
                  <w:vAlign w:val="center"/>
                </w:tcPr>
                <w:p w14:paraId="6C3D1906">
                  <w:pPr>
                    <w:keepNext/>
                    <w:jc w:val="center"/>
                    <w:rPr>
                      <w:szCs w:val="21"/>
                      <w:lang w:bidi="ar"/>
                    </w:rPr>
                  </w:pPr>
                  <w:r>
                    <w:rPr>
                      <w:rFonts w:hint="eastAsia"/>
                      <w:szCs w:val="21"/>
                      <w:lang w:bidi="ar"/>
                    </w:rPr>
                    <w:t>127</w:t>
                  </w:r>
                  <w:r>
                    <w:rPr>
                      <w:szCs w:val="21"/>
                      <w:lang w:bidi="ar"/>
                    </w:rPr>
                    <w:t>m</w:t>
                  </w:r>
                  <w:r>
                    <w:rPr>
                      <w:szCs w:val="21"/>
                      <w:vertAlign w:val="superscript"/>
                      <w:lang w:bidi="ar"/>
                    </w:rPr>
                    <w:t>3</w:t>
                  </w:r>
                </w:p>
              </w:tc>
              <w:tc>
                <w:tcPr>
                  <w:tcW w:w="1604" w:type="dxa"/>
                  <w:tcBorders>
                    <w:tl2br w:val="nil"/>
                    <w:tr2bl w:val="nil"/>
                  </w:tcBorders>
                  <w:vAlign w:val="center"/>
                </w:tcPr>
                <w:p w14:paraId="5DDCB361">
                  <w:pPr>
                    <w:keepNext/>
                    <w:jc w:val="center"/>
                    <w:rPr>
                      <w:szCs w:val="21"/>
                      <w:lang w:bidi="ar"/>
                    </w:rPr>
                  </w:pPr>
                  <w:r>
                    <w:rPr>
                      <w:szCs w:val="21"/>
                      <w:lang w:bidi="ar"/>
                    </w:rPr>
                    <w:t>300m</w:t>
                  </w:r>
                  <w:r>
                    <w:rPr>
                      <w:szCs w:val="21"/>
                      <w:vertAlign w:val="superscript"/>
                      <w:lang w:bidi="ar"/>
                    </w:rPr>
                    <w:t>3</w:t>
                  </w:r>
                </w:p>
              </w:tc>
              <w:tc>
                <w:tcPr>
                  <w:tcW w:w="1604" w:type="dxa"/>
                  <w:tcBorders>
                    <w:tl2br w:val="nil"/>
                    <w:tr2bl w:val="nil"/>
                  </w:tcBorders>
                  <w:vAlign w:val="center"/>
                </w:tcPr>
                <w:p w14:paraId="72495767">
                  <w:pPr>
                    <w:keepNext/>
                    <w:jc w:val="center"/>
                    <w:rPr>
                      <w:szCs w:val="21"/>
                      <w:lang w:bidi="ar"/>
                    </w:rPr>
                  </w:pPr>
                  <w:r>
                    <w:rPr>
                      <w:rFonts w:hint="eastAsia"/>
                      <w:szCs w:val="21"/>
                      <w:lang w:bidi="ar"/>
                    </w:rPr>
                    <w:t>27369</w:t>
                  </w:r>
                  <w:r>
                    <w:rPr>
                      <w:szCs w:val="21"/>
                      <w:lang w:bidi="ar"/>
                    </w:rPr>
                    <w:t>m</w:t>
                  </w:r>
                  <w:r>
                    <w:rPr>
                      <w:szCs w:val="21"/>
                      <w:vertAlign w:val="superscript"/>
                      <w:lang w:bidi="ar"/>
                    </w:rPr>
                    <w:t>3</w:t>
                  </w:r>
                </w:p>
              </w:tc>
            </w:tr>
          </w:tbl>
          <w:p w14:paraId="5B1EAE47">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lang w:bidi="ar"/>
              </w:rPr>
              <w:t>通过上表可以看出，本项目钻井废水不能回用时用密闭罐车定期拉运至</w:t>
            </w:r>
            <w:r>
              <w:rPr>
                <w:rFonts w:hint="eastAsia" w:ascii="Times New Roman" w:hAnsi="Times New Roman"/>
                <w:lang w:bidi="ar"/>
              </w:rPr>
              <w:t>赵家坝污水处理站</w:t>
            </w:r>
            <w:r>
              <w:rPr>
                <w:rFonts w:ascii="Times New Roman" w:hAnsi="Times New Roman"/>
                <w:lang w:bidi="ar"/>
              </w:rPr>
              <w:t>处理达标后</w:t>
            </w:r>
            <w:r>
              <w:rPr>
                <w:rFonts w:hint="eastAsia" w:ascii="Times New Roman" w:hAnsi="Times New Roman"/>
                <w:lang w:bidi="ar"/>
              </w:rPr>
              <w:t>由罐车拉运至普光3井等回注站</w:t>
            </w:r>
            <w:r>
              <w:rPr>
                <w:rFonts w:ascii="Times New Roman" w:hAnsi="Times New Roman"/>
                <w:lang w:bidi="ar"/>
              </w:rPr>
              <w:t>回注，试气工程期间产生的废水总量约</w:t>
            </w:r>
            <w:r>
              <w:rPr>
                <w:rFonts w:hint="eastAsia" w:ascii="Times New Roman" w:hAnsi="Times New Roman"/>
                <w:lang w:bidi="ar"/>
              </w:rPr>
              <w:t>27369</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，每天产生返排液约为</w:t>
            </w:r>
            <w:r>
              <w:rPr>
                <w:rFonts w:hint="eastAsia" w:ascii="Times New Roman" w:hAnsi="Times New Roman"/>
                <w:lang w:bidi="ar"/>
              </w:rPr>
              <w:t>183</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w:t>
            </w:r>
            <w:r>
              <w:rPr>
                <w:rFonts w:hint="eastAsia" w:ascii="Times New Roman" w:hAnsi="Times New Roman"/>
                <w:lang w:bidi="ar"/>
              </w:rPr>
              <w:t>由建设单位安排处理压裂返排液，即产即运，不在现场进行暂存</w:t>
            </w:r>
            <w:r>
              <w:rPr>
                <w:rFonts w:ascii="Times New Roman" w:hAnsi="Times New Roman"/>
                <w:kern w:val="2"/>
                <w:lang w:bidi="ar"/>
              </w:rPr>
              <w:t>。</w:t>
            </w:r>
          </w:p>
          <w:p w14:paraId="19720E19">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2）压裂废水收集、储存管理措施</w:t>
            </w:r>
          </w:p>
          <w:p w14:paraId="6E1FD5AE">
            <w:pPr>
              <w:pStyle w:val="38"/>
              <w:keepNext/>
              <w:tabs>
                <w:tab w:val="left" w:pos="420"/>
              </w:tabs>
              <w:spacing w:before="0" w:beforeAutospacing="0" w:after="0" w:afterAutospacing="0" w:line="360" w:lineRule="auto"/>
              <w:ind w:firstLine="480" w:firstLineChars="200"/>
              <w:jc w:val="both"/>
              <w:rPr>
                <w:rFonts w:ascii="Times New Roman" w:hAnsi="Times New Roman"/>
                <w:b/>
                <w:color w:val="0000FF"/>
              </w:rPr>
            </w:pPr>
            <w:r>
              <w:rPr>
                <w:rFonts w:hint="eastAsia" w:ascii="Times New Roman" w:hAnsi="Times New Roman"/>
                <w:color w:val="0000FF"/>
                <w:kern w:val="2"/>
                <w:lang w:bidi="ar"/>
              </w:rPr>
              <w:t>本项目试气工程作业期间最大返排液量为183</w:t>
            </w:r>
            <w:r>
              <w:rPr>
                <w:rFonts w:ascii="Times New Roman" w:hAnsi="Times New Roman"/>
                <w:bCs/>
                <w:color w:val="0000FF"/>
                <w:lang w:bidi="ar"/>
              </w:rPr>
              <w:t>m</w:t>
            </w:r>
            <w:r>
              <w:rPr>
                <w:rFonts w:ascii="Times New Roman" w:hAnsi="Times New Roman"/>
                <w:bCs/>
                <w:color w:val="0000FF"/>
                <w:vertAlign w:val="superscript"/>
                <w:lang w:bidi="ar"/>
              </w:rPr>
              <w:t>3</w:t>
            </w:r>
            <w:r>
              <w:rPr>
                <w:rFonts w:ascii="Times New Roman" w:hAnsi="Times New Roman"/>
                <w:bCs/>
                <w:color w:val="0000FF"/>
                <w:lang w:bidi="ar"/>
              </w:rPr>
              <w:t>/</w:t>
            </w:r>
            <w:r>
              <w:rPr>
                <w:rFonts w:hint="eastAsia" w:ascii="Times New Roman" w:hAnsi="Times New Roman"/>
                <w:bCs/>
                <w:color w:val="0000FF"/>
                <w:lang w:bidi="ar"/>
              </w:rPr>
              <w:t>d，项目放喷池容积为300m</w:t>
            </w:r>
            <w:r>
              <w:rPr>
                <w:rFonts w:hint="eastAsia" w:ascii="Times New Roman" w:hAnsi="Times New Roman"/>
                <w:bCs/>
                <w:color w:val="0000FF"/>
                <w:vertAlign w:val="superscript"/>
                <w:lang w:bidi="ar"/>
              </w:rPr>
              <w:t>3</w:t>
            </w:r>
            <w:r>
              <w:rPr>
                <w:rFonts w:hint="eastAsia" w:ascii="Times New Roman" w:hAnsi="Times New Roman"/>
                <w:bCs/>
                <w:color w:val="0000FF"/>
                <w:lang w:bidi="ar"/>
              </w:rPr>
              <w:t>，压裂返排液经现场絮凝沉淀后</w:t>
            </w:r>
            <w:r>
              <w:rPr>
                <w:rFonts w:ascii="Times New Roman" w:hAnsi="Times New Roman"/>
                <w:bCs/>
                <w:color w:val="0000FF"/>
                <w:lang w:bidi="ar"/>
              </w:rPr>
              <w:t>利用罐车</w:t>
            </w:r>
            <w:r>
              <w:rPr>
                <w:rFonts w:hint="eastAsia" w:ascii="Times New Roman" w:hAnsi="Times New Roman"/>
                <w:bCs/>
                <w:color w:val="0000FF"/>
                <w:lang w:bidi="ar"/>
              </w:rPr>
              <w:t>及时</w:t>
            </w:r>
            <w:r>
              <w:rPr>
                <w:rFonts w:ascii="Times New Roman" w:hAnsi="Times New Roman"/>
                <w:bCs/>
                <w:color w:val="0000FF"/>
                <w:lang w:bidi="ar"/>
              </w:rPr>
              <w:t>转运</w:t>
            </w:r>
            <w:r>
              <w:rPr>
                <w:rFonts w:hint="eastAsia" w:ascii="Times New Roman" w:hAnsi="Times New Roman"/>
                <w:bCs/>
                <w:color w:val="0000FF"/>
                <w:lang w:bidi="ar"/>
              </w:rPr>
              <w:t>，且通过采用油嘴控制排液，延长排液时间</w:t>
            </w:r>
            <w:r>
              <w:rPr>
                <w:rFonts w:ascii="Times New Roman" w:hAnsi="Times New Roman"/>
                <w:color w:val="0000FF"/>
                <w:lang w:bidi="ar"/>
              </w:rPr>
              <w:t>等措施后，压裂</w:t>
            </w:r>
            <w:r>
              <w:rPr>
                <w:rFonts w:hint="eastAsia" w:ascii="Times New Roman" w:hAnsi="Times New Roman"/>
                <w:color w:val="0000FF"/>
                <w:lang w:bidi="ar"/>
              </w:rPr>
              <w:t>返排液</w:t>
            </w:r>
            <w:r>
              <w:rPr>
                <w:rFonts w:ascii="Times New Roman" w:hAnsi="Times New Roman"/>
                <w:color w:val="0000FF"/>
                <w:lang w:bidi="ar"/>
              </w:rPr>
              <w:t>能够得到有效收集、</w:t>
            </w:r>
            <w:r>
              <w:rPr>
                <w:rFonts w:hint="eastAsia" w:ascii="Times New Roman" w:hAnsi="Times New Roman"/>
                <w:color w:val="0000FF"/>
                <w:lang w:bidi="ar"/>
              </w:rPr>
              <w:t>处理</w:t>
            </w:r>
            <w:r>
              <w:rPr>
                <w:rFonts w:ascii="Times New Roman" w:hAnsi="Times New Roman"/>
                <w:bCs/>
                <w:color w:val="0000FF"/>
                <w:lang w:bidi="ar"/>
              </w:rPr>
              <w:t>。</w:t>
            </w:r>
            <w:r>
              <w:rPr>
                <w:rFonts w:hint="eastAsia" w:ascii="Times New Roman" w:hAnsi="Times New Roman"/>
                <w:bCs/>
                <w:color w:val="0000FF"/>
                <w:lang w:bidi="ar"/>
              </w:rPr>
              <w:t>确保压裂返排液经处理后及时转运至赵家坝污水处理站处理。</w:t>
            </w:r>
          </w:p>
          <w:p w14:paraId="4E350D95">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rPr>
            </w:pPr>
            <w:r>
              <w:rPr>
                <w:rFonts w:ascii="Times New Roman" w:hAnsi="Times New Roman"/>
                <w:color w:val="0000FF"/>
                <w:kern w:val="2"/>
                <w:lang w:bidi="ar"/>
              </w:rPr>
              <w:t>建设单位针对废水储存采取了以下管理措施：</w:t>
            </w:r>
          </w:p>
          <w:p w14:paraId="6188A0A5">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rPr>
            </w:pPr>
            <w:r>
              <w:rPr>
                <w:rFonts w:ascii="Times New Roman" w:hAnsi="Times New Roman"/>
                <w:color w:val="0000FF"/>
                <w:kern w:val="2"/>
                <w:lang w:bidi="ar"/>
              </w:rPr>
              <w:fldChar w:fldCharType="begin"/>
            </w:r>
            <w:r>
              <w:rPr>
                <w:rFonts w:ascii="Times New Roman" w:hAnsi="Times New Roman"/>
                <w:color w:val="0000FF"/>
                <w:kern w:val="2"/>
                <w:lang w:bidi="ar"/>
              </w:rPr>
              <w:instrText xml:space="preserve"> = 1 \* GB3 \* MERGEFORMAT </w:instrText>
            </w:r>
            <w:r>
              <w:rPr>
                <w:rFonts w:ascii="Times New Roman" w:hAnsi="Times New Roman"/>
                <w:color w:val="0000FF"/>
                <w:kern w:val="2"/>
                <w:lang w:bidi="ar"/>
              </w:rPr>
              <w:fldChar w:fldCharType="separate"/>
            </w:r>
            <w:r>
              <w:rPr>
                <w:rFonts w:ascii="Times New Roman" w:hAnsi="Times New Roman"/>
                <w:color w:val="0000FF"/>
                <w:kern w:val="2"/>
                <w:lang w:bidi="ar"/>
              </w:rPr>
              <w:t>①</w:t>
            </w:r>
            <w:r>
              <w:rPr>
                <w:rFonts w:ascii="Times New Roman" w:hAnsi="Times New Roman"/>
                <w:color w:val="0000FF"/>
                <w:kern w:val="2"/>
                <w:lang w:bidi="ar"/>
              </w:rPr>
              <w:fldChar w:fldCharType="end"/>
            </w:r>
            <w:r>
              <w:rPr>
                <w:rFonts w:ascii="Times New Roman" w:hAnsi="Times New Roman"/>
                <w:color w:val="0000FF"/>
                <w:kern w:val="2"/>
                <w:lang w:bidi="ar"/>
              </w:rPr>
              <w:t>井场应实施清污分流，清污分流管道应完善畅通，并确保废水全部进入水池中。</w:t>
            </w:r>
          </w:p>
          <w:p w14:paraId="0AA204ED">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rPr>
            </w:pPr>
            <w:r>
              <w:rPr>
                <w:rFonts w:ascii="Times New Roman" w:hAnsi="Times New Roman"/>
                <w:color w:val="0000FF"/>
                <w:kern w:val="2"/>
                <w:lang w:bidi="ar"/>
              </w:rPr>
              <w:fldChar w:fldCharType="begin"/>
            </w:r>
            <w:r>
              <w:rPr>
                <w:rFonts w:ascii="Times New Roman" w:hAnsi="Times New Roman"/>
                <w:color w:val="0000FF"/>
                <w:kern w:val="2"/>
                <w:lang w:bidi="ar"/>
              </w:rPr>
              <w:instrText xml:space="preserve"> = 2 \* GB3 \* MERGEFORMAT </w:instrText>
            </w:r>
            <w:r>
              <w:rPr>
                <w:rFonts w:ascii="Times New Roman" w:hAnsi="Times New Roman"/>
                <w:color w:val="0000FF"/>
                <w:kern w:val="2"/>
                <w:lang w:bidi="ar"/>
              </w:rPr>
              <w:fldChar w:fldCharType="separate"/>
            </w:r>
            <w:r>
              <w:rPr>
                <w:rFonts w:ascii="Times New Roman" w:hAnsi="Times New Roman"/>
                <w:color w:val="0000FF"/>
                <w:kern w:val="2"/>
                <w:lang w:bidi="ar"/>
              </w:rPr>
              <w:t>②</w:t>
            </w:r>
            <w:r>
              <w:rPr>
                <w:rFonts w:ascii="Times New Roman" w:hAnsi="Times New Roman"/>
                <w:color w:val="0000FF"/>
                <w:kern w:val="2"/>
                <w:lang w:bidi="ar"/>
              </w:rPr>
              <w:fldChar w:fldCharType="end"/>
            </w:r>
            <w:r>
              <w:rPr>
                <w:rFonts w:ascii="Times New Roman" w:hAnsi="Times New Roman"/>
                <w:color w:val="0000FF"/>
                <w:kern w:val="2"/>
                <w:lang w:bidi="ar"/>
              </w:rPr>
              <w:t>不得乱排乱放废水。</w:t>
            </w:r>
          </w:p>
          <w:p w14:paraId="719CB03D">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rPr>
            </w:pPr>
            <w:r>
              <w:rPr>
                <w:rFonts w:ascii="Times New Roman" w:hAnsi="Times New Roman"/>
                <w:color w:val="0000FF"/>
                <w:kern w:val="2"/>
                <w:lang w:bidi="ar"/>
              </w:rPr>
              <w:fldChar w:fldCharType="begin"/>
            </w:r>
            <w:r>
              <w:rPr>
                <w:rFonts w:ascii="Times New Roman" w:hAnsi="Times New Roman"/>
                <w:color w:val="0000FF"/>
                <w:kern w:val="2"/>
                <w:lang w:bidi="ar"/>
              </w:rPr>
              <w:instrText xml:space="preserve"> = 3 \* GB3 \* MERGEFORMAT </w:instrText>
            </w:r>
            <w:r>
              <w:rPr>
                <w:rFonts w:ascii="Times New Roman" w:hAnsi="Times New Roman"/>
                <w:color w:val="0000FF"/>
                <w:kern w:val="2"/>
                <w:lang w:bidi="ar"/>
              </w:rPr>
              <w:fldChar w:fldCharType="separate"/>
            </w:r>
            <w:r>
              <w:rPr>
                <w:rFonts w:ascii="Times New Roman" w:hAnsi="Times New Roman"/>
                <w:color w:val="0000FF"/>
                <w:kern w:val="2"/>
                <w:lang w:bidi="ar"/>
              </w:rPr>
              <w:t>③</w:t>
            </w:r>
            <w:r>
              <w:rPr>
                <w:rFonts w:ascii="Times New Roman" w:hAnsi="Times New Roman"/>
                <w:color w:val="0000FF"/>
                <w:kern w:val="2"/>
                <w:lang w:bidi="ar"/>
              </w:rPr>
              <w:fldChar w:fldCharType="end"/>
            </w:r>
            <w:r>
              <w:rPr>
                <w:rFonts w:ascii="Times New Roman" w:hAnsi="Times New Roman"/>
                <w:color w:val="0000FF"/>
                <w:kern w:val="2"/>
                <w:lang w:bidi="ar"/>
              </w:rPr>
              <w:t>现场人员应定期对水罐渗漏情况进行巡检，发现异常情况立即汇报和整改，并做好记录。</w:t>
            </w:r>
          </w:p>
          <w:p w14:paraId="24D3B598">
            <w:pPr>
              <w:pStyle w:val="38"/>
              <w:keepNext/>
              <w:tabs>
                <w:tab w:val="left" w:pos="377"/>
              </w:tabs>
              <w:spacing w:before="0" w:beforeAutospacing="0" w:after="0" w:afterAutospacing="0" w:line="360" w:lineRule="auto"/>
              <w:ind w:firstLine="480" w:firstLineChars="200"/>
              <w:jc w:val="both"/>
              <w:rPr>
                <w:rFonts w:ascii="Times New Roman" w:hAnsi="Times New Roman"/>
                <w:color w:val="0000FF"/>
              </w:rPr>
            </w:pPr>
            <w:r>
              <w:rPr>
                <w:rFonts w:ascii="Times New Roman" w:hAnsi="Times New Roman"/>
                <w:color w:val="0000FF"/>
                <w:kern w:val="2"/>
                <w:lang w:bidi="ar"/>
              </w:rPr>
              <w:fldChar w:fldCharType="begin"/>
            </w:r>
            <w:r>
              <w:rPr>
                <w:rFonts w:ascii="Times New Roman" w:hAnsi="Times New Roman"/>
                <w:color w:val="0000FF"/>
                <w:kern w:val="2"/>
                <w:lang w:bidi="ar"/>
              </w:rPr>
              <w:instrText xml:space="preserve"> = 4 \* GB3 \* MERGEFORMAT </w:instrText>
            </w:r>
            <w:r>
              <w:rPr>
                <w:rFonts w:ascii="Times New Roman" w:hAnsi="Times New Roman"/>
                <w:color w:val="0000FF"/>
                <w:kern w:val="2"/>
                <w:lang w:bidi="ar"/>
              </w:rPr>
              <w:fldChar w:fldCharType="separate"/>
            </w:r>
            <w:r>
              <w:rPr>
                <w:rFonts w:ascii="Times New Roman" w:hAnsi="Times New Roman"/>
                <w:color w:val="0000FF"/>
                <w:kern w:val="2"/>
                <w:lang w:bidi="ar"/>
              </w:rPr>
              <w:t>④</w:t>
            </w:r>
            <w:r>
              <w:rPr>
                <w:rFonts w:ascii="Times New Roman" w:hAnsi="Times New Roman"/>
                <w:color w:val="0000FF"/>
                <w:kern w:val="2"/>
                <w:lang w:bidi="ar"/>
              </w:rPr>
              <w:fldChar w:fldCharType="end"/>
            </w:r>
            <w:r>
              <w:rPr>
                <w:rFonts w:ascii="Times New Roman" w:hAnsi="Times New Roman"/>
                <w:color w:val="0000FF"/>
                <w:kern w:val="2"/>
                <w:lang w:bidi="ar"/>
              </w:rPr>
              <w:t>井场及时转运废水，以防止暴雨进入水池、水罐引起废水外溢从而导致环境污染。</w:t>
            </w:r>
          </w:p>
          <w:p w14:paraId="20D3EFF2">
            <w:pPr>
              <w:keepNext/>
              <w:spacing w:line="360" w:lineRule="auto"/>
              <w:ind w:firstLine="480" w:firstLineChars="200"/>
              <w:rPr>
                <w:color w:val="0000FF"/>
                <w:sz w:val="24"/>
              </w:rPr>
            </w:pPr>
            <w:r>
              <w:rPr>
                <w:color w:val="0000FF"/>
                <w:sz w:val="24"/>
                <w:lang w:bidi="ar"/>
              </w:rPr>
              <w:t>由此可见，本项目采取的废水收集、储存措施有效可行。</w:t>
            </w:r>
          </w:p>
          <w:p w14:paraId="7EA225DE">
            <w:pPr>
              <w:keepNext/>
              <w:spacing w:line="360" w:lineRule="auto"/>
              <w:ind w:firstLine="482" w:firstLineChars="200"/>
              <w:rPr>
                <w:b/>
                <w:sz w:val="24"/>
              </w:rPr>
            </w:pPr>
            <w:r>
              <w:rPr>
                <w:b/>
                <w:sz w:val="24"/>
                <w:lang w:bidi="ar"/>
              </w:rPr>
              <w:t>（4）废水转运措施分析</w:t>
            </w:r>
          </w:p>
          <w:p w14:paraId="32BFF58A">
            <w:pPr>
              <w:pStyle w:val="38"/>
              <w:keepNext/>
              <w:widowControl w:val="0"/>
              <w:tabs>
                <w:tab w:val="left" w:pos="377"/>
              </w:tabs>
              <w:spacing w:before="0" w:beforeAutospacing="0" w:after="0" w:afterAutospacing="0" w:line="360" w:lineRule="auto"/>
              <w:ind w:firstLine="480" w:firstLineChars="200"/>
              <w:jc w:val="both"/>
              <w:rPr>
                <w:rFonts w:ascii="Times New Roman" w:hAnsi="Times New Roman"/>
                <w:u w:val="single"/>
              </w:rPr>
            </w:pPr>
            <w:r>
              <w:rPr>
                <w:rFonts w:ascii="Times New Roman" w:hAnsi="Times New Roman"/>
                <w:kern w:val="2"/>
                <w:lang w:bidi="ar"/>
              </w:rPr>
              <w:t>本项目最终产生的试气工程废水采用罐车</w:t>
            </w:r>
            <w:r>
              <w:rPr>
                <w:rFonts w:ascii="Times New Roman" w:hAnsi="Times New Roman"/>
                <w:lang w:bidi="ar"/>
              </w:rPr>
              <w:t>拉运</w:t>
            </w:r>
            <w:r>
              <w:rPr>
                <w:rFonts w:ascii="Times New Roman" w:hAnsi="Times New Roman"/>
              </w:rPr>
              <w:t>至废水处理站处理</w:t>
            </w:r>
            <w:r>
              <w:rPr>
                <w:rFonts w:ascii="Times New Roman" w:hAnsi="Times New Roman"/>
                <w:kern w:val="2"/>
                <w:lang w:bidi="ar"/>
              </w:rPr>
              <w:t>，</w:t>
            </w:r>
            <w:r>
              <w:rPr>
                <w:rFonts w:hint="eastAsia" w:ascii="Times New Roman" w:hAnsi="Times New Roman"/>
                <w:kern w:val="2"/>
                <w:lang w:bidi="ar"/>
              </w:rPr>
              <w:t>转运路线详见附图16，</w:t>
            </w:r>
            <w:r>
              <w:rPr>
                <w:rFonts w:ascii="Times New Roman" w:hAnsi="Times New Roman"/>
                <w:kern w:val="2"/>
                <w:lang w:bidi="ar"/>
              </w:rPr>
              <w:t>建设单位针对废水转运采取的管理措施为：</w:t>
            </w:r>
          </w:p>
          <w:p w14:paraId="5718B542">
            <w:pPr>
              <w:keepNext/>
              <w:spacing w:line="360" w:lineRule="auto"/>
              <w:ind w:firstLine="480" w:firstLineChars="200"/>
              <w:rPr>
                <w:sz w:val="24"/>
              </w:rPr>
            </w:pPr>
            <w:r>
              <w:rPr>
                <w:sz w:val="24"/>
                <w:lang w:bidi="ar"/>
              </w:rPr>
              <w:t>①制定科学合理的车辆运输，根据车辆运输实施相应的管理。</w:t>
            </w:r>
          </w:p>
          <w:p w14:paraId="3EBC34B8">
            <w:pPr>
              <w:keepNext/>
              <w:spacing w:line="360" w:lineRule="auto"/>
              <w:ind w:firstLine="480" w:firstLineChars="200"/>
              <w:rPr>
                <w:sz w:val="24"/>
              </w:rPr>
            </w:pPr>
            <w:r>
              <w:rPr>
                <w:sz w:val="24"/>
                <w:lang w:bidi="ar"/>
              </w:rPr>
              <w:t>②废水承运单位为非建设单位所属单位，承运方需具备建设单位HSE准入资格和相应的运输服务准入资格。</w:t>
            </w:r>
          </w:p>
          <w:p w14:paraId="7818FC5F">
            <w:pPr>
              <w:keepNext/>
              <w:spacing w:line="360" w:lineRule="auto"/>
              <w:ind w:firstLine="480" w:firstLineChars="200"/>
              <w:rPr>
                <w:sz w:val="24"/>
              </w:rPr>
            </w:pPr>
            <w:r>
              <w:rPr>
                <w:sz w:val="24"/>
                <w:lang w:bidi="ar"/>
              </w:rPr>
              <w:t>③废水承运单位在开展运输工作之前，应对运输人员进行相关安全环保知识培训，废水运输车辆、装卸工具必须符合安全环保要求，装卸和运输废水过程中不得溢出和渗漏。严禁任意倾倒、排放或向第三方转移废水。</w:t>
            </w:r>
          </w:p>
          <w:p w14:paraId="31710315">
            <w:pPr>
              <w:keepNext/>
              <w:spacing w:line="360" w:lineRule="auto"/>
              <w:ind w:firstLine="480" w:firstLineChars="200"/>
              <w:rPr>
                <w:sz w:val="24"/>
              </w:rPr>
            </w:pPr>
            <w:r>
              <w:rPr>
                <w:sz w:val="24"/>
                <w:lang w:bidi="ar"/>
              </w:rPr>
              <w:t>④废水承运人员进入井场装卸废水，必须遵守有关安全环保管理规定，并服从井站值班人员的管理，不得擅自进入生产装置区和操作井场设备设施。</w:t>
            </w:r>
          </w:p>
          <w:p w14:paraId="39B26799">
            <w:pPr>
              <w:keepNext/>
              <w:spacing w:line="360" w:lineRule="auto"/>
              <w:ind w:firstLine="480" w:firstLineChars="200"/>
              <w:rPr>
                <w:sz w:val="24"/>
              </w:rPr>
            </w:pPr>
            <w:r>
              <w:rPr>
                <w:sz w:val="24"/>
                <w:lang w:bidi="ar"/>
              </w:rPr>
              <w:t>⑤废水车辆运输严格执行签认制度。签认单复印件报属地管理单位安全部门和承运单位备查，保存期不得少于二年。</w:t>
            </w:r>
          </w:p>
          <w:p w14:paraId="0C05D7FB">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⑥废水转运时采取罐车密闭输送。</w:t>
            </w:r>
          </w:p>
          <w:p w14:paraId="7D73428D">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⑦尽量避免在雨天和大雾天转运。</w:t>
            </w:r>
          </w:p>
          <w:p w14:paraId="34A87F6A">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为确保本工程废水得到妥善处理，本着切实保护环境的原则，建议本工程废水转运过程中，增加如下措施：</w:t>
            </w:r>
          </w:p>
          <w:p w14:paraId="01C705C0">
            <w:pPr>
              <w:pStyle w:val="38"/>
              <w:keepNext/>
              <w:tabs>
                <w:tab w:val="left" w:pos="377"/>
              </w:tabs>
              <w:spacing w:before="0" w:beforeAutospacing="0" w:after="0" w:afterAutospacing="0" w:line="360" w:lineRule="auto"/>
              <w:ind w:firstLine="480"/>
              <w:jc w:val="both"/>
              <w:rPr>
                <w:rFonts w:ascii="Times New Roman" w:hAnsi="Times New Roman"/>
                <w:kern w:val="2"/>
                <w:lang w:bidi="ar"/>
              </w:rPr>
            </w:pPr>
            <w:r>
              <w:rPr>
                <w:rFonts w:ascii="Times New Roman" w:hAnsi="Times New Roman"/>
                <w:lang w:bidi="ar"/>
              </w:rPr>
              <w:t>①</w:t>
            </w:r>
            <w:r>
              <w:rPr>
                <w:rFonts w:ascii="Times New Roman" w:hAnsi="Times New Roman"/>
                <w:kern w:val="2"/>
                <w:lang w:bidi="ar"/>
              </w:rPr>
              <w:t>建设单位应当加强对废水承运单位的监管和沟通，督促其严格监管废水转运车辆，运输车辆尽可能绕避饮用水源保护区以防废水承运人员半途随意倾倒废水造成环境污染。</w:t>
            </w:r>
          </w:p>
          <w:p w14:paraId="6C90A518">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②对承包废水转运的承包商实施车辆登记制度，为每台车安装GPS，并纳入建设方的GPS监控系统平台。</w:t>
            </w:r>
          </w:p>
          <w:p w14:paraId="0199484B">
            <w:pPr>
              <w:pStyle w:val="38"/>
              <w:keepNext/>
              <w:tabs>
                <w:tab w:val="left" w:pos="377"/>
              </w:tabs>
              <w:spacing w:before="0" w:beforeAutospacing="0" w:after="0" w:afterAutospacing="0" w:line="360" w:lineRule="auto"/>
              <w:ind w:left="420"/>
              <w:jc w:val="both"/>
              <w:rPr>
                <w:rFonts w:ascii="Times New Roman" w:hAnsi="Times New Roman"/>
                <w:kern w:val="2"/>
                <w:lang w:bidi="ar"/>
              </w:rPr>
            </w:pPr>
            <w:r>
              <w:rPr>
                <w:rFonts w:ascii="Times New Roman" w:hAnsi="Times New Roman"/>
                <w:kern w:val="2"/>
                <w:lang w:bidi="ar"/>
              </w:rPr>
              <w:t>③转运过程做好转运台账，严格实施交接清单制度。</w:t>
            </w:r>
          </w:p>
          <w:p w14:paraId="134961C3">
            <w:pPr>
              <w:pStyle w:val="38"/>
              <w:keepNext/>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hint="eastAsia" w:ascii="Times New Roman" w:hAnsi="Times New Roman"/>
                <w:kern w:val="2"/>
                <w:lang w:bidi="ar"/>
              </w:rPr>
              <w:t>④废水罐车转运过程按照规定道路行驶，减少鸣笛，经过居民区、桥梁时缓慢平稳行驶。</w:t>
            </w:r>
          </w:p>
          <w:p w14:paraId="0BACBAB4">
            <w:pPr>
              <w:pStyle w:val="215"/>
              <w:rPr>
                <w:rFonts w:ascii="Times New Roman" w:hAnsi="Times New Roman" w:cs="Times New Roman"/>
                <w:szCs w:val="24"/>
              </w:rPr>
            </w:pPr>
            <w:r>
              <w:rPr>
                <w:rFonts w:ascii="Times New Roman" w:hAnsi="Times New Roman" w:cs="Times New Roman"/>
                <w:szCs w:val="24"/>
                <w:lang w:bidi="ar"/>
              </w:rPr>
              <w:t>由此可见，本项目采取的废水转运措施有效可行。</w:t>
            </w:r>
          </w:p>
          <w:p w14:paraId="2534EF30">
            <w:pPr>
              <w:spacing w:line="360" w:lineRule="auto"/>
              <w:rPr>
                <w:b/>
                <w:bCs/>
                <w:sz w:val="24"/>
              </w:rPr>
            </w:pPr>
            <w:r>
              <w:rPr>
                <w:b/>
                <w:bCs/>
                <w:sz w:val="24"/>
              </w:rPr>
              <w:t>5.3.3噪声治理措施及可行性分析</w:t>
            </w:r>
          </w:p>
          <w:p w14:paraId="3036F77E">
            <w:pPr>
              <w:pStyle w:val="38"/>
              <w:keepNext/>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ascii="Times New Roman" w:hAnsi="Times New Roman"/>
                <w:kern w:val="2"/>
                <w:lang w:bidi="ar"/>
              </w:rPr>
              <w:t>对于压裂作业产生的噪声，其采取的措施主要是选用低噪声设备、对相关设备采取基础减震和优化井场布局来减轻噪声的影响，对噪声源采取噪声防治措施主要为对相关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14:paraId="2EE2D6FB">
            <w:pPr>
              <w:spacing w:line="360" w:lineRule="auto"/>
              <w:rPr>
                <w:b/>
                <w:bCs/>
                <w:sz w:val="24"/>
              </w:rPr>
            </w:pPr>
            <w:r>
              <w:rPr>
                <w:b/>
                <w:bCs/>
                <w:sz w:val="24"/>
              </w:rPr>
              <w:t>5.3.4固体废物治理措施及可行性分析</w:t>
            </w:r>
          </w:p>
          <w:p w14:paraId="57B2D80F">
            <w:pPr>
              <w:pStyle w:val="215"/>
              <w:rPr>
                <w:rFonts w:ascii="Times New Roman" w:hAnsi="Times New Roman" w:cs="Times New Roman"/>
                <w:color w:val="0000FF"/>
                <w:szCs w:val="24"/>
              </w:rPr>
            </w:pPr>
            <w:r>
              <w:rPr>
                <w:rFonts w:ascii="Times New Roman" w:hAnsi="Times New Roman" w:cs="Times New Roman"/>
                <w:color w:val="0000FF"/>
                <w:szCs w:val="24"/>
              </w:rPr>
              <w:t>试气工程期间产生的固体废物主要为废油、废油桶、废棉纱/手套、压裂返排液絮凝沉淀污泥、废包装材料及生活垃圾。其中危废废物为废油、废油桶、废棉纱/手套、压裂返排液絮凝沉淀污泥。</w:t>
            </w:r>
          </w:p>
          <w:p w14:paraId="2FFD2E2A">
            <w:pPr>
              <w:pStyle w:val="215"/>
              <w:rPr>
                <w:rFonts w:ascii="Times New Roman" w:hAnsi="Times New Roman" w:cs="Times New Roman"/>
                <w:szCs w:val="24"/>
              </w:rPr>
            </w:pPr>
            <w:r>
              <w:rPr>
                <w:rFonts w:ascii="Times New Roman" w:hAnsi="Times New Roman" w:cs="Times New Roman"/>
                <w:szCs w:val="24"/>
              </w:rPr>
              <w:t>危险废物收集后暂存于危险废物贮存点内，拟及时交由有资质单位处置。要求建设单位严格按照《危险废物收集、贮存、运输技术规范》（HJ2025-2012）及《建设项目危险废物环境影响评价指南》中相关规定做好收集、暂存和转运工作。</w:t>
            </w:r>
          </w:p>
          <w:p w14:paraId="5DE3981B">
            <w:pPr>
              <w:pStyle w:val="215"/>
              <w:rPr>
                <w:rFonts w:ascii="Times New Roman" w:hAnsi="Times New Roman" w:cs="Times New Roman"/>
                <w:szCs w:val="24"/>
              </w:rPr>
            </w:pPr>
            <w:r>
              <w:rPr>
                <w:rFonts w:ascii="Times New Roman" w:hAnsi="Times New Roman" w:cs="Times New Roman"/>
                <w:szCs w:val="24"/>
              </w:rPr>
              <w:t>废包装材料集中收集后定期运至就近的废品回收站进行处理。</w:t>
            </w:r>
          </w:p>
          <w:p w14:paraId="38A5B19D">
            <w:pPr>
              <w:pStyle w:val="215"/>
              <w:rPr>
                <w:rFonts w:ascii="Times New Roman" w:hAnsi="Times New Roman" w:cs="Times New Roman"/>
                <w:szCs w:val="24"/>
              </w:rPr>
            </w:pPr>
            <w:r>
              <w:rPr>
                <w:rFonts w:ascii="Times New Roman" w:hAnsi="Times New Roman" w:cs="Times New Roman"/>
                <w:szCs w:val="24"/>
              </w:rPr>
              <w:t>生活垃圾交由当地环卫部门处置。</w:t>
            </w:r>
          </w:p>
          <w:p w14:paraId="190FE502">
            <w:pPr>
              <w:pStyle w:val="215"/>
              <w:rPr>
                <w:rFonts w:ascii="Times New Roman" w:hAnsi="Times New Roman" w:cs="Times New Roman"/>
                <w:szCs w:val="24"/>
              </w:rPr>
            </w:pPr>
            <w:r>
              <w:rPr>
                <w:rFonts w:ascii="Times New Roman" w:hAnsi="Times New Roman" w:cs="Times New Roman"/>
                <w:szCs w:val="24"/>
              </w:rPr>
              <w:t>综上所述，试气工程期间固体废物得到有效处置，对外环境影响较小。</w:t>
            </w:r>
          </w:p>
          <w:p w14:paraId="1B3C3725">
            <w:pPr>
              <w:spacing w:line="360" w:lineRule="auto"/>
              <w:rPr>
                <w:b/>
                <w:bCs/>
                <w:sz w:val="24"/>
              </w:rPr>
            </w:pPr>
            <w:r>
              <w:rPr>
                <w:b/>
                <w:bCs/>
                <w:sz w:val="24"/>
              </w:rPr>
              <w:t>5.4地下水防治措施可行性分析</w:t>
            </w:r>
          </w:p>
          <w:p w14:paraId="1A4DDBEC">
            <w:pPr>
              <w:spacing w:line="360" w:lineRule="auto"/>
              <w:ind w:firstLine="480" w:firstLineChars="200"/>
              <w:rPr>
                <w:sz w:val="24"/>
              </w:rPr>
            </w:pPr>
            <w:r>
              <w:rPr>
                <w:sz w:val="24"/>
              </w:rPr>
              <w:t>（1）源头控制</w:t>
            </w:r>
          </w:p>
          <w:p w14:paraId="5BF0E698">
            <w:pPr>
              <w:spacing w:line="360" w:lineRule="auto"/>
              <w:ind w:firstLine="480" w:firstLineChars="200"/>
              <w:rPr>
                <w:sz w:val="24"/>
              </w:rPr>
            </w:pPr>
            <w:r>
              <w:rPr>
                <w:sz w:val="24"/>
              </w:rPr>
              <w:t>钻井设计中采取先进的钻井方案和清洁钻井液体系，导管段采用清水钻井，一开、二开</w:t>
            </w:r>
            <w:r>
              <w:rPr>
                <w:rFonts w:hint="eastAsia"/>
                <w:sz w:val="24"/>
              </w:rPr>
              <w:t>、三开、四开导眼</w:t>
            </w:r>
            <w:r>
              <w:rPr>
                <w:sz w:val="24"/>
              </w:rPr>
              <w:t>段采用水基钻井液钻井</w:t>
            </w:r>
            <w:r>
              <w:rPr>
                <w:rFonts w:hint="eastAsia"/>
                <w:sz w:val="24"/>
              </w:rPr>
              <w:t>，四开侧钻水平段油基钻井液</w:t>
            </w:r>
            <w:r>
              <w:rPr>
                <w:sz w:val="24"/>
              </w:rPr>
              <w:t>。评价提出井场储备足够的堵漏剂，堵漏剂的选取应考虑清洁、无毒、对人体无害，环境污染轻的种类。通过实施清洁化操作，能够减少新鲜水用量，实行清污分流，减少污水产生量。岩屑堆放区设雨棚。经济技术可行。</w:t>
            </w:r>
          </w:p>
          <w:p w14:paraId="1A4A0D10">
            <w:pPr>
              <w:spacing w:line="360" w:lineRule="auto"/>
              <w:ind w:firstLine="480" w:firstLineChars="200"/>
              <w:rPr>
                <w:sz w:val="24"/>
              </w:rPr>
            </w:pPr>
            <w:r>
              <w:rPr>
                <w:sz w:val="24"/>
              </w:rPr>
              <w:t>（2）防渗分区及防渗措施</w:t>
            </w:r>
          </w:p>
          <w:p w14:paraId="1DBB07B3">
            <w:pPr>
              <w:spacing w:line="360" w:lineRule="auto"/>
              <w:ind w:firstLine="480" w:firstLineChars="200"/>
              <w:rPr>
                <w:sz w:val="24"/>
              </w:rPr>
            </w:pPr>
            <w:r>
              <w:rPr>
                <w:sz w:val="24"/>
              </w:rPr>
              <w:t>重点防渗区：井口区、泥浆泵区、发电房、循环</w:t>
            </w:r>
            <w:r>
              <w:rPr>
                <w:rFonts w:hint="eastAsia"/>
                <w:sz w:val="24"/>
              </w:rPr>
              <w:t>罐区</w:t>
            </w:r>
            <w:r>
              <w:rPr>
                <w:sz w:val="24"/>
              </w:rPr>
              <w:t>、泥浆不落地平台、环境监测池、岩屑堆放区、油罐区</w:t>
            </w:r>
            <w:r>
              <w:rPr>
                <w:rFonts w:hint="eastAsia"/>
                <w:sz w:val="24"/>
              </w:rPr>
              <w:t>储备罐区</w:t>
            </w:r>
            <w:r>
              <w:rPr>
                <w:sz w:val="24"/>
              </w:rPr>
              <w:t>、放喷池</w:t>
            </w:r>
            <w:r>
              <w:rPr>
                <w:rFonts w:hint="eastAsia"/>
                <w:sz w:val="24"/>
              </w:rPr>
              <w:t>、</w:t>
            </w:r>
            <w:r>
              <w:rPr>
                <w:rFonts w:hint="eastAsia"/>
                <w:sz w:val="24"/>
                <w:lang w:val="en-US" w:eastAsia="zh-CN"/>
              </w:rPr>
              <w:t>清水池、危废暂存点、</w:t>
            </w:r>
            <w:r>
              <w:rPr>
                <w:rFonts w:hint="eastAsia"/>
                <w:sz w:val="24"/>
              </w:rPr>
              <w:t>压裂设备区、盐酸罐区、配液罐区、砂罐区、混砂罐撬等</w:t>
            </w:r>
            <w:r>
              <w:rPr>
                <w:sz w:val="24"/>
              </w:rPr>
              <w:t>。</w:t>
            </w:r>
          </w:p>
          <w:p w14:paraId="7187D266">
            <w:pPr>
              <w:spacing w:line="360" w:lineRule="auto"/>
              <w:ind w:firstLine="480" w:firstLineChars="200"/>
              <w:rPr>
                <w:sz w:val="24"/>
              </w:rPr>
            </w:pPr>
            <w:r>
              <w:rPr>
                <w:sz w:val="24"/>
              </w:rPr>
              <w:t>防渗要求：各区域防渗要求满足等效黏土防渗层厚度≥6m，渗透系数≤10</w:t>
            </w:r>
            <w:r>
              <w:rPr>
                <w:sz w:val="24"/>
                <w:vertAlign w:val="superscript"/>
              </w:rPr>
              <w:t>-7</w:t>
            </w:r>
            <w:r>
              <w:rPr>
                <w:sz w:val="24"/>
              </w:rPr>
              <w:t>cm/s。</w:t>
            </w:r>
          </w:p>
          <w:p w14:paraId="5FF96A96">
            <w:pPr>
              <w:spacing w:line="360" w:lineRule="auto"/>
              <w:ind w:firstLine="480" w:firstLineChars="200"/>
              <w:rPr>
                <w:sz w:val="24"/>
              </w:rPr>
            </w:pPr>
            <w:r>
              <w:rPr>
                <w:sz w:val="24"/>
              </w:rPr>
              <w:t>一般防渗区：</w:t>
            </w:r>
            <w:r>
              <w:rPr>
                <w:rFonts w:hint="eastAsia"/>
                <w:sz w:val="24"/>
              </w:rPr>
              <w:t>井架基础、设备区除重点防渗区以外区域、</w:t>
            </w:r>
            <w:r>
              <w:rPr>
                <w:sz w:val="24"/>
              </w:rPr>
              <w:t>生态一体化厕所</w:t>
            </w:r>
            <w:r>
              <w:rPr>
                <w:rFonts w:hint="eastAsia"/>
                <w:sz w:val="24"/>
              </w:rPr>
              <w:t>等</w:t>
            </w:r>
            <w:r>
              <w:rPr>
                <w:sz w:val="24"/>
              </w:rPr>
              <w:t>。防渗要求：上述区域防渗要求满足等效黏土防渗层厚度≥1.5m，渗透系数≤10</w:t>
            </w:r>
            <w:r>
              <w:rPr>
                <w:sz w:val="24"/>
                <w:vertAlign w:val="superscript"/>
              </w:rPr>
              <w:t>-7</w:t>
            </w:r>
            <w:r>
              <w:rPr>
                <w:sz w:val="24"/>
              </w:rPr>
              <w:t>cm/s。</w:t>
            </w:r>
          </w:p>
          <w:p w14:paraId="507FB3FA">
            <w:pPr>
              <w:spacing w:line="360" w:lineRule="auto"/>
              <w:ind w:firstLine="480" w:firstLineChars="200"/>
              <w:rPr>
                <w:bCs/>
                <w:sz w:val="24"/>
              </w:rPr>
            </w:pPr>
            <w:r>
              <w:rPr>
                <w:bCs/>
                <w:kern w:val="0"/>
                <w:sz w:val="24"/>
                <w:lang w:bidi="ar"/>
              </w:rPr>
              <w:t>结合混凝防渗性能分析，设计中采取的防渗措施总体</w:t>
            </w:r>
            <w:r>
              <w:rPr>
                <w:bCs/>
                <w:sz w:val="24"/>
              </w:rPr>
              <w:t>满足防渗要求。</w:t>
            </w:r>
          </w:p>
          <w:p w14:paraId="3DF6C2BB">
            <w:pPr>
              <w:spacing w:line="360" w:lineRule="auto"/>
              <w:ind w:firstLine="480" w:firstLineChars="200"/>
              <w:rPr>
                <w:bCs/>
                <w:sz w:val="24"/>
              </w:rPr>
            </w:pPr>
            <w:r>
              <w:rPr>
                <w:bCs/>
                <w:sz w:val="24"/>
              </w:rPr>
              <w:t>（3）地下水保护措施</w:t>
            </w:r>
          </w:p>
          <w:p w14:paraId="7C7BB10B">
            <w:pPr>
              <w:spacing w:line="360" w:lineRule="auto"/>
              <w:ind w:firstLine="480" w:firstLineChars="200"/>
              <w:jc w:val="left"/>
              <w:rPr>
                <w:sz w:val="24"/>
              </w:rPr>
            </w:pPr>
            <w:r>
              <w:rPr>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层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14:paraId="5AA0D76F">
            <w:pPr>
              <w:spacing w:line="360" w:lineRule="auto"/>
              <w:ind w:firstLine="480" w:firstLineChars="200"/>
              <w:jc w:val="left"/>
              <w:rPr>
                <w:sz w:val="24"/>
              </w:rPr>
            </w:pPr>
            <w:r>
              <w:rPr>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14:paraId="13FB1E95">
            <w:pPr>
              <w:spacing w:line="360" w:lineRule="auto"/>
              <w:rPr>
                <w:b/>
                <w:bCs/>
                <w:sz w:val="24"/>
              </w:rPr>
            </w:pPr>
            <w:r>
              <w:rPr>
                <w:b/>
                <w:bCs/>
                <w:sz w:val="24"/>
              </w:rPr>
              <w:t>5.5环境风险影响分析及措施可行性分析</w:t>
            </w:r>
          </w:p>
          <w:p w14:paraId="5EC25ED8">
            <w:pPr>
              <w:spacing w:line="360" w:lineRule="auto"/>
              <w:rPr>
                <w:b/>
                <w:bCs/>
                <w:sz w:val="24"/>
              </w:rPr>
            </w:pPr>
            <w:r>
              <w:rPr>
                <w:b/>
                <w:bCs/>
                <w:sz w:val="24"/>
              </w:rPr>
              <w:t>5.5.1井喷风险防范措施</w:t>
            </w:r>
          </w:p>
          <w:p w14:paraId="7989BE67">
            <w:pPr>
              <w:spacing w:line="360" w:lineRule="auto"/>
              <w:ind w:firstLine="480" w:firstLineChars="200"/>
              <w:rPr>
                <w:bCs/>
                <w:sz w:val="24"/>
              </w:rPr>
            </w:pPr>
            <w:r>
              <w:rPr>
                <w:bCs/>
                <w:sz w:val="24"/>
              </w:rPr>
              <w:t>施工单位应按《石油天然气工业健康、安全与环境管理体系》（SY/T 6276-2014）及相关的井控技术标准和规范中的有关规定执行，并针对本井情况制定具体的可操作的实施方案。根据《石油天然气钻井井控技术规范》（GB/T31033-2014）相关规定，对井口压力实施实时监控，设置液压防喷器等井控装置，设置可燃气体报警装置。</w:t>
            </w:r>
          </w:p>
          <w:p w14:paraId="77DBC402">
            <w:pPr>
              <w:spacing w:line="360" w:lineRule="auto"/>
              <w:ind w:firstLine="480" w:firstLineChars="200"/>
              <w:rPr>
                <w:bCs/>
                <w:sz w:val="24"/>
              </w:rPr>
            </w:pPr>
            <w:r>
              <w:rPr>
                <w:bCs/>
                <w:sz w:val="24"/>
              </w:rPr>
              <w:t>1）试气作业前按《气井试气、采气及动态监测工艺规程》（SY/T 6125-2013）等相关标准要求进行试气设计。</w:t>
            </w:r>
          </w:p>
          <w:p w14:paraId="69E1B445">
            <w:pPr>
              <w:spacing w:line="360" w:lineRule="auto"/>
              <w:ind w:firstLine="480" w:firstLineChars="200"/>
              <w:rPr>
                <w:bCs/>
                <w:sz w:val="24"/>
              </w:rPr>
            </w:pPr>
            <w:r>
              <w:rPr>
                <w:bCs/>
                <w:sz w:val="24"/>
              </w:rPr>
              <w:t>2）按照有关标准及试气设计对井口装置、测试管线、地面测试流程进行安装固定、试压，并测试是否达到设计和标准的要求。</w:t>
            </w:r>
          </w:p>
          <w:p w14:paraId="2560AF71">
            <w:pPr>
              <w:spacing w:line="360" w:lineRule="auto"/>
              <w:ind w:firstLine="480" w:firstLineChars="200"/>
              <w:rPr>
                <w:bCs/>
                <w:sz w:val="24"/>
              </w:rPr>
            </w:pPr>
            <w:r>
              <w:rPr>
                <w:bCs/>
                <w:sz w:val="24"/>
              </w:rPr>
              <w:t>3）测试现场做好安全警戒工作，以及治安保卫、交通管制工作。</w:t>
            </w:r>
          </w:p>
          <w:p w14:paraId="7A6668B2">
            <w:pPr>
              <w:spacing w:line="360" w:lineRule="auto"/>
              <w:ind w:firstLine="480" w:firstLineChars="200"/>
              <w:rPr>
                <w:bCs/>
                <w:sz w:val="24"/>
              </w:rPr>
            </w:pPr>
            <w:r>
              <w:rPr>
                <w:bCs/>
                <w:sz w:val="24"/>
              </w:rPr>
              <w:t>4）施工作业前安排组织进行技术交底，施工过程中应安排安全环保监督全程参与。</w:t>
            </w:r>
          </w:p>
          <w:p w14:paraId="2354D365">
            <w:pPr>
              <w:spacing w:line="360" w:lineRule="auto"/>
              <w:ind w:firstLine="480" w:firstLineChars="200"/>
              <w:rPr>
                <w:bCs/>
                <w:sz w:val="24"/>
              </w:rPr>
            </w:pPr>
            <w:r>
              <w:rPr>
                <w:bCs/>
                <w:sz w:val="24"/>
              </w:rPr>
              <w:t>5）放喷点火时，使用点火枪或海军信号弹，点火人员应佩戴好空气呼吸器。</w:t>
            </w:r>
          </w:p>
          <w:p w14:paraId="764ADEC0">
            <w:pPr>
              <w:spacing w:line="360" w:lineRule="auto"/>
              <w:ind w:firstLine="480" w:firstLineChars="200"/>
              <w:rPr>
                <w:bCs/>
                <w:sz w:val="24"/>
              </w:rPr>
            </w:pPr>
            <w:r>
              <w:rPr>
                <w:bCs/>
                <w:sz w:val="24"/>
              </w:rPr>
              <w:t>6）井口产出的流体经分离计量后液体进入储罐，天然气进入测试放喷池点火烧掉；分离器距井口30m以上，放喷池应距离井口100m以外，距离建筑物及森林50m以外。</w:t>
            </w:r>
          </w:p>
          <w:p w14:paraId="60F89F50">
            <w:pPr>
              <w:spacing w:line="360" w:lineRule="auto"/>
              <w:ind w:firstLine="480" w:firstLineChars="200"/>
              <w:rPr>
                <w:bCs/>
                <w:sz w:val="24"/>
              </w:rPr>
            </w:pPr>
            <w:r>
              <w:rPr>
                <w:bCs/>
                <w:sz w:val="24"/>
              </w:rPr>
              <w:t>7）测试期间如发生井口超压，应及时开启放喷管汇降压，同时做好压井准备。</w:t>
            </w:r>
          </w:p>
          <w:p w14:paraId="544CF167">
            <w:pPr>
              <w:spacing w:line="360" w:lineRule="auto"/>
              <w:rPr>
                <w:bCs/>
                <w:sz w:val="24"/>
              </w:rPr>
            </w:pPr>
            <w:r>
              <w:rPr>
                <w:b/>
                <w:bCs/>
                <w:sz w:val="24"/>
              </w:rPr>
              <w:t>5.5.2防柴油、油类外溢措施</w:t>
            </w:r>
          </w:p>
          <w:p w14:paraId="0D04BB64">
            <w:pPr>
              <w:spacing w:line="360" w:lineRule="auto"/>
              <w:ind w:firstLine="480" w:firstLineChars="200"/>
              <w:rPr>
                <w:bCs/>
                <w:sz w:val="24"/>
              </w:rPr>
            </w:pPr>
            <w:r>
              <w:rPr>
                <w:bCs/>
                <w:sz w:val="24"/>
              </w:rPr>
              <w:t>（1）加强柴油罐、废油桶收集罐的维护保养，避免柴油、油类泄漏事件的发生。</w:t>
            </w:r>
          </w:p>
          <w:p w14:paraId="40D77F16">
            <w:pPr>
              <w:spacing w:line="360" w:lineRule="auto"/>
              <w:ind w:firstLine="480" w:firstLineChars="200"/>
              <w:rPr>
                <w:bCs/>
                <w:sz w:val="24"/>
              </w:rPr>
            </w:pPr>
            <w:r>
              <w:rPr>
                <w:bCs/>
                <w:sz w:val="24"/>
              </w:rPr>
              <w:t>（2）加强柴油、油类运输车辆的维护，确保车辆和连接管道处于良好状态。</w:t>
            </w:r>
          </w:p>
          <w:p w14:paraId="0C277CC4">
            <w:pPr>
              <w:spacing w:line="360" w:lineRule="auto"/>
              <w:ind w:firstLine="480" w:firstLineChars="200"/>
              <w:rPr>
                <w:bCs/>
                <w:sz w:val="24"/>
              </w:rPr>
            </w:pPr>
            <w:r>
              <w:rPr>
                <w:bCs/>
                <w:sz w:val="24"/>
              </w:rPr>
              <w:t>（3）加强员工风险防范意识教育，严格按操作规程操作。在柴油、油类转运时，应对油罐及连接管道等进行严格检查，确保在不存在隐患的情况下进行转运。</w:t>
            </w:r>
          </w:p>
          <w:p w14:paraId="3C0A10B7">
            <w:pPr>
              <w:spacing w:line="360" w:lineRule="auto"/>
              <w:ind w:firstLine="480" w:firstLineChars="200"/>
              <w:rPr>
                <w:bCs/>
                <w:sz w:val="24"/>
              </w:rPr>
            </w:pPr>
            <w:r>
              <w:rPr>
                <w:bCs/>
                <w:sz w:val="24"/>
              </w:rPr>
              <w:t>（4）在油罐周围设0.3m高围堰（容积为20m</w:t>
            </w:r>
            <w:r>
              <w:rPr>
                <w:bCs/>
                <w:sz w:val="24"/>
                <w:vertAlign w:val="superscript"/>
              </w:rPr>
              <w:t>3</w:t>
            </w:r>
            <w:r>
              <w:rPr>
                <w:bCs/>
                <w:sz w:val="24"/>
              </w:rPr>
              <w:t>），正常情况下应保证围堰内有足够的容积，确保事故时能将泄漏的柴油导流并收集。</w:t>
            </w:r>
          </w:p>
          <w:p w14:paraId="369C8D2C">
            <w:pPr>
              <w:spacing w:line="360" w:lineRule="auto"/>
              <w:ind w:firstLine="480" w:firstLineChars="200"/>
              <w:rPr>
                <w:bCs/>
                <w:sz w:val="24"/>
              </w:rPr>
            </w:pPr>
            <w:r>
              <w:rPr>
                <w:bCs/>
                <w:sz w:val="24"/>
              </w:rPr>
              <w:t>（5）在泥浆储备罐区域周围设置围堰，围堰高0.3m（容积为10m</w:t>
            </w:r>
            <w:r>
              <w:rPr>
                <w:bCs/>
                <w:sz w:val="24"/>
                <w:vertAlign w:val="superscript"/>
              </w:rPr>
              <w:t>3</w:t>
            </w:r>
            <w:r>
              <w:rPr>
                <w:bCs/>
                <w:sz w:val="24"/>
              </w:rPr>
              <w:t>）。</w:t>
            </w:r>
          </w:p>
          <w:p w14:paraId="1D1CF7A3">
            <w:pPr>
              <w:spacing w:line="360" w:lineRule="auto"/>
              <w:ind w:firstLine="480" w:firstLineChars="200"/>
              <w:rPr>
                <w:bCs/>
                <w:sz w:val="24"/>
              </w:rPr>
            </w:pPr>
            <w:r>
              <w:rPr>
                <w:bCs/>
                <w:sz w:val="24"/>
              </w:rPr>
              <w:t>（6）柴油罐区围堰内地坪、泥浆储备罐区地盘采用混凝土地坪，并进行防渗漏处理</w:t>
            </w:r>
          </w:p>
          <w:p w14:paraId="16524F43">
            <w:pPr>
              <w:spacing w:line="360" w:lineRule="auto"/>
              <w:rPr>
                <w:b/>
                <w:bCs/>
                <w:sz w:val="24"/>
              </w:rPr>
            </w:pPr>
            <w:r>
              <w:rPr>
                <w:b/>
                <w:bCs/>
                <w:sz w:val="24"/>
              </w:rPr>
              <w:t>5.5.3井漏防范措施</w:t>
            </w:r>
          </w:p>
          <w:p w14:paraId="06554ECB">
            <w:pPr>
              <w:spacing w:line="360" w:lineRule="auto"/>
              <w:ind w:firstLine="480" w:firstLineChars="200"/>
              <w:rPr>
                <w:bCs/>
                <w:sz w:val="24"/>
              </w:rPr>
            </w:pPr>
            <w:r>
              <w:rPr>
                <w:bCs/>
                <w:sz w:val="24"/>
              </w:rPr>
              <w:t>在钻井过程中对井漏应坚持预防为主的原则，主要包括避开复杂地质环境、选用和维持较低的井筒内钻井介质压力、提高地层承压能力等防范措施：</w:t>
            </w:r>
          </w:p>
          <w:p w14:paraId="297636D1">
            <w:pPr>
              <w:spacing w:line="360" w:lineRule="auto"/>
              <w:ind w:firstLine="480" w:firstLineChars="200"/>
              <w:rPr>
                <w:bCs/>
                <w:sz w:val="24"/>
              </w:rPr>
            </w:pPr>
            <w:r>
              <w:rPr>
                <w:bCs/>
                <w:sz w:val="24"/>
              </w:rPr>
              <w:t>（1）降低井下环空压耗</w:t>
            </w:r>
          </w:p>
          <w:p w14:paraId="47CC9A28">
            <w:pPr>
              <w:spacing w:line="360" w:lineRule="auto"/>
              <w:ind w:firstLine="480" w:firstLineChars="200"/>
              <w:rPr>
                <w:bCs/>
                <w:sz w:val="24"/>
              </w:rPr>
            </w:pPr>
            <w:r>
              <w:rPr>
                <w:bCs/>
                <w:sz w:val="24"/>
              </w:rPr>
              <w:t>在保证钻井介质（钻井泥浆）能携带钻屑的前提下，尽可能降低钻井介质黏度，提高泥饼质量，防止因井壁泥饼较厚起环空间隙较小，导致环空压耗增大。</w:t>
            </w:r>
          </w:p>
          <w:p w14:paraId="36628610">
            <w:pPr>
              <w:spacing w:line="360" w:lineRule="auto"/>
              <w:ind w:firstLine="480" w:firstLineChars="200"/>
              <w:rPr>
                <w:bCs/>
                <w:sz w:val="24"/>
              </w:rPr>
            </w:pPr>
            <w:r>
              <w:rPr>
                <w:bCs/>
                <w:sz w:val="24"/>
              </w:rPr>
              <w:t>（2）提高地层承压能力地层的漏失主要取决于地层的特性，通过人为的方法提高地层的承压能力，封堵漏失孔道，从而达到防漏的目的。</w:t>
            </w:r>
          </w:p>
          <w:p w14:paraId="4457494A">
            <w:pPr>
              <w:spacing w:line="360" w:lineRule="auto"/>
              <w:ind w:firstLine="480" w:firstLineChars="200"/>
              <w:rPr>
                <w:bCs/>
                <w:sz w:val="24"/>
              </w:rPr>
            </w:pPr>
            <w:r>
              <w:rPr>
                <w:bCs/>
                <w:sz w:val="24"/>
              </w:rPr>
              <w:t>项目建设存在一定环境风险，主要为废水泄漏外溢和井喷，但事故发生概率低。在严格按照各类作业操作规程进行施工作业，严格执行报告提出的风险防范措施并制定</w:t>
            </w:r>
            <w:r>
              <w:rPr>
                <w:rFonts w:hint="eastAsia"/>
                <w:bCs/>
                <w:sz w:val="24"/>
              </w:rPr>
              <w:t>突发环境事件</w:t>
            </w:r>
            <w:r>
              <w:rPr>
                <w:bCs/>
                <w:sz w:val="24"/>
              </w:rPr>
              <w:t>应急预案后，项目环境风险处于可接受水平。</w:t>
            </w:r>
          </w:p>
          <w:p w14:paraId="1240DAB0">
            <w:pPr>
              <w:spacing w:line="360" w:lineRule="auto"/>
              <w:rPr>
                <w:b/>
                <w:sz w:val="24"/>
              </w:rPr>
            </w:pPr>
            <w:r>
              <w:rPr>
                <w:b/>
                <w:sz w:val="24"/>
              </w:rPr>
              <w:t>5.5.4废水收集与泄漏防范措施</w:t>
            </w:r>
          </w:p>
          <w:p w14:paraId="03AF79DF">
            <w:pPr>
              <w:spacing w:line="360" w:lineRule="auto"/>
              <w:ind w:firstLine="480" w:firstLineChars="200"/>
              <w:rPr>
                <w:bCs/>
                <w:sz w:val="24"/>
              </w:rPr>
            </w:pPr>
            <w:r>
              <w:rPr>
                <w:bCs/>
                <w:sz w:val="24"/>
              </w:rPr>
              <w:t>（1）废水泄漏防范措施</w:t>
            </w:r>
          </w:p>
          <w:p w14:paraId="416AC03C">
            <w:pPr>
              <w:spacing w:line="360" w:lineRule="auto"/>
              <w:ind w:firstLine="480" w:firstLineChars="200"/>
              <w:rPr>
                <w:bCs/>
                <w:sz w:val="24"/>
              </w:rPr>
            </w:pPr>
            <w:r>
              <w:rPr>
                <w:bCs/>
                <w:sz w:val="24"/>
              </w:rPr>
              <w:t>①各罐体应合理选址，废水收集罐所在平台选址应避开不良地质或岩土松散的地段等地质结构不稳定的地方并做好地面防渗工作。</w:t>
            </w:r>
          </w:p>
          <w:p w14:paraId="78B64818">
            <w:pPr>
              <w:spacing w:line="360" w:lineRule="auto"/>
              <w:ind w:firstLine="480" w:firstLineChars="200"/>
              <w:rPr>
                <w:bCs/>
                <w:sz w:val="24"/>
              </w:rPr>
            </w:pPr>
            <w:r>
              <w:rPr>
                <w:bCs/>
                <w:sz w:val="24"/>
              </w:rPr>
              <w:t>②按相关要求规定对排水沟进行防渗处理，及时清理池内及排污沟内废水，确保排污沟留有足够空余容积。</w:t>
            </w:r>
          </w:p>
          <w:p w14:paraId="6FEDB080">
            <w:pPr>
              <w:spacing w:line="360" w:lineRule="auto"/>
              <w:ind w:firstLine="480" w:firstLineChars="200"/>
              <w:rPr>
                <w:bCs/>
                <w:sz w:val="24"/>
              </w:rPr>
            </w:pPr>
            <w:r>
              <w:rPr>
                <w:bCs/>
                <w:sz w:val="24"/>
              </w:rPr>
              <w:t>③加强员工操作规范管理，尽量避免废水装车失误。装车过程若遇到废水泄漏，立即停止装车作业，减少废水泄漏量，并利用井场内的污水沟将泄漏废水收集至相关罐体内，不外流。</w:t>
            </w:r>
          </w:p>
          <w:p w14:paraId="5BF6CFB9">
            <w:pPr>
              <w:spacing w:line="360" w:lineRule="auto"/>
              <w:ind w:firstLine="480" w:firstLineChars="200"/>
              <w:rPr>
                <w:bCs/>
                <w:sz w:val="24"/>
              </w:rPr>
            </w:pPr>
            <w:r>
              <w:rPr>
                <w:bCs/>
                <w:sz w:val="24"/>
              </w:rPr>
              <w:t>④在暴雨季节，对罐区采取加盖防雨篷布，加强巡查，降低废水泄漏的环境风险。</w:t>
            </w:r>
          </w:p>
          <w:p w14:paraId="3B232EB8">
            <w:pPr>
              <w:spacing w:line="360" w:lineRule="auto"/>
              <w:ind w:firstLine="480" w:firstLineChars="200"/>
              <w:rPr>
                <w:bCs/>
                <w:sz w:val="24"/>
              </w:rPr>
            </w:pPr>
            <w:r>
              <w:rPr>
                <w:bCs/>
                <w:sz w:val="24"/>
              </w:rPr>
              <w:t>⑤加强油罐、油桶的管理及安全检查。</w:t>
            </w:r>
          </w:p>
          <w:p w14:paraId="4ECD0E07">
            <w:pPr>
              <w:spacing w:line="360" w:lineRule="auto"/>
              <w:ind w:firstLine="480" w:firstLineChars="200"/>
              <w:rPr>
                <w:bCs/>
                <w:sz w:val="24"/>
              </w:rPr>
            </w:pPr>
            <w:r>
              <w:rPr>
                <w:bCs/>
                <w:sz w:val="24"/>
              </w:rPr>
              <w:t>（2）废水外溢防范措施</w:t>
            </w:r>
          </w:p>
          <w:p w14:paraId="4A2D116E">
            <w:pPr>
              <w:spacing w:line="360" w:lineRule="auto"/>
              <w:ind w:firstLine="480" w:firstLineChars="200"/>
              <w:rPr>
                <w:bCs/>
                <w:sz w:val="24"/>
              </w:rPr>
            </w:pPr>
            <w:r>
              <w:rPr>
                <w:bCs/>
                <w:sz w:val="24"/>
              </w:rPr>
              <w:t>①对井场临时储存的废水进行及时转运，减少废水储存周期，降低废水外溢风险，特别在汛期来临之前要尽量腾空废水收集罐。</w:t>
            </w:r>
          </w:p>
          <w:p w14:paraId="1620DA3D">
            <w:pPr>
              <w:spacing w:line="360" w:lineRule="auto"/>
              <w:ind w:firstLine="480" w:firstLineChars="200"/>
              <w:rPr>
                <w:bCs/>
                <w:sz w:val="24"/>
              </w:rPr>
            </w:pPr>
            <w:r>
              <w:rPr>
                <w:bCs/>
                <w:sz w:val="24"/>
              </w:rPr>
              <w:t>②为避免突降大雨引起雨水进入废水收集罐，从而引发废水外溢，应及时转运废水罐中的废水。</w:t>
            </w:r>
          </w:p>
          <w:p w14:paraId="314EC784">
            <w:pPr>
              <w:spacing w:line="360" w:lineRule="auto"/>
              <w:ind w:firstLine="480" w:firstLineChars="200"/>
              <w:rPr>
                <w:bCs/>
                <w:sz w:val="24"/>
              </w:rPr>
            </w:pPr>
            <w:r>
              <w:rPr>
                <w:bCs/>
                <w:sz w:val="24"/>
              </w:rPr>
              <w:t>③井场采用清污分流系统，并定期进行维护，从而有效控制因暴雨而导致废水外溢。</w:t>
            </w:r>
          </w:p>
          <w:p w14:paraId="4B940565">
            <w:pPr>
              <w:spacing w:line="360" w:lineRule="auto"/>
              <w:ind w:firstLine="480" w:firstLineChars="200"/>
              <w:rPr>
                <w:bCs/>
                <w:sz w:val="24"/>
              </w:rPr>
            </w:pPr>
            <w:r>
              <w:rPr>
                <w:bCs/>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14:paraId="3120F69B">
            <w:pPr>
              <w:spacing w:line="360" w:lineRule="auto"/>
              <w:ind w:firstLine="480" w:firstLineChars="200"/>
              <w:rPr>
                <w:bCs/>
                <w:sz w:val="24"/>
              </w:rPr>
            </w:pPr>
            <w:r>
              <w:rPr>
                <w:bCs/>
                <w:sz w:val="24"/>
              </w:rPr>
              <w:t>⑤在本井场罐体满负荷前调配区域内其他井场闲置、质量完好的罐体于本井场内作为备用罐暂存压裂返排废水，保证压裂返排废水运至其他井场配制压裂液前不出现溢流、外排等可能造成环境污染的现象。</w:t>
            </w:r>
          </w:p>
          <w:p w14:paraId="5A5DF6F8">
            <w:pPr>
              <w:spacing w:line="360" w:lineRule="auto"/>
              <w:ind w:firstLine="480" w:firstLineChars="200"/>
              <w:rPr>
                <w:bCs/>
                <w:sz w:val="24"/>
              </w:rPr>
            </w:pPr>
            <w:r>
              <w:rPr>
                <w:bCs/>
                <w:sz w:val="24"/>
              </w:rPr>
              <w:t>⑥建立事故应急预案和联动机制，明确钻井过程中一旦出现环境风险事故的应急处置方式，以及钻井施工单位、地方政府及其他相关部门的联系人及联系方式。</w:t>
            </w:r>
          </w:p>
          <w:p w14:paraId="75D2221E">
            <w:pPr>
              <w:spacing w:line="360" w:lineRule="auto"/>
              <w:ind w:firstLine="480" w:firstLineChars="200"/>
              <w:rPr>
                <w:bCs/>
                <w:sz w:val="24"/>
              </w:rPr>
            </w:pPr>
            <w:r>
              <w:rPr>
                <w:bCs/>
                <w:sz w:val="24"/>
              </w:rPr>
              <w:t>⑦设置地表水三级防控机制。</w:t>
            </w:r>
          </w:p>
          <w:p w14:paraId="5D69FF50">
            <w:pPr>
              <w:spacing w:line="360" w:lineRule="auto"/>
              <w:ind w:firstLine="480" w:firstLineChars="200"/>
              <w:rPr>
                <w:bCs/>
                <w:sz w:val="24"/>
              </w:rPr>
            </w:pPr>
            <w:r>
              <w:rPr>
                <w:bCs/>
                <w:sz w:val="24"/>
              </w:rPr>
              <w:t>一级防控体系：废水、废油罐区设置围堰、罐区防火堤，防止污染雨水和轻微事故泄漏造成的环境污染；</w:t>
            </w:r>
          </w:p>
          <w:p w14:paraId="3B12BFF3">
            <w:pPr>
              <w:spacing w:line="360" w:lineRule="auto"/>
              <w:ind w:firstLine="480" w:firstLineChars="200"/>
              <w:rPr>
                <w:bCs/>
                <w:sz w:val="24"/>
              </w:rPr>
            </w:pPr>
            <w:r>
              <w:rPr>
                <w:bCs/>
                <w:sz w:val="24"/>
              </w:rPr>
              <w:t>二级防控体系：建设污水截流沟及环境监测池，防止污水进入雨水系统、事故泄漏物料外泄污染地表水环境；</w:t>
            </w:r>
          </w:p>
          <w:p w14:paraId="67988A9A">
            <w:pPr>
              <w:spacing w:line="360" w:lineRule="auto"/>
              <w:ind w:firstLine="480" w:firstLineChars="200"/>
              <w:rPr>
                <w:bCs/>
                <w:sz w:val="24"/>
              </w:rPr>
            </w:pPr>
            <w:r>
              <w:rPr>
                <w:bCs/>
                <w:sz w:val="24"/>
              </w:rPr>
              <w:t>三级防控体系：发生事故时将事故废水收集至废水罐，然后通过密闭罐车定期拉运至</w:t>
            </w:r>
            <w:r>
              <w:rPr>
                <w:rFonts w:hint="eastAsia"/>
                <w:bCs/>
                <w:sz w:val="24"/>
              </w:rPr>
              <w:t>赵家坝污水处理站</w:t>
            </w:r>
            <w:r>
              <w:rPr>
                <w:bCs/>
                <w:sz w:val="24"/>
              </w:rPr>
              <w:t>处理达标后</w:t>
            </w:r>
            <w:r>
              <w:rPr>
                <w:rFonts w:hint="eastAsia"/>
                <w:bCs/>
                <w:sz w:val="24"/>
              </w:rPr>
              <w:t>由罐车拉运至普光3井等回注站</w:t>
            </w:r>
            <w:r>
              <w:rPr>
                <w:bCs/>
                <w:sz w:val="24"/>
              </w:rPr>
              <w:t>回注，防止外泄污染环境。</w:t>
            </w:r>
          </w:p>
          <w:p w14:paraId="2CF56415">
            <w:pPr>
              <w:spacing w:line="360" w:lineRule="auto"/>
              <w:ind w:firstLine="480" w:firstLineChars="200"/>
              <w:rPr>
                <w:bCs/>
                <w:sz w:val="24"/>
              </w:rPr>
            </w:pPr>
            <w:r>
              <w:rPr>
                <w:bCs/>
                <w:sz w:val="24"/>
              </w:rPr>
              <w:t>项目采取以上防控措施并加强施工管理、并建立事故应急预案和联动机制，预防项目实施对周边流域的影响，杜绝污废水以任何形式进入周边地表沟渠，造成水质污染。</w:t>
            </w:r>
          </w:p>
          <w:p w14:paraId="66673F08">
            <w:pPr>
              <w:spacing w:line="360" w:lineRule="auto"/>
              <w:rPr>
                <w:sz w:val="24"/>
              </w:rPr>
            </w:pPr>
            <w:r>
              <w:rPr>
                <w:b/>
                <w:bCs/>
                <w:sz w:val="24"/>
              </w:rPr>
              <w:t>5.6土壤环境影响保护</w:t>
            </w:r>
            <w:r>
              <w:rPr>
                <w:b/>
                <w:sz w:val="24"/>
              </w:rPr>
              <w:t>措施可行性分析</w:t>
            </w:r>
          </w:p>
          <w:p w14:paraId="1305814C">
            <w:pPr>
              <w:adjustRightInd w:val="0"/>
              <w:snapToGrid w:val="0"/>
              <w:spacing w:line="360" w:lineRule="auto"/>
              <w:ind w:firstLine="480" w:firstLineChars="200"/>
              <w:rPr>
                <w:sz w:val="24"/>
              </w:rPr>
            </w:pPr>
            <w:r>
              <w:rPr>
                <w:sz w:val="24"/>
              </w:rPr>
              <w:t>针对可能对土壤造成的影响，本项目拟采取以下措施：</w:t>
            </w:r>
          </w:p>
          <w:p w14:paraId="7FEAAB64">
            <w:pPr>
              <w:adjustRightInd w:val="0"/>
              <w:snapToGrid w:val="0"/>
              <w:spacing w:line="360" w:lineRule="auto"/>
              <w:ind w:firstLine="480" w:firstLineChars="200"/>
              <w:rPr>
                <w:sz w:val="24"/>
              </w:rPr>
            </w:pPr>
            <w:r>
              <w:rPr>
                <w:sz w:val="24"/>
              </w:rPr>
              <w:t>（1）本项目采用“泥浆不落地工艺”，钻井期间产生的岩屑通过岩屑罐收集后及时外运资源化利用，油类通过废油桶收集后回收利用；而项目产生的钻井废水、场地雨水不能回用时通过罐车密闭罐车定期拉运至</w:t>
            </w:r>
            <w:r>
              <w:rPr>
                <w:rFonts w:hint="eastAsia"/>
                <w:sz w:val="24"/>
              </w:rPr>
              <w:t>赵家坝污水处理站</w:t>
            </w:r>
            <w:r>
              <w:rPr>
                <w:sz w:val="24"/>
              </w:rPr>
              <w:t>处理达标后</w:t>
            </w:r>
            <w:r>
              <w:rPr>
                <w:rFonts w:hint="eastAsia"/>
                <w:sz w:val="24"/>
              </w:rPr>
              <w:t>由罐车拉运至普光3井等回注站</w:t>
            </w:r>
            <w:r>
              <w:rPr>
                <w:sz w:val="24"/>
              </w:rPr>
              <w:t>回注</w:t>
            </w:r>
            <w:r>
              <w:rPr>
                <w:rFonts w:hint="eastAsia"/>
                <w:sz w:val="24"/>
              </w:rPr>
              <w:t>。洗井废水</w:t>
            </w:r>
            <w:r>
              <w:rPr>
                <w:sz w:val="24"/>
              </w:rPr>
              <w:t>优先用于配置压裂液，不能回用时用密闭罐车定期拉运至</w:t>
            </w:r>
            <w:r>
              <w:rPr>
                <w:rFonts w:hint="eastAsia"/>
                <w:sz w:val="24"/>
              </w:rPr>
              <w:t>赵家坝污水处理站</w:t>
            </w:r>
            <w:r>
              <w:rPr>
                <w:sz w:val="24"/>
              </w:rPr>
              <w:t>处理达标后</w:t>
            </w:r>
            <w:r>
              <w:rPr>
                <w:rFonts w:hint="eastAsia"/>
                <w:sz w:val="24"/>
              </w:rPr>
              <w:t>由罐车拉运至普光3井等回注站</w:t>
            </w:r>
            <w:r>
              <w:rPr>
                <w:sz w:val="24"/>
              </w:rPr>
              <w:t>回注。因此项目产生的各类污染物均能得到有效处置，从根本上消除了对周边土壤环境的污染隐患。</w:t>
            </w:r>
          </w:p>
          <w:p w14:paraId="2060970B">
            <w:pPr>
              <w:adjustRightInd w:val="0"/>
              <w:snapToGrid w:val="0"/>
              <w:spacing w:line="360" w:lineRule="auto"/>
              <w:ind w:firstLine="480" w:firstLineChars="200"/>
              <w:rPr>
                <w:sz w:val="24"/>
              </w:rPr>
            </w:pPr>
            <w:r>
              <w:rPr>
                <w:sz w:val="24"/>
              </w:rPr>
              <w:t>（2）本项目针对各产污单元采取了分区防渗措施，可有效防止污染物渗入地下，并及时地将泄漏、渗漏的污染物收集并进行集中处理。</w:t>
            </w:r>
          </w:p>
          <w:p w14:paraId="1688DD54">
            <w:pPr>
              <w:adjustRightInd w:val="0"/>
              <w:snapToGrid w:val="0"/>
              <w:spacing w:line="360" w:lineRule="auto"/>
              <w:ind w:firstLine="480" w:firstLineChars="200"/>
              <w:rPr>
                <w:sz w:val="24"/>
              </w:rPr>
            </w:pPr>
            <w:r>
              <w:rPr>
                <w:sz w:val="24"/>
              </w:rPr>
              <w:t>（3）本项目井场采用清污分流、雨污分流制，井场内设置有污水截流沟，井场散落的污水汇入截流沟，最终可集中收集至污水罐内。</w:t>
            </w:r>
          </w:p>
          <w:p w14:paraId="7B35BD72">
            <w:pPr>
              <w:spacing w:line="360" w:lineRule="auto"/>
              <w:ind w:firstLine="480" w:firstLineChars="200"/>
              <w:rPr>
                <w:sz w:val="24"/>
              </w:rPr>
            </w:pPr>
            <w:r>
              <w:rPr>
                <w:sz w:val="24"/>
              </w:rPr>
              <w:t>综上所述，项目在采取以上防控措施后，可满足相关标准要求，项目建设对土壤环境影响处于可接受水平。</w:t>
            </w:r>
          </w:p>
          <w:p w14:paraId="6B2CA500">
            <w:pPr>
              <w:spacing w:line="360" w:lineRule="auto"/>
              <w:rPr>
                <w:b/>
                <w:bCs/>
                <w:sz w:val="24"/>
              </w:rPr>
            </w:pPr>
            <w:r>
              <w:rPr>
                <w:b/>
                <w:bCs/>
                <w:sz w:val="24"/>
              </w:rPr>
              <w:t>5.7生态保护与恢复</w:t>
            </w:r>
            <w:r>
              <w:rPr>
                <w:b/>
                <w:sz w:val="24"/>
              </w:rPr>
              <w:t>措施可行性分析</w:t>
            </w:r>
          </w:p>
          <w:p w14:paraId="3F5352EF">
            <w:pPr>
              <w:pStyle w:val="206"/>
              <w:spacing w:line="360" w:lineRule="auto"/>
              <w:ind w:firstLine="0" w:firstLineChars="0"/>
              <w:rPr>
                <w:b/>
                <w:kern w:val="2"/>
                <w:szCs w:val="24"/>
              </w:rPr>
            </w:pPr>
            <w:r>
              <w:rPr>
                <w:b/>
                <w:kern w:val="2"/>
                <w:szCs w:val="24"/>
              </w:rPr>
              <w:t>5.7.1生态防治措施</w:t>
            </w:r>
          </w:p>
          <w:p w14:paraId="637B38D7">
            <w:pPr>
              <w:pStyle w:val="206"/>
              <w:spacing w:line="360" w:lineRule="auto"/>
              <w:ind w:firstLine="480"/>
              <w:rPr>
                <w:szCs w:val="24"/>
              </w:rPr>
            </w:pPr>
            <w:r>
              <w:rPr>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14:paraId="19C719CD">
            <w:pPr>
              <w:pStyle w:val="206"/>
              <w:spacing w:line="360" w:lineRule="auto"/>
              <w:ind w:firstLine="480"/>
              <w:rPr>
                <w:szCs w:val="24"/>
              </w:rPr>
            </w:pPr>
            <w:r>
              <w:rPr>
                <w:szCs w:val="24"/>
              </w:rPr>
              <w:t>（2）根据施工阶段的不同，对不再使用的临时占地及时采取生态恢复措施，减少临时占地面积、缩短临时占地周期。</w:t>
            </w:r>
          </w:p>
          <w:p w14:paraId="6FFD4B44">
            <w:pPr>
              <w:pStyle w:val="206"/>
              <w:spacing w:line="360" w:lineRule="auto"/>
              <w:ind w:firstLine="480"/>
              <w:rPr>
                <w:szCs w:val="24"/>
              </w:rPr>
            </w:pPr>
            <w:r>
              <w:rPr>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14:paraId="5EC81F53">
            <w:pPr>
              <w:pStyle w:val="206"/>
              <w:spacing w:line="360" w:lineRule="auto"/>
              <w:ind w:firstLine="0" w:firstLineChars="0"/>
              <w:rPr>
                <w:b/>
                <w:kern w:val="2"/>
                <w:szCs w:val="24"/>
              </w:rPr>
            </w:pPr>
            <w:r>
              <w:rPr>
                <w:b/>
                <w:kern w:val="2"/>
                <w:szCs w:val="24"/>
              </w:rPr>
              <w:t>5.7.2施工结束后环境保护措施</w:t>
            </w:r>
          </w:p>
          <w:p w14:paraId="50540EB0">
            <w:pPr>
              <w:pStyle w:val="206"/>
              <w:spacing w:line="360" w:lineRule="auto"/>
              <w:ind w:firstLine="480"/>
              <w:rPr>
                <w:szCs w:val="24"/>
              </w:rPr>
            </w:pPr>
            <w:r>
              <w:rPr>
                <w:szCs w:val="24"/>
              </w:rPr>
              <w:t>工程结束后，由建设单位决定是否进行下一步施工计划，若无开采价值，则由建设单位决定井场设备全部搬迁。设备搬迁完成后即对场地内设施进行拆除，如清除场地碎石、拆除硬化地面及设备基础、拆除生态一体化厕所等。由此将产生场地碎石、硬化地面及防渗、生态一体化厕所等设施拆除废物，作为建筑废渣处理。</w:t>
            </w:r>
          </w:p>
          <w:p w14:paraId="023BDD81">
            <w:pPr>
              <w:pStyle w:val="206"/>
              <w:spacing w:line="360" w:lineRule="auto"/>
              <w:ind w:firstLine="480"/>
              <w:rPr>
                <w:szCs w:val="24"/>
              </w:rPr>
            </w:pPr>
            <w:r>
              <w:rPr>
                <w:szCs w:val="24"/>
              </w:rPr>
              <w:t>（1）临时用地先清除地表的建筑，再用井场建设时的表层土作为种植土，进行植被恢复。恢复流程为：钻井完成→拆除建（构）筑物→清理场地→人工松土→将土覆盖→整理摊铺耕植土方→交付农民复耕。</w:t>
            </w:r>
          </w:p>
          <w:p w14:paraId="2C0694AD">
            <w:pPr>
              <w:pStyle w:val="206"/>
              <w:spacing w:line="360" w:lineRule="auto"/>
              <w:ind w:firstLine="480"/>
              <w:rPr>
                <w:szCs w:val="24"/>
              </w:rPr>
            </w:pPr>
            <w:r>
              <w:rPr>
                <w:szCs w:val="24"/>
              </w:rPr>
              <w:t>（2）油气测试完毕后，拆除放喷池周围的砖墙，并进行回收。采用井场建设时的表层土进行覆盖，然后进行植被的恢复。根据现场调查情况看，放喷池占地为水田，工程完工后可进行土地功能的恢复。</w:t>
            </w:r>
          </w:p>
          <w:p w14:paraId="191CB8EF">
            <w:pPr>
              <w:pStyle w:val="206"/>
              <w:spacing w:line="360" w:lineRule="auto"/>
              <w:ind w:firstLine="480"/>
              <w:rPr>
                <w:szCs w:val="24"/>
              </w:rPr>
            </w:pPr>
            <w:r>
              <w:rPr>
                <w:szCs w:val="24"/>
              </w:rPr>
              <w:t>（3）人工拆除临时占地基础。将井场建设保留的耕植土直接摊铺覆盖于场面上，然后进行植被的恢复，可进行农业生产，也可种植经济林木等。</w:t>
            </w:r>
          </w:p>
          <w:p w14:paraId="0C808C0B">
            <w:pPr>
              <w:pStyle w:val="206"/>
              <w:spacing w:line="360" w:lineRule="auto"/>
              <w:ind w:firstLine="480"/>
              <w:rPr>
                <w:szCs w:val="24"/>
              </w:rPr>
            </w:pPr>
            <w:r>
              <w:rPr>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14:paraId="11E6ACFC">
            <w:pPr>
              <w:pStyle w:val="206"/>
              <w:spacing w:line="360" w:lineRule="auto"/>
              <w:ind w:firstLine="480"/>
              <w:rPr>
                <w:szCs w:val="24"/>
              </w:rPr>
            </w:pPr>
            <w:r>
              <w:rPr>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放喷池等池类表面覆土回填，种植普通杂草绿化恢复生态，并设置标志，禁止用于种植深根系农作物。</w:t>
            </w:r>
          </w:p>
          <w:p w14:paraId="3896D407">
            <w:pPr>
              <w:pStyle w:val="206"/>
              <w:spacing w:line="360" w:lineRule="auto"/>
              <w:ind w:firstLine="0" w:firstLineChars="0"/>
              <w:rPr>
                <w:b/>
                <w:kern w:val="2"/>
                <w:szCs w:val="24"/>
              </w:rPr>
            </w:pPr>
            <w:r>
              <w:rPr>
                <w:b/>
                <w:kern w:val="2"/>
                <w:szCs w:val="24"/>
              </w:rPr>
              <w:t>5.7.3生态恢复方案</w:t>
            </w:r>
          </w:p>
          <w:p w14:paraId="5BCD9DBE">
            <w:pPr>
              <w:pStyle w:val="206"/>
              <w:spacing w:line="360" w:lineRule="auto"/>
              <w:ind w:firstLine="480"/>
              <w:rPr>
                <w:szCs w:val="24"/>
              </w:rPr>
            </w:pPr>
            <w:r>
              <w:rPr>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14:paraId="6CA85B95">
            <w:pPr>
              <w:pStyle w:val="206"/>
              <w:spacing w:line="360" w:lineRule="auto"/>
              <w:ind w:firstLine="0" w:firstLineChars="0"/>
              <w:rPr>
                <w:b/>
                <w:kern w:val="2"/>
                <w:szCs w:val="24"/>
              </w:rPr>
            </w:pPr>
            <w:r>
              <w:rPr>
                <w:b/>
                <w:kern w:val="2"/>
                <w:szCs w:val="24"/>
              </w:rPr>
              <w:t>5.7.4土地复垦</w:t>
            </w:r>
          </w:p>
          <w:p w14:paraId="16009F70">
            <w:pPr>
              <w:pStyle w:val="206"/>
              <w:spacing w:line="360" w:lineRule="auto"/>
              <w:ind w:firstLine="480"/>
              <w:rPr>
                <w:szCs w:val="24"/>
              </w:rPr>
            </w:pPr>
            <w:r>
              <w:rPr>
                <w:szCs w:val="24"/>
              </w:rPr>
              <w:t>（1）复垦方向：总体全面复垦为旱地、水田，对边坡等局部复垦耕地条件的种植草本植物恢复生态。</w:t>
            </w:r>
          </w:p>
          <w:p w14:paraId="5E3DEE9D">
            <w:pPr>
              <w:pStyle w:val="206"/>
              <w:spacing w:line="360" w:lineRule="auto"/>
              <w:ind w:firstLine="480"/>
              <w:rPr>
                <w:szCs w:val="24"/>
              </w:rPr>
            </w:pPr>
            <w:r>
              <w:rPr>
                <w:szCs w:val="24"/>
              </w:rPr>
              <w:t>（2）复垦率及工期、植被恢复期。复垦率100%，钻井完工后进行复垦，施工期3个月。复垦种植恢复期2年。</w:t>
            </w:r>
          </w:p>
          <w:p w14:paraId="3EA38D30">
            <w:pPr>
              <w:pStyle w:val="206"/>
              <w:spacing w:line="360" w:lineRule="auto"/>
              <w:ind w:firstLine="480"/>
              <w:rPr>
                <w:szCs w:val="24"/>
              </w:rPr>
            </w:pPr>
            <w:r>
              <w:rPr>
                <w:szCs w:val="24"/>
              </w:rPr>
              <w:t>（3）复垦土壤：主要采用临时表土堆场耕植土以及其他临时占地原有耕植土。</w:t>
            </w:r>
          </w:p>
          <w:p w14:paraId="01501E4B">
            <w:pPr>
              <w:pStyle w:val="206"/>
              <w:spacing w:line="360" w:lineRule="auto"/>
              <w:ind w:firstLine="480"/>
              <w:rPr>
                <w:szCs w:val="24"/>
              </w:rPr>
            </w:pPr>
            <w:r>
              <w:rPr>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的油水罐区、泥浆罐区、生活区、放喷池、耕植土堆放区、泥浆不落地平台、岩屑堆放区以及边坡等。</w:t>
            </w:r>
          </w:p>
          <w:p w14:paraId="013B8CA9">
            <w:pPr>
              <w:pStyle w:val="206"/>
              <w:spacing w:line="360" w:lineRule="auto"/>
              <w:ind w:firstLine="480"/>
              <w:rPr>
                <w:szCs w:val="24"/>
              </w:rPr>
            </w:pPr>
            <w:r>
              <w:rPr>
                <w:szCs w:val="24"/>
              </w:rPr>
              <w:t>（5）复垦要求：对土壤进行翻耕、平整及培肥改良。满足《土地复垦质量控制标准》（TD/T1036-2013）中规定的要求。</w:t>
            </w:r>
          </w:p>
          <w:p w14:paraId="2F28EE23">
            <w:pPr>
              <w:pStyle w:val="206"/>
              <w:spacing w:line="360" w:lineRule="auto"/>
              <w:ind w:firstLine="480"/>
              <w:rPr>
                <w:szCs w:val="24"/>
              </w:rPr>
            </w:pPr>
            <w:r>
              <w:rPr>
                <w:szCs w:val="24"/>
              </w:rPr>
              <w:t>（6）临时用地先清除地表的建筑，再用井场建设时的表层土作为种植土，进行植被恢复。恢复流程为：钻井完成→拆除建（构）筑物→清理场地→人工松土→将土覆盖→整理摊铺耕植土方→交付农民复耕。</w:t>
            </w:r>
          </w:p>
          <w:p w14:paraId="54492DC9">
            <w:pPr>
              <w:pStyle w:val="206"/>
              <w:spacing w:line="360" w:lineRule="auto"/>
              <w:ind w:firstLine="480"/>
              <w:rPr>
                <w:szCs w:val="24"/>
              </w:rPr>
            </w:pPr>
            <w:r>
              <w:rPr>
                <w:szCs w:val="24"/>
              </w:rPr>
              <w:t>（7）完钻后及时对临时设施（生活区）进行生态恢复，可恢复为旱地。</w:t>
            </w:r>
          </w:p>
          <w:p w14:paraId="18AE9698">
            <w:pPr>
              <w:pStyle w:val="206"/>
              <w:spacing w:line="360" w:lineRule="auto"/>
              <w:ind w:firstLine="480"/>
              <w:rPr>
                <w:b/>
                <w:szCs w:val="24"/>
              </w:rPr>
            </w:pPr>
            <w:r>
              <w:rPr>
                <w:szCs w:val="24"/>
              </w:rPr>
              <w:t>施工结束后，生态环境能够得到恢复，对生态环境的影响可接受，且拟采取措施较为成熟，简单可行</w:t>
            </w:r>
            <w:r>
              <w:rPr>
                <w:b/>
                <w:szCs w:val="24"/>
              </w:rPr>
              <w:t>。</w:t>
            </w:r>
          </w:p>
          <w:p w14:paraId="341B2229">
            <w:pPr>
              <w:spacing w:line="360" w:lineRule="auto"/>
              <w:rPr>
                <w:b/>
                <w:bCs/>
                <w:sz w:val="24"/>
              </w:rPr>
            </w:pPr>
            <w:r>
              <w:rPr>
                <w:b/>
                <w:bCs/>
                <w:sz w:val="24"/>
              </w:rPr>
              <w:t>5.8环境管理与监测计划</w:t>
            </w:r>
          </w:p>
          <w:p w14:paraId="23423537">
            <w:pPr>
              <w:adjustRightInd w:val="0"/>
              <w:snapToGrid w:val="0"/>
              <w:spacing w:line="360" w:lineRule="auto"/>
              <w:ind w:firstLine="520" w:firstLineChars="200"/>
              <w:rPr>
                <w:bCs/>
                <w:spacing w:val="10"/>
                <w:sz w:val="24"/>
              </w:rPr>
            </w:pPr>
            <w:r>
              <w:rPr>
                <w:rFonts w:hint="eastAsia"/>
                <w:bCs/>
                <w:spacing w:val="10"/>
                <w:sz w:val="24"/>
              </w:rPr>
              <w:t>本项目对环境的影响主要集中在施工期，运营期无影响。因此</w:t>
            </w:r>
            <w:r>
              <w:rPr>
                <w:bCs/>
                <w:spacing w:val="10"/>
                <w:sz w:val="24"/>
              </w:rPr>
              <w:t>根据《排污单位自行监测技术指南 总则》（HJ819-2017）、参照《排污单位自行监测技术指南 陆上石油天然气开采工业》</w:t>
            </w:r>
            <w:r>
              <w:rPr>
                <w:rFonts w:hint="eastAsia"/>
                <w:bCs/>
                <w:spacing w:val="10"/>
                <w:sz w:val="24"/>
              </w:rPr>
              <w:t>（</w:t>
            </w:r>
            <w:r>
              <w:rPr>
                <w:bCs/>
                <w:spacing w:val="10"/>
                <w:sz w:val="24"/>
              </w:rPr>
              <w:t>HJ1248-2022</w:t>
            </w:r>
            <w:r>
              <w:rPr>
                <w:rFonts w:hint="eastAsia"/>
                <w:bCs/>
                <w:spacing w:val="10"/>
                <w:sz w:val="24"/>
              </w:rPr>
              <w:t>）《环境影响评价技术导则 陆地石油天然气开发建设项目》（HJ349-2023）等</w:t>
            </w:r>
            <w:r>
              <w:rPr>
                <w:bCs/>
                <w:spacing w:val="10"/>
                <w:sz w:val="24"/>
              </w:rPr>
              <w:t>要求和相关地下水、土壤导则要求，</w:t>
            </w:r>
            <w:r>
              <w:rPr>
                <w:rFonts w:hint="eastAsia"/>
                <w:bCs/>
                <w:spacing w:val="10"/>
                <w:sz w:val="24"/>
              </w:rPr>
              <w:t>并结合区域同类型钻井项目，根据项目</w:t>
            </w:r>
            <w:r>
              <w:rPr>
                <w:bCs/>
                <w:spacing w:val="10"/>
                <w:sz w:val="24"/>
              </w:rPr>
              <w:t>环境影响情况，制定</w:t>
            </w:r>
            <w:r>
              <w:rPr>
                <w:rFonts w:hint="eastAsia"/>
                <w:bCs/>
                <w:spacing w:val="10"/>
                <w:sz w:val="24"/>
              </w:rPr>
              <w:t>竣工环境保护验收</w:t>
            </w:r>
            <w:r>
              <w:rPr>
                <w:bCs/>
                <w:spacing w:val="10"/>
                <w:sz w:val="24"/>
              </w:rPr>
              <w:t>监测计划</w:t>
            </w:r>
            <w:r>
              <w:rPr>
                <w:rFonts w:hint="eastAsia"/>
                <w:bCs/>
                <w:spacing w:val="10"/>
                <w:sz w:val="24"/>
              </w:rPr>
              <w:t>，监测计划</w:t>
            </w:r>
            <w:r>
              <w:rPr>
                <w:bCs/>
                <w:spacing w:val="10"/>
                <w:sz w:val="24"/>
              </w:rPr>
              <w:t>如下。</w:t>
            </w:r>
          </w:p>
          <w:p w14:paraId="5663A9AC">
            <w:pPr>
              <w:pStyle w:val="215"/>
              <w:ind w:firstLine="0" w:firstLineChars="0"/>
              <w:jc w:val="center"/>
              <w:rPr>
                <w:rFonts w:ascii="Times New Roman" w:hAnsi="Times New Roman" w:cs="Times New Roman"/>
                <w:b/>
                <w:szCs w:val="24"/>
              </w:rPr>
            </w:pPr>
            <w:r>
              <w:rPr>
                <w:rFonts w:ascii="Times New Roman" w:hAnsi="Times New Roman" w:cs="Times New Roman"/>
                <w:b/>
                <w:szCs w:val="24"/>
              </w:rPr>
              <w:t xml:space="preserve">表5-3  </w:t>
            </w:r>
            <w:r>
              <w:rPr>
                <w:rFonts w:hint="eastAsia" w:ascii="Times New Roman" w:hAnsi="Times New Roman" w:cs="Times New Roman"/>
                <w:b/>
                <w:szCs w:val="24"/>
              </w:rPr>
              <w:t>竣工</w:t>
            </w:r>
            <w:r>
              <w:rPr>
                <w:rFonts w:ascii="Times New Roman" w:hAnsi="Times New Roman" w:cs="Times New Roman"/>
                <w:b/>
                <w:szCs w:val="24"/>
              </w:rPr>
              <w:t>环境</w:t>
            </w:r>
            <w:r>
              <w:rPr>
                <w:rFonts w:hint="eastAsia" w:ascii="Times New Roman" w:hAnsi="Times New Roman" w:cs="Times New Roman"/>
                <w:b/>
                <w:szCs w:val="24"/>
              </w:rPr>
              <w:t>保护验收</w:t>
            </w:r>
            <w:r>
              <w:rPr>
                <w:rFonts w:ascii="Times New Roman" w:hAnsi="Times New Roman" w:cs="Times New Roman"/>
                <w:b/>
                <w:szCs w:val="24"/>
              </w:rPr>
              <w:t>监测计划一览表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7"/>
              <w:gridCol w:w="499"/>
              <w:gridCol w:w="864"/>
              <w:gridCol w:w="1974"/>
              <w:gridCol w:w="2695"/>
              <w:gridCol w:w="1792"/>
            </w:tblGrid>
            <w:tr w14:paraId="6EB50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14:paraId="64D360DF">
                  <w:pPr>
                    <w:snapToGrid w:val="0"/>
                    <w:jc w:val="center"/>
                    <w:rPr>
                      <w:b/>
                      <w:szCs w:val="21"/>
                    </w:rPr>
                  </w:pPr>
                  <w:r>
                    <w:rPr>
                      <w:b/>
                      <w:szCs w:val="21"/>
                    </w:rPr>
                    <w:t>类别</w:t>
                  </w:r>
                </w:p>
              </w:tc>
              <w:tc>
                <w:tcPr>
                  <w:tcW w:w="526" w:type="pct"/>
                  <w:tcBorders>
                    <w:tl2br w:val="nil"/>
                    <w:tr2bl w:val="nil"/>
                  </w:tcBorders>
                  <w:vAlign w:val="center"/>
                </w:tcPr>
                <w:p w14:paraId="53F2FA27">
                  <w:pPr>
                    <w:snapToGrid w:val="0"/>
                    <w:jc w:val="center"/>
                    <w:rPr>
                      <w:b/>
                      <w:szCs w:val="21"/>
                    </w:rPr>
                  </w:pPr>
                  <w:r>
                    <w:rPr>
                      <w:b/>
                      <w:szCs w:val="21"/>
                    </w:rPr>
                    <w:t>监测点位</w:t>
                  </w:r>
                </w:p>
              </w:tc>
              <w:tc>
                <w:tcPr>
                  <w:tcW w:w="1202" w:type="pct"/>
                  <w:tcBorders>
                    <w:tl2br w:val="nil"/>
                    <w:tr2bl w:val="nil"/>
                  </w:tcBorders>
                  <w:vAlign w:val="center"/>
                </w:tcPr>
                <w:p w14:paraId="66508B97">
                  <w:pPr>
                    <w:snapToGrid w:val="0"/>
                    <w:jc w:val="center"/>
                    <w:rPr>
                      <w:b/>
                      <w:szCs w:val="21"/>
                    </w:rPr>
                  </w:pPr>
                  <w:r>
                    <w:rPr>
                      <w:b/>
                      <w:szCs w:val="21"/>
                    </w:rPr>
                    <w:t>监测位置</w:t>
                  </w:r>
                </w:p>
              </w:tc>
              <w:tc>
                <w:tcPr>
                  <w:tcW w:w="1641" w:type="pct"/>
                  <w:tcBorders>
                    <w:tl2br w:val="nil"/>
                    <w:tr2bl w:val="nil"/>
                  </w:tcBorders>
                  <w:vAlign w:val="center"/>
                </w:tcPr>
                <w:p w14:paraId="2D50F4F7">
                  <w:pPr>
                    <w:snapToGrid w:val="0"/>
                    <w:jc w:val="center"/>
                    <w:rPr>
                      <w:b/>
                      <w:szCs w:val="21"/>
                    </w:rPr>
                  </w:pPr>
                  <w:r>
                    <w:rPr>
                      <w:b/>
                      <w:szCs w:val="21"/>
                    </w:rPr>
                    <w:t>监测项目</w:t>
                  </w:r>
                </w:p>
              </w:tc>
              <w:tc>
                <w:tcPr>
                  <w:tcW w:w="1090" w:type="pct"/>
                  <w:tcBorders>
                    <w:tl2br w:val="nil"/>
                    <w:tr2bl w:val="nil"/>
                  </w:tcBorders>
                  <w:vAlign w:val="center"/>
                </w:tcPr>
                <w:p w14:paraId="1ECA7432">
                  <w:pPr>
                    <w:snapToGrid w:val="0"/>
                    <w:jc w:val="center"/>
                    <w:rPr>
                      <w:b/>
                      <w:szCs w:val="21"/>
                    </w:rPr>
                  </w:pPr>
                  <w:r>
                    <w:rPr>
                      <w:b/>
                      <w:szCs w:val="21"/>
                    </w:rPr>
                    <w:t>监测频率</w:t>
                  </w:r>
                </w:p>
              </w:tc>
            </w:tr>
            <w:tr w14:paraId="6A1AF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14:paraId="42138BF0">
                  <w:pPr>
                    <w:snapToGrid w:val="0"/>
                    <w:jc w:val="center"/>
                    <w:rPr>
                      <w:szCs w:val="21"/>
                    </w:rPr>
                  </w:pPr>
                  <w:r>
                    <w:rPr>
                      <w:rFonts w:hint="eastAsia"/>
                      <w:szCs w:val="21"/>
                    </w:rPr>
                    <w:t>噪声</w:t>
                  </w:r>
                </w:p>
              </w:tc>
              <w:tc>
                <w:tcPr>
                  <w:tcW w:w="526" w:type="pct"/>
                  <w:tcBorders>
                    <w:tl2br w:val="nil"/>
                    <w:tr2bl w:val="nil"/>
                  </w:tcBorders>
                  <w:vAlign w:val="center"/>
                </w:tcPr>
                <w:p w14:paraId="4000D9F9">
                  <w:pPr>
                    <w:widowControl/>
                    <w:jc w:val="center"/>
                    <w:rPr>
                      <w:szCs w:val="21"/>
                    </w:rPr>
                  </w:pPr>
                  <w:r>
                    <w:rPr>
                      <w:rFonts w:hint="eastAsia"/>
                      <w:szCs w:val="21"/>
                    </w:rPr>
                    <w:t>厂界及最近居民点处</w:t>
                  </w:r>
                </w:p>
              </w:tc>
              <w:tc>
                <w:tcPr>
                  <w:tcW w:w="1202" w:type="pct"/>
                  <w:tcBorders>
                    <w:tl2br w:val="nil"/>
                    <w:tr2bl w:val="nil"/>
                  </w:tcBorders>
                  <w:vAlign w:val="center"/>
                </w:tcPr>
                <w:p w14:paraId="3CD924E3">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厂界及最近敏感点处</w:t>
                  </w:r>
                </w:p>
              </w:tc>
              <w:tc>
                <w:tcPr>
                  <w:tcW w:w="1641" w:type="pct"/>
                  <w:tcBorders>
                    <w:tl2br w:val="nil"/>
                    <w:tr2bl w:val="nil"/>
                  </w:tcBorders>
                  <w:vAlign w:val="center"/>
                </w:tcPr>
                <w:p w14:paraId="755E1790">
                  <w:pPr>
                    <w:snapToGrid w:val="0"/>
                    <w:jc w:val="center"/>
                    <w:rPr>
                      <w:szCs w:val="21"/>
                    </w:rPr>
                  </w:pPr>
                  <w:r>
                    <w:rPr>
                      <w:rFonts w:hint="eastAsia"/>
                      <w:szCs w:val="21"/>
                    </w:rPr>
                    <w:t>等效连续A声级</w:t>
                  </w:r>
                </w:p>
              </w:tc>
              <w:tc>
                <w:tcPr>
                  <w:tcW w:w="1090" w:type="pct"/>
                  <w:tcBorders>
                    <w:tl2br w:val="nil"/>
                    <w:tr2bl w:val="nil"/>
                  </w:tcBorders>
                  <w:vAlign w:val="center"/>
                </w:tcPr>
                <w:p w14:paraId="15FB57CC">
                  <w:pPr>
                    <w:snapToGrid w:val="0"/>
                    <w:jc w:val="center"/>
                    <w:rPr>
                      <w:szCs w:val="21"/>
                    </w:rPr>
                  </w:pPr>
                  <w:r>
                    <w:rPr>
                      <w:szCs w:val="21"/>
                    </w:rPr>
                    <w:t>完工后验收监测1次</w:t>
                  </w:r>
                </w:p>
              </w:tc>
            </w:tr>
            <w:tr w14:paraId="34605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Merge w:val="restart"/>
                  <w:tcBorders>
                    <w:tl2br w:val="nil"/>
                    <w:tr2bl w:val="nil"/>
                  </w:tcBorders>
                  <w:vAlign w:val="center"/>
                </w:tcPr>
                <w:p w14:paraId="5F098BAD">
                  <w:pPr>
                    <w:snapToGrid w:val="0"/>
                    <w:jc w:val="center"/>
                    <w:rPr>
                      <w:szCs w:val="21"/>
                    </w:rPr>
                  </w:pPr>
                  <w:r>
                    <w:rPr>
                      <w:szCs w:val="21"/>
                    </w:rPr>
                    <w:t>地下水</w:t>
                  </w:r>
                </w:p>
              </w:tc>
              <w:tc>
                <w:tcPr>
                  <w:tcW w:w="303" w:type="pct"/>
                  <w:vMerge w:val="restart"/>
                  <w:tcBorders>
                    <w:tl2br w:val="nil"/>
                    <w:tr2bl w:val="nil"/>
                  </w:tcBorders>
                  <w:vAlign w:val="center"/>
                </w:tcPr>
                <w:p w14:paraId="68B3ECFB">
                  <w:pPr>
                    <w:snapToGrid w:val="0"/>
                    <w:jc w:val="center"/>
                    <w:rPr>
                      <w:szCs w:val="21"/>
                    </w:rPr>
                  </w:pPr>
                  <w:r>
                    <w:rPr>
                      <w:szCs w:val="21"/>
                    </w:rPr>
                    <w:t>水井</w:t>
                  </w:r>
                </w:p>
              </w:tc>
              <w:tc>
                <w:tcPr>
                  <w:tcW w:w="526" w:type="pct"/>
                  <w:tcBorders>
                    <w:tl2br w:val="nil"/>
                    <w:tr2bl w:val="nil"/>
                  </w:tcBorders>
                  <w:vAlign w:val="center"/>
                </w:tcPr>
                <w:p w14:paraId="2C30D714">
                  <w:pPr>
                    <w:widowControl/>
                    <w:jc w:val="center"/>
                    <w:rPr>
                      <w:szCs w:val="21"/>
                    </w:rPr>
                  </w:pPr>
                  <w:r>
                    <w:rPr>
                      <w:szCs w:val="21"/>
                    </w:rPr>
                    <w:t>1#监测点</w:t>
                  </w:r>
                </w:p>
              </w:tc>
              <w:tc>
                <w:tcPr>
                  <w:tcW w:w="1202" w:type="pct"/>
                  <w:tcBorders>
                    <w:tl2br w:val="nil"/>
                    <w:tr2bl w:val="nil"/>
                  </w:tcBorders>
                  <w:vAlign w:val="center"/>
                </w:tcPr>
                <w:p w14:paraId="7AC26C29">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场地上游水井（107.567826，31.341840）</w:t>
                  </w:r>
                </w:p>
              </w:tc>
              <w:tc>
                <w:tcPr>
                  <w:tcW w:w="1641" w:type="pct"/>
                  <w:vMerge w:val="restart"/>
                  <w:tcBorders>
                    <w:tl2br w:val="nil"/>
                    <w:tr2bl w:val="nil"/>
                  </w:tcBorders>
                  <w:vAlign w:val="center"/>
                </w:tcPr>
                <w:p w14:paraId="1ACFD569">
                  <w:pPr>
                    <w:snapToGrid w:val="0"/>
                    <w:jc w:val="center"/>
                    <w:rPr>
                      <w:szCs w:val="21"/>
                    </w:rPr>
                  </w:pPr>
                  <w:r>
                    <w:rPr>
                      <w:szCs w:val="21"/>
                    </w:rPr>
                    <w:t>pH、石油类、石油烃（C</w:t>
                  </w:r>
                  <w:r>
                    <w:rPr>
                      <w:rFonts w:hint="eastAsia"/>
                      <w:szCs w:val="21"/>
                      <w:vertAlign w:val="subscript"/>
                    </w:rPr>
                    <w:t>6</w:t>
                  </w:r>
                  <w:r>
                    <w:rPr>
                      <w:szCs w:val="21"/>
                    </w:rPr>
                    <w:t>~C</w:t>
                  </w:r>
                  <w:r>
                    <w:rPr>
                      <w:rFonts w:hint="eastAsia"/>
                      <w:szCs w:val="21"/>
                      <w:vertAlign w:val="subscript"/>
                    </w:rPr>
                    <w:t>9</w:t>
                  </w:r>
                  <w:r>
                    <w:rPr>
                      <w:szCs w:val="21"/>
                    </w:rPr>
                    <w:t>）</w:t>
                  </w:r>
                  <w:r>
                    <w:rPr>
                      <w:rFonts w:hint="eastAsia"/>
                      <w:szCs w:val="21"/>
                    </w:rPr>
                    <w:t>、</w:t>
                  </w:r>
                  <w:r>
                    <w:rPr>
                      <w:szCs w:val="21"/>
                    </w:rPr>
                    <w:t>石油烃（C</w:t>
                  </w:r>
                  <w:r>
                    <w:rPr>
                      <w:szCs w:val="21"/>
                      <w:vertAlign w:val="subscript"/>
                    </w:rPr>
                    <w:t>10</w:t>
                  </w:r>
                  <w:r>
                    <w:rPr>
                      <w:szCs w:val="21"/>
                    </w:rPr>
                    <w:t>~C</w:t>
                  </w:r>
                  <w:r>
                    <w:rPr>
                      <w:szCs w:val="21"/>
                      <w:vertAlign w:val="subscript"/>
                    </w:rPr>
                    <w:t>40</w:t>
                  </w:r>
                  <w:r>
                    <w:rPr>
                      <w:szCs w:val="21"/>
                    </w:rPr>
                    <w:t>）</w:t>
                  </w:r>
                  <w:r>
                    <w:rPr>
                      <w:rFonts w:hint="eastAsia"/>
                      <w:szCs w:val="21"/>
                      <w:lang w:eastAsia="zh-CN"/>
                    </w:rPr>
                    <w:t>、</w:t>
                  </w:r>
                  <w:r>
                    <w:rPr>
                      <w:szCs w:val="21"/>
                    </w:rPr>
                    <w:t>钡、汞、砷、六价铬</w:t>
                  </w:r>
                </w:p>
              </w:tc>
              <w:tc>
                <w:tcPr>
                  <w:tcW w:w="1090" w:type="pct"/>
                  <w:vMerge w:val="restart"/>
                  <w:tcBorders>
                    <w:tl2br w:val="nil"/>
                    <w:tr2bl w:val="nil"/>
                  </w:tcBorders>
                  <w:vAlign w:val="center"/>
                </w:tcPr>
                <w:p w14:paraId="03AECB41">
                  <w:pPr>
                    <w:snapToGrid w:val="0"/>
                    <w:jc w:val="center"/>
                    <w:rPr>
                      <w:szCs w:val="21"/>
                    </w:rPr>
                  </w:pPr>
                  <w:r>
                    <w:rPr>
                      <w:szCs w:val="21"/>
                    </w:rPr>
                    <w:t>完工后验收监测1次</w:t>
                  </w:r>
                </w:p>
              </w:tc>
            </w:tr>
            <w:tr w14:paraId="33BC9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6" w:type="pct"/>
                  <w:vMerge w:val="continue"/>
                  <w:tcBorders>
                    <w:tl2br w:val="nil"/>
                    <w:tr2bl w:val="nil"/>
                  </w:tcBorders>
                  <w:vAlign w:val="center"/>
                </w:tcPr>
                <w:p w14:paraId="3BF1A369">
                  <w:pPr>
                    <w:widowControl/>
                    <w:jc w:val="center"/>
                    <w:rPr>
                      <w:szCs w:val="21"/>
                    </w:rPr>
                  </w:pPr>
                </w:p>
              </w:tc>
              <w:tc>
                <w:tcPr>
                  <w:tcW w:w="303" w:type="pct"/>
                  <w:vMerge w:val="continue"/>
                  <w:tcBorders>
                    <w:tl2br w:val="nil"/>
                    <w:tr2bl w:val="nil"/>
                  </w:tcBorders>
                  <w:vAlign w:val="center"/>
                </w:tcPr>
                <w:p w14:paraId="73FF177E">
                  <w:pPr>
                    <w:widowControl/>
                    <w:jc w:val="center"/>
                    <w:rPr>
                      <w:szCs w:val="21"/>
                    </w:rPr>
                  </w:pPr>
                </w:p>
              </w:tc>
              <w:tc>
                <w:tcPr>
                  <w:tcW w:w="526" w:type="pct"/>
                  <w:tcBorders>
                    <w:tl2br w:val="nil"/>
                    <w:tr2bl w:val="nil"/>
                  </w:tcBorders>
                  <w:vAlign w:val="center"/>
                </w:tcPr>
                <w:p w14:paraId="5AD02481">
                  <w:pPr>
                    <w:widowControl/>
                    <w:jc w:val="center"/>
                    <w:rPr>
                      <w:szCs w:val="21"/>
                    </w:rPr>
                  </w:pPr>
                  <w:r>
                    <w:rPr>
                      <w:szCs w:val="21"/>
                    </w:rPr>
                    <w:t>2#监测点</w:t>
                  </w:r>
                </w:p>
              </w:tc>
              <w:tc>
                <w:tcPr>
                  <w:tcW w:w="1202" w:type="pct"/>
                  <w:tcBorders>
                    <w:tl2br w:val="nil"/>
                    <w:tr2bl w:val="nil"/>
                  </w:tcBorders>
                  <w:vAlign w:val="center"/>
                </w:tcPr>
                <w:p w14:paraId="4EB29D5A">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场地下游水井（107.552596，31.340943）</w:t>
                  </w:r>
                </w:p>
              </w:tc>
              <w:tc>
                <w:tcPr>
                  <w:tcW w:w="1641" w:type="pct"/>
                  <w:vMerge w:val="continue"/>
                  <w:tcBorders>
                    <w:tl2br w:val="nil"/>
                    <w:tr2bl w:val="nil"/>
                  </w:tcBorders>
                  <w:vAlign w:val="center"/>
                </w:tcPr>
                <w:p w14:paraId="298456ED">
                  <w:pPr>
                    <w:widowControl/>
                    <w:jc w:val="center"/>
                    <w:rPr>
                      <w:szCs w:val="21"/>
                    </w:rPr>
                  </w:pPr>
                </w:p>
              </w:tc>
              <w:tc>
                <w:tcPr>
                  <w:tcW w:w="1090" w:type="pct"/>
                  <w:vMerge w:val="continue"/>
                  <w:tcBorders>
                    <w:tl2br w:val="nil"/>
                    <w:tr2bl w:val="nil"/>
                  </w:tcBorders>
                  <w:vAlign w:val="center"/>
                </w:tcPr>
                <w:p w14:paraId="57163735">
                  <w:pPr>
                    <w:widowControl/>
                    <w:jc w:val="center"/>
                    <w:rPr>
                      <w:szCs w:val="21"/>
                    </w:rPr>
                  </w:pPr>
                </w:p>
              </w:tc>
            </w:tr>
            <w:tr w14:paraId="28506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14:paraId="67CFE699">
                  <w:pPr>
                    <w:snapToGrid w:val="0"/>
                    <w:jc w:val="center"/>
                    <w:rPr>
                      <w:szCs w:val="21"/>
                    </w:rPr>
                  </w:pPr>
                  <w:r>
                    <w:rPr>
                      <w:szCs w:val="21"/>
                    </w:rPr>
                    <w:t>土壤</w:t>
                  </w:r>
                </w:p>
              </w:tc>
              <w:tc>
                <w:tcPr>
                  <w:tcW w:w="526" w:type="pct"/>
                  <w:tcBorders>
                    <w:tl2br w:val="nil"/>
                    <w:tr2bl w:val="nil"/>
                  </w:tcBorders>
                  <w:vAlign w:val="center"/>
                </w:tcPr>
                <w:p w14:paraId="106F8F2F">
                  <w:pPr>
                    <w:widowControl/>
                    <w:jc w:val="center"/>
                    <w:rPr>
                      <w:szCs w:val="21"/>
                    </w:rPr>
                  </w:pPr>
                  <w:r>
                    <w:rPr>
                      <w:szCs w:val="21"/>
                    </w:rPr>
                    <w:t>1个土壤监测点</w:t>
                  </w:r>
                </w:p>
              </w:tc>
              <w:tc>
                <w:tcPr>
                  <w:tcW w:w="1202" w:type="pct"/>
                  <w:tcBorders>
                    <w:tl2br w:val="nil"/>
                    <w:tr2bl w:val="nil"/>
                  </w:tcBorders>
                  <w:vAlign w:val="center"/>
                </w:tcPr>
                <w:p w14:paraId="4393733E">
                  <w:pPr>
                    <w:snapToGrid w:val="0"/>
                    <w:jc w:val="center"/>
                    <w:rPr>
                      <w:szCs w:val="21"/>
                    </w:rPr>
                  </w:pPr>
                  <w:r>
                    <w:rPr>
                      <w:szCs w:val="21"/>
                    </w:rPr>
                    <w:t>泥浆不落地平台旁</w:t>
                  </w:r>
                </w:p>
              </w:tc>
              <w:tc>
                <w:tcPr>
                  <w:tcW w:w="1641" w:type="pct"/>
                  <w:tcBorders>
                    <w:tl2br w:val="nil"/>
                    <w:tr2bl w:val="nil"/>
                  </w:tcBorders>
                  <w:vAlign w:val="center"/>
                </w:tcPr>
                <w:p w14:paraId="14421454">
                  <w:pPr>
                    <w:snapToGrid w:val="0"/>
                    <w:jc w:val="center"/>
                    <w:rPr>
                      <w:szCs w:val="21"/>
                    </w:rPr>
                  </w:pPr>
                  <w:r>
                    <w:rPr>
                      <w:szCs w:val="21"/>
                    </w:rPr>
                    <w:t>pH、石油类、石油烃（C</w:t>
                  </w:r>
                  <w:r>
                    <w:rPr>
                      <w:rFonts w:hint="eastAsia"/>
                      <w:szCs w:val="21"/>
                      <w:vertAlign w:val="subscript"/>
                    </w:rPr>
                    <w:t>6</w:t>
                  </w:r>
                  <w:r>
                    <w:rPr>
                      <w:szCs w:val="21"/>
                    </w:rPr>
                    <w:t>~C</w:t>
                  </w:r>
                  <w:r>
                    <w:rPr>
                      <w:rFonts w:hint="eastAsia"/>
                      <w:szCs w:val="21"/>
                      <w:vertAlign w:val="subscript"/>
                    </w:rPr>
                    <w:t>9</w:t>
                  </w:r>
                  <w:r>
                    <w:rPr>
                      <w:szCs w:val="21"/>
                    </w:rPr>
                    <w:t>）</w:t>
                  </w:r>
                  <w:r>
                    <w:rPr>
                      <w:rFonts w:hint="eastAsia"/>
                      <w:szCs w:val="21"/>
                    </w:rPr>
                    <w:t>、</w:t>
                  </w:r>
                  <w:r>
                    <w:rPr>
                      <w:szCs w:val="21"/>
                    </w:rPr>
                    <w:t>石油烃（C</w:t>
                  </w:r>
                  <w:r>
                    <w:rPr>
                      <w:szCs w:val="21"/>
                      <w:vertAlign w:val="subscript"/>
                    </w:rPr>
                    <w:t>10</w:t>
                  </w:r>
                  <w:r>
                    <w:rPr>
                      <w:szCs w:val="21"/>
                    </w:rPr>
                    <w:t>~C</w:t>
                  </w:r>
                  <w:r>
                    <w:rPr>
                      <w:szCs w:val="21"/>
                      <w:vertAlign w:val="subscript"/>
                    </w:rPr>
                    <w:t>40</w:t>
                  </w:r>
                  <w:r>
                    <w:rPr>
                      <w:szCs w:val="21"/>
                    </w:rPr>
                    <w:t>）、汞、砷、六价铬</w:t>
                  </w:r>
                </w:p>
              </w:tc>
              <w:tc>
                <w:tcPr>
                  <w:tcW w:w="1090" w:type="pct"/>
                  <w:tcBorders>
                    <w:tl2br w:val="nil"/>
                    <w:tr2bl w:val="nil"/>
                  </w:tcBorders>
                  <w:vAlign w:val="center"/>
                </w:tcPr>
                <w:p w14:paraId="512BEB9A">
                  <w:pPr>
                    <w:snapToGrid w:val="0"/>
                    <w:jc w:val="center"/>
                    <w:rPr>
                      <w:szCs w:val="21"/>
                    </w:rPr>
                  </w:pPr>
                  <w:r>
                    <w:rPr>
                      <w:szCs w:val="21"/>
                    </w:rPr>
                    <w:t>完工后验收监测1次</w:t>
                  </w:r>
                </w:p>
              </w:tc>
            </w:tr>
            <w:tr w14:paraId="5F5D2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14:paraId="027A7805">
                  <w:pPr>
                    <w:snapToGrid w:val="0"/>
                    <w:jc w:val="center"/>
                    <w:rPr>
                      <w:szCs w:val="21"/>
                    </w:rPr>
                  </w:pPr>
                  <w:r>
                    <w:rPr>
                      <w:rFonts w:hint="eastAsia"/>
                      <w:szCs w:val="21"/>
                    </w:rPr>
                    <w:t>大气环境</w:t>
                  </w:r>
                </w:p>
              </w:tc>
              <w:tc>
                <w:tcPr>
                  <w:tcW w:w="526" w:type="pct"/>
                  <w:tcBorders>
                    <w:tl2br w:val="nil"/>
                    <w:tr2bl w:val="nil"/>
                  </w:tcBorders>
                  <w:vAlign w:val="center"/>
                </w:tcPr>
                <w:p w14:paraId="56F6EE43">
                  <w:pPr>
                    <w:widowControl/>
                    <w:jc w:val="center"/>
                    <w:rPr>
                      <w:szCs w:val="21"/>
                    </w:rPr>
                  </w:pPr>
                  <w:r>
                    <w:rPr>
                      <w:rFonts w:hint="eastAsia"/>
                      <w:szCs w:val="21"/>
                    </w:rPr>
                    <w:t>厂界无组织</w:t>
                  </w:r>
                </w:p>
              </w:tc>
              <w:tc>
                <w:tcPr>
                  <w:tcW w:w="1202" w:type="pct"/>
                  <w:tcBorders>
                    <w:tl2br w:val="nil"/>
                    <w:tr2bl w:val="nil"/>
                  </w:tcBorders>
                  <w:vAlign w:val="center"/>
                </w:tcPr>
                <w:p w14:paraId="28110284">
                  <w:pPr>
                    <w:snapToGrid w:val="0"/>
                    <w:jc w:val="center"/>
                    <w:rPr>
                      <w:szCs w:val="21"/>
                    </w:rPr>
                  </w:pPr>
                  <w:r>
                    <w:rPr>
                      <w:rFonts w:hint="eastAsia"/>
                      <w:szCs w:val="21"/>
                    </w:rPr>
                    <w:t>南侧厂界</w:t>
                  </w:r>
                </w:p>
              </w:tc>
              <w:tc>
                <w:tcPr>
                  <w:tcW w:w="1641" w:type="pct"/>
                  <w:tcBorders>
                    <w:tl2br w:val="nil"/>
                    <w:tr2bl w:val="nil"/>
                  </w:tcBorders>
                  <w:vAlign w:val="center"/>
                </w:tcPr>
                <w:p w14:paraId="3E70C077">
                  <w:pPr>
                    <w:snapToGrid w:val="0"/>
                    <w:jc w:val="center"/>
                    <w:rPr>
                      <w:szCs w:val="21"/>
                    </w:rPr>
                  </w:pPr>
                  <w:r>
                    <w:rPr>
                      <w:rFonts w:hint="eastAsia"/>
                      <w:szCs w:val="21"/>
                    </w:rPr>
                    <w:t>H</w:t>
                  </w:r>
                  <w:r>
                    <w:rPr>
                      <w:rFonts w:hint="eastAsia"/>
                      <w:szCs w:val="21"/>
                      <w:vertAlign w:val="subscript"/>
                    </w:rPr>
                    <w:t>2</w:t>
                  </w:r>
                  <w:r>
                    <w:rPr>
                      <w:rFonts w:hint="eastAsia"/>
                      <w:szCs w:val="21"/>
                    </w:rPr>
                    <w:t>S、非甲烷总烃</w:t>
                  </w:r>
                </w:p>
              </w:tc>
              <w:tc>
                <w:tcPr>
                  <w:tcW w:w="1090" w:type="pct"/>
                  <w:tcBorders>
                    <w:tl2br w:val="nil"/>
                    <w:tr2bl w:val="nil"/>
                  </w:tcBorders>
                  <w:vAlign w:val="center"/>
                </w:tcPr>
                <w:p w14:paraId="454F930B">
                  <w:pPr>
                    <w:snapToGrid w:val="0"/>
                    <w:jc w:val="center"/>
                    <w:rPr>
                      <w:szCs w:val="21"/>
                    </w:rPr>
                  </w:pPr>
                  <w:r>
                    <w:rPr>
                      <w:szCs w:val="21"/>
                    </w:rPr>
                    <w:t>完工后验收监测1次</w:t>
                  </w:r>
                </w:p>
              </w:tc>
            </w:tr>
            <w:tr w14:paraId="0C3E9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14:paraId="55704BC1">
                  <w:pPr>
                    <w:snapToGrid w:val="0"/>
                    <w:jc w:val="center"/>
                    <w:rPr>
                      <w:szCs w:val="21"/>
                    </w:rPr>
                  </w:pPr>
                  <w:r>
                    <w:rPr>
                      <w:rFonts w:hint="eastAsia"/>
                      <w:szCs w:val="21"/>
                    </w:rPr>
                    <w:t>雨水排放口监测</w:t>
                  </w:r>
                </w:p>
              </w:tc>
              <w:tc>
                <w:tcPr>
                  <w:tcW w:w="526" w:type="pct"/>
                  <w:tcBorders>
                    <w:tl2br w:val="nil"/>
                    <w:tr2bl w:val="nil"/>
                  </w:tcBorders>
                  <w:vAlign w:val="center"/>
                </w:tcPr>
                <w:p w14:paraId="0B7FB617">
                  <w:pPr>
                    <w:widowControl/>
                    <w:jc w:val="center"/>
                    <w:rPr>
                      <w:rFonts w:hint="eastAsia" w:eastAsia="宋体"/>
                      <w:szCs w:val="21"/>
                      <w:lang w:val="en-US" w:eastAsia="zh-CN"/>
                    </w:rPr>
                  </w:pPr>
                  <w:r>
                    <w:rPr>
                      <w:rFonts w:hint="eastAsia"/>
                      <w:szCs w:val="21"/>
                    </w:rPr>
                    <w:t>雨水排放口</w:t>
                  </w:r>
                  <w:r>
                    <w:rPr>
                      <w:rFonts w:hint="eastAsia"/>
                      <w:szCs w:val="21"/>
                      <w:lang w:val="en-US" w:eastAsia="zh-CN"/>
                    </w:rPr>
                    <w:t xml:space="preserve"> </w:t>
                  </w:r>
                </w:p>
              </w:tc>
              <w:tc>
                <w:tcPr>
                  <w:tcW w:w="1202" w:type="pct"/>
                  <w:tcBorders>
                    <w:tl2br w:val="nil"/>
                    <w:tr2bl w:val="nil"/>
                  </w:tcBorders>
                  <w:vAlign w:val="center"/>
                </w:tcPr>
                <w:p w14:paraId="6A068908">
                  <w:pPr>
                    <w:snapToGrid w:val="0"/>
                    <w:jc w:val="center"/>
                    <w:rPr>
                      <w:szCs w:val="21"/>
                    </w:rPr>
                  </w:pPr>
                  <w:r>
                    <w:rPr>
                      <w:rFonts w:hint="eastAsia"/>
                      <w:szCs w:val="21"/>
                    </w:rPr>
                    <w:t>雨水排放口</w:t>
                  </w:r>
                </w:p>
              </w:tc>
              <w:tc>
                <w:tcPr>
                  <w:tcW w:w="1641" w:type="pct"/>
                  <w:tcBorders>
                    <w:tl2br w:val="nil"/>
                    <w:tr2bl w:val="nil"/>
                  </w:tcBorders>
                  <w:vAlign w:val="center"/>
                </w:tcPr>
                <w:p w14:paraId="0A6F1C88">
                  <w:pPr>
                    <w:snapToGrid w:val="0"/>
                    <w:jc w:val="center"/>
                    <w:rPr>
                      <w:szCs w:val="21"/>
                    </w:rPr>
                  </w:pPr>
                  <w:r>
                    <w:rPr>
                      <w:rFonts w:hint="eastAsia"/>
                      <w:szCs w:val="21"/>
                    </w:rPr>
                    <w:t>pH、石油类、钡、汞、砷、六价铬</w:t>
                  </w:r>
                </w:p>
              </w:tc>
              <w:tc>
                <w:tcPr>
                  <w:tcW w:w="1090" w:type="pct"/>
                  <w:tcBorders>
                    <w:tl2br w:val="nil"/>
                    <w:tr2bl w:val="nil"/>
                  </w:tcBorders>
                  <w:vAlign w:val="center"/>
                </w:tcPr>
                <w:p w14:paraId="3B8F8B38">
                  <w:pPr>
                    <w:snapToGrid w:val="0"/>
                    <w:jc w:val="center"/>
                    <w:rPr>
                      <w:szCs w:val="21"/>
                    </w:rPr>
                  </w:pPr>
                  <w:r>
                    <w:rPr>
                      <w:szCs w:val="21"/>
                    </w:rPr>
                    <w:t>完工后验收监测1次</w:t>
                  </w:r>
                </w:p>
              </w:tc>
            </w:tr>
            <w:tr w14:paraId="32C3D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6A607849">
                  <w:pPr>
                    <w:snapToGrid w:val="0"/>
                    <w:rPr>
                      <w:szCs w:val="21"/>
                    </w:rPr>
                  </w:pPr>
                  <w:r>
                    <w:rPr>
                      <w:szCs w:val="21"/>
                    </w:rPr>
                    <w:t>废水、固废：记录废水及各类固废产生量、处置量、储存量、危险废物详细记录具体去向</w:t>
                  </w:r>
                </w:p>
              </w:tc>
            </w:tr>
          </w:tbl>
          <w:p w14:paraId="434374A8">
            <w:pPr>
              <w:spacing w:line="360" w:lineRule="auto"/>
              <w:ind w:firstLine="460" w:firstLineChars="200"/>
              <w:rPr>
                <w:bCs/>
                <w:spacing w:val="10"/>
                <w:szCs w:val="21"/>
              </w:rPr>
            </w:pPr>
          </w:p>
        </w:tc>
      </w:tr>
      <w:tr w14:paraId="6E24E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14:paraId="18311B74">
            <w:pPr>
              <w:adjustRightInd w:val="0"/>
              <w:snapToGrid w:val="0"/>
              <w:jc w:val="center"/>
              <w:rPr>
                <w:bCs/>
                <w:spacing w:val="10"/>
                <w:szCs w:val="21"/>
              </w:rPr>
            </w:pPr>
            <w:r>
              <w:rPr>
                <w:bCs/>
                <w:spacing w:val="10"/>
                <w:szCs w:val="21"/>
              </w:rPr>
              <w:t>运营期生态环境保护措施</w:t>
            </w:r>
          </w:p>
        </w:tc>
        <w:tc>
          <w:tcPr>
            <w:tcW w:w="8457" w:type="dxa"/>
            <w:vAlign w:val="center"/>
          </w:tcPr>
          <w:p w14:paraId="3DE4389D">
            <w:pPr>
              <w:adjustRightInd w:val="0"/>
              <w:snapToGrid w:val="0"/>
              <w:rPr>
                <w:bCs/>
                <w:spacing w:val="10"/>
                <w:szCs w:val="21"/>
              </w:rPr>
            </w:pPr>
            <w:r>
              <w:rPr>
                <w:bCs/>
                <w:spacing w:val="10"/>
                <w:szCs w:val="21"/>
              </w:rPr>
              <w:t>无</w:t>
            </w:r>
          </w:p>
        </w:tc>
      </w:tr>
      <w:tr w14:paraId="236CD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14:paraId="24102E69">
            <w:pPr>
              <w:adjustRightInd w:val="0"/>
              <w:snapToGrid w:val="0"/>
              <w:jc w:val="center"/>
              <w:rPr>
                <w:bCs/>
                <w:spacing w:val="10"/>
                <w:szCs w:val="21"/>
              </w:rPr>
            </w:pPr>
            <w:r>
              <w:rPr>
                <w:bCs/>
                <w:szCs w:val="21"/>
              </w:rPr>
              <w:t>其他</w:t>
            </w:r>
          </w:p>
        </w:tc>
        <w:tc>
          <w:tcPr>
            <w:tcW w:w="8457" w:type="dxa"/>
            <w:vAlign w:val="center"/>
          </w:tcPr>
          <w:p w14:paraId="76CCA5FF">
            <w:pPr>
              <w:adjustRightInd w:val="0"/>
              <w:snapToGrid w:val="0"/>
              <w:rPr>
                <w:bCs/>
                <w:spacing w:val="10"/>
                <w:szCs w:val="21"/>
              </w:rPr>
            </w:pPr>
            <w:r>
              <w:rPr>
                <w:bCs/>
                <w:spacing w:val="10"/>
                <w:szCs w:val="21"/>
              </w:rPr>
              <w:t>/</w:t>
            </w:r>
          </w:p>
        </w:tc>
      </w:tr>
      <w:tr w14:paraId="1FA22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14:paraId="22164092">
            <w:pPr>
              <w:adjustRightInd w:val="0"/>
              <w:snapToGrid w:val="0"/>
              <w:jc w:val="center"/>
              <w:rPr>
                <w:bCs/>
                <w:spacing w:val="10"/>
                <w:szCs w:val="21"/>
              </w:rPr>
            </w:pPr>
            <w:r>
              <w:rPr>
                <w:bCs/>
                <w:szCs w:val="21"/>
              </w:rPr>
              <w:t>环保投资</w:t>
            </w:r>
          </w:p>
        </w:tc>
        <w:tc>
          <w:tcPr>
            <w:tcW w:w="8457" w:type="dxa"/>
          </w:tcPr>
          <w:p w14:paraId="5CF65149">
            <w:pPr>
              <w:spacing w:line="360" w:lineRule="auto"/>
              <w:ind w:firstLine="480" w:firstLineChars="200"/>
              <w:rPr>
                <w:sz w:val="24"/>
              </w:rPr>
            </w:pPr>
            <w:r>
              <w:rPr>
                <w:sz w:val="24"/>
              </w:rPr>
              <w:t>本次钻井项目总投资</w:t>
            </w:r>
            <w:r>
              <w:rPr>
                <w:rFonts w:hint="eastAsia"/>
                <w:sz w:val="24"/>
              </w:rPr>
              <w:t>16423</w:t>
            </w:r>
            <w:r>
              <w:rPr>
                <w:sz w:val="24"/>
              </w:rPr>
              <w:t>万元，环保投资</w:t>
            </w:r>
            <w:r>
              <w:rPr>
                <w:rFonts w:hint="eastAsia"/>
                <w:sz w:val="24"/>
              </w:rPr>
              <w:t>472</w:t>
            </w:r>
            <w:r>
              <w:rPr>
                <w:sz w:val="24"/>
              </w:rPr>
              <w:t>万元，占总投资的</w:t>
            </w:r>
            <w:r>
              <w:rPr>
                <w:rFonts w:hint="eastAsia"/>
                <w:sz w:val="24"/>
              </w:rPr>
              <w:t>2.87</w:t>
            </w:r>
            <w:r>
              <w:rPr>
                <w:sz w:val="24"/>
              </w:rPr>
              <w:t>%。环保投资主要用于废水治理、固体废物处理、噪声污染防治，以及施工迹地生态恢复等，符合该项目的实际特点。环保投资一览表见下表。</w:t>
            </w:r>
          </w:p>
          <w:p w14:paraId="1DE7B45C">
            <w:pPr>
              <w:pStyle w:val="215"/>
              <w:ind w:firstLine="0" w:firstLineChars="0"/>
              <w:jc w:val="center"/>
              <w:rPr>
                <w:rFonts w:ascii="Times New Roman" w:hAnsi="Times New Roman" w:cs="Times New Roman"/>
                <w:b/>
                <w:szCs w:val="24"/>
              </w:rPr>
            </w:pPr>
            <w:r>
              <w:rPr>
                <w:rFonts w:ascii="Times New Roman" w:hAnsi="Times New Roman" w:cs="Times New Roman"/>
                <w:b/>
                <w:szCs w:val="24"/>
              </w:rPr>
              <w:t>表5-4  项目环境保护措施与投资一览表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04"/>
              <w:gridCol w:w="2108"/>
              <w:gridCol w:w="985"/>
              <w:gridCol w:w="3496"/>
            </w:tblGrid>
            <w:tr w14:paraId="1B227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61" w:type="dxa"/>
                  <w:tcBorders>
                    <w:tl2br w:val="nil"/>
                    <w:tr2bl w:val="nil"/>
                  </w:tcBorders>
                  <w:vAlign w:val="center"/>
                </w:tcPr>
                <w:p w14:paraId="06A13A77">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237" w:type="dxa"/>
                  <w:tcBorders>
                    <w:tl2br w:val="nil"/>
                    <w:tr2bl w:val="nil"/>
                  </w:tcBorders>
                  <w:vAlign w:val="center"/>
                </w:tcPr>
                <w:p w14:paraId="7D19E687">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类别</w:t>
                  </w:r>
                </w:p>
              </w:tc>
              <w:tc>
                <w:tcPr>
                  <w:tcW w:w="2394" w:type="dxa"/>
                  <w:tcBorders>
                    <w:tl2br w:val="nil"/>
                    <w:tr2bl w:val="nil"/>
                  </w:tcBorders>
                  <w:vAlign w:val="center"/>
                </w:tcPr>
                <w:p w14:paraId="045E673F">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内容</w:t>
                  </w:r>
                </w:p>
              </w:tc>
              <w:tc>
                <w:tcPr>
                  <w:tcW w:w="1099" w:type="dxa"/>
                  <w:tcBorders>
                    <w:tl2br w:val="nil"/>
                    <w:tr2bl w:val="nil"/>
                  </w:tcBorders>
                  <w:vAlign w:val="center"/>
                </w:tcPr>
                <w:p w14:paraId="37C401CB">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投资（万元）</w:t>
                  </w:r>
                </w:p>
              </w:tc>
              <w:tc>
                <w:tcPr>
                  <w:tcW w:w="3995" w:type="dxa"/>
                  <w:tcBorders>
                    <w:tl2br w:val="nil"/>
                    <w:tr2bl w:val="nil"/>
                  </w:tcBorders>
                  <w:vAlign w:val="center"/>
                </w:tcPr>
                <w:p w14:paraId="57AD215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r>
            <w:tr w14:paraId="2993A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54033A15">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237" w:type="dxa"/>
                  <w:tcBorders>
                    <w:tl2br w:val="nil"/>
                    <w:tr2bl w:val="nil"/>
                  </w:tcBorders>
                  <w:vAlign w:val="center"/>
                </w:tcPr>
                <w:p w14:paraId="23B8F92C">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废气治理</w:t>
                  </w:r>
                </w:p>
              </w:tc>
              <w:tc>
                <w:tcPr>
                  <w:tcW w:w="2394" w:type="dxa"/>
                  <w:tcBorders>
                    <w:tl2br w:val="nil"/>
                    <w:tr2bl w:val="nil"/>
                  </w:tcBorders>
                  <w:vAlign w:val="center"/>
                </w:tcPr>
                <w:p w14:paraId="3B40E958">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洒水降尘、遮盖措施</w:t>
                  </w:r>
                </w:p>
              </w:tc>
              <w:tc>
                <w:tcPr>
                  <w:tcW w:w="1099" w:type="dxa"/>
                  <w:tcBorders>
                    <w:tl2br w:val="nil"/>
                    <w:tr2bl w:val="nil"/>
                  </w:tcBorders>
                  <w:vAlign w:val="center"/>
                </w:tcPr>
                <w:p w14:paraId="442D1B10">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3995" w:type="dxa"/>
                  <w:tcBorders>
                    <w:tl2br w:val="nil"/>
                    <w:tr2bl w:val="nil"/>
                  </w:tcBorders>
                  <w:vAlign w:val="center"/>
                </w:tcPr>
                <w:p w14:paraId="0AB4477E">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r>
            <w:tr w14:paraId="62822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614A6C4C">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237" w:type="dxa"/>
                  <w:vMerge w:val="restart"/>
                  <w:tcBorders>
                    <w:tl2br w:val="nil"/>
                    <w:tr2bl w:val="nil"/>
                  </w:tcBorders>
                  <w:vAlign w:val="center"/>
                </w:tcPr>
                <w:p w14:paraId="7A370E1B">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废水治理</w:t>
                  </w:r>
                </w:p>
              </w:tc>
              <w:tc>
                <w:tcPr>
                  <w:tcW w:w="2394" w:type="dxa"/>
                  <w:tcBorders>
                    <w:tl2br w:val="nil"/>
                    <w:tr2bl w:val="nil"/>
                  </w:tcBorders>
                  <w:vAlign w:val="center"/>
                </w:tcPr>
                <w:p w14:paraId="67F7489A">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钻前施工废水</w:t>
                  </w:r>
                </w:p>
              </w:tc>
              <w:tc>
                <w:tcPr>
                  <w:tcW w:w="1099" w:type="dxa"/>
                  <w:vMerge w:val="restart"/>
                  <w:tcBorders>
                    <w:tl2br w:val="nil"/>
                    <w:tr2bl w:val="nil"/>
                  </w:tcBorders>
                  <w:vAlign w:val="center"/>
                </w:tcPr>
                <w:p w14:paraId="2D51DE9B">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80</w:t>
                  </w:r>
                </w:p>
              </w:tc>
              <w:tc>
                <w:tcPr>
                  <w:tcW w:w="3995" w:type="dxa"/>
                  <w:tcBorders>
                    <w:tl2br w:val="nil"/>
                    <w:tr2bl w:val="nil"/>
                  </w:tcBorders>
                  <w:vAlign w:val="center"/>
                </w:tcPr>
                <w:p w14:paraId="3EA8BBB8">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经沉淀处理后循环使用，不外排</w:t>
                  </w:r>
                </w:p>
              </w:tc>
            </w:tr>
            <w:tr w14:paraId="67AC8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69E911C5">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237" w:type="dxa"/>
                  <w:vMerge w:val="continue"/>
                  <w:tcBorders>
                    <w:tl2br w:val="nil"/>
                    <w:tr2bl w:val="nil"/>
                  </w:tcBorders>
                  <w:vAlign w:val="center"/>
                </w:tcPr>
                <w:p w14:paraId="70643D1F">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01EB20A0">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钻井废水等处理</w:t>
                  </w:r>
                </w:p>
              </w:tc>
              <w:tc>
                <w:tcPr>
                  <w:tcW w:w="1099" w:type="dxa"/>
                  <w:vMerge w:val="continue"/>
                  <w:tcBorders>
                    <w:tl2br w:val="nil"/>
                    <w:tr2bl w:val="nil"/>
                  </w:tcBorders>
                  <w:vAlign w:val="center"/>
                </w:tcPr>
                <w:p w14:paraId="6AD77330">
                  <w:pPr>
                    <w:pStyle w:val="55"/>
                    <w:jc w:val="center"/>
                    <w:rPr>
                      <w:rFonts w:ascii="Times New Roman" w:hAnsi="Times New Roman" w:eastAsia="宋体" w:cs="Times New Roman"/>
                      <w:color w:val="auto"/>
                      <w:sz w:val="21"/>
                      <w:szCs w:val="21"/>
                    </w:rPr>
                  </w:pPr>
                </w:p>
              </w:tc>
              <w:tc>
                <w:tcPr>
                  <w:tcW w:w="3995" w:type="dxa"/>
                  <w:tcBorders>
                    <w:tl2br w:val="nil"/>
                    <w:tr2bl w:val="nil"/>
                  </w:tcBorders>
                  <w:vAlign w:val="center"/>
                </w:tcPr>
                <w:p w14:paraId="6B74982D">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最终由</w:t>
                  </w:r>
                  <w:r>
                    <w:rPr>
                      <w:rFonts w:ascii="Times New Roman" w:hAnsi="Times New Roman" w:eastAsia="宋体" w:cs="Times New Roman"/>
                      <w:color w:val="auto"/>
                      <w:sz w:val="21"/>
                      <w:szCs w:val="21"/>
                    </w:rPr>
                    <w:t>罐车拉至</w:t>
                  </w:r>
                  <w:r>
                    <w:rPr>
                      <w:rFonts w:hint="eastAsia" w:ascii="Times New Roman" w:hAnsi="Times New Roman" w:eastAsia="宋体" w:cs="Times New Roman"/>
                      <w:color w:val="auto"/>
                      <w:sz w:val="21"/>
                      <w:szCs w:val="21"/>
                    </w:rPr>
                    <w:t>赵家坝污水处理站处理后运至普光3井等回注站</w:t>
                  </w:r>
                  <w:r>
                    <w:rPr>
                      <w:rFonts w:ascii="Times New Roman" w:hAnsi="Times New Roman" w:eastAsia="宋体" w:cs="Times New Roman"/>
                      <w:color w:val="auto"/>
                      <w:sz w:val="21"/>
                      <w:szCs w:val="21"/>
                    </w:rPr>
                    <w:t>回注</w:t>
                  </w:r>
                </w:p>
              </w:tc>
            </w:tr>
            <w:tr w14:paraId="1C404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004DFC3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1237" w:type="dxa"/>
                  <w:vMerge w:val="continue"/>
                  <w:tcBorders>
                    <w:tl2br w:val="nil"/>
                    <w:tr2bl w:val="nil"/>
                  </w:tcBorders>
                  <w:vAlign w:val="center"/>
                </w:tcPr>
                <w:p w14:paraId="2D0EB54C">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0C0CAD97">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试气工程废水处理</w:t>
                  </w:r>
                </w:p>
              </w:tc>
              <w:tc>
                <w:tcPr>
                  <w:tcW w:w="1099" w:type="dxa"/>
                  <w:vMerge w:val="continue"/>
                  <w:tcBorders>
                    <w:tl2br w:val="nil"/>
                    <w:tr2bl w:val="nil"/>
                  </w:tcBorders>
                  <w:vAlign w:val="center"/>
                </w:tcPr>
                <w:p w14:paraId="44F08F23">
                  <w:pPr>
                    <w:pStyle w:val="55"/>
                    <w:jc w:val="center"/>
                    <w:rPr>
                      <w:rFonts w:ascii="Times New Roman" w:hAnsi="Times New Roman" w:eastAsia="宋体" w:cs="Times New Roman"/>
                      <w:color w:val="auto"/>
                      <w:sz w:val="21"/>
                      <w:szCs w:val="21"/>
                    </w:rPr>
                  </w:pPr>
                </w:p>
              </w:tc>
              <w:tc>
                <w:tcPr>
                  <w:tcW w:w="3995" w:type="dxa"/>
                  <w:tcBorders>
                    <w:tl2br w:val="nil"/>
                    <w:tr2bl w:val="nil"/>
                  </w:tcBorders>
                  <w:vAlign w:val="center"/>
                </w:tcPr>
                <w:p w14:paraId="3AFD4D06">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罐车拉运至</w:t>
                  </w:r>
                  <w:r>
                    <w:rPr>
                      <w:rFonts w:hint="eastAsia" w:ascii="Times New Roman" w:hAnsi="Times New Roman" w:eastAsia="宋体" w:cs="Times New Roman"/>
                      <w:color w:val="auto"/>
                      <w:sz w:val="21"/>
                      <w:szCs w:val="21"/>
                    </w:rPr>
                    <w:t>赵家坝污水处理站</w:t>
                  </w:r>
                  <w:r>
                    <w:rPr>
                      <w:rFonts w:ascii="Times New Roman" w:hAnsi="Times New Roman" w:eastAsia="宋体" w:cs="Times New Roman"/>
                      <w:color w:val="auto"/>
                      <w:sz w:val="21"/>
                      <w:szCs w:val="21"/>
                    </w:rPr>
                    <w:t>处理后经</w:t>
                  </w:r>
                  <w:r>
                    <w:rPr>
                      <w:rFonts w:hint="eastAsia" w:ascii="Times New Roman" w:hAnsi="Times New Roman" w:eastAsia="宋体" w:cs="Times New Roman"/>
                      <w:color w:val="auto"/>
                      <w:sz w:val="21"/>
                      <w:szCs w:val="21"/>
                    </w:rPr>
                    <w:t>普光3井等回注站</w:t>
                  </w:r>
                  <w:r>
                    <w:rPr>
                      <w:rFonts w:ascii="Times New Roman" w:hAnsi="Times New Roman" w:eastAsia="宋体" w:cs="Times New Roman"/>
                      <w:color w:val="auto"/>
                      <w:sz w:val="21"/>
                      <w:szCs w:val="21"/>
                    </w:rPr>
                    <w:t>回注</w:t>
                  </w:r>
                </w:p>
              </w:tc>
            </w:tr>
            <w:tr w14:paraId="6C57B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009CC331">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1237" w:type="dxa"/>
                  <w:vMerge w:val="continue"/>
                  <w:tcBorders>
                    <w:tl2br w:val="nil"/>
                    <w:tr2bl w:val="nil"/>
                  </w:tcBorders>
                  <w:vAlign w:val="center"/>
                </w:tcPr>
                <w:p w14:paraId="719B5CC7">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03CC8F0D">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雨污分流水沟</w:t>
                  </w:r>
                </w:p>
              </w:tc>
              <w:tc>
                <w:tcPr>
                  <w:tcW w:w="1099" w:type="dxa"/>
                  <w:tcBorders>
                    <w:tl2br w:val="nil"/>
                    <w:tr2bl w:val="nil"/>
                  </w:tcBorders>
                  <w:vAlign w:val="center"/>
                </w:tcPr>
                <w:p w14:paraId="2294D2ED">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3995" w:type="dxa"/>
                  <w:tcBorders>
                    <w:tl2br w:val="nil"/>
                    <w:tr2bl w:val="nil"/>
                  </w:tcBorders>
                  <w:vAlign w:val="center"/>
                </w:tcPr>
                <w:p w14:paraId="6BA7CDAF">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在井场四周设排水边沟，井场</w:t>
                  </w:r>
                  <w:r>
                    <w:rPr>
                      <w:rFonts w:hint="eastAsia" w:ascii="Times New Roman" w:hAnsi="Times New Roman" w:eastAsia="宋体" w:cs="Times New Roman"/>
                      <w:color w:val="auto"/>
                      <w:sz w:val="21"/>
                      <w:szCs w:val="21"/>
                    </w:rPr>
                    <w:t>外</w:t>
                  </w:r>
                  <w:r>
                    <w:rPr>
                      <w:rFonts w:ascii="Times New Roman" w:hAnsi="Times New Roman" w:eastAsia="宋体" w:cs="Times New Roman"/>
                      <w:color w:val="auto"/>
                      <w:sz w:val="21"/>
                      <w:szCs w:val="21"/>
                    </w:rPr>
                    <w:t>雨水随四周排水边沟经监控池外排；场内井架基础、设备基础、循环罐基础周边设环状排污沟，污水可经</w:t>
                  </w:r>
                  <w:r>
                    <w:rPr>
                      <w:rFonts w:hint="eastAsia" w:ascii="Times New Roman" w:hAnsi="Times New Roman" w:eastAsia="宋体" w:cs="Times New Roman"/>
                      <w:color w:val="auto"/>
                      <w:sz w:val="21"/>
                      <w:szCs w:val="21"/>
                    </w:rPr>
                    <w:t>场内排水沟</w:t>
                  </w:r>
                  <w:r>
                    <w:rPr>
                      <w:rFonts w:ascii="Times New Roman" w:hAnsi="Times New Roman" w:eastAsia="宋体" w:cs="Times New Roman"/>
                      <w:color w:val="auto"/>
                      <w:sz w:val="21"/>
                      <w:szCs w:val="21"/>
                    </w:rPr>
                    <w:t>排至</w:t>
                  </w:r>
                  <w:r>
                    <w:rPr>
                      <w:rFonts w:hint="eastAsia" w:ascii="Times New Roman" w:hAnsi="Times New Roman" w:eastAsia="宋体" w:cs="Times New Roman"/>
                      <w:color w:val="auto"/>
                      <w:sz w:val="21"/>
                      <w:szCs w:val="21"/>
                    </w:rPr>
                    <w:t>集水坑收集后用</w:t>
                  </w:r>
                </w:p>
              </w:tc>
            </w:tr>
            <w:tr w14:paraId="375EC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41A85A2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237" w:type="dxa"/>
                  <w:vMerge w:val="continue"/>
                  <w:tcBorders>
                    <w:tl2br w:val="nil"/>
                    <w:tr2bl w:val="nil"/>
                  </w:tcBorders>
                  <w:vAlign w:val="center"/>
                </w:tcPr>
                <w:p w14:paraId="22EC9218">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47C01FB9">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生活污水</w:t>
                  </w:r>
                </w:p>
              </w:tc>
              <w:tc>
                <w:tcPr>
                  <w:tcW w:w="1099" w:type="dxa"/>
                  <w:tcBorders>
                    <w:tl2br w:val="nil"/>
                    <w:tr2bl w:val="nil"/>
                  </w:tcBorders>
                  <w:vAlign w:val="center"/>
                </w:tcPr>
                <w:p w14:paraId="071D24D0">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w:t>
                  </w:r>
                </w:p>
              </w:tc>
              <w:tc>
                <w:tcPr>
                  <w:tcW w:w="3995" w:type="dxa"/>
                  <w:tcBorders>
                    <w:tl2br w:val="nil"/>
                    <w:tr2bl w:val="nil"/>
                  </w:tcBorders>
                  <w:vAlign w:val="center"/>
                </w:tcPr>
                <w:p w14:paraId="454E54AA">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新建生态环保厕所，经生态环保厕所收集处理拉运至</w:t>
                  </w:r>
                  <w:r>
                    <w:rPr>
                      <w:rFonts w:hint="eastAsia" w:ascii="Times New Roman" w:hAnsi="Times New Roman" w:eastAsia="宋体" w:cs="Times New Roman"/>
                      <w:color w:val="auto"/>
                      <w:sz w:val="21"/>
                      <w:szCs w:val="21"/>
                    </w:rPr>
                    <w:t>君塘镇</w:t>
                  </w:r>
                  <w:r>
                    <w:rPr>
                      <w:rFonts w:ascii="Times New Roman" w:hAnsi="Times New Roman" w:eastAsia="宋体" w:cs="Times New Roman"/>
                      <w:color w:val="auto"/>
                      <w:sz w:val="21"/>
                      <w:szCs w:val="21"/>
                    </w:rPr>
                    <w:t>污水处理厂处理</w:t>
                  </w:r>
                </w:p>
              </w:tc>
            </w:tr>
            <w:tr w14:paraId="30175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493AA89A">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1237" w:type="dxa"/>
                  <w:tcBorders>
                    <w:tl2br w:val="nil"/>
                    <w:tr2bl w:val="nil"/>
                  </w:tcBorders>
                  <w:vAlign w:val="center"/>
                </w:tcPr>
                <w:p w14:paraId="43A938B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噪声治理</w:t>
                  </w:r>
                </w:p>
              </w:tc>
              <w:tc>
                <w:tcPr>
                  <w:tcW w:w="2394" w:type="dxa"/>
                  <w:tcBorders>
                    <w:tl2br w:val="nil"/>
                    <w:tr2bl w:val="nil"/>
                  </w:tcBorders>
                  <w:vAlign w:val="center"/>
                </w:tcPr>
                <w:p w14:paraId="2252E9CD">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网电、减振</w:t>
                  </w:r>
                </w:p>
              </w:tc>
              <w:tc>
                <w:tcPr>
                  <w:tcW w:w="1099" w:type="dxa"/>
                  <w:tcBorders>
                    <w:tl2br w:val="nil"/>
                    <w:tr2bl w:val="nil"/>
                  </w:tcBorders>
                  <w:vAlign w:val="center"/>
                </w:tcPr>
                <w:p w14:paraId="6C3F3DCF">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995" w:type="dxa"/>
                  <w:tcBorders>
                    <w:tl2br w:val="nil"/>
                    <w:tr2bl w:val="nil"/>
                  </w:tcBorders>
                  <w:vAlign w:val="center"/>
                </w:tcPr>
                <w:p w14:paraId="57EA35E7">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选用低噪声的施工机械和工艺，加强各类施工设备的维护和保养；对振动较大的固定机械设备加装基座减振</w:t>
                  </w:r>
                </w:p>
              </w:tc>
            </w:tr>
            <w:tr w14:paraId="4401D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5A6D84E9">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1237" w:type="dxa"/>
                  <w:vMerge w:val="restart"/>
                  <w:tcBorders>
                    <w:tl2br w:val="nil"/>
                    <w:tr2bl w:val="nil"/>
                  </w:tcBorders>
                  <w:vAlign w:val="center"/>
                </w:tcPr>
                <w:p w14:paraId="488B60C0">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固废处理</w:t>
                  </w:r>
                </w:p>
              </w:tc>
              <w:tc>
                <w:tcPr>
                  <w:tcW w:w="2394" w:type="dxa"/>
                  <w:tcBorders>
                    <w:tl2br w:val="nil"/>
                    <w:tr2bl w:val="nil"/>
                  </w:tcBorders>
                  <w:vAlign w:val="center"/>
                </w:tcPr>
                <w:p w14:paraId="7B4F3B0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泥浆、岩屑处理费</w:t>
                  </w:r>
                </w:p>
              </w:tc>
              <w:tc>
                <w:tcPr>
                  <w:tcW w:w="1099" w:type="dxa"/>
                  <w:tcBorders>
                    <w:tl2br w:val="nil"/>
                    <w:tr2bl w:val="nil"/>
                  </w:tcBorders>
                  <w:vAlign w:val="center"/>
                </w:tcPr>
                <w:p w14:paraId="0E2C05C1">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270</w:t>
                  </w:r>
                </w:p>
              </w:tc>
              <w:tc>
                <w:tcPr>
                  <w:tcW w:w="3995" w:type="dxa"/>
                  <w:tcBorders>
                    <w:tl2br w:val="nil"/>
                    <w:tr2bl w:val="nil"/>
                  </w:tcBorders>
                  <w:vAlign w:val="center"/>
                </w:tcPr>
                <w:p w14:paraId="7B4ABC21">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产生的废水基泥浆采取经泥浆不落地平台收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危险废物定期交由有资质单位进行处理。</w:t>
                  </w:r>
                  <w:r>
                    <w:rPr>
                      <w:rFonts w:hint="eastAsia" w:ascii="Times New Roman" w:hAnsi="Times New Roman" w:eastAsia="宋体" w:cs="Times New Roman"/>
                      <w:color w:val="auto"/>
                      <w:sz w:val="21"/>
                      <w:szCs w:val="21"/>
                    </w:rPr>
                    <w:t>若二开阶段</w:t>
                  </w:r>
                  <w:r>
                    <w:rPr>
                      <w:rFonts w:ascii="Times New Roman" w:hAnsi="Times New Roman" w:eastAsia="宋体" w:cs="Times New Roman"/>
                      <w:color w:val="auto"/>
                      <w:sz w:val="21"/>
                      <w:szCs w:val="21"/>
                    </w:rPr>
                    <w:t>采用油基钻井液，则废油基泥浆暂存于泥浆储备罐定期委托有资质单位进行处理；油基岩屑暂存于</w:t>
                  </w:r>
                  <w:r>
                    <w:rPr>
                      <w:rFonts w:hint="eastAsia" w:ascii="Times New Roman" w:hAnsi="Times New Roman" w:eastAsia="宋体" w:cs="Times New Roman"/>
                      <w:color w:val="auto"/>
                      <w:sz w:val="21"/>
                      <w:szCs w:val="21"/>
                    </w:rPr>
                    <w:t>吨桶</w:t>
                  </w:r>
                  <w:r>
                    <w:rPr>
                      <w:rFonts w:ascii="Times New Roman" w:hAnsi="Times New Roman" w:eastAsia="宋体" w:cs="Times New Roman"/>
                      <w:color w:val="auto"/>
                      <w:sz w:val="21"/>
                      <w:szCs w:val="21"/>
                    </w:rPr>
                    <w:t>定期交由有资质单位进行处理。</w:t>
                  </w:r>
                </w:p>
              </w:tc>
            </w:tr>
            <w:tr w14:paraId="063F7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3D52DE4E">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1237" w:type="dxa"/>
                  <w:vMerge w:val="continue"/>
                  <w:tcBorders>
                    <w:tl2br w:val="nil"/>
                    <w:tr2bl w:val="nil"/>
                  </w:tcBorders>
                  <w:vAlign w:val="center"/>
                </w:tcPr>
                <w:p w14:paraId="3D9D8C54">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66A3A71F">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废油储存、转运、处理费</w:t>
                  </w:r>
                </w:p>
              </w:tc>
              <w:tc>
                <w:tcPr>
                  <w:tcW w:w="1099" w:type="dxa"/>
                  <w:tcBorders>
                    <w:tl2br w:val="nil"/>
                    <w:tr2bl w:val="nil"/>
                  </w:tcBorders>
                  <w:vAlign w:val="center"/>
                </w:tcPr>
                <w:p w14:paraId="43B80F71">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3995" w:type="dxa"/>
                  <w:tcBorders>
                    <w:tl2br w:val="nil"/>
                    <w:tr2bl w:val="nil"/>
                  </w:tcBorders>
                  <w:vAlign w:val="center"/>
                </w:tcPr>
                <w:p w14:paraId="56CB8FC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委托有资质单位处理</w:t>
                  </w:r>
                </w:p>
              </w:tc>
            </w:tr>
            <w:tr w14:paraId="5AA62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593E40C1">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w:t>
                  </w:r>
                </w:p>
              </w:tc>
              <w:tc>
                <w:tcPr>
                  <w:tcW w:w="1237" w:type="dxa"/>
                  <w:vMerge w:val="continue"/>
                  <w:tcBorders>
                    <w:tl2br w:val="nil"/>
                    <w:tr2bl w:val="nil"/>
                  </w:tcBorders>
                  <w:vAlign w:val="center"/>
                </w:tcPr>
                <w:p w14:paraId="62248AA7">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71ED17F3">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生活垃圾、建筑垃圾等</w:t>
                  </w:r>
                </w:p>
              </w:tc>
              <w:tc>
                <w:tcPr>
                  <w:tcW w:w="1099" w:type="dxa"/>
                  <w:tcBorders>
                    <w:tl2br w:val="nil"/>
                    <w:tr2bl w:val="nil"/>
                  </w:tcBorders>
                  <w:vAlign w:val="center"/>
                </w:tcPr>
                <w:p w14:paraId="37831EFD">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3995" w:type="dxa"/>
                  <w:tcBorders>
                    <w:tl2br w:val="nil"/>
                    <w:tr2bl w:val="nil"/>
                  </w:tcBorders>
                  <w:vAlign w:val="center"/>
                </w:tcPr>
                <w:p w14:paraId="72F62AD3">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拉运至环卫部门指定地点，由环卫部门统一处理</w:t>
                  </w:r>
                </w:p>
              </w:tc>
            </w:tr>
            <w:tr w14:paraId="70D03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3319E471">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1237" w:type="dxa"/>
                  <w:vMerge w:val="restart"/>
                  <w:tcBorders>
                    <w:tl2br w:val="nil"/>
                    <w:tr2bl w:val="nil"/>
                  </w:tcBorders>
                  <w:vAlign w:val="center"/>
                </w:tcPr>
                <w:p w14:paraId="0BF01EE0">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环境风险措施</w:t>
                  </w:r>
                </w:p>
              </w:tc>
              <w:tc>
                <w:tcPr>
                  <w:tcW w:w="2394" w:type="dxa"/>
                  <w:tcBorders>
                    <w:tl2br w:val="nil"/>
                    <w:tr2bl w:val="nil"/>
                  </w:tcBorders>
                  <w:vAlign w:val="center"/>
                </w:tcPr>
                <w:p w14:paraId="7B7ECF9E">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安装防井喷装置等，严格执行井控技术标准和规范，编制应急预案</w:t>
                  </w:r>
                </w:p>
              </w:tc>
              <w:tc>
                <w:tcPr>
                  <w:tcW w:w="1099" w:type="dxa"/>
                  <w:tcBorders>
                    <w:tl2br w:val="nil"/>
                    <w:tr2bl w:val="nil"/>
                  </w:tcBorders>
                  <w:vAlign w:val="center"/>
                </w:tcPr>
                <w:p w14:paraId="376F43D6">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vAlign w:val="center"/>
                </w:tcPr>
                <w:p w14:paraId="60DB832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14:paraId="38A93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635F1FF4">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w:t>
                  </w:r>
                </w:p>
              </w:tc>
              <w:tc>
                <w:tcPr>
                  <w:tcW w:w="1237" w:type="dxa"/>
                  <w:vMerge w:val="continue"/>
                  <w:tcBorders>
                    <w:tl2br w:val="nil"/>
                    <w:tr2bl w:val="nil"/>
                  </w:tcBorders>
                  <w:vAlign w:val="center"/>
                </w:tcPr>
                <w:p w14:paraId="2C40A01D">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17B96ED9">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配备泥浆监控系统及堵漏应急物资</w:t>
                  </w:r>
                </w:p>
              </w:tc>
              <w:tc>
                <w:tcPr>
                  <w:tcW w:w="1099" w:type="dxa"/>
                  <w:tcBorders>
                    <w:tl2br w:val="nil"/>
                    <w:tr2bl w:val="nil"/>
                  </w:tcBorders>
                  <w:vAlign w:val="center"/>
                </w:tcPr>
                <w:p w14:paraId="488A5BD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vAlign w:val="center"/>
                </w:tcPr>
                <w:p w14:paraId="43050F99">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14:paraId="12163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5CB4022C">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w:t>
                  </w:r>
                </w:p>
              </w:tc>
              <w:tc>
                <w:tcPr>
                  <w:tcW w:w="1237" w:type="dxa"/>
                  <w:vMerge w:val="continue"/>
                  <w:tcBorders>
                    <w:tl2br w:val="nil"/>
                    <w:tr2bl w:val="nil"/>
                  </w:tcBorders>
                  <w:vAlign w:val="center"/>
                </w:tcPr>
                <w:p w14:paraId="1588B3E2">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697E83A8">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对泥浆池池底和池壁进行防渗处理和承压强度设计；制定废水泄漏应急预案</w:t>
                  </w:r>
                </w:p>
              </w:tc>
              <w:tc>
                <w:tcPr>
                  <w:tcW w:w="1099" w:type="dxa"/>
                  <w:tcBorders>
                    <w:tl2br w:val="nil"/>
                    <w:tr2bl w:val="nil"/>
                  </w:tcBorders>
                  <w:vAlign w:val="center"/>
                </w:tcPr>
                <w:p w14:paraId="219E0EB2">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vAlign w:val="center"/>
                </w:tcPr>
                <w:p w14:paraId="0B6EAF7D">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14:paraId="024B0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302B3BB6">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w:t>
                  </w:r>
                </w:p>
              </w:tc>
              <w:tc>
                <w:tcPr>
                  <w:tcW w:w="1237" w:type="dxa"/>
                  <w:vMerge w:val="continue"/>
                  <w:tcBorders>
                    <w:tl2br w:val="nil"/>
                    <w:tr2bl w:val="nil"/>
                  </w:tcBorders>
                  <w:vAlign w:val="center"/>
                </w:tcPr>
                <w:p w14:paraId="0A3A6A10">
                  <w:pPr>
                    <w:pStyle w:val="55"/>
                    <w:jc w:val="center"/>
                    <w:rPr>
                      <w:rFonts w:ascii="Times New Roman" w:hAnsi="Times New Roman" w:eastAsia="宋体" w:cs="Times New Roman"/>
                      <w:color w:val="auto"/>
                      <w:sz w:val="21"/>
                      <w:szCs w:val="21"/>
                    </w:rPr>
                  </w:pPr>
                </w:p>
              </w:tc>
              <w:tc>
                <w:tcPr>
                  <w:tcW w:w="2394" w:type="dxa"/>
                  <w:tcBorders>
                    <w:tl2br w:val="nil"/>
                    <w:tr2bl w:val="nil"/>
                  </w:tcBorders>
                  <w:vAlign w:val="center"/>
                </w:tcPr>
                <w:p w14:paraId="1BEE15D5">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加强污染物储运过程管理，落实废物转移联单制度，制定废物转运泄漏事故应急预案等</w:t>
                  </w:r>
                </w:p>
              </w:tc>
              <w:tc>
                <w:tcPr>
                  <w:tcW w:w="1099" w:type="dxa"/>
                  <w:tcBorders>
                    <w:tl2br w:val="nil"/>
                    <w:tr2bl w:val="nil"/>
                  </w:tcBorders>
                  <w:vAlign w:val="center"/>
                </w:tcPr>
                <w:p w14:paraId="5CE0124C">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w:t>
                  </w:r>
                </w:p>
              </w:tc>
              <w:tc>
                <w:tcPr>
                  <w:tcW w:w="3995" w:type="dxa"/>
                  <w:tcBorders>
                    <w:tl2br w:val="nil"/>
                    <w:tr2bl w:val="nil"/>
                  </w:tcBorders>
                  <w:vAlign w:val="center"/>
                </w:tcPr>
                <w:p w14:paraId="40B43E8C">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r>
            <w:tr w14:paraId="6D1F0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02D63869">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w:t>
                  </w:r>
                </w:p>
              </w:tc>
              <w:tc>
                <w:tcPr>
                  <w:tcW w:w="1237" w:type="dxa"/>
                  <w:tcBorders>
                    <w:tl2br w:val="nil"/>
                    <w:tr2bl w:val="nil"/>
                  </w:tcBorders>
                  <w:vAlign w:val="center"/>
                </w:tcPr>
                <w:p w14:paraId="0349654D">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环境管理及监测</w:t>
                  </w:r>
                </w:p>
              </w:tc>
              <w:tc>
                <w:tcPr>
                  <w:tcW w:w="2394" w:type="dxa"/>
                  <w:tcBorders>
                    <w:tl2br w:val="nil"/>
                    <w:tr2bl w:val="nil"/>
                  </w:tcBorders>
                  <w:vAlign w:val="center"/>
                </w:tcPr>
                <w:p w14:paraId="04E64BC4">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编制应急预案及培训、演练、环境监测等</w:t>
                  </w:r>
                </w:p>
              </w:tc>
              <w:tc>
                <w:tcPr>
                  <w:tcW w:w="1099" w:type="dxa"/>
                  <w:tcBorders>
                    <w:tl2br w:val="nil"/>
                    <w:tr2bl w:val="nil"/>
                  </w:tcBorders>
                  <w:vAlign w:val="center"/>
                </w:tcPr>
                <w:p w14:paraId="6D454DDE">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3995" w:type="dxa"/>
                  <w:tcBorders>
                    <w:tl2br w:val="nil"/>
                    <w:tr2bl w:val="nil"/>
                  </w:tcBorders>
                  <w:vAlign w:val="center"/>
                </w:tcPr>
                <w:p w14:paraId="3F28E5BE">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0000FF"/>
                      <w:sz w:val="21"/>
                      <w:szCs w:val="21"/>
                    </w:rPr>
                    <w:t>项目开工前完成本平台突发环境事件应急预案</w:t>
                  </w:r>
                </w:p>
              </w:tc>
            </w:tr>
            <w:tr w14:paraId="6345D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14:paraId="2E984D0E">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w:t>
                  </w:r>
                </w:p>
              </w:tc>
              <w:tc>
                <w:tcPr>
                  <w:tcW w:w="1237" w:type="dxa"/>
                  <w:tcBorders>
                    <w:tl2br w:val="nil"/>
                    <w:tr2bl w:val="nil"/>
                  </w:tcBorders>
                  <w:vAlign w:val="center"/>
                </w:tcPr>
                <w:p w14:paraId="520A3054">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生态恢复</w:t>
                  </w:r>
                </w:p>
              </w:tc>
              <w:tc>
                <w:tcPr>
                  <w:tcW w:w="2394" w:type="dxa"/>
                  <w:tcBorders>
                    <w:tl2br w:val="nil"/>
                    <w:tr2bl w:val="nil"/>
                  </w:tcBorders>
                  <w:vAlign w:val="center"/>
                </w:tcPr>
                <w:p w14:paraId="030312D6">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完成</w:t>
                  </w:r>
                  <w:r>
                    <w:rPr>
                      <w:rFonts w:ascii="Times New Roman" w:hAnsi="Times New Roman" w:eastAsia="宋体" w:cs="Times New Roman"/>
                      <w:color w:val="auto"/>
                      <w:sz w:val="21"/>
                      <w:szCs w:val="21"/>
                    </w:rPr>
                    <w:t>生态恢复</w:t>
                  </w:r>
                </w:p>
              </w:tc>
              <w:tc>
                <w:tcPr>
                  <w:tcW w:w="1099" w:type="dxa"/>
                  <w:tcBorders>
                    <w:tl2br w:val="nil"/>
                    <w:tr2bl w:val="nil"/>
                  </w:tcBorders>
                  <w:vAlign w:val="center"/>
                </w:tcPr>
                <w:p w14:paraId="2B88B063">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w:t>
                  </w:r>
                </w:p>
              </w:tc>
              <w:tc>
                <w:tcPr>
                  <w:tcW w:w="3995" w:type="dxa"/>
                  <w:tcBorders>
                    <w:tl2br w:val="nil"/>
                    <w:tr2bl w:val="nil"/>
                  </w:tcBorders>
                  <w:vAlign w:val="center"/>
                </w:tcPr>
                <w:p w14:paraId="0A50FC26">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总体复垦为耕地，种植草本植物恢复生态，满足《土地复垦质量控制标准》（TD/T1036-2013）中规定的要求。</w:t>
                  </w:r>
                </w:p>
              </w:tc>
            </w:tr>
            <w:tr w14:paraId="366F6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2" w:type="dxa"/>
                  <w:gridSpan w:val="3"/>
                  <w:tcBorders>
                    <w:tl2br w:val="nil"/>
                    <w:tr2bl w:val="nil"/>
                  </w:tcBorders>
                  <w:vAlign w:val="center"/>
                </w:tcPr>
                <w:p w14:paraId="615A65BE">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合计</w:t>
                  </w:r>
                </w:p>
              </w:tc>
              <w:tc>
                <w:tcPr>
                  <w:tcW w:w="1099" w:type="dxa"/>
                  <w:tcBorders>
                    <w:tl2br w:val="nil"/>
                    <w:tr2bl w:val="nil"/>
                  </w:tcBorders>
                  <w:vAlign w:val="center"/>
                </w:tcPr>
                <w:p w14:paraId="5601E947">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472</w:t>
                  </w:r>
                </w:p>
              </w:tc>
              <w:tc>
                <w:tcPr>
                  <w:tcW w:w="3995" w:type="dxa"/>
                  <w:tcBorders>
                    <w:tl2br w:val="nil"/>
                    <w:tr2bl w:val="nil"/>
                  </w:tcBorders>
                  <w:vAlign w:val="center"/>
                </w:tcPr>
                <w:p w14:paraId="6B1FC0C8">
                  <w:pPr>
                    <w:pStyle w:val="55"/>
                    <w:jc w:val="center"/>
                    <w:rPr>
                      <w:rFonts w:ascii="Times New Roman" w:hAnsi="Times New Roman" w:eastAsia="宋体" w:cs="Times New Roman"/>
                      <w:color w:val="auto"/>
                      <w:sz w:val="21"/>
                      <w:szCs w:val="21"/>
                    </w:rPr>
                  </w:pPr>
                </w:p>
              </w:tc>
            </w:tr>
          </w:tbl>
          <w:p w14:paraId="2501F840">
            <w:pPr>
              <w:adjustRightInd w:val="0"/>
              <w:snapToGrid w:val="0"/>
              <w:rPr>
                <w:bCs/>
                <w:spacing w:val="10"/>
                <w:szCs w:val="21"/>
              </w:rPr>
            </w:pPr>
          </w:p>
        </w:tc>
      </w:tr>
    </w:tbl>
    <w:p w14:paraId="6508748B">
      <w:pPr>
        <w:rPr>
          <w:szCs w:val="21"/>
        </w:rPr>
        <w:sectPr>
          <w:pgSz w:w="11906" w:h="16838"/>
          <w:pgMar w:top="1417" w:right="1417" w:bottom="1417" w:left="1701" w:header="851" w:footer="1077" w:gutter="0"/>
          <w:cols w:space="720" w:num="1"/>
          <w:docGrid w:linePitch="312" w:charSpace="0"/>
        </w:sectPr>
      </w:pPr>
    </w:p>
    <w:p w14:paraId="051D85D5">
      <w:pPr>
        <w:pStyle w:val="38"/>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六、生态环境保护措施监督检查清单</w:t>
      </w:r>
    </w:p>
    <w:tbl>
      <w:tblPr>
        <w:tblStyle w:val="44"/>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14:paraId="2616B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14:paraId="0E496A86">
            <w:pPr>
              <w:pStyle w:val="38"/>
              <w:adjustRightInd w:val="0"/>
              <w:snapToGrid w:val="0"/>
              <w:spacing w:before="0" w:beforeAutospacing="0" w:after="0" w:afterAutospacing="0"/>
              <w:jc w:val="right"/>
              <w:rPr>
                <w:rFonts w:ascii="Times New Roman" w:hAnsi="Times New Roman" w:eastAsia="黑体"/>
                <w:kern w:val="2"/>
                <w:sz w:val="21"/>
                <w:szCs w:val="21"/>
              </w:rPr>
            </w:pPr>
            <w:bookmarkStart w:id="41" w:name="_Hlk105444047"/>
            <w:r>
              <w:rPr>
                <w:rFonts w:ascii="Times New Roman" w:hAnsi="Times New Roman" w:eastAsia="黑体"/>
                <w:kern w:val="2"/>
                <w:sz w:val="21"/>
                <w:szCs w:val="21"/>
              </w:rPr>
              <w:t>内容</w:t>
            </w:r>
          </w:p>
          <w:p w14:paraId="49DFDB10">
            <w:pPr>
              <w:pStyle w:val="38"/>
              <w:adjustRightInd w:val="0"/>
              <w:snapToGrid w:val="0"/>
              <w:spacing w:before="0" w:beforeAutospacing="0" w:after="0" w:afterAutospacing="0"/>
              <w:rPr>
                <w:rFonts w:ascii="Times New Roman" w:hAnsi="Times New Roman" w:eastAsia="黑体"/>
                <w:kern w:val="2"/>
                <w:sz w:val="21"/>
                <w:szCs w:val="21"/>
              </w:rPr>
            </w:pPr>
            <w:r>
              <w:rPr>
                <w:rFonts w:ascii="Times New Roman" w:hAnsi="Times New Roman" w:eastAsia="黑体"/>
                <w:kern w:val="2"/>
                <w:sz w:val="21"/>
                <w:szCs w:val="21"/>
              </w:rPr>
              <w:t>要素</w:t>
            </w:r>
          </w:p>
        </w:tc>
        <w:tc>
          <w:tcPr>
            <w:tcW w:w="10485" w:type="dxa"/>
            <w:gridSpan w:val="5"/>
            <w:vAlign w:val="center"/>
          </w:tcPr>
          <w:p w14:paraId="6A304427">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施工期</w:t>
            </w:r>
          </w:p>
        </w:tc>
        <w:tc>
          <w:tcPr>
            <w:tcW w:w="2324" w:type="dxa"/>
            <w:gridSpan w:val="2"/>
            <w:vAlign w:val="center"/>
          </w:tcPr>
          <w:p w14:paraId="63E8B698">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运营期</w:t>
            </w:r>
          </w:p>
        </w:tc>
      </w:tr>
      <w:tr w14:paraId="24FFB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14:paraId="4110B2A4">
            <w:pPr>
              <w:pStyle w:val="38"/>
              <w:adjustRightInd w:val="0"/>
              <w:snapToGrid w:val="0"/>
              <w:spacing w:before="0" w:beforeAutospacing="0" w:after="0" w:afterAutospacing="0"/>
              <w:jc w:val="center"/>
              <w:rPr>
                <w:rFonts w:ascii="Times New Roman" w:hAnsi="Times New Roman" w:eastAsia="黑体"/>
                <w:kern w:val="2"/>
                <w:sz w:val="21"/>
                <w:szCs w:val="21"/>
              </w:rPr>
            </w:pPr>
          </w:p>
        </w:tc>
        <w:tc>
          <w:tcPr>
            <w:tcW w:w="7110" w:type="dxa"/>
            <w:gridSpan w:val="4"/>
            <w:vAlign w:val="center"/>
          </w:tcPr>
          <w:p w14:paraId="649D625D">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3375" w:type="dxa"/>
            <w:vAlign w:val="center"/>
          </w:tcPr>
          <w:p w14:paraId="6F6998B4">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158" w:type="dxa"/>
            <w:vAlign w:val="center"/>
          </w:tcPr>
          <w:p w14:paraId="5A4EAA8E">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166" w:type="dxa"/>
            <w:vAlign w:val="center"/>
          </w:tcPr>
          <w:p w14:paraId="4B0EB759">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r>
      <w:tr w14:paraId="7C3BE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14:paraId="465C1533">
            <w:pPr>
              <w:adjustRightInd w:val="0"/>
              <w:snapToGrid w:val="0"/>
              <w:jc w:val="center"/>
              <w:rPr>
                <w:szCs w:val="21"/>
              </w:rPr>
            </w:pPr>
            <w:r>
              <w:rPr>
                <w:szCs w:val="21"/>
              </w:rPr>
              <w:t>陆生生态</w:t>
            </w:r>
          </w:p>
        </w:tc>
        <w:tc>
          <w:tcPr>
            <w:tcW w:w="2074" w:type="dxa"/>
            <w:gridSpan w:val="2"/>
            <w:vAlign w:val="center"/>
          </w:tcPr>
          <w:p w14:paraId="731A4D8D">
            <w:pPr>
              <w:adjustRightInd w:val="0"/>
              <w:snapToGrid w:val="0"/>
              <w:rPr>
                <w:szCs w:val="21"/>
              </w:rPr>
            </w:pPr>
            <w:r>
              <w:rPr>
                <w:szCs w:val="21"/>
              </w:rPr>
              <w:t>减少影响范围、生态恢复</w:t>
            </w:r>
          </w:p>
        </w:tc>
        <w:tc>
          <w:tcPr>
            <w:tcW w:w="5036" w:type="dxa"/>
            <w:gridSpan w:val="2"/>
            <w:vAlign w:val="center"/>
          </w:tcPr>
          <w:p w14:paraId="4931C29A">
            <w:pPr>
              <w:adjustRightInd w:val="0"/>
              <w:snapToGrid w:val="0"/>
              <w:rPr>
                <w:szCs w:val="21"/>
              </w:rPr>
            </w:pPr>
            <w:r>
              <w:rPr>
                <w:szCs w:val="21"/>
              </w:rPr>
              <w:t>场地减少雨水冲刷；场地周围修临时排水沟。</w:t>
            </w:r>
          </w:p>
        </w:tc>
        <w:tc>
          <w:tcPr>
            <w:tcW w:w="3375" w:type="dxa"/>
            <w:vAlign w:val="center"/>
          </w:tcPr>
          <w:p w14:paraId="6FF83104">
            <w:pPr>
              <w:rPr>
                <w:szCs w:val="21"/>
              </w:rPr>
            </w:pPr>
            <w:r>
              <w:rPr>
                <w:szCs w:val="21"/>
              </w:rPr>
              <w:t>满足水土保持验收要求</w:t>
            </w:r>
          </w:p>
        </w:tc>
        <w:tc>
          <w:tcPr>
            <w:tcW w:w="1158" w:type="dxa"/>
            <w:vAlign w:val="center"/>
          </w:tcPr>
          <w:p w14:paraId="46F75B32">
            <w:pPr>
              <w:adjustRightInd w:val="0"/>
              <w:snapToGrid w:val="0"/>
              <w:rPr>
                <w:szCs w:val="21"/>
              </w:rPr>
            </w:pPr>
            <w:r>
              <w:rPr>
                <w:szCs w:val="21"/>
              </w:rPr>
              <w:t>/</w:t>
            </w:r>
          </w:p>
        </w:tc>
        <w:tc>
          <w:tcPr>
            <w:tcW w:w="1166" w:type="dxa"/>
            <w:vAlign w:val="center"/>
          </w:tcPr>
          <w:p w14:paraId="49EB33E7">
            <w:pPr>
              <w:adjustRightInd w:val="0"/>
              <w:snapToGrid w:val="0"/>
              <w:rPr>
                <w:szCs w:val="21"/>
              </w:rPr>
            </w:pPr>
            <w:r>
              <w:rPr>
                <w:szCs w:val="21"/>
              </w:rPr>
              <w:t>/</w:t>
            </w:r>
          </w:p>
        </w:tc>
      </w:tr>
      <w:tr w14:paraId="198AE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259875F5">
            <w:pPr>
              <w:adjustRightInd w:val="0"/>
              <w:snapToGrid w:val="0"/>
              <w:jc w:val="center"/>
              <w:rPr>
                <w:szCs w:val="21"/>
              </w:rPr>
            </w:pPr>
          </w:p>
        </w:tc>
        <w:tc>
          <w:tcPr>
            <w:tcW w:w="2074" w:type="dxa"/>
            <w:gridSpan w:val="2"/>
            <w:vAlign w:val="center"/>
          </w:tcPr>
          <w:p w14:paraId="7B9092F6">
            <w:pPr>
              <w:adjustRightInd w:val="0"/>
              <w:snapToGrid w:val="0"/>
              <w:rPr>
                <w:szCs w:val="21"/>
              </w:rPr>
            </w:pPr>
            <w:r>
              <w:rPr>
                <w:szCs w:val="21"/>
              </w:rPr>
              <w:t>临时占地恢复</w:t>
            </w:r>
          </w:p>
        </w:tc>
        <w:tc>
          <w:tcPr>
            <w:tcW w:w="5036" w:type="dxa"/>
            <w:gridSpan w:val="2"/>
            <w:vAlign w:val="center"/>
          </w:tcPr>
          <w:p w14:paraId="7C54C6FB">
            <w:pPr>
              <w:adjustRightInd w:val="0"/>
              <w:snapToGrid w:val="0"/>
              <w:rPr>
                <w:szCs w:val="21"/>
              </w:rPr>
            </w:pPr>
            <w:r>
              <w:rPr>
                <w:szCs w:val="21"/>
              </w:rPr>
              <w:t>根据《中华人民共和国土地管理法》和相关地方规定对工程永久征地、临时占地进行补偿；施工结束后对放喷池进行拆除，并进行迹地恢复。后期若不再使用，则对场地进行拆除回填覆土及生态恢复。</w:t>
            </w:r>
          </w:p>
        </w:tc>
        <w:tc>
          <w:tcPr>
            <w:tcW w:w="3375" w:type="dxa"/>
            <w:vAlign w:val="center"/>
          </w:tcPr>
          <w:p w14:paraId="7A859025">
            <w:pPr>
              <w:rPr>
                <w:szCs w:val="21"/>
              </w:rPr>
            </w:pPr>
            <w:r>
              <w:rPr>
                <w:szCs w:val="21"/>
              </w:rPr>
              <w:t>占地恢复原有土地利用性质</w:t>
            </w:r>
          </w:p>
        </w:tc>
        <w:tc>
          <w:tcPr>
            <w:tcW w:w="1158" w:type="dxa"/>
            <w:vAlign w:val="center"/>
          </w:tcPr>
          <w:p w14:paraId="13B19688">
            <w:pPr>
              <w:adjustRightInd w:val="0"/>
              <w:snapToGrid w:val="0"/>
              <w:rPr>
                <w:szCs w:val="21"/>
              </w:rPr>
            </w:pPr>
          </w:p>
        </w:tc>
        <w:tc>
          <w:tcPr>
            <w:tcW w:w="1166" w:type="dxa"/>
            <w:vAlign w:val="center"/>
          </w:tcPr>
          <w:p w14:paraId="63BB6D6D">
            <w:pPr>
              <w:adjustRightInd w:val="0"/>
              <w:snapToGrid w:val="0"/>
              <w:rPr>
                <w:szCs w:val="21"/>
              </w:rPr>
            </w:pPr>
          </w:p>
        </w:tc>
      </w:tr>
      <w:tr w14:paraId="7F3C0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1EEB2BFF">
            <w:pPr>
              <w:adjustRightInd w:val="0"/>
              <w:snapToGrid w:val="0"/>
              <w:jc w:val="center"/>
              <w:rPr>
                <w:szCs w:val="21"/>
              </w:rPr>
            </w:pPr>
          </w:p>
        </w:tc>
        <w:tc>
          <w:tcPr>
            <w:tcW w:w="2074" w:type="dxa"/>
            <w:gridSpan w:val="2"/>
            <w:vAlign w:val="center"/>
          </w:tcPr>
          <w:p w14:paraId="67E8B037">
            <w:pPr>
              <w:adjustRightInd w:val="0"/>
              <w:snapToGrid w:val="0"/>
              <w:rPr>
                <w:szCs w:val="21"/>
              </w:rPr>
            </w:pPr>
            <w:r>
              <w:rPr>
                <w:szCs w:val="21"/>
              </w:rPr>
              <w:t>植被恢复</w:t>
            </w:r>
          </w:p>
        </w:tc>
        <w:tc>
          <w:tcPr>
            <w:tcW w:w="5036" w:type="dxa"/>
            <w:gridSpan w:val="2"/>
            <w:vAlign w:val="center"/>
          </w:tcPr>
          <w:p w14:paraId="0C90560C">
            <w:pPr>
              <w:adjustRightInd w:val="0"/>
              <w:snapToGrid w:val="0"/>
              <w:rPr>
                <w:szCs w:val="21"/>
              </w:rPr>
            </w:pPr>
            <w:r>
              <w:rPr>
                <w:szCs w:val="21"/>
              </w:rPr>
              <w:t>施工结束后对不再使用的临时占地进行复垦和植被恢复，应满足《土地复垦质量控制标准》（TD/T1036-2013）中规定的要求，满足居民正常耕种要求。</w:t>
            </w:r>
          </w:p>
        </w:tc>
        <w:tc>
          <w:tcPr>
            <w:tcW w:w="3375" w:type="dxa"/>
            <w:vAlign w:val="center"/>
          </w:tcPr>
          <w:p w14:paraId="595B1A98">
            <w:pPr>
              <w:rPr>
                <w:szCs w:val="21"/>
              </w:rPr>
            </w:pPr>
            <w:r>
              <w:rPr>
                <w:szCs w:val="21"/>
              </w:rPr>
              <w:t>土地恢复生产力</w:t>
            </w:r>
          </w:p>
        </w:tc>
        <w:tc>
          <w:tcPr>
            <w:tcW w:w="1158" w:type="dxa"/>
            <w:vAlign w:val="center"/>
          </w:tcPr>
          <w:p w14:paraId="6B249D0F">
            <w:pPr>
              <w:adjustRightInd w:val="0"/>
              <w:snapToGrid w:val="0"/>
              <w:rPr>
                <w:szCs w:val="21"/>
              </w:rPr>
            </w:pPr>
          </w:p>
        </w:tc>
        <w:tc>
          <w:tcPr>
            <w:tcW w:w="1166" w:type="dxa"/>
            <w:vAlign w:val="center"/>
          </w:tcPr>
          <w:p w14:paraId="3BA40417">
            <w:pPr>
              <w:adjustRightInd w:val="0"/>
              <w:snapToGrid w:val="0"/>
              <w:rPr>
                <w:szCs w:val="21"/>
              </w:rPr>
            </w:pPr>
          </w:p>
        </w:tc>
      </w:tr>
      <w:tr w14:paraId="7C659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1484838E">
            <w:pPr>
              <w:adjustRightInd w:val="0"/>
              <w:snapToGrid w:val="0"/>
              <w:jc w:val="center"/>
              <w:rPr>
                <w:szCs w:val="21"/>
              </w:rPr>
            </w:pPr>
            <w:r>
              <w:rPr>
                <w:szCs w:val="21"/>
              </w:rPr>
              <w:t>水生生态</w:t>
            </w:r>
          </w:p>
        </w:tc>
        <w:tc>
          <w:tcPr>
            <w:tcW w:w="7110" w:type="dxa"/>
            <w:gridSpan w:val="4"/>
            <w:vAlign w:val="center"/>
          </w:tcPr>
          <w:p w14:paraId="0725F42D">
            <w:pPr>
              <w:adjustRightInd w:val="0"/>
              <w:snapToGrid w:val="0"/>
              <w:rPr>
                <w:szCs w:val="21"/>
              </w:rPr>
            </w:pPr>
            <w:r>
              <w:rPr>
                <w:szCs w:val="21"/>
              </w:rPr>
              <w:t>/</w:t>
            </w:r>
          </w:p>
        </w:tc>
        <w:tc>
          <w:tcPr>
            <w:tcW w:w="3375" w:type="dxa"/>
            <w:vAlign w:val="center"/>
          </w:tcPr>
          <w:p w14:paraId="76509BB5">
            <w:pPr>
              <w:adjustRightInd w:val="0"/>
              <w:snapToGrid w:val="0"/>
              <w:rPr>
                <w:szCs w:val="21"/>
              </w:rPr>
            </w:pPr>
            <w:r>
              <w:rPr>
                <w:szCs w:val="21"/>
              </w:rPr>
              <w:t>/</w:t>
            </w:r>
          </w:p>
        </w:tc>
        <w:tc>
          <w:tcPr>
            <w:tcW w:w="1158" w:type="dxa"/>
            <w:vAlign w:val="center"/>
          </w:tcPr>
          <w:p w14:paraId="65815590">
            <w:pPr>
              <w:adjustRightInd w:val="0"/>
              <w:snapToGrid w:val="0"/>
              <w:rPr>
                <w:szCs w:val="21"/>
              </w:rPr>
            </w:pPr>
            <w:r>
              <w:rPr>
                <w:szCs w:val="21"/>
              </w:rPr>
              <w:t>/</w:t>
            </w:r>
          </w:p>
        </w:tc>
        <w:tc>
          <w:tcPr>
            <w:tcW w:w="1166" w:type="dxa"/>
            <w:vAlign w:val="center"/>
          </w:tcPr>
          <w:p w14:paraId="7AA403EB">
            <w:pPr>
              <w:adjustRightInd w:val="0"/>
              <w:snapToGrid w:val="0"/>
              <w:rPr>
                <w:szCs w:val="21"/>
              </w:rPr>
            </w:pPr>
            <w:r>
              <w:rPr>
                <w:szCs w:val="21"/>
              </w:rPr>
              <w:t>/</w:t>
            </w:r>
          </w:p>
        </w:tc>
      </w:tr>
      <w:tr w14:paraId="26C12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14:paraId="3AB635DE">
            <w:pPr>
              <w:adjustRightInd w:val="0"/>
              <w:snapToGrid w:val="0"/>
              <w:jc w:val="center"/>
              <w:rPr>
                <w:szCs w:val="21"/>
              </w:rPr>
            </w:pPr>
            <w:r>
              <w:rPr>
                <w:szCs w:val="21"/>
              </w:rPr>
              <w:t>地表水环境</w:t>
            </w:r>
          </w:p>
        </w:tc>
        <w:tc>
          <w:tcPr>
            <w:tcW w:w="7110" w:type="dxa"/>
            <w:gridSpan w:val="4"/>
            <w:vAlign w:val="center"/>
          </w:tcPr>
          <w:p w14:paraId="1E1CA64E">
            <w:pPr>
              <w:adjustRightInd w:val="0"/>
              <w:snapToGrid w:val="0"/>
              <w:rPr>
                <w:szCs w:val="21"/>
              </w:rPr>
            </w:pPr>
            <w:r>
              <w:rPr>
                <w:szCs w:val="21"/>
              </w:rPr>
              <w:t>落实清污分流措施；场地</w:t>
            </w:r>
            <w:r>
              <w:rPr>
                <w:rFonts w:hint="eastAsia"/>
                <w:szCs w:val="21"/>
              </w:rPr>
              <w:t>污染区</w:t>
            </w:r>
            <w:r>
              <w:rPr>
                <w:szCs w:val="21"/>
              </w:rPr>
              <w:t>雨水</w:t>
            </w:r>
            <w:r>
              <w:rPr>
                <w:rFonts w:hint="eastAsia"/>
                <w:szCs w:val="21"/>
              </w:rPr>
              <w:t>经场内排水沟汇集至</w:t>
            </w:r>
            <w:r>
              <w:rPr>
                <w:szCs w:val="21"/>
              </w:rPr>
              <w:t>集水坑泵入泥浆不落地平台处理回用。</w:t>
            </w:r>
          </w:p>
        </w:tc>
        <w:tc>
          <w:tcPr>
            <w:tcW w:w="3375" w:type="dxa"/>
            <w:vMerge w:val="restart"/>
            <w:vAlign w:val="center"/>
          </w:tcPr>
          <w:p w14:paraId="78B30F57">
            <w:pPr>
              <w:adjustRightInd w:val="0"/>
              <w:snapToGrid w:val="0"/>
              <w:rPr>
                <w:szCs w:val="21"/>
              </w:rPr>
            </w:pPr>
            <w:r>
              <w:rPr>
                <w:szCs w:val="21"/>
              </w:rPr>
              <w:t>污废水全部按要求处理，钻井、洗井、压裂废水建立转运五联单，转运及交接等联单手续齐全，现场无污废水遗留及排放；落实生活污水处理措施</w:t>
            </w:r>
          </w:p>
        </w:tc>
        <w:tc>
          <w:tcPr>
            <w:tcW w:w="1158" w:type="dxa"/>
            <w:vAlign w:val="center"/>
          </w:tcPr>
          <w:p w14:paraId="419B3DE0">
            <w:pPr>
              <w:adjustRightInd w:val="0"/>
              <w:snapToGrid w:val="0"/>
              <w:rPr>
                <w:szCs w:val="21"/>
              </w:rPr>
            </w:pPr>
          </w:p>
        </w:tc>
        <w:tc>
          <w:tcPr>
            <w:tcW w:w="1166" w:type="dxa"/>
            <w:vAlign w:val="center"/>
          </w:tcPr>
          <w:p w14:paraId="59743589">
            <w:pPr>
              <w:adjustRightInd w:val="0"/>
              <w:snapToGrid w:val="0"/>
              <w:rPr>
                <w:szCs w:val="21"/>
              </w:rPr>
            </w:pPr>
          </w:p>
        </w:tc>
      </w:tr>
      <w:tr w14:paraId="09DBF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3B1A0095">
            <w:pPr>
              <w:adjustRightInd w:val="0"/>
              <w:snapToGrid w:val="0"/>
              <w:jc w:val="center"/>
              <w:rPr>
                <w:szCs w:val="21"/>
              </w:rPr>
            </w:pPr>
          </w:p>
        </w:tc>
        <w:tc>
          <w:tcPr>
            <w:tcW w:w="7110" w:type="dxa"/>
            <w:gridSpan w:val="4"/>
            <w:vAlign w:val="center"/>
          </w:tcPr>
          <w:p w14:paraId="6989104B">
            <w:pPr>
              <w:adjustRightInd w:val="0"/>
              <w:snapToGrid w:val="0"/>
              <w:rPr>
                <w:szCs w:val="21"/>
              </w:rPr>
            </w:pPr>
            <w:r>
              <w:rPr>
                <w:color w:val="0000FF"/>
                <w:szCs w:val="21"/>
              </w:rPr>
              <w:t>钻井废水经沉淀预处理后回用于钻井补充泥浆配置，完井阶段井废水暂存于废水罐中，</w:t>
            </w:r>
            <w:r>
              <w:rPr>
                <w:rFonts w:hint="eastAsia"/>
                <w:color w:val="0000FF"/>
                <w:szCs w:val="21"/>
              </w:rPr>
              <w:t>由罐车拉运至赵家坝污水处理站处理达标后运至普光3井等回注站回注</w:t>
            </w:r>
            <w:r>
              <w:rPr>
                <w:color w:val="0000FF"/>
                <w:szCs w:val="21"/>
              </w:rPr>
              <w:t>现场无废水外排。</w:t>
            </w:r>
          </w:p>
        </w:tc>
        <w:tc>
          <w:tcPr>
            <w:tcW w:w="3375" w:type="dxa"/>
            <w:vMerge w:val="continue"/>
            <w:vAlign w:val="center"/>
          </w:tcPr>
          <w:p w14:paraId="261C5443">
            <w:pPr>
              <w:adjustRightInd w:val="0"/>
              <w:snapToGrid w:val="0"/>
              <w:rPr>
                <w:szCs w:val="21"/>
              </w:rPr>
            </w:pPr>
          </w:p>
        </w:tc>
        <w:tc>
          <w:tcPr>
            <w:tcW w:w="1158" w:type="dxa"/>
            <w:vAlign w:val="center"/>
          </w:tcPr>
          <w:p w14:paraId="0C38F3E7">
            <w:pPr>
              <w:adjustRightInd w:val="0"/>
              <w:snapToGrid w:val="0"/>
              <w:rPr>
                <w:szCs w:val="21"/>
              </w:rPr>
            </w:pPr>
          </w:p>
        </w:tc>
        <w:tc>
          <w:tcPr>
            <w:tcW w:w="1166" w:type="dxa"/>
            <w:vAlign w:val="center"/>
          </w:tcPr>
          <w:p w14:paraId="1C063037">
            <w:pPr>
              <w:adjustRightInd w:val="0"/>
              <w:snapToGrid w:val="0"/>
              <w:rPr>
                <w:szCs w:val="21"/>
              </w:rPr>
            </w:pPr>
          </w:p>
        </w:tc>
      </w:tr>
      <w:tr w14:paraId="377D3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0358BB44">
            <w:pPr>
              <w:adjustRightInd w:val="0"/>
              <w:snapToGrid w:val="0"/>
              <w:jc w:val="center"/>
              <w:rPr>
                <w:szCs w:val="21"/>
              </w:rPr>
            </w:pPr>
          </w:p>
        </w:tc>
        <w:tc>
          <w:tcPr>
            <w:tcW w:w="7110" w:type="dxa"/>
            <w:gridSpan w:val="4"/>
            <w:vAlign w:val="center"/>
          </w:tcPr>
          <w:p w14:paraId="1286A08B">
            <w:pPr>
              <w:adjustRightInd w:val="0"/>
              <w:snapToGrid w:val="0"/>
              <w:rPr>
                <w:szCs w:val="21"/>
              </w:rPr>
            </w:pPr>
            <w:r>
              <w:rPr>
                <w:szCs w:val="21"/>
              </w:rPr>
              <w:t>洗井废水临时储存相关罐体中，用于配制压裂液，不能回用时用密闭罐车定期拉运至</w:t>
            </w:r>
            <w:r>
              <w:rPr>
                <w:rFonts w:hint="eastAsia"/>
                <w:szCs w:val="21"/>
              </w:rPr>
              <w:t>赵家坝污水处理站</w:t>
            </w:r>
            <w:r>
              <w:rPr>
                <w:szCs w:val="21"/>
              </w:rPr>
              <w:t>处理达标后</w:t>
            </w:r>
            <w:r>
              <w:rPr>
                <w:rFonts w:hint="eastAsia"/>
                <w:szCs w:val="21"/>
              </w:rPr>
              <w:t>由罐车拉运至普光3井等回注站</w:t>
            </w:r>
            <w:r>
              <w:rPr>
                <w:szCs w:val="21"/>
              </w:rPr>
              <w:t>回注，现场无废水外排。</w:t>
            </w:r>
          </w:p>
        </w:tc>
        <w:tc>
          <w:tcPr>
            <w:tcW w:w="3375" w:type="dxa"/>
            <w:vMerge w:val="continue"/>
            <w:vAlign w:val="center"/>
          </w:tcPr>
          <w:p w14:paraId="3A4CA1D0">
            <w:pPr>
              <w:adjustRightInd w:val="0"/>
              <w:snapToGrid w:val="0"/>
              <w:rPr>
                <w:szCs w:val="21"/>
              </w:rPr>
            </w:pPr>
          </w:p>
        </w:tc>
        <w:tc>
          <w:tcPr>
            <w:tcW w:w="1158" w:type="dxa"/>
            <w:vAlign w:val="center"/>
          </w:tcPr>
          <w:p w14:paraId="685B6247">
            <w:pPr>
              <w:adjustRightInd w:val="0"/>
              <w:snapToGrid w:val="0"/>
              <w:rPr>
                <w:szCs w:val="21"/>
              </w:rPr>
            </w:pPr>
          </w:p>
        </w:tc>
        <w:tc>
          <w:tcPr>
            <w:tcW w:w="1166" w:type="dxa"/>
            <w:vAlign w:val="center"/>
          </w:tcPr>
          <w:p w14:paraId="3772B63F">
            <w:pPr>
              <w:adjustRightInd w:val="0"/>
              <w:snapToGrid w:val="0"/>
              <w:rPr>
                <w:szCs w:val="21"/>
              </w:rPr>
            </w:pPr>
          </w:p>
        </w:tc>
      </w:tr>
      <w:tr w14:paraId="18E5E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7284282A">
            <w:pPr>
              <w:adjustRightInd w:val="0"/>
              <w:snapToGrid w:val="0"/>
              <w:jc w:val="center"/>
              <w:rPr>
                <w:szCs w:val="21"/>
              </w:rPr>
            </w:pPr>
          </w:p>
        </w:tc>
        <w:tc>
          <w:tcPr>
            <w:tcW w:w="7110" w:type="dxa"/>
            <w:gridSpan w:val="4"/>
            <w:vAlign w:val="center"/>
          </w:tcPr>
          <w:p w14:paraId="797C3E7F">
            <w:pPr>
              <w:adjustRightInd w:val="0"/>
              <w:snapToGrid w:val="0"/>
              <w:rPr>
                <w:szCs w:val="21"/>
              </w:rPr>
            </w:pPr>
            <w:r>
              <w:rPr>
                <w:szCs w:val="21"/>
              </w:rPr>
              <w:t>试气工程</w:t>
            </w:r>
            <w:r>
              <w:rPr>
                <w:rFonts w:hint="eastAsia"/>
                <w:szCs w:val="21"/>
              </w:rPr>
              <w:t>产生的</w:t>
            </w:r>
            <w:r>
              <w:rPr>
                <w:szCs w:val="21"/>
              </w:rPr>
              <w:t>压裂返排液</w:t>
            </w:r>
            <w:r>
              <w:rPr>
                <w:rFonts w:hint="eastAsia"/>
                <w:szCs w:val="21"/>
              </w:rPr>
              <w:t>经废水池及放喷池</w:t>
            </w:r>
            <w:r>
              <w:rPr>
                <w:szCs w:val="21"/>
              </w:rPr>
              <w:t>暂存于通过罐车拉运至</w:t>
            </w:r>
            <w:r>
              <w:rPr>
                <w:rFonts w:hint="eastAsia"/>
                <w:szCs w:val="21"/>
              </w:rPr>
              <w:t>赵家坝污水处理站</w:t>
            </w:r>
            <w:r>
              <w:rPr>
                <w:szCs w:val="21"/>
              </w:rPr>
              <w:t>处理达标后</w:t>
            </w:r>
            <w:r>
              <w:rPr>
                <w:rFonts w:hint="eastAsia"/>
                <w:szCs w:val="21"/>
              </w:rPr>
              <w:t>由罐车拉运至普光3井等回注站</w:t>
            </w:r>
            <w:r>
              <w:rPr>
                <w:szCs w:val="21"/>
              </w:rPr>
              <w:t>回注，现场无废水外排。</w:t>
            </w:r>
          </w:p>
        </w:tc>
        <w:tc>
          <w:tcPr>
            <w:tcW w:w="3375" w:type="dxa"/>
            <w:vMerge w:val="continue"/>
            <w:vAlign w:val="center"/>
          </w:tcPr>
          <w:p w14:paraId="03788CEB">
            <w:pPr>
              <w:adjustRightInd w:val="0"/>
              <w:snapToGrid w:val="0"/>
              <w:rPr>
                <w:szCs w:val="21"/>
              </w:rPr>
            </w:pPr>
          </w:p>
        </w:tc>
        <w:tc>
          <w:tcPr>
            <w:tcW w:w="1158" w:type="dxa"/>
            <w:vAlign w:val="center"/>
          </w:tcPr>
          <w:p w14:paraId="0BAD6C20">
            <w:pPr>
              <w:adjustRightInd w:val="0"/>
              <w:snapToGrid w:val="0"/>
              <w:rPr>
                <w:szCs w:val="21"/>
              </w:rPr>
            </w:pPr>
          </w:p>
        </w:tc>
        <w:tc>
          <w:tcPr>
            <w:tcW w:w="1166" w:type="dxa"/>
            <w:vAlign w:val="center"/>
          </w:tcPr>
          <w:p w14:paraId="007C7777">
            <w:pPr>
              <w:adjustRightInd w:val="0"/>
              <w:snapToGrid w:val="0"/>
              <w:rPr>
                <w:szCs w:val="21"/>
              </w:rPr>
            </w:pPr>
          </w:p>
        </w:tc>
      </w:tr>
      <w:tr w14:paraId="75B84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362B7E21">
            <w:pPr>
              <w:adjustRightInd w:val="0"/>
              <w:snapToGrid w:val="0"/>
              <w:jc w:val="center"/>
              <w:rPr>
                <w:szCs w:val="21"/>
              </w:rPr>
            </w:pPr>
          </w:p>
        </w:tc>
        <w:tc>
          <w:tcPr>
            <w:tcW w:w="7110" w:type="dxa"/>
            <w:gridSpan w:val="4"/>
            <w:vAlign w:val="center"/>
          </w:tcPr>
          <w:p w14:paraId="372EE3E2">
            <w:pPr>
              <w:adjustRightInd w:val="0"/>
              <w:snapToGrid w:val="0"/>
              <w:rPr>
                <w:szCs w:val="21"/>
              </w:rPr>
            </w:pPr>
            <w:r>
              <w:rPr>
                <w:szCs w:val="21"/>
              </w:rPr>
              <w:t>生活污水经生态一体化厕所收集后定期由清粪车拉运至</w:t>
            </w:r>
            <w:r>
              <w:rPr>
                <w:rFonts w:hint="eastAsia"/>
                <w:szCs w:val="21"/>
              </w:rPr>
              <w:t>君塘镇</w:t>
            </w:r>
            <w:r>
              <w:rPr>
                <w:szCs w:val="21"/>
              </w:rPr>
              <w:t>污水处理厂处理。</w:t>
            </w:r>
          </w:p>
        </w:tc>
        <w:tc>
          <w:tcPr>
            <w:tcW w:w="3375" w:type="dxa"/>
            <w:vMerge w:val="continue"/>
            <w:vAlign w:val="center"/>
          </w:tcPr>
          <w:p w14:paraId="447BABF4">
            <w:pPr>
              <w:adjustRightInd w:val="0"/>
              <w:snapToGrid w:val="0"/>
              <w:rPr>
                <w:szCs w:val="21"/>
              </w:rPr>
            </w:pPr>
          </w:p>
        </w:tc>
        <w:tc>
          <w:tcPr>
            <w:tcW w:w="1158" w:type="dxa"/>
            <w:vAlign w:val="center"/>
          </w:tcPr>
          <w:p w14:paraId="07814A46">
            <w:pPr>
              <w:adjustRightInd w:val="0"/>
              <w:snapToGrid w:val="0"/>
              <w:rPr>
                <w:szCs w:val="21"/>
              </w:rPr>
            </w:pPr>
          </w:p>
        </w:tc>
        <w:tc>
          <w:tcPr>
            <w:tcW w:w="1166" w:type="dxa"/>
            <w:vAlign w:val="center"/>
          </w:tcPr>
          <w:p w14:paraId="6A826089">
            <w:pPr>
              <w:adjustRightInd w:val="0"/>
              <w:snapToGrid w:val="0"/>
              <w:rPr>
                <w:szCs w:val="21"/>
              </w:rPr>
            </w:pPr>
          </w:p>
        </w:tc>
      </w:tr>
      <w:tr w14:paraId="0CF35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272BF3BE">
            <w:pPr>
              <w:adjustRightInd w:val="0"/>
              <w:snapToGrid w:val="0"/>
              <w:jc w:val="center"/>
              <w:rPr>
                <w:szCs w:val="21"/>
              </w:rPr>
            </w:pPr>
            <w:r>
              <w:rPr>
                <w:szCs w:val="21"/>
              </w:rPr>
              <w:t>地下水及土壤环境</w:t>
            </w:r>
          </w:p>
        </w:tc>
        <w:tc>
          <w:tcPr>
            <w:tcW w:w="7110" w:type="dxa"/>
            <w:gridSpan w:val="4"/>
            <w:vAlign w:val="center"/>
          </w:tcPr>
          <w:p w14:paraId="1F385A09">
            <w:pPr>
              <w:adjustRightInd w:val="0"/>
              <w:snapToGrid w:val="0"/>
              <w:rPr>
                <w:szCs w:val="21"/>
              </w:rPr>
            </w:pPr>
            <w:r>
              <w:rPr>
                <w:szCs w:val="21"/>
              </w:rPr>
              <w:t>落实钻井方案及钻井液方案；落实井场分区防渗情况</w:t>
            </w:r>
          </w:p>
        </w:tc>
        <w:tc>
          <w:tcPr>
            <w:tcW w:w="3375" w:type="dxa"/>
            <w:vAlign w:val="center"/>
          </w:tcPr>
          <w:p w14:paraId="7FE5C305">
            <w:pPr>
              <w:adjustRightInd w:val="0"/>
              <w:snapToGrid w:val="0"/>
              <w:rPr>
                <w:szCs w:val="21"/>
              </w:rPr>
            </w:pPr>
            <w:r>
              <w:rPr>
                <w:szCs w:val="21"/>
              </w:rPr>
              <w:t>各防渗区等级满足防渗要求，各污染物均按要求收集及处理处置。</w:t>
            </w:r>
          </w:p>
        </w:tc>
        <w:tc>
          <w:tcPr>
            <w:tcW w:w="1158" w:type="dxa"/>
            <w:vAlign w:val="center"/>
          </w:tcPr>
          <w:p w14:paraId="4FCAA342">
            <w:pPr>
              <w:adjustRightInd w:val="0"/>
              <w:snapToGrid w:val="0"/>
              <w:rPr>
                <w:szCs w:val="21"/>
              </w:rPr>
            </w:pPr>
            <w:r>
              <w:rPr>
                <w:szCs w:val="21"/>
              </w:rPr>
              <w:t>/</w:t>
            </w:r>
          </w:p>
        </w:tc>
        <w:tc>
          <w:tcPr>
            <w:tcW w:w="1166" w:type="dxa"/>
            <w:vAlign w:val="center"/>
          </w:tcPr>
          <w:p w14:paraId="25334ACF">
            <w:pPr>
              <w:adjustRightInd w:val="0"/>
              <w:snapToGrid w:val="0"/>
              <w:rPr>
                <w:szCs w:val="21"/>
              </w:rPr>
            </w:pPr>
          </w:p>
        </w:tc>
      </w:tr>
      <w:tr w14:paraId="49A8C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62DC2CA8">
            <w:pPr>
              <w:adjustRightInd w:val="0"/>
              <w:snapToGrid w:val="0"/>
              <w:jc w:val="center"/>
              <w:rPr>
                <w:szCs w:val="21"/>
              </w:rPr>
            </w:pPr>
            <w:r>
              <w:rPr>
                <w:szCs w:val="21"/>
              </w:rPr>
              <w:t>声环境</w:t>
            </w:r>
          </w:p>
        </w:tc>
        <w:tc>
          <w:tcPr>
            <w:tcW w:w="7110" w:type="dxa"/>
            <w:gridSpan w:val="4"/>
            <w:vAlign w:val="center"/>
          </w:tcPr>
          <w:p w14:paraId="1AA193A6">
            <w:pPr>
              <w:adjustRightInd w:val="0"/>
              <w:snapToGrid w:val="0"/>
              <w:rPr>
                <w:szCs w:val="21"/>
              </w:rPr>
            </w:pPr>
            <w:r>
              <w:rPr>
                <w:szCs w:val="21"/>
              </w:rPr>
              <w:t>选用低噪声设备、合理布置噪声设备，并采取相应减噪措施，作业前先发布公告，并告知高噪声作业时间，加强沟通协调。</w:t>
            </w:r>
          </w:p>
        </w:tc>
        <w:tc>
          <w:tcPr>
            <w:tcW w:w="3375" w:type="dxa"/>
            <w:vAlign w:val="center"/>
          </w:tcPr>
          <w:p w14:paraId="3277689C">
            <w:pPr>
              <w:adjustRightInd w:val="0"/>
              <w:snapToGrid w:val="0"/>
              <w:rPr>
                <w:szCs w:val="21"/>
              </w:rPr>
            </w:pPr>
            <w:r>
              <w:rPr>
                <w:szCs w:val="21"/>
              </w:rPr>
              <w:t>按要求设置相应的噪声控制措施</w:t>
            </w:r>
          </w:p>
        </w:tc>
        <w:tc>
          <w:tcPr>
            <w:tcW w:w="1158" w:type="dxa"/>
            <w:vAlign w:val="center"/>
          </w:tcPr>
          <w:p w14:paraId="0E5EA03D">
            <w:pPr>
              <w:adjustRightInd w:val="0"/>
              <w:snapToGrid w:val="0"/>
              <w:rPr>
                <w:szCs w:val="21"/>
              </w:rPr>
            </w:pPr>
            <w:r>
              <w:rPr>
                <w:szCs w:val="21"/>
              </w:rPr>
              <w:t>/</w:t>
            </w:r>
          </w:p>
        </w:tc>
        <w:tc>
          <w:tcPr>
            <w:tcW w:w="1166" w:type="dxa"/>
            <w:vAlign w:val="center"/>
          </w:tcPr>
          <w:p w14:paraId="469AB242">
            <w:pPr>
              <w:adjustRightInd w:val="0"/>
              <w:snapToGrid w:val="0"/>
              <w:rPr>
                <w:szCs w:val="21"/>
              </w:rPr>
            </w:pPr>
            <w:r>
              <w:rPr>
                <w:szCs w:val="21"/>
              </w:rPr>
              <w:t>/</w:t>
            </w:r>
          </w:p>
        </w:tc>
      </w:tr>
      <w:tr w14:paraId="0C010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4DFBD550">
            <w:pPr>
              <w:adjustRightInd w:val="0"/>
              <w:snapToGrid w:val="0"/>
              <w:jc w:val="center"/>
              <w:rPr>
                <w:szCs w:val="21"/>
              </w:rPr>
            </w:pPr>
            <w:r>
              <w:rPr>
                <w:szCs w:val="21"/>
              </w:rPr>
              <w:t>振动</w:t>
            </w:r>
          </w:p>
        </w:tc>
        <w:tc>
          <w:tcPr>
            <w:tcW w:w="7110" w:type="dxa"/>
            <w:gridSpan w:val="4"/>
            <w:vAlign w:val="center"/>
          </w:tcPr>
          <w:p w14:paraId="40675CFA">
            <w:pPr>
              <w:adjustRightInd w:val="0"/>
              <w:snapToGrid w:val="0"/>
              <w:rPr>
                <w:szCs w:val="21"/>
              </w:rPr>
            </w:pPr>
            <w:r>
              <w:rPr>
                <w:szCs w:val="21"/>
              </w:rPr>
              <w:t>/</w:t>
            </w:r>
          </w:p>
        </w:tc>
        <w:tc>
          <w:tcPr>
            <w:tcW w:w="3375" w:type="dxa"/>
            <w:vAlign w:val="center"/>
          </w:tcPr>
          <w:p w14:paraId="3E5E29B3">
            <w:pPr>
              <w:adjustRightInd w:val="0"/>
              <w:snapToGrid w:val="0"/>
              <w:rPr>
                <w:szCs w:val="21"/>
              </w:rPr>
            </w:pPr>
            <w:r>
              <w:rPr>
                <w:szCs w:val="21"/>
              </w:rPr>
              <w:t>/</w:t>
            </w:r>
          </w:p>
        </w:tc>
        <w:tc>
          <w:tcPr>
            <w:tcW w:w="1158" w:type="dxa"/>
            <w:vAlign w:val="center"/>
          </w:tcPr>
          <w:p w14:paraId="62A38A24">
            <w:pPr>
              <w:adjustRightInd w:val="0"/>
              <w:snapToGrid w:val="0"/>
              <w:rPr>
                <w:szCs w:val="21"/>
              </w:rPr>
            </w:pPr>
            <w:r>
              <w:rPr>
                <w:szCs w:val="21"/>
              </w:rPr>
              <w:t>/</w:t>
            </w:r>
          </w:p>
        </w:tc>
        <w:tc>
          <w:tcPr>
            <w:tcW w:w="1166" w:type="dxa"/>
            <w:vAlign w:val="center"/>
          </w:tcPr>
          <w:p w14:paraId="7E0F1BCD">
            <w:pPr>
              <w:adjustRightInd w:val="0"/>
              <w:snapToGrid w:val="0"/>
              <w:rPr>
                <w:szCs w:val="21"/>
              </w:rPr>
            </w:pPr>
            <w:r>
              <w:rPr>
                <w:szCs w:val="21"/>
              </w:rPr>
              <w:t>/</w:t>
            </w:r>
          </w:p>
        </w:tc>
      </w:tr>
      <w:tr w14:paraId="4FDAA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7D402367">
            <w:pPr>
              <w:adjustRightInd w:val="0"/>
              <w:snapToGrid w:val="0"/>
              <w:jc w:val="center"/>
              <w:rPr>
                <w:szCs w:val="21"/>
              </w:rPr>
            </w:pPr>
            <w:r>
              <w:rPr>
                <w:szCs w:val="21"/>
              </w:rPr>
              <w:t>大气环境</w:t>
            </w:r>
          </w:p>
        </w:tc>
        <w:tc>
          <w:tcPr>
            <w:tcW w:w="7110" w:type="dxa"/>
            <w:gridSpan w:val="4"/>
            <w:vAlign w:val="center"/>
          </w:tcPr>
          <w:p w14:paraId="51869912">
            <w:pPr>
              <w:adjustRightInd w:val="0"/>
              <w:snapToGrid w:val="0"/>
              <w:rPr>
                <w:szCs w:val="21"/>
              </w:rPr>
            </w:pPr>
            <w:r>
              <w:rPr>
                <w:szCs w:val="21"/>
              </w:rPr>
              <w:t>使用符合环保要求的柴油机及燃料，试气作业废气满足排放标准。</w:t>
            </w:r>
          </w:p>
        </w:tc>
        <w:tc>
          <w:tcPr>
            <w:tcW w:w="3375" w:type="dxa"/>
            <w:vAlign w:val="center"/>
          </w:tcPr>
          <w:p w14:paraId="4C2A64FB">
            <w:pPr>
              <w:adjustRightInd w:val="0"/>
              <w:snapToGrid w:val="0"/>
              <w:rPr>
                <w:szCs w:val="21"/>
              </w:rPr>
            </w:pPr>
            <w:r>
              <w:rPr>
                <w:szCs w:val="21"/>
              </w:rPr>
              <w:t>按要求实施，区域环境功能不会发生改变</w:t>
            </w:r>
          </w:p>
        </w:tc>
        <w:tc>
          <w:tcPr>
            <w:tcW w:w="1158" w:type="dxa"/>
            <w:vAlign w:val="center"/>
          </w:tcPr>
          <w:p w14:paraId="357A27E9">
            <w:pPr>
              <w:adjustRightInd w:val="0"/>
              <w:snapToGrid w:val="0"/>
              <w:rPr>
                <w:szCs w:val="21"/>
              </w:rPr>
            </w:pPr>
            <w:r>
              <w:rPr>
                <w:szCs w:val="21"/>
              </w:rPr>
              <w:t>/</w:t>
            </w:r>
          </w:p>
        </w:tc>
        <w:tc>
          <w:tcPr>
            <w:tcW w:w="1166" w:type="dxa"/>
            <w:vAlign w:val="center"/>
          </w:tcPr>
          <w:p w14:paraId="7FF43069">
            <w:pPr>
              <w:adjustRightInd w:val="0"/>
              <w:snapToGrid w:val="0"/>
              <w:rPr>
                <w:szCs w:val="21"/>
              </w:rPr>
            </w:pPr>
            <w:r>
              <w:rPr>
                <w:szCs w:val="21"/>
              </w:rPr>
              <w:t>/</w:t>
            </w:r>
          </w:p>
        </w:tc>
      </w:tr>
      <w:tr w14:paraId="2DF4E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14:paraId="2085DAAF">
            <w:pPr>
              <w:adjustRightInd w:val="0"/>
              <w:snapToGrid w:val="0"/>
              <w:jc w:val="center"/>
              <w:rPr>
                <w:szCs w:val="21"/>
              </w:rPr>
            </w:pPr>
            <w:r>
              <w:rPr>
                <w:szCs w:val="21"/>
              </w:rPr>
              <w:t>固体废物</w:t>
            </w:r>
          </w:p>
        </w:tc>
        <w:tc>
          <w:tcPr>
            <w:tcW w:w="7110" w:type="dxa"/>
            <w:gridSpan w:val="4"/>
            <w:vMerge w:val="restart"/>
            <w:vAlign w:val="center"/>
          </w:tcPr>
          <w:p w14:paraId="60FC7CAC">
            <w:pPr>
              <w:adjustRightInd w:val="0"/>
              <w:snapToGrid w:val="0"/>
              <w:rPr>
                <w:szCs w:val="21"/>
              </w:rPr>
            </w:pPr>
            <w:r>
              <w:rPr>
                <w:szCs w:val="21"/>
              </w:rPr>
              <w:t>落实岩屑堆存区情况，导眼井段产生的水基岩屑由岩屑收集罐进行收集暂存岩屑堆放区，钻井废弃泥浆收集至泥浆不落地平台内的循环罐暂存，就近交由有资质单位进行资源化利用。</w:t>
            </w:r>
          </w:p>
        </w:tc>
        <w:tc>
          <w:tcPr>
            <w:tcW w:w="3375" w:type="dxa"/>
            <w:vMerge w:val="restart"/>
            <w:vAlign w:val="center"/>
          </w:tcPr>
          <w:p w14:paraId="2B6D2A74">
            <w:pPr>
              <w:adjustRightInd w:val="0"/>
              <w:snapToGrid w:val="0"/>
              <w:rPr>
                <w:szCs w:val="21"/>
              </w:rPr>
            </w:pPr>
            <w:r>
              <w:rPr>
                <w:szCs w:val="21"/>
              </w:rPr>
              <w:t>固体废物按要求处置，转运及交接等联单手续齐全，现场无遗留</w:t>
            </w:r>
          </w:p>
        </w:tc>
        <w:tc>
          <w:tcPr>
            <w:tcW w:w="1158" w:type="dxa"/>
            <w:vAlign w:val="center"/>
          </w:tcPr>
          <w:p w14:paraId="2D566D5C">
            <w:pPr>
              <w:adjustRightInd w:val="0"/>
              <w:snapToGrid w:val="0"/>
              <w:rPr>
                <w:szCs w:val="21"/>
              </w:rPr>
            </w:pPr>
            <w:r>
              <w:rPr>
                <w:szCs w:val="21"/>
              </w:rPr>
              <w:t>/</w:t>
            </w:r>
          </w:p>
        </w:tc>
        <w:tc>
          <w:tcPr>
            <w:tcW w:w="1166" w:type="dxa"/>
            <w:vAlign w:val="center"/>
          </w:tcPr>
          <w:p w14:paraId="0D3E79A4">
            <w:pPr>
              <w:adjustRightInd w:val="0"/>
              <w:snapToGrid w:val="0"/>
              <w:rPr>
                <w:szCs w:val="21"/>
              </w:rPr>
            </w:pPr>
            <w:r>
              <w:rPr>
                <w:szCs w:val="21"/>
              </w:rPr>
              <w:t>/</w:t>
            </w:r>
          </w:p>
        </w:tc>
      </w:tr>
      <w:tr w14:paraId="109F3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50A8A9D4">
            <w:pPr>
              <w:adjustRightInd w:val="0"/>
              <w:snapToGrid w:val="0"/>
              <w:jc w:val="center"/>
              <w:rPr>
                <w:szCs w:val="21"/>
              </w:rPr>
            </w:pPr>
          </w:p>
        </w:tc>
        <w:tc>
          <w:tcPr>
            <w:tcW w:w="7110" w:type="dxa"/>
            <w:gridSpan w:val="4"/>
            <w:vMerge w:val="continue"/>
            <w:vAlign w:val="center"/>
          </w:tcPr>
          <w:p w14:paraId="67333C97">
            <w:pPr>
              <w:adjustRightInd w:val="0"/>
              <w:snapToGrid w:val="0"/>
              <w:rPr>
                <w:szCs w:val="21"/>
              </w:rPr>
            </w:pPr>
          </w:p>
        </w:tc>
        <w:tc>
          <w:tcPr>
            <w:tcW w:w="3375" w:type="dxa"/>
            <w:vMerge w:val="continue"/>
            <w:vAlign w:val="center"/>
          </w:tcPr>
          <w:p w14:paraId="5DD87D36">
            <w:pPr>
              <w:adjustRightInd w:val="0"/>
              <w:snapToGrid w:val="0"/>
              <w:rPr>
                <w:szCs w:val="21"/>
              </w:rPr>
            </w:pPr>
          </w:p>
        </w:tc>
        <w:tc>
          <w:tcPr>
            <w:tcW w:w="1158" w:type="dxa"/>
            <w:vAlign w:val="center"/>
          </w:tcPr>
          <w:p w14:paraId="3348CA91">
            <w:pPr>
              <w:adjustRightInd w:val="0"/>
              <w:snapToGrid w:val="0"/>
              <w:rPr>
                <w:szCs w:val="21"/>
              </w:rPr>
            </w:pPr>
          </w:p>
        </w:tc>
        <w:tc>
          <w:tcPr>
            <w:tcW w:w="1166" w:type="dxa"/>
            <w:vAlign w:val="center"/>
          </w:tcPr>
          <w:p w14:paraId="1B54A76D">
            <w:pPr>
              <w:adjustRightInd w:val="0"/>
              <w:snapToGrid w:val="0"/>
              <w:rPr>
                <w:szCs w:val="21"/>
              </w:rPr>
            </w:pPr>
          </w:p>
        </w:tc>
      </w:tr>
      <w:tr w14:paraId="7835C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517818DA">
            <w:pPr>
              <w:adjustRightInd w:val="0"/>
              <w:snapToGrid w:val="0"/>
              <w:jc w:val="center"/>
              <w:rPr>
                <w:szCs w:val="21"/>
              </w:rPr>
            </w:pPr>
          </w:p>
        </w:tc>
        <w:tc>
          <w:tcPr>
            <w:tcW w:w="7110" w:type="dxa"/>
            <w:gridSpan w:val="4"/>
            <w:vMerge w:val="restart"/>
            <w:vAlign w:val="center"/>
          </w:tcPr>
          <w:p w14:paraId="02818980">
            <w:pPr>
              <w:adjustRightInd w:val="0"/>
              <w:snapToGrid w:val="0"/>
              <w:rPr>
                <w:szCs w:val="21"/>
              </w:rPr>
            </w:pPr>
            <w:r>
              <w:rPr>
                <w:szCs w:val="21"/>
              </w:rPr>
              <w:t>废油、废油桶经收集后拟及时交由有资质单位处置。</w:t>
            </w:r>
          </w:p>
        </w:tc>
        <w:tc>
          <w:tcPr>
            <w:tcW w:w="3375" w:type="dxa"/>
            <w:vMerge w:val="continue"/>
            <w:vAlign w:val="center"/>
          </w:tcPr>
          <w:p w14:paraId="6358FDEA">
            <w:pPr>
              <w:adjustRightInd w:val="0"/>
              <w:snapToGrid w:val="0"/>
              <w:rPr>
                <w:szCs w:val="21"/>
              </w:rPr>
            </w:pPr>
          </w:p>
        </w:tc>
        <w:tc>
          <w:tcPr>
            <w:tcW w:w="1158" w:type="dxa"/>
            <w:vAlign w:val="center"/>
          </w:tcPr>
          <w:p w14:paraId="34906A28">
            <w:pPr>
              <w:adjustRightInd w:val="0"/>
              <w:snapToGrid w:val="0"/>
              <w:rPr>
                <w:szCs w:val="21"/>
              </w:rPr>
            </w:pPr>
          </w:p>
        </w:tc>
        <w:tc>
          <w:tcPr>
            <w:tcW w:w="1166" w:type="dxa"/>
            <w:vAlign w:val="center"/>
          </w:tcPr>
          <w:p w14:paraId="1889A6C5">
            <w:pPr>
              <w:adjustRightInd w:val="0"/>
              <w:snapToGrid w:val="0"/>
              <w:rPr>
                <w:szCs w:val="21"/>
              </w:rPr>
            </w:pPr>
          </w:p>
        </w:tc>
      </w:tr>
      <w:tr w14:paraId="07198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38BF476B">
            <w:pPr>
              <w:adjustRightInd w:val="0"/>
              <w:snapToGrid w:val="0"/>
              <w:jc w:val="center"/>
              <w:rPr>
                <w:szCs w:val="21"/>
              </w:rPr>
            </w:pPr>
          </w:p>
        </w:tc>
        <w:tc>
          <w:tcPr>
            <w:tcW w:w="7110" w:type="dxa"/>
            <w:gridSpan w:val="4"/>
            <w:vMerge w:val="continue"/>
            <w:vAlign w:val="center"/>
          </w:tcPr>
          <w:p w14:paraId="3BE6A6EF">
            <w:pPr>
              <w:adjustRightInd w:val="0"/>
              <w:snapToGrid w:val="0"/>
              <w:rPr>
                <w:szCs w:val="21"/>
              </w:rPr>
            </w:pPr>
          </w:p>
        </w:tc>
        <w:tc>
          <w:tcPr>
            <w:tcW w:w="3375" w:type="dxa"/>
            <w:vMerge w:val="continue"/>
            <w:vAlign w:val="center"/>
          </w:tcPr>
          <w:p w14:paraId="35673426">
            <w:pPr>
              <w:adjustRightInd w:val="0"/>
              <w:snapToGrid w:val="0"/>
              <w:rPr>
                <w:szCs w:val="21"/>
              </w:rPr>
            </w:pPr>
          </w:p>
        </w:tc>
        <w:tc>
          <w:tcPr>
            <w:tcW w:w="1158" w:type="dxa"/>
            <w:vAlign w:val="center"/>
          </w:tcPr>
          <w:p w14:paraId="7DE150A9">
            <w:pPr>
              <w:adjustRightInd w:val="0"/>
              <w:snapToGrid w:val="0"/>
              <w:rPr>
                <w:szCs w:val="21"/>
              </w:rPr>
            </w:pPr>
          </w:p>
        </w:tc>
        <w:tc>
          <w:tcPr>
            <w:tcW w:w="1166" w:type="dxa"/>
            <w:vAlign w:val="center"/>
          </w:tcPr>
          <w:p w14:paraId="216D5F1E">
            <w:pPr>
              <w:adjustRightInd w:val="0"/>
              <w:snapToGrid w:val="0"/>
              <w:rPr>
                <w:szCs w:val="21"/>
              </w:rPr>
            </w:pPr>
          </w:p>
        </w:tc>
      </w:tr>
      <w:tr w14:paraId="7BAAE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1B72D500">
            <w:pPr>
              <w:adjustRightInd w:val="0"/>
              <w:snapToGrid w:val="0"/>
              <w:jc w:val="center"/>
              <w:rPr>
                <w:szCs w:val="21"/>
              </w:rPr>
            </w:pPr>
          </w:p>
        </w:tc>
        <w:tc>
          <w:tcPr>
            <w:tcW w:w="7110" w:type="dxa"/>
            <w:gridSpan w:val="4"/>
            <w:vAlign w:val="center"/>
          </w:tcPr>
          <w:p w14:paraId="1EB7A4C0">
            <w:pPr>
              <w:adjustRightInd w:val="0"/>
              <w:snapToGrid w:val="0"/>
              <w:rPr>
                <w:szCs w:val="21"/>
              </w:rPr>
            </w:pPr>
            <w:r>
              <w:rPr>
                <w:szCs w:val="21"/>
              </w:rPr>
              <w:t>废包装材料收集后定期运至就近的废品回收站进行处理</w:t>
            </w:r>
          </w:p>
        </w:tc>
        <w:tc>
          <w:tcPr>
            <w:tcW w:w="3375" w:type="dxa"/>
            <w:vMerge w:val="continue"/>
            <w:vAlign w:val="center"/>
          </w:tcPr>
          <w:p w14:paraId="22E97237">
            <w:pPr>
              <w:adjustRightInd w:val="0"/>
              <w:snapToGrid w:val="0"/>
              <w:rPr>
                <w:szCs w:val="21"/>
              </w:rPr>
            </w:pPr>
          </w:p>
        </w:tc>
        <w:tc>
          <w:tcPr>
            <w:tcW w:w="1158" w:type="dxa"/>
            <w:vAlign w:val="center"/>
          </w:tcPr>
          <w:p w14:paraId="5819AAFD">
            <w:pPr>
              <w:adjustRightInd w:val="0"/>
              <w:snapToGrid w:val="0"/>
              <w:rPr>
                <w:szCs w:val="21"/>
              </w:rPr>
            </w:pPr>
          </w:p>
        </w:tc>
        <w:tc>
          <w:tcPr>
            <w:tcW w:w="1166" w:type="dxa"/>
            <w:vAlign w:val="center"/>
          </w:tcPr>
          <w:p w14:paraId="21E691EA">
            <w:pPr>
              <w:adjustRightInd w:val="0"/>
              <w:snapToGrid w:val="0"/>
              <w:rPr>
                <w:szCs w:val="21"/>
              </w:rPr>
            </w:pPr>
          </w:p>
        </w:tc>
      </w:tr>
      <w:tr w14:paraId="13C5D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1686AC50">
            <w:pPr>
              <w:adjustRightInd w:val="0"/>
              <w:snapToGrid w:val="0"/>
              <w:jc w:val="center"/>
              <w:rPr>
                <w:szCs w:val="21"/>
              </w:rPr>
            </w:pPr>
          </w:p>
        </w:tc>
        <w:tc>
          <w:tcPr>
            <w:tcW w:w="7110" w:type="dxa"/>
            <w:gridSpan w:val="4"/>
            <w:vAlign w:val="center"/>
          </w:tcPr>
          <w:p w14:paraId="258E61FD">
            <w:pPr>
              <w:adjustRightInd w:val="0"/>
              <w:snapToGrid w:val="0"/>
              <w:rPr>
                <w:szCs w:val="21"/>
              </w:rPr>
            </w:pPr>
            <w:r>
              <w:rPr>
                <w:szCs w:val="21"/>
              </w:rPr>
              <w:t>生活垃圾由井场区和生活区垃圾箱收集，定期送当地环卫部门收集处置。废包装材料量较少，收集后全部回收利用。</w:t>
            </w:r>
          </w:p>
        </w:tc>
        <w:tc>
          <w:tcPr>
            <w:tcW w:w="3375" w:type="dxa"/>
            <w:vMerge w:val="continue"/>
            <w:vAlign w:val="center"/>
          </w:tcPr>
          <w:p w14:paraId="76D7FFC6">
            <w:pPr>
              <w:adjustRightInd w:val="0"/>
              <w:snapToGrid w:val="0"/>
              <w:rPr>
                <w:szCs w:val="21"/>
              </w:rPr>
            </w:pPr>
          </w:p>
        </w:tc>
        <w:tc>
          <w:tcPr>
            <w:tcW w:w="1158" w:type="dxa"/>
            <w:vAlign w:val="center"/>
          </w:tcPr>
          <w:p w14:paraId="757D51EB">
            <w:pPr>
              <w:adjustRightInd w:val="0"/>
              <w:snapToGrid w:val="0"/>
              <w:rPr>
                <w:szCs w:val="21"/>
              </w:rPr>
            </w:pPr>
          </w:p>
        </w:tc>
        <w:tc>
          <w:tcPr>
            <w:tcW w:w="1166" w:type="dxa"/>
            <w:vAlign w:val="center"/>
          </w:tcPr>
          <w:p w14:paraId="6EE2D917">
            <w:pPr>
              <w:adjustRightInd w:val="0"/>
              <w:snapToGrid w:val="0"/>
              <w:rPr>
                <w:szCs w:val="21"/>
              </w:rPr>
            </w:pPr>
          </w:p>
        </w:tc>
      </w:tr>
      <w:tr w14:paraId="5CA11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37469DED">
            <w:pPr>
              <w:adjustRightInd w:val="0"/>
              <w:snapToGrid w:val="0"/>
              <w:jc w:val="center"/>
              <w:rPr>
                <w:szCs w:val="21"/>
              </w:rPr>
            </w:pPr>
            <w:r>
              <w:rPr>
                <w:szCs w:val="21"/>
              </w:rPr>
              <w:t>电磁环境</w:t>
            </w:r>
          </w:p>
        </w:tc>
        <w:tc>
          <w:tcPr>
            <w:tcW w:w="7110" w:type="dxa"/>
            <w:gridSpan w:val="4"/>
            <w:vAlign w:val="center"/>
          </w:tcPr>
          <w:p w14:paraId="31293A4E">
            <w:pPr>
              <w:adjustRightInd w:val="0"/>
              <w:snapToGrid w:val="0"/>
              <w:rPr>
                <w:szCs w:val="21"/>
              </w:rPr>
            </w:pPr>
            <w:r>
              <w:rPr>
                <w:szCs w:val="21"/>
              </w:rPr>
              <w:t>/</w:t>
            </w:r>
          </w:p>
        </w:tc>
        <w:tc>
          <w:tcPr>
            <w:tcW w:w="3375" w:type="dxa"/>
            <w:vAlign w:val="center"/>
          </w:tcPr>
          <w:p w14:paraId="7A454F81">
            <w:pPr>
              <w:adjustRightInd w:val="0"/>
              <w:snapToGrid w:val="0"/>
              <w:rPr>
                <w:szCs w:val="21"/>
              </w:rPr>
            </w:pPr>
            <w:r>
              <w:rPr>
                <w:szCs w:val="21"/>
              </w:rPr>
              <w:t>/</w:t>
            </w:r>
          </w:p>
        </w:tc>
        <w:tc>
          <w:tcPr>
            <w:tcW w:w="1158" w:type="dxa"/>
            <w:vAlign w:val="center"/>
          </w:tcPr>
          <w:p w14:paraId="06117B7B">
            <w:pPr>
              <w:adjustRightInd w:val="0"/>
              <w:snapToGrid w:val="0"/>
              <w:rPr>
                <w:szCs w:val="21"/>
              </w:rPr>
            </w:pPr>
            <w:r>
              <w:rPr>
                <w:szCs w:val="21"/>
              </w:rPr>
              <w:t>/</w:t>
            </w:r>
          </w:p>
        </w:tc>
        <w:tc>
          <w:tcPr>
            <w:tcW w:w="1166" w:type="dxa"/>
            <w:vAlign w:val="center"/>
          </w:tcPr>
          <w:p w14:paraId="79FB1A88">
            <w:pPr>
              <w:adjustRightInd w:val="0"/>
              <w:snapToGrid w:val="0"/>
              <w:rPr>
                <w:szCs w:val="21"/>
              </w:rPr>
            </w:pPr>
            <w:r>
              <w:rPr>
                <w:szCs w:val="21"/>
              </w:rPr>
              <w:t>/</w:t>
            </w:r>
          </w:p>
        </w:tc>
      </w:tr>
      <w:tr w14:paraId="786AC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6724AEFE">
            <w:pPr>
              <w:adjustRightInd w:val="0"/>
              <w:snapToGrid w:val="0"/>
              <w:jc w:val="center"/>
              <w:rPr>
                <w:szCs w:val="21"/>
              </w:rPr>
            </w:pPr>
            <w:r>
              <w:rPr>
                <w:szCs w:val="21"/>
              </w:rPr>
              <w:t>环境风险</w:t>
            </w:r>
          </w:p>
        </w:tc>
        <w:tc>
          <w:tcPr>
            <w:tcW w:w="7110" w:type="dxa"/>
            <w:gridSpan w:val="4"/>
            <w:vAlign w:val="center"/>
          </w:tcPr>
          <w:p w14:paraId="2EDF1295">
            <w:pPr>
              <w:adjustRightInd w:val="0"/>
              <w:snapToGrid w:val="0"/>
              <w:rPr>
                <w:szCs w:val="21"/>
              </w:rPr>
            </w:pPr>
            <w:r>
              <w:rPr>
                <w:szCs w:val="21"/>
              </w:rPr>
              <w:t>①水池完好无泄漏，试气工程废水得到及时转运，加设风险备用废水收集罐，无废水外溢事故发生。</w:t>
            </w:r>
          </w:p>
          <w:p w14:paraId="7DB8F951">
            <w:pPr>
              <w:adjustRightInd w:val="0"/>
              <w:snapToGrid w:val="0"/>
              <w:rPr>
                <w:szCs w:val="21"/>
              </w:rPr>
            </w:pPr>
            <w:r>
              <w:rPr>
                <w:szCs w:val="21"/>
              </w:rPr>
              <w:fldChar w:fldCharType="begin"/>
            </w:r>
            <w:r>
              <w:rPr>
                <w:szCs w:val="21"/>
              </w:rPr>
              <w:instrText xml:space="preserve"> = 2 \* GB3 </w:instrText>
            </w:r>
            <w:r>
              <w:rPr>
                <w:szCs w:val="21"/>
              </w:rPr>
              <w:fldChar w:fldCharType="separate"/>
            </w:r>
            <w:r>
              <w:rPr>
                <w:szCs w:val="21"/>
              </w:rPr>
              <w:t>②</w:t>
            </w:r>
            <w:r>
              <w:rPr>
                <w:szCs w:val="21"/>
              </w:rPr>
              <w:fldChar w:fldCharType="end"/>
            </w:r>
            <w:r>
              <w:rPr>
                <w:szCs w:val="21"/>
              </w:rPr>
              <w:t>做好集液池内废水转运工作，确保集液池内废水不外流；</w:t>
            </w:r>
          </w:p>
          <w:p w14:paraId="1524AE6B">
            <w:pPr>
              <w:adjustRightInd w:val="0"/>
              <w:snapToGrid w:val="0"/>
              <w:rPr>
                <w:szCs w:val="21"/>
              </w:rPr>
            </w:pPr>
            <w:r>
              <w:rPr>
                <w:szCs w:val="21"/>
              </w:rPr>
              <w:fldChar w:fldCharType="begin"/>
            </w:r>
            <w:r>
              <w:rPr>
                <w:szCs w:val="21"/>
              </w:rPr>
              <w:instrText xml:space="preserve"> = 3 \* GB3 </w:instrText>
            </w:r>
            <w:r>
              <w:rPr>
                <w:szCs w:val="21"/>
              </w:rPr>
              <w:fldChar w:fldCharType="separate"/>
            </w:r>
            <w:r>
              <w:rPr>
                <w:szCs w:val="21"/>
              </w:rPr>
              <w:t>③</w:t>
            </w:r>
            <w:r>
              <w:rPr>
                <w:szCs w:val="21"/>
              </w:rPr>
              <w:fldChar w:fldCharType="end"/>
            </w:r>
            <w:r>
              <w:rPr>
                <w:szCs w:val="21"/>
              </w:rPr>
              <w:t>具备符合行业规范和环评要求的环境风险应急预案，应急预案演练档案齐全。</w:t>
            </w:r>
          </w:p>
        </w:tc>
        <w:tc>
          <w:tcPr>
            <w:tcW w:w="3375" w:type="dxa"/>
            <w:vAlign w:val="center"/>
          </w:tcPr>
          <w:p w14:paraId="7D076DF6">
            <w:pPr>
              <w:adjustRightInd w:val="0"/>
              <w:snapToGrid w:val="0"/>
              <w:rPr>
                <w:szCs w:val="21"/>
              </w:rPr>
            </w:pPr>
            <w:r>
              <w:rPr>
                <w:szCs w:val="21"/>
              </w:rPr>
              <w:t>不发生环境风险事故</w:t>
            </w:r>
          </w:p>
        </w:tc>
        <w:tc>
          <w:tcPr>
            <w:tcW w:w="1158" w:type="dxa"/>
            <w:vAlign w:val="center"/>
          </w:tcPr>
          <w:p w14:paraId="27958DC4">
            <w:pPr>
              <w:adjustRightInd w:val="0"/>
              <w:snapToGrid w:val="0"/>
              <w:rPr>
                <w:szCs w:val="21"/>
              </w:rPr>
            </w:pPr>
            <w:r>
              <w:rPr>
                <w:szCs w:val="21"/>
              </w:rPr>
              <w:t>/</w:t>
            </w:r>
          </w:p>
        </w:tc>
        <w:tc>
          <w:tcPr>
            <w:tcW w:w="1166" w:type="dxa"/>
            <w:vAlign w:val="center"/>
          </w:tcPr>
          <w:p w14:paraId="38594D62">
            <w:pPr>
              <w:adjustRightInd w:val="0"/>
              <w:snapToGrid w:val="0"/>
              <w:rPr>
                <w:szCs w:val="21"/>
              </w:rPr>
            </w:pPr>
            <w:r>
              <w:rPr>
                <w:szCs w:val="21"/>
              </w:rPr>
              <w:t>/</w:t>
            </w:r>
          </w:p>
        </w:tc>
      </w:tr>
      <w:tr w14:paraId="4CE17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14:paraId="35299BDC">
            <w:pPr>
              <w:adjustRightInd w:val="0"/>
              <w:snapToGrid w:val="0"/>
              <w:jc w:val="center"/>
              <w:rPr>
                <w:szCs w:val="21"/>
              </w:rPr>
            </w:pPr>
            <w:r>
              <w:rPr>
                <w:szCs w:val="21"/>
              </w:rPr>
              <w:t>环境监测</w:t>
            </w:r>
          </w:p>
        </w:tc>
        <w:tc>
          <w:tcPr>
            <w:tcW w:w="735" w:type="dxa"/>
            <w:shd w:val="clear" w:color="auto" w:fill="auto"/>
            <w:vAlign w:val="center"/>
          </w:tcPr>
          <w:p w14:paraId="2E932565">
            <w:pPr>
              <w:adjustRightInd w:val="0"/>
              <w:snapToGrid w:val="0"/>
              <w:rPr>
                <w:szCs w:val="21"/>
              </w:rPr>
            </w:pPr>
            <w:r>
              <w:rPr>
                <w:rFonts w:hint="eastAsia"/>
                <w:szCs w:val="21"/>
              </w:rPr>
              <w:t>噪声</w:t>
            </w:r>
          </w:p>
        </w:tc>
        <w:tc>
          <w:tcPr>
            <w:tcW w:w="2625" w:type="dxa"/>
            <w:gridSpan w:val="2"/>
            <w:shd w:val="clear" w:color="auto" w:fill="auto"/>
            <w:vAlign w:val="center"/>
          </w:tcPr>
          <w:p w14:paraId="5CD5070F">
            <w:pPr>
              <w:adjustRightInd w:val="0"/>
              <w:snapToGrid w:val="0"/>
              <w:rPr>
                <w:szCs w:val="21"/>
              </w:rPr>
            </w:pPr>
            <w:r>
              <w:rPr>
                <w:rFonts w:hint="eastAsia"/>
                <w:szCs w:val="21"/>
              </w:rPr>
              <w:t>厂界、最近敏感点处</w:t>
            </w:r>
          </w:p>
        </w:tc>
        <w:tc>
          <w:tcPr>
            <w:tcW w:w="3750" w:type="dxa"/>
            <w:shd w:val="clear" w:color="auto" w:fill="auto"/>
            <w:vAlign w:val="center"/>
          </w:tcPr>
          <w:p w14:paraId="64D53339">
            <w:pPr>
              <w:adjustRightInd w:val="0"/>
              <w:snapToGrid w:val="0"/>
              <w:rPr>
                <w:szCs w:val="21"/>
              </w:rPr>
            </w:pPr>
            <w:r>
              <w:rPr>
                <w:szCs w:val="21"/>
              </w:rPr>
              <w:t>等效连续A声级</w:t>
            </w:r>
          </w:p>
        </w:tc>
        <w:tc>
          <w:tcPr>
            <w:tcW w:w="3375" w:type="dxa"/>
            <w:shd w:val="clear" w:color="auto" w:fill="auto"/>
            <w:vAlign w:val="center"/>
          </w:tcPr>
          <w:p w14:paraId="57762567">
            <w:pPr>
              <w:adjustRightInd w:val="0"/>
              <w:snapToGrid w:val="0"/>
              <w:rPr>
                <w:szCs w:val="21"/>
              </w:rPr>
            </w:pPr>
            <w:r>
              <w:rPr>
                <w:szCs w:val="21"/>
              </w:rPr>
              <w:t>验收监测1次</w:t>
            </w:r>
          </w:p>
        </w:tc>
        <w:tc>
          <w:tcPr>
            <w:tcW w:w="1158" w:type="dxa"/>
            <w:vMerge w:val="restart"/>
            <w:vAlign w:val="center"/>
          </w:tcPr>
          <w:p w14:paraId="61D7D912">
            <w:pPr>
              <w:adjustRightInd w:val="0"/>
              <w:snapToGrid w:val="0"/>
              <w:rPr>
                <w:szCs w:val="21"/>
              </w:rPr>
            </w:pPr>
          </w:p>
        </w:tc>
        <w:tc>
          <w:tcPr>
            <w:tcW w:w="1166" w:type="dxa"/>
            <w:vMerge w:val="restart"/>
            <w:vAlign w:val="center"/>
          </w:tcPr>
          <w:p w14:paraId="6D4AEFD1">
            <w:pPr>
              <w:adjustRightInd w:val="0"/>
              <w:snapToGrid w:val="0"/>
              <w:rPr>
                <w:szCs w:val="21"/>
              </w:rPr>
            </w:pPr>
            <w:r>
              <w:rPr>
                <w:szCs w:val="21"/>
              </w:rPr>
              <w:t>/</w:t>
            </w:r>
          </w:p>
        </w:tc>
      </w:tr>
      <w:tr w14:paraId="2D959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522373F8">
            <w:pPr>
              <w:adjustRightInd w:val="0"/>
              <w:snapToGrid w:val="0"/>
              <w:jc w:val="center"/>
              <w:rPr>
                <w:szCs w:val="21"/>
              </w:rPr>
            </w:pPr>
          </w:p>
        </w:tc>
        <w:tc>
          <w:tcPr>
            <w:tcW w:w="735" w:type="dxa"/>
            <w:shd w:val="clear" w:color="auto" w:fill="auto"/>
            <w:vAlign w:val="center"/>
          </w:tcPr>
          <w:p w14:paraId="122D3FCA">
            <w:pPr>
              <w:adjustRightInd w:val="0"/>
              <w:snapToGrid w:val="0"/>
              <w:rPr>
                <w:szCs w:val="21"/>
              </w:rPr>
            </w:pPr>
            <w:r>
              <w:rPr>
                <w:szCs w:val="21"/>
              </w:rPr>
              <w:t>地下水</w:t>
            </w:r>
          </w:p>
        </w:tc>
        <w:tc>
          <w:tcPr>
            <w:tcW w:w="2625" w:type="dxa"/>
            <w:gridSpan w:val="2"/>
            <w:shd w:val="clear" w:color="auto" w:fill="auto"/>
            <w:vAlign w:val="center"/>
          </w:tcPr>
          <w:p w14:paraId="61AEE0C5">
            <w:pPr>
              <w:adjustRightInd w:val="0"/>
              <w:snapToGrid w:val="0"/>
              <w:rPr>
                <w:szCs w:val="21"/>
              </w:rPr>
            </w:pPr>
            <w:r>
              <w:rPr>
                <w:szCs w:val="21"/>
              </w:rPr>
              <w:t>设置2个监测点位，位于井场上、下游各布设1个，主要为地下水影响监测及污染扩散监测点</w:t>
            </w:r>
          </w:p>
        </w:tc>
        <w:tc>
          <w:tcPr>
            <w:tcW w:w="3750" w:type="dxa"/>
            <w:shd w:val="clear" w:color="auto" w:fill="auto"/>
            <w:vAlign w:val="center"/>
          </w:tcPr>
          <w:p w14:paraId="566FDE73">
            <w:pPr>
              <w:adjustRightInd w:val="0"/>
              <w:snapToGrid w:val="0"/>
              <w:rPr>
                <w:szCs w:val="21"/>
              </w:rPr>
            </w:pPr>
            <w:r>
              <w:rPr>
                <w:szCs w:val="21"/>
              </w:rPr>
              <w:t>pH、石油类、石油烃（C</w:t>
            </w:r>
            <w:r>
              <w:rPr>
                <w:rFonts w:hint="eastAsia"/>
                <w:szCs w:val="21"/>
                <w:vertAlign w:val="subscript"/>
              </w:rPr>
              <w:t>6</w:t>
            </w:r>
            <w:r>
              <w:rPr>
                <w:szCs w:val="21"/>
              </w:rPr>
              <w:t>~C</w:t>
            </w:r>
            <w:r>
              <w:rPr>
                <w:rFonts w:hint="eastAsia"/>
                <w:szCs w:val="21"/>
                <w:vertAlign w:val="subscript"/>
              </w:rPr>
              <w:t>9</w:t>
            </w:r>
            <w:r>
              <w:rPr>
                <w:szCs w:val="21"/>
              </w:rPr>
              <w:t>）</w:t>
            </w:r>
            <w:r>
              <w:rPr>
                <w:rFonts w:hint="eastAsia"/>
                <w:szCs w:val="21"/>
              </w:rPr>
              <w:t>、</w:t>
            </w:r>
            <w:r>
              <w:rPr>
                <w:szCs w:val="21"/>
              </w:rPr>
              <w:t>石油烃（C</w:t>
            </w:r>
            <w:r>
              <w:rPr>
                <w:szCs w:val="21"/>
                <w:vertAlign w:val="subscript"/>
              </w:rPr>
              <w:t>10</w:t>
            </w:r>
            <w:r>
              <w:rPr>
                <w:szCs w:val="21"/>
              </w:rPr>
              <w:t>~C</w:t>
            </w:r>
            <w:r>
              <w:rPr>
                <w:szCs w:val="21"/>
                <w:vertAlign w:val="subscript"/>
              </w:rPr>
              <w:t>40</w:t>
            </w:r>
            <w:r>
              <w:rPr>
                <w:szCs w:val="21"/>
              </w:rPr>
              <w:t>）</w:t>
            </w:r>
            <w:r>
              <w:rPr>
                <w:rFonts w:hint="eastAsia"/>
                <w:szCs w:val="21"/>
                <w:lang w:eastAsia="zh-CN"/>
              </w:rPr>
              <w:t>、</w:t>
            </w:r>
            <w:r>
              <w:rPr>
                <w:szCs w:val="21"/>
              </w:rPr>
              <w:t>钡、汞、砷、六价铬</w:t>
            </w:r>
          </w:p>
        </w:tc>
        <w:tc>
          <w:tcPr>
            <w:tcW w:w="3375" w:type="dxa"/>
            <w:shd w:val="clear" w:color="auto" w:fill="auto"/>
            <w:vAlign w:val="center"/>
          </w:tcPr>
          <w:p w14:paraId="56A141A3">
            <w:pPr>
              <w:adjustRightInd w:val="0"/>
              <w:snapToGrid w:val="0"/>
              <w:rPr>
                <w:szCs w:val="21"/>
              </w:rPr>
            </w:pPr>
            <w:r>
              <w:rPr>
                <w:szCs w:val="21"/>
              </w:rPr>
              <w:t>验收监测1次</w:t>
            </w:r>
          </w:p>
        </w:tc>
        <w:tc>
          <w:tcPr>
            <w:tcW w:w="1158" w:type="dxa"/>
            <w:vMerge w:val="continue"/>
            <w:vAlign w:val="center"/>
          </w:tcPr>
          <w:p w14:paraId="27355716">
            <w:pPr>
              <w:adjustRightInd w:val="0"/>
              <w:snapToGrid w:val="0"/>
              <w:rPr>
                <w:szCs w:val="21"/>
              </w:rPr>
            </w:pPr>
          </w:p>
        </w:tc>
        <w:tc>
          <w:tcPr>
            <w:tcW w:w="1166" w:type="dxa"/>
            <w:vMerge w:val="continue"/>
            <w:vAlign w:val="center"/>
          </w:tcPr>
          <w:p w14:paraId="4D2026B0">
            <w:pPr>
              <w:adjustRightInd w:val="0"/>
              <w:snapToGrid w:val="0"/>
              <w:rPr>
                <w:szCs w:val="21"/>
              </w:rPr>
            </w:pPr>
          </w:p>
        </w:tc>
      </w:tr>
      <w:tr w14:paraId="4AC8D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4FAE7E7D">
            <w:pPr>
              <w:adjustRightInd w:val="0"/>
              <w:snapToGrid w:val="0"/>
              <w:jc w:val="center"/>
              <w:rPr>
                <w:szCs w:val="21"/>
              </w:rPr>
            </w:pPr>
          </w:p>
        </w:tc>
        <w:tc>
          <w:tcPr>
            <w:tcW w:w="735" w:type="dxa"/>
            <w:shd w:val="clear" w:color="auto" w:fill="auto"/>
            <w:vAlign w:val="center"/>
          </w:tcPr>
          <w:p w14:paraId="01DC0A43">
            <w:pPr>
              <w:widowControl/>
              <w:jc w:val="center"/>
              <w:rPr>
                <w:szCs w:val="21"/>
              </w:rPr>
            </w:pPr>
            <w:r>
              <w:rPr>
                <w:rFonts w:hint="eastAsia"/>
                <w:szCs w:val="21"/>
              </w:rPr>
              <w:t>大气环境</w:t>
            </w:r>
          </w:p>
        </w:tc>
        <w:tc>
          <w:tcPr>
            <w:tcW w:w="2625" w:type="dxa"/>
            <w:gridSpan w:val="2"/>
            <w:shd w:val="clear" w:color="auto" w:fill="auto"/>
            <w:vAlign w:val="center"/>
          </w:tcPr>
          <w:p w14:paraId="3598558F">
            <w:pPr>
              <w:snapToGrid w:val="0"/>
              <w:jc w:val="center"/>
              <w:rPr>
                <w:szCs w:val="21"/>
              </w:rPr>
            </w:pPr>
            <w:r>
              <w:rPr>
                <w:rFonts w:hint="eastAsia"/>
                <w:szCs w:val="21"/>
              </w:rPr>
              <w:t>南侧厂界</w:t>
            </w:r>
          </w:p>
        </w:tc>
        <w:tc>
          <w:tcPr>
            <w:tcW w:w="3750" w:type="dxa"/>
            <w:shd w:val="clear" w:color="auto" w:fill="auto"/>
            <w:vAlign w:val="center"/>
          </w:tcPr>
          <w:p w14:paraId="76BD043E">
            <w:pPr>
              <w:snapToGrid w:val="0"/>
              <w:jc w:val="center"/>
              <w:rPr>
                <w:szCs w:val="21"/>
              </w:rPr>
            </w:pPr>
            <w:r>
              <w:rPr>
                <w:rFonts w:hint="eastAsia"/>
                <w:szCs w:val="21"/>
              </w:rPr>
              <w:t>H</w:t>
            </w:r>
            <w:r>
              <w:rPr>
                <w:rFonts w:hint="eastAsia"/>
                <w:szCs w:val="21"/>
                <w:vertAlign w:val="subscript"/>
              </w:rPr>
              <w:t>2</w:t>
            </w:r>
            <w:r>
              <w:rPr>
                <w:rFonts w:hint="eastAsia"/>
                <w:szCs w:val="21"/>
              </w:rPr>
              <w:t>S、非甲烷总烃</w:t>
            </w:r>
          </w:p>
        </w:tc>
        <w:tc>
          <w:tcPr>
            <w:tcW w:w="3375" w:type="dxa"/>
            <w:shd w:val="clear" w:color="auto" w:fill="auto"/>
            <w:vAlign w:val="center"/>
          </w:tcPr>
          <w:p w14:paraId="38E5F587">
            <w:pPr>
              <w:adjustRightInd w:val="0"/>
              <w:snapToGrid w:val="0"/>
              <w:rPr>
                <w:szCs w:val="21"/>
              </w:rPr>
            </w:pPr>
            <w:r>
              <w:rPr>
                <w:szCs w:val="21"/>
              </w:rPr>
              <w:t>验收监测1次</w:t>
            </w:r>
          </w:p>
        </w:tc>
        <w:tc>
          <w:tcPr>
            <w:tcW w:w="1158" w:type="dxa"/>
            <w:vMerge w:val="continue"/>
            <w:vAlign w:val="center"/>
          </w:tcPr>
          <w:p w14:paraId="28293D0E">
            <w:pPr>
              <w:adjustRightInd w:val="0"/>
              <w:snapToGrid w:val="0"/>
              <w:rPr>
                <w:szCs w:val="21"/>
              </w:rPr>
            </w:pPr>
          </w:p>
        </w:tc>
        <w:tc>
          <w:tcPr>
            <w:tcW w:w="1166" w:type="dxa"/>
            <w:vMerge w:val="continue"/>
            <w:vAlign w:val="center"/>
          </w:tcPr>
          <w:p w14:paraId="1CE31449">
            <w:pPr>
              <w:adjustRightInd w:val="0"/>
              <w:snapToGrid w:val="0"/>
              <w:rPr>
                <w:szCs w:val="21"/>
              </w:rPr>
            </w:pPr>
          </w:p>
        </w:tc>
      </w:tr>
      <w:tr w14:paraId="3B5B8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270D3862">
            <w:pPr>
              <w:adjustRightInd w:val="0"/>
              <w:snapToGrid w:val="0"/>
              <w:jc w:val="center"/>
              <w:rPr>
                <w:szCs w:val="21"/>
              </w:rPr>
            </w:pPr>
          </w:p>
        </w:tc>
        <w:tc>
          <w:tcPr>
            <w:tcW w:w="735" w:type="dxa"/>
            <w:shd w:val="clear" w:color="auto" w:fill="auto"/>
            <w:vAlign w:val="center"/>
          </w:tcPr>
          <w:p w14:paraId="0A293964">
            <w:pPr>
              <w:widowControl/>
              <w:jc w:val="center"/>
              <w:rPr>
                <w:szCs w:val="21"/>
              </w:rPr>
            </w:pPr>
            <w:r>
              <w:rPr>
                <w:rFonts w:hint="eastAsia"/>
                <w:szCs w:val="21"/>
              </w:rPr>
              <w:t>雨水排放口</w:t>
            </w:r>
          </w:p>
        </w:tc>
        <w:tc>
          <w:tcPr>
            <w:tcW w:w="2625" w:type="dxa"/>
            <w:gridSpan w:val="2"/>
            <w:shd w:val="clear" w:color="auto" w:fill="auto"/>
            <w:vAlign w:val="center"/>
          </w:tcPr>
          <w:p w14:paraId="76ED37E9">
            <w:pPr>
              <w:snapToGrid w:val="0"/>
              <w:jc w:val="center"/>
              <w:rPr>
                <w:szCs w:val="21"/>
              </w:rPr>
            </w:pPr>
            <w:r>
              <w:rPr>
                <w:rFonts w:hint="eastAsia"/>
                <w:szCs w:val="21"/>
              </w:rPr>
              <w:t>雨水排放口</w:t>
            </w:r>
          </w:p>
        </w:tc>
        <w:tc>
          <w:tcPr>
            <w:tcW w:w="3750" w:type="dxa"/>
            <w:shd w:val="clear" w:color="auto" w:fill="auto"/>
            <w:vAlign w:val="center"/>
          </w:tcPr>
          <w:p w14:paraId="6557D1A9">
            <w:pPr>
              <w:snapToGrid w:val="0"/>
              <w:jc w:val="center"/>
              <w:rPr>
                <w:szCs w:val="21"/>
              </w:rPr>
            </w:pPr>
            <w:r>
              <w:rPr>
                <w:rFonts w:hint="eastAsia"/>
                <w:szCs w:val="21"/>
              </w:rPr>
              <w:t>pH、石油类</w:t>
            </w:r>
            <w:r>
              <w:rPr>
                <w:rFonts w:hint="eastAsia"/>
                <w:szCs w:val="21"/>
                <w:lang w:eastAsia="zh-CN"/>
              </w:rPr>
              <w:t>、</w:t>
            </w:r>
            <w:r>
              <w:rPr>
                <w:rFonts w:hint="eastAsia"/>
                <w:szCs w:val="21"/>
              </w:rPr>
              <w:t>钡、汞、砷、六价铬</w:t>
            </w:r>
          </w:p>
        </w:tc>
        <w:tc>
          <w:tcPr>
            <w:tcW w:w="3375" w:type="dxa"/>
            <w:shd w:val="clear" w:color="auto" w:fill="auto"/>
            <w:vAlign w:val="center"/>
          </w:tcPr>
          <w:p w14:paraId="5E1A934F">
            <w:pPr>
              <w:adjustRightInd w:val="0"/>
              <w:snapToGrid w:val="0"/>
              <w:rPr>
                <w:szCs w:val="21"/>
              </w:rPr>
            </w:pPr>
            <w:r>
              <w:rPr>
                <w:szCs w:val="21"/>
              </w:rPr>
              <w:t>验收监测1次</w:t>
            </w:r>
          </w:p>
        </w:tc>
        <w:tc>
          <w:tcPr>
            <w:tcW w:w="1158" w:type="dxa"/>
            <w:vMerge w:val="continue"/>
            <w:vAlign w:val="center"/>
          </w:tcPr>
          <w:p w14:paraId="7FE1E85C">
            <w:pPr>
              <w:adjustRightInd w:val="0"/>
              <w:snapToGrid w:val="0"/>
              <w:rPr>
                <w:szCs w:val="21"/>
              </w:rPr>
            </w:pPr>
          </w:p>
        </w:tc>
        <w:tc>
          <w:tcPr>
            <w:tcW w:w="1166" w:type="dxa"/>
            <w:vMerge w:val="continue"/>
            <w:vAlign w:val="center"/>
          </w:tcPr>
          <w:p w14:paraId="563BB324">
            <w:pPr>
              <w:adjustRightInd w:val="0"/>
              <w:snapToGrid w:val="0"/>
              <w:rPr>
                <w:szCs w:val="21"/>
              </w:rPr>
            </w:pPr>
          </w:p>
        </w:tc>
      </w:tr>
      <w:tr w14:paraId="5DE9A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14:paraId="157C328B">
            <w:pPr>
              <w:adjustRightInd w:val="0"/>
              <w:snapToGrid w:val="0"/>
              <w:jc w:val="center"/>
              <w:rPr>
                <w:szCs w:val="21"/>
              </w:rPr>
            </w:pPr>
          </w:p>
        </w:tc>
        <w:tc>
          <w:tcPr>
            <w:tcW w:w="735" w:type="dxa"/>
            <w:vAlign w:val="center"/>
          </w:tcPr>
          <w:p w14:paraId="7854D689">
            <w:pPr>
              <w:adjustRightInd w:val="0"/>
              <w:snapToGrid w:val="0"/>
              <w:rPr>
                <w:szCs w:val="21"/>
              </w:rPr>
            </w:pPr>
            <w:r>
              <w:rPr>
                <w:szCs w:val="21"/>
              </w:rPr>
              <w:t>土壤</w:t>
            </w:r>
          </w:p>
        </w:tc>
        <w:tc>
          <w:tcPr>
            <w:tcW w:w="2625" w:type="dxa"/>
            <w:gridSpan w:val="2"/>
            <w:vAlign w:val="center"/>
          </w:tcPr>
          <w:p w14:paraId="1FB0E621">
            <w:pPr>
              <w:adjustRightInd w:val="0"/>
              <w:snapToGrid w:val="0"/>
              <w:rPr>
                <w:szCs w:val="21"/>
              </w:rPr>
            </w:pPr>
            <w:r>
              <w:rPr>
                <w:szCs w:val="21"/>
              </w:rPr>
              <w:t>设置1个监测点位</w:t>
            </w:r>
          </w:p>
        </w:tc>
        <w:tc>
          <w:tcPr>
            <w:tcW w:w="3750" w:type="dxa"/>
            <w:vAlign w:val="center"/>
          </w:tcPr>
          <w:p w14:paraId="0DC49162">
            <w:pPr>
              <w:adjustRightInd w:val="0"/>
              <w:snapToGrid w:val="0"/>
              <w:rPr>
                <w:szCs w:val="21"/>
              </w:rPr>
            </w:pPr>
            <w:r>
              <w:rPr>
                <w:szCs w:val="21"/>
              </w:rPr>
              <w:t>pH、石油类、</w:t>
            </w:r>
            <w:r>
              <w:rPr>
                <w:rFonts w:hint="eastAsia"/>
                <w:szCs w:val="21"/>
              </w:rPr>
              <w:t>石油烃（C</w:t>
            </w:r>
            <w:r>
              <w:rPr>
                <w:rFonts w:hint="eastAsia"/>
                <w:szCs w:val="21"/>
                <w:vertAlign w:val="subscript"/>
              </w:rPr>
              <w:t>6</w:t>
            </w:r>
            <w:r>
              <w:rPr>
                <w:rFonts w:hint="eastAsia"/>
                <w:szCs w:val="21"/>
              </w:rPr>
              <w:t>~C</w:t>
            </w:r>
            <w:r>
              <w:rPr>
                <w:rFonts w:hint="eastAsia"/>
                <w:szCs w:val="21"/>
                <w:vertAlign w:val="subscript"/>
              </w:rPr>
              <w:t>9</w:t>
            </w:r>
            <w:r>
              <w:rPr>
                <w:rFonts w:hint="eastAsia"/>
                <w:szCs w:val="21"/>
              </w:rPr>
              <w:t>）</w:t>
            </w:r>
            <w:r>
              <w:rPr>
                <w:rFonts w:hint="eastAsia"/>
                <w:szCs w:val="21"/>
                <w:lang w:eastAsia="zh-CN"/>
              </w:rPr>
              <w:t>、</w:t>
            </w:r>
            <w:r>
              <w:rPr>
                <w:szCs w:val="21"/>
              </w:rPr>
              <w:t>石油烃（C10~C40）、汞、砷、六价铬、钡</w:t>
            </w:r>
          </w:p>
        </w:tc>
        <w:tc>
          <w:tcPr>
            <w:tcW w:w="3375" w:type="dxa"/>
            <w:vAlign w:val="center"/>
          </w:tcPr>
          <w:p w14:paraId="37938AE9">
            <w:pPr>
              <w:adjustRightInd w:val="0"/>
              <w:snapToGrid w:val="0"/>
              <w:rPr>
                <w:szCs w:val="21"/>
              </w:rPr>
            </w:pPr>
            <w:r>
              <w:rPr>
                <w:szCs w:val="21"/>
              </w:rPr>
              <w:t>验收监测1次</w:t>
            </w:r>
          </w:p>
        </w:tc>
        <w:tc>
          <w:tcPr>
            <w:tcW w:w="1158" w:type="dxa"/>
            <w:vMerge w:val="continue"/>
            <w:vAlign w:val="center"/>
          </w:tcPr>
          <w:p w14:paraId="65C7B777">
            <w:pPr>
              <w:adjustRightInd w:val="0"/>
              <w:snapToGrid w:val="0"/>
              <w:rPr>
                <w:szCs w:val="21"/>
              </w:rPr>
            </w:pPr>
          </w:p>
        </w:tc>
        <w:tc>
          <w:tcPr>
            <w:tcW w:w="1166" w:type="dxa"/>
            <w:vMerge w:val="continue"/>
            <w:vAlign w:val="center"/>
          </w:tcPr>
          <w:p w14:paraId="66F3EA3B">
            <w:pPr>
              <w:adjustRightInd w:val="0"/>
              <w:snapToGrid w:val="0"/>
              <w:rPr>
                <w:szCs w:val="21"/>
              </w:rPr>
            </w:pPr>
          </w:p>
        </w:tc>
      </w:tr>
      <w:tr w14:paraId="1EEB8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14:paraId="797B7F47">
            <w:pPr>
              <w:adjustRightInd w:val="0"/>
              <w:snapToGrid w:val="0"/>
              <w:jc w:val="center"/>
              <w:rPr>
                <w:szCs w:val="21"/>
              </w:rPr>
            </w:pPr>
            <w:r>
              <w:rPr>
                <w:szCs w:val="21"/>
              </w:rPr>
              <w:t>其他</w:t>
            </w:r>
          </w:p>
        </w:tc>
        <w:tc>
          <w:tcPr>
            <w:tcW w:w="7110" w:type="dxa"/>
            <w:gridSpan w:val="4"/>
            <w:vAlign w:val="center"/>
          </w:tcPr>
          <w:p w14:paraId="7E0A7F23">
            <w:pPr>
              <w:adjustRightInd w:val="0"/>
              <w:snapToGrid w:val="0"/>
              <w:rPr>
                <w:szCs w:val="21"/>
              </w:rPr>
            </w:pPr>
            <w:r>
              <w:rPr>
                <w:szCs w:val="21"/>
              </w:rPr>
              <w:t>/</w:t>
            </w:r>
          </w:p>
        </w:tc>
        <w:tc>
          <w:tcPr>
            <w:tcW w:w="3375" w:type="dxa"/>
            <w:vAlign w:val="center"/>
          </w:tcPr>
          <w:p w14:paraId="38E6D9A4">
            <w:pPr>
              <w:adjustRightInd w:val="0"/>
              <w:snapToGrid w:val="0"/>
              <w:rPr>
                <w:szCs w:val="21"/>
              </w:rPr>
            </w:pPr>
            <w:r>
              <w:rPr>
                <w:szCs w:val="21"/>
              </w:rPr>
              <w:t>项目施工过程中采取的环境保护措施应在场界及时公告，主动接受检查。</w:t>
            </w:r>
          </w:p>
        </w:tc>
        <w:tc>
          <w:tcPr>
            <w:tcW w:w="1158" w:type="dxa"/>
            <w:vAlign w:val="center"/>
          </w:tcPr>
          <w:p w14:paraId="6A76DDF2">
            <w:pPr>
              <w:adjustRightInd w:val="0"/>
              <w:snapToGrid w:val="0"/>
              <w:rPr>
                <w:szCs w:val="21"/>
              </w:rPr>
            </w:pPr>
            <w:r>
              <w:rPr>
                <w:szCs w:val="21"/>
              </w:rPr>
              <w:t>/</w:t>
            </w:r>
          </w:p>
        </w:tc>
        <w:tc>
          <w:tcPr>
            <w:tcW w:w="1166" w:type="dxa"/>
            <w:vAlign w:val="center"/>
          </w:tcPr>
          <w:p w14:paraId="0E403618">
            <w:pPr>
              <w:adjustRightInd w:val="0"/>
              <w:snapToGrid w:val="0"/>
              <w:rPr>
                <w:szCs w:val="21"/>
              </w:rPr>
            </w:pPr>
            <w:r>
              <w:rPr>
                <w:szCs w:val="21"/>
              </w:rPr>
              <w:t>/</w:t>
            </w:r>
          </w:p>
        </w:tc>
      </w:tr>
      <w:bookmarkEnd w:id="41"/>
    </w:tbl>
    <w:p w14:paraId="727FE5CD">
      <w:pPr>
        <w:pStyle w:val="38"/>
        <w:spacing w:before="0" w:beforeAutospacing="0" w:line="14" w:lineRule="auto"/>
        <w:jc w:val="center"/>
        <w:rPr>
          <w:rFonts w:ascii="Times New Roman" w:hAnsi="Times New Roman" w:eastAsia="黑体"/>
          <w:snapToGrid w:val="0"/>
          <w:sz w:val="21"/>
          <w:szCs w:val="21"/>
        </w:rPr>
      </w:pPr>
    </w:p>
    <w:p w14:paraId="21BC4319">
      <w:pPr>
        <w:pStyle w:val="38"/>
        <w:spacing w:before="192" w:beforeLines="80" w:beforeAutospacing="0"/>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cols w:space="720" w:num="1"/>
          <w:docGrid w:linePitch="312" w:charSpace="0"/>
        </w:sectPr>
      </w:pPr>
    </w:p>
    <w:p w14:paraId="35C4A9C8">
      <w:pPr>
        <w:pStyle w:val="38"/>
        <w:spacing w:before="192" w:beforeLines="80" w:beforeAutospacing="0"/>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七、结论</w:t>
      </w:r>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19FFF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773A6E6A">
            <w:pPr>
              <w:adjustRightInd w:val="0"/>
              <w:snapToGrid w:val="0"/>
              <w:spacing w:line="360" w:lineRule="auto"/>
              <w:ind w:firstLine="480" w:firstLineChars="200"/>
              <w:rPr>
                <w:sz w:val="24"/>
              </w:rPr>
            </w:pPr>
            <w:r>
              <w:rPr>
                <w:rFonts w:hint="eastAsia"/>
                <w:sz w:val="24"/>
              </w:rPr>
              <w:t>双庙页1HF预探井工程</w:t>
            </w:r>
            <w:r>
              <w:rPr>
                <w:sz w:val="24"/>
              </w:rPr>
              <w:t>位</w:t>
            </w:r>
            <w:r>
              <w:rPr>
                <w:rFonts w:hint="eastAsia"/>
                <w:sz w:val="24"/>
              </w:rPr>
              <w:t>于四川省达州市宣汉县君塘镇界湾村</w:t>
            </w:r>
            <w:r>
              <w:rPr>
                <w:sz w:val="24"/>
              </w:rPr>
              <w:t>，属于</w:t>
            </w:r>
            <w:r>
              <w:rPr>
                <w:rFonts w:hint="eastAsia"/>
                <w:sz w:val="24"/>
              </w:rPr>
              <w:t>预探井</w:t>
            </w:r>
            <w:r>
              <w:rPr>
                <w:sz w:val="24"/>
              </w:rPr>
              <w:t>设计井深导眼井为5080m，水平井为6897m，目的层位为二叠系大隆组，导眼井钻井目的为探双庙场构造二叠系大隆组页岩储层及含气性。水平井钻井目的为探双庙场构造二叠系大隆组页岩含气性及产能。工程总投资</w:t>
            </w:r>
            <w:r>
              <w:rPr>
                <w:rFonts w:hint="eastAsia"/>
                <w:sz w:val="24"/>
              </w:rPr>
              <w:t>16423</w:t>
            </w:r>
            <w:r>
              <w:rPr>
                <w:sz w:val="24"/>
              </w:rPr>
              <w:t>万元，其中环保投资</w:t>
            </w:r>
            <w:r>
              <w:rPr>
                <w:rFonts w:hint="eastAsia"/>
                <w:sz w:val="24"/>
              </w:rPr>
              <w:t>472</w:t>
            </w:r>
            <w:r>
              <w:rPr>
                <w:sz w:val="24"/>
              </w:rPr>
              <w:t>万元，占比</w:t>
            </w:r>
            <w:r>
              <w:rPr>
                <w:rFonts w:hint="eastAsia"/>
                <w:sz w:val="24"/>
              </w:rPr>
              <w:t>2.87</w:t>
            </w:r>
            <w:r>
              <w:rPr>
                <w:sz w:val="24"/>
              </w:rPr>
              <w:t>%。</w:t>
            </w:r>
          </w:p>
          <w:p w14:paraId="1BD32BCD">
            <w:pPr>
              <w:adjustRightInd w:val="0"/>
              <w:snapToGrid w:val="0"/>
              <w:spacing w:line="360" w:lineRule="auto"/>
              <w:ind w:firstLine="480" w:firstLineChars="200"/>
              <w:rPr>
                <w:sz w:val="24"/>
              </w:rPr>
            </w:pPr>
            <w:r>
              <w:rPr>
                <w:sz w:val="24"/>
              </w:rPr>
              <w:t>本项目符合相关产业政策，符合相关环境保护政策及相关规划要求，项目选址不涉及</w:t>
            </w:r>
            <w:r>
              <w:rPr>
                <w:rFonts w:hint="eastAsia"/>
                <w:sz w:val="24"/>
              </w:rPr>
              <w:t>生态保护红线</w:t>
            </w:r>
            <w:r>
              <w:rPr>
                <w:sz w:val="24"/>
              </w:rPr>
              <w:t>、生态敏感区等区域。项目所在区域环境空气、声环境、地下水环境、土壤质量现状满足环境功能区要求。通过落实评价提出的污染防治措施后，项目实施对地表水、地下水、声环境、环境空气、土壤环境的影响较小，不改变区域的环境功能，项目实施造成的影响可接受。通过严格按照钻井设计和行业规范作业，按照行业规划和环评要求完善相关风险防范和应急措施，</w:t>
            </w:r>
            <w:r>
              <w:rPr>
                <w:rFonts w:hint="eastAsia"/>
                <w:sz w:val="24"/>
              </w:rPr>
              <w:t>双庙页1HF预探井工程</w:t>
            </w:r>
            <w:r>
              <w:rPr>
                <w:sz w:val="24"/>
              </w:rPr>
              <w:t>环境风险是可防控的。</w:t>
            </w:r>
          </w:p>
          <w:p w14:paraId="0C8ABDFF">
            <w:pPr>
              <w:adjustRightInd w:val="0"/>
              <w:snapToGrid w:val="0"/>
              <w:spacing w:line="360" w:lineRule="auto"/>
              <w:ind w:firstLine="480" w:firstLineChars="200"/>
              <w:rPr>
                <w:szCs w:val="21"/>
              </w:rPr>
            </w:pPr>
            <w:r>
              <w:rPr>
                <w:sz w:val="24"/>
              </w:rPr>
              <w:t>综上所述，项目选址合理，从环境保护的角度分析</w:t>
            </w:r>
            <w:r>
              <w:rPr>
                <w:rFonts w:hint="eastAsia"/>
                <w:sz w:val="24"/>
              </w:rPr>
              <w:t>双庙页1HF预探井工程</w:t>
            </w:r>
            <w:r>
              <w:rPr>
                <w:sz w:val="24"/>
              </w:rPr>
              <w:t>的建设是可行的。</w:t>
            </w:r>
          </w:p>
        </w:tc>
      </w:tr>
    </w:tbl>
    <w:p w14:paraId="58881735">
      <w:pPr>
        <w:pStyle w:val="38"/>
        <w:adjustRightInd w:val="0"/>
        <w:snapToGrid w:val="0"/>
        <w:spacing w:before="0" w:beforeAutospacing="0" w:after="0" w:afterAutospacing="0" w:line="648" w:lineRule="auto"/>
        <w:rPr>
          <w:rFonts w:ascii="Times New Roman" w:hAnsi="Times New Roman"/>
          <w:sz w:val="21"/>
          <w:szCs w:val="21"/>
        </w:rPr>
      </w:pPr>
    </w:p>
    <w:p w14:paraId="04B25A98"/>
    <w:sectPr>
      <w:pgSz w:w="11906" w:h="16838"/>
      <w:pgMar w:top="1417" w:right="1417" w:bottom="1417" w:left="170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Dutch801 Rm BT">
    <w:altName w:val="Times New Roman"/>
    <w:panose1 w:val="02020603060505020304"/>
    <w:charset w:val="00"/>
    <w:family w:val="roman"/>
    <w:pitch w:val="default"/>
    <w:sig w:usb0="00000000" w:usb1="00000000" w:usb2="00000000" w:usb3="00000000" w:csb0="0000001B"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05E43">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4FBD">
    <w:pPr>
      <w:pStyle w:val="29"/>
      <w:framePr w:wrap="around" w:vAnchor="text" w:hAnchor="margin" w:xAlign="outside" w:y="1"/>
      <w:rPr>
        <w:rStyle w:val="48"/>
      </w:rPr>
    </w:pPr>
    <w:r>
      <w:fldChar w:fldCharType="begin"/>
    </w:r>
    <w:r>
      <w:rPr>
        <w:rStyle w:val="48"/>
      </w:rPr>
      <w:instrText xml:space="preserve">PAGE  </w:instrText>
    </w:r>
    <w:r>
      <w:fldChar w:fldCharType="separate"/>
    </w:r>
    <w:r>
      <w:rPr>
        <w:rStyle w:val="48"/>
      </w:rPr>
      <w:t>1</w:t>
    </w:r>
    <w:r>
      <w:fldChar w:fldCharType="end"/>
    </w:r>
  </w:p>
  <w:p w14:paraId="6FAF0F54">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25E10">
    <w:pPr>
      <w:pStyle w:val="29"/>
      <w:framePr w:wrap="around" w:vAnchor="text" w:hAnchor="margin" w:xAlign="outside" w:y="1"/>
      <w:rPr>
        <w:rStyle w:val="48"/>
        <w:rFonts w:hint="eastAsia" w:ascii="宋体" w:hAnsi="宋体"/>
        <w:sz w:val="28"/>
        <w:szCs w:val="28"/>
      </w:rPr>
    </w:pPr>
    <w:r>
      <w:rPr>
        <w:rStyle w:val="48"/>
        <w:rFonts w:hint="eastAsia" w:ascii="宋体" w:hAnsi="宋体"/>
        <w:sz w:val="28"/>
        <w:szCs w:val="28"/>
      </w:rPr>
      <w:t>—</w:t>
    </w:r>
    <w:r>
      <w:rPr>
        <w:rStyle w:val="48"/>
        <w:rFonts w:hint="eastAsia" w:ascii="宋体" w:hAnsi="宋体"/>
        <w:sz w:val="20"/>
        <w:szCs w:val="20"/>
      </w:rPr>
      <w:t xml:space="preserve"> </w:t>
    </w:r>
    <w:r>
      <w:rPr>
        <w:rFonts w:ascii="宋体" w:hAnsi="宋体"/>
        <w:sz w:val="26"/>
        <w:szCs w:val="26"/>
      </w:rPr>
      <w:fldChar w:fldCharType="begin"/>
    </w:r>
    <w:r>
      <w:rPr>
        <w:rStyle w:val="48"/>
        <w:rFonts w:ascii="宋体" w:hAnsi="宋体"/>
        <w:sz w:val="26"/>
        <w:szCs w:val="26"/>
      </w:rPr>
      <w:instrText xml:space="preserve">PAGE  </w:instrText>
    </w:r>
    <w:r>
      <w:rPr>
        <w:rFonts w:ascii="宋体" w:hAnsi="宋体"/>
        <w:sz w:val="26"/>
        <w:szCs w:val="26"/>
      </w:rPr>
      <w:fldChar w:fldCharType="separate"/>
    </w:r>
    <w:r>
      <w:rPr>
        <w:rStyle w:val="48"/>
        <w:rFonts w:ascii="宋体" w:hAnsi="宋体"/>
        <w:sz w:val="26"/>
        <w:szCs w:val="26"/>
      </w:rPr>
      <w:t>49</w:t>
    </w:r>
    <w:r>
      <w:rPr>
        <w:rFonts w:ascii="宋体" w:hAnsi="宋体"/>
        <w:sz w:val="26"/>
        <w:szCs w:val="26"/>
      </w:rPr>
      <w:fldChar w:fldCharType="end"/>
    </w:r>
    <w:r>
      <w:rPr>
        <w:rStyle w:val="48"/>
        <w:rFonts w:hint="eastAsia" w:ascii="宋体" w:hAnsi="宋体"/>
        <w:sz w:val="20"/>
        <w:szCs w:val="20"/>
      </w:rPr>
      <w:t xml:space="preserve"> </w:t>
    </w:r>
    <w:r>
      <w:rPr>
        <w:rStyle w:val="48"/>
        <w:rFonts w:hint="eastAsia" w:ascii="宋体" w:hAnsi="宋体"/>
        <w:sz w:val="28"/>
        <w:szCs w:val="28"/>
      </w:rPr>
      <w:t>—</w:t>
    </w:r>
  </w:p>
  <w:p w14:paraId="3E093616">
    <w:pPr>
      <w:pStyle w:val="2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C8A1D"/>
    <w:multiLevelType w:val="multilevel"/>
    <w:tmpl w:val="8AAC8A1D"/>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2">
    <w:nsid w:val="FCB18CE0"/>
    <w:multiLevelType w:val="multilevel"/>
    <w:tmpl w:val="FCB18CE0"/>
    <w:lvl w:ilvl="0" w:tentative="0">
      <w:start w:val="1"/>
      <w:numFmt w:val="decimal"/>
      <w:lvlText w:val="表2-%1"/>
      <w:lvlJc w:val="left"/>
      <w:pPr>
        <w:ind w:left="840" w:hanging="420"/>
      </w:pPr>
      <w:rPr>
        <w:rFonts w:hint="eastAsia" w:ascii="宋体" w:hAnsi="宋体" w:eastAsia="宋体" w:cs="宋体"/>
        <w:b/>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2B9F2EFD"/>
    <w:multiLevelType w:val="multilevel"/>
    <w:tmpl w:val="2B9F2EFD"/>
    <w:lvl w:ilvl="0" w:tentative="0">
      <w:start w:val="1"/>
      <w:numFmt w:val="decimal"/>
      <w:pStyle w:val="222"/>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5">
    <w:nsid w:val="34FCDAC5"/>
    <w:multiLevelType w:val="singleLevel"/>
    <w:tmpl w:val="34FCDAC5"/>
    <w:lvl w:ilvl="0" w:tentative="0">
      <w:start w:val="3"/>
      <w:numFmt w:val="decimal"/>
      <w:suff w:val="nothing"/>
      <w:lvlText w:val="（%1）"/>
      <w:lvlJc w:val="left"/>
    </w:lvl>
  </w:abstractNum>
  <w:abstractNum w:abstractNumId="6">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1B21497"/>
    <w:multiLevelType w:val="multilevel"/>
    <w:tmpl w:val="71B21497"/>
    <w:lvl w:ilvl="0" w:tentative="0">
      <w:start w:val="1"/>
      <w:numFmt w:val="decimal"/>
      <w:pStyle w:val="387"/>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4"/>
  </w:num>
  <w:num w:numId="2">
    <w:abstractNumId w:val="8"/>
  </w:num>
  <w:num w:numId="3">
    <w:abstractNumId w:val="1"/>
  </w:num>
  <w:num w:numId="4">
    <w:abstractNumId w:val="3"/>
  </w:num>
  <w:num w:numId="5">
    <w:abstractNumId w:val="2"/>
  </w:num>
  <w:num w:numId="6">
    <w:abstractNumId w:val="6"/>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hNWUzYWNlNDU2ZjIwOTE2ZmM0ODNkYmQxNTIxMjQifQ=="/>
    <w:docVar w:name="KSO_WPS_MARK_KEY" w:val="8f70633e-1c7c-4144-8cf1-0c91fb8e2871"/>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0B"/>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29E"/>
    <w:rsid w:val="000E3E10"/>
    <w:rsid w:val="000E468B"/>
    <w:rsid w:val="000E4CB9"/>
    <w:rsid w:val="000E5F16"/>
    <w:rsid w:val="000E6107"/>
    <w:rsid w:val="000E6B03"/>
    <w:rsid w:val="000E7B90"/>
    <w:rsid w:val="000F152A"/>
    <w:rsid w:val="000F171B"/>
    <w:rsid w:val="000F2D21"/>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7CB"/>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630"/>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7AE"/>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0686"/>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686"/>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2A3"/>
    <w:rsid w:val="00222CA6"/>
    <w:rsid w:val="0022306D"/>
    <w:rsid w:val="0022608B"/>
    <w:rsid w:val="00226568"/>
    <w:rsid w:val="00226574"/>
    <w:rsid w:val="002278EC"/>
    <w:rsid w:val="00227985"/>
    <w:rsid w:val="002279F8"/>
    <w:rsid w:val="00230892"/>
    <w:rsid w:val="00230E4A"/>
    <w:rsid w:val="00232170"/>
    <w:rsid w:val="00232D9E"/>
    <w:rsid w:val="00233A55"/>
    <w:rsid w:val="00234454"/>
    <w:rsid w:val="0023477C"/>
    <w:rsid w:val="00235113"/>
    <w:rsid w:val="002357C7"/>
    <w:rsid w:val="002367C4"/>
    <w:rsid w:val="00237561"/>
    <w:rsid w:val="00237DA4"/>
    <w:rsid w:val="0024005E"/>
    <w:rsid w:val="0024174F"/>
    <w:rsid w:val="0024328E"/>
    <w:rsid w:val="002438BD"/>
    <w:rsid w:val="002452F7"/>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0FC9"/>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411E"/>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9B"/>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4A7A"/>
    <w:rsid w:val="00355B3A"/>
    <w:rsid w:val="00355E39"/>
    <w:rsid w:val="00356868"/>
    <w:rsid w:val="00360CC2"/>
    <w:rsid w:val="00362A58"/>
    <w:rsid w:val="00362EAD"/>
    <w:rsid w:val="00363039"/>
    <w:rsid w:val="00363A83"/>
    <w:rsid w:val="0036485B"/>
    <w:rsid w:val="003664F8"/>
    <w:rsid w:val="00367956"/>
    <w:rsid w:val="00370D83"/>
    <w:rsid w:val="0037163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6DF0"/>
    <w:rsid w:val="00387515"/>
    <w:rsid w:val="00387685"/>
    <w:rsid w:val="00391848"/>
    <w:rsid w:val="0039346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A5F"/>
    <w:rsid w:val="003D3EE9"/>
    <w:rsid w:val="003D62C7"/>
    <w:rsid w:val="003D658D"/>
    <w:rsid w:val="003D6726"/>
    <w:rsid w:val="003D6DDD"/>
    <w:rsid w:val="003D757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31FD"/>
    <w:rsid w:val="003F611C"/>
    <w:rsid w:val="003F677E"/>
    <w:rsid w:val="003F6832"/>
    <w:rsid w:val="003F755C"/>
    <w:rsid w:val="00400D9E"/>
    <w:rsid w:val="00400FE1"/>
    <w:rsid w:val="00401715"/>
    <w:rsid w:val="00402452"/>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1240"/>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459"/>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0E56"/>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532"/>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305"/>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2FB5"/>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7B0"/>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1C25"/>
    <w:rsid w:val="00602803"/>
    <w:rsid w:val="00602CDB"/>
    <w:rsid w:val="00603B52"/>
    <w:rsid w:val="00603E5B"/>
    <w:rsid w:val="006042A7"/>
    <w:rsid w:val="00604BC8"/>
    <w:rsid w:val="006057EF"/>
    <w:rsid w:val="00607084"/>
    <w:rsid w:val="00607A9E"/>
    <w:rsid w:val="00607FFE"/>
    <w:rsid w:val="0061295D"/>
    <w:rsid w:val="006131B3"/>
    <w:rsid w:val="0061590C"/>
    <w:rsid w:val="00615B4C"/>
    <w:rsid w:val="00615B5D"/>
    <w:rsid w:val="00615C98"/>
    <w:rsid w:val="00615D29"/>
    <w:rsid w:val="00616999"/>
    <w:rsid w:val="006208BC"/>
    <w:rsid w:val="00620A36"/>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49AF"/>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B6CA5"/>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D62"/>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0B54"/>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639"/>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1CFB"/>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4602"/>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2EF7"/>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1C6E"/>
    <w:rsid w:val="0082248D"/>
    <w:rsid w:val="00823D28"/>
    <w:rsid w:val="0082416C"/>
    <w:rsid w:val="00824A05"/>
    <w:rsid w:val="00825C79"/>
    <w:rsid w:val="0082671A"/>
    <w:rsid w:val="00826BA2"/>
    <w:rsid w:val="00826F48"/>
    <w:rsid w:val="0083019A"/>
    <w:rsid w:val="00831A80"/>
    <w:rsid w:val="00831B16"/>
    <w:rsid w:val="00832440"/>
    <w:rsid w:val="008332C8"/>
    <w:rsid w:val="00833743"/>
    <w:rsid w:val="0083397B"/>
    <w:rsid w:val="00833EEF"/>
    <w:rsid w:val="008340A4"/>
    <w:rsid w:val="00836233"/>
    <w:rsid w:val="00836799"/>
    <w:rsid w:val="00837028"/>
    <w:rsid w:val="00837131"/>
    <w:rsid w:val="00841C0A"/>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4801"/>
    <w:rsid w:val="008662F9"/>
    <w:rsid w:val="00867CBC"/>
    <w:rsid w:val="00870F38"/>
    <w:rsid w:val="008716CA"/>
    <w:rsid w:val="00871ADE"/>
    <w:rsid w:val="00872F32"/>
    <w:rsid w:val="008730E4"/>
    <w:rsid w:val="0087452B"/>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727"/>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4A42"/>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8F78B1"/>
    <w:rsid w:val="0090011C"/>
    <w:rsid w:val="00901FBC"/>
    <w:rsid w:val="00902F81"/>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143"/>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56"/>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1DFD"/>
    <w:rsid w:val="00AE20A6"/>
    <w:rsid w:val="00AE2587"/>
    <w:rsid w:val="00AE4DCE"/>
    <w:rsid w:val="00AE5D97"/>
    <w:rsid w:val="00AE6794"/>
    <w:rsid w:val="00AE6809"/>
    <w:rsid w:val="00AE7634"/>
    <w:rsid w:val="00AE7DD3"/>
    <w:rsid w:val="00AE7EAC"/>
    <w:rsid w:val="00AF01D1"/>
    <w:rsid w:val="00AF04DC"/>
    <w:rsid w:val="00AF159B"/>
    <w:rsid w:val="00AF1748"/>
    <w:rsid w:val="00AF1805"/>
    <w:rsid w:val="00AF1DA4"/>
    <w:rsid w:val="00AF268F"/>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3046"/>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3B8E"/>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8C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3B61"/>
    <w:rsid w:val="00BF46D5"/>
    <w:rsid w:val="00BF46FF"/>
    <w:rsid w:val="00BF7676"/>
    <w:rsid w:val="00C0131C"/>
    <w:rsid w:val="00C027D6"/>
    <w:rsid w:val="00C02B22"/>
    <w:rsid w:val="00C04AB3"/>
    <w:rsid w:val="00C04C83"/>
    <w:rsid w:val="00C05719"/>
    <w:rsid w:val="00C05D1F"/>
    <w:rsid w:val="00C10305"/>
    <w:rsid w:val="00C103FF"/>
    <w:rsid w:val="00C10532"/>
    <w:rsid w:val="00C10578"/>
    <w:rsid w:val="00C10AB6"/>
    <w:rsid w:val="00C10E05"/>
    <w:rsid w:val="00C11393"/>
    <w:rsid w:val="00C11623"/>
    <w:rsid w:val="00C12933"/>
    <w:rsid w:val="00C1344B"/>
    <w:rsid w:val="00C14410"/>
    <w:rsid w:val="00C15F43"/>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2073"/>
    <w:rsid w:val="00C73D3A"/>
    <w:rsid w:val="00C763C9"/>
    <w:rsid w:val="00C77C6B"/>
    <w:rsid w:val="00C80057"/>
    <w:rsid w:val="00C80A98"/>
    <w:rsid w:val="00C812F3"/>
    <w:rsid w:val="00C82A8B"/>
    <w:rsid w:val="00C82C79"/>
    <w:rsid w:val="00C82D92"/>
    <w:rsid w:val="00C8399C"/>
    <w:rsid w:val="00C845FA"/>
    <w:rsid w:val="00C84753"/>
    <w:rsid w:val="00C86457"/>
    <w:rsid w:val="00C864EB"/>
    <w:rsid w:val="00C91611"/>
    <w:rsid w:val="00C91D00"/>
    <w:rsid w:val="00C936A0"/>
    <w:rsid w:val="00C93E38"/>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5D59"/>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3537"/>
    <w:rsid w:val="00CE5C94"/>
    <w:rsid w:val="00CE5E68"/>
    <w:rsid w:val="00CE61E0"/>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07BBB"/>
    <w:rsid w:val="00D11ED8"/>
    <w:rsid w:val="00D12671"/>
    <w:rsid w:val="00D12B35"/>
    <w:rsid w:val="00D13FE7"/>
    <w:rsid w:val="00D1511F"/>
    <w:rsid w:val="00D152F3"/>
    <w:rsid w:val="00D15727"/>
    <w:rsid w:val="00D15B39"/>
    <w:rsid w:val="00D16332"/>
    <w:rsid w:val="00D16473"/>
    <w:rsid w:val="00D164CB"/>
    <w:rsid w:val="00D1786B"/>
    <w:rsid w:val="00D17E3C"/>
    <w:rsid w:val="00D202B0"/>
    <w:rsid w:val="00D20323"/>
    <w:rsid w:val="00D2093F"/>
    <w:rsid w:val="00D21E8D"/>
    <w:rsid w:val="00D23608"/>
    <w:rsid w:val="00D23C9B"/>
    <w:rsid w:val="00D24972"/>
    <w:rsid w:val="00D2515E"/>
    <w:rsid w:val="00D25B51"/>
    <w:rsid w:val="00D262E1"/>
    <w:rsid w:val="00D26309"/>
    <w:rsid w:val="00D30341"/>
    <w:rsid w:val="00D303AC"/>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5E4"/>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0EE"/>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464"/>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5F7C"/>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619"/>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376"/>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4D41"/>
    <w:rsid w:val="00EE5637"/>
    <w:rsid w:val="00EE5638"/>
    <w:rsid w:val="00EE6D22"/>
    <w:rsid w:val="00EE6E01"/>
    <w:rsid w:val="00EE764A"/>
    <w:rsid w:val="00EF03F6"/>
    <w:rsid w:val="00EF04F5"/>
    <w:rsid w:val="00EF04FD"/>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16DFD"/>
    <w:rsid w:val="00F213DE"/>
    <w:rsid w:val="00F22985"/>
    <w:rsid w:val="00F23730"/>
    <w:rsid w:val="00F2396B"/>
    <w:rsid w:val="00F23C1E"/>
    <w:rsid w:val="00F241AB"/>
    <w:rsid w:val="00F244E1"/>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D01"/>
    <w:rsid w:val="00F55ECD"/>
    <w:rsid w:val="00F56367"/>
    <w:rsid w:val="00F56C6E"/>
    <w:rsid w:val="00F61097"/>
    <w:rsid w:val="00F611CA"/>
    <w:rsid w:val="00F62B02"/>
    <w:rsid w:val="00F63309"/>
    <w:rsid w:val="00F63660"/>
    <w:rsid w:val="00F64758"/>
    <w:rsid w:val="00F66543"/>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005"/>
    <w:rsid w:val="00F8523A"/>
    <w:rsid w:val="00F861B7"/>
    <w:rsid w:val="00F90AA7"/>
    <w:rsid w:val="00F90E41"/>
    <w:rsid w:val="00F9212D"/>
    <w:rsid w:val="00F92A40"/>
    <w:rsid w:val="00F94830"/>
    <w:rsid w:val="00F96A2C"/>
    <w:rsid w:val="00FA0658"/>
    <w:rsid w:val="00FA1787"/>
    <w:rsid w:val="00FA2F95"/>
    <w:rsid w:val="00FA301A"/>
    <w:rsid w:val="00FA3040"/>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4C3"/>
    <w:rsid w:val="00FB6772"/>
    <w:rsid w:val="00FB6DE0"/>
    <w:rsid w:val="00FB6E07"/>
    <w:rsid w:val="00FB76F1"/>
    <w:rsid w:val="00FB7B84"/>
    <w:rsid w:val="00FC0501"/>
    <w:rsid w:val="00FC1656"/>
    <w:rsid w:val="00FC2529"/>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447F"/>
    <w:rsid w:val="00FF51B1"/>
    <w:rsid w:val="00FF5C46"/>
    <w:rsid w:val="00FF6FCE"/>
    <w:rsid w:val="00FF7474"/>
    <w:rsid w:val="00FF7518"/>
    <w:rsid w:val="00FF7FD8"/>
    <w:rsid w:val="012E3662"/>
    <w:rsid w:val="01C171EB"/>
    <w:rsid w:val="01DF5C17"/>
    <w:rsid w:val="03151119"/>
    <w:rsid w:val="03162BB0"/>
    <w:rsid w:val="038C3578"/>
    <w:rsid w:val="038F0A59"/>
    <w:rsid w:val="041C1174"/>
    <w:rsid w:val="043E604F"/>
    <w:rsid w:val="04EA4FB8"/>
    <w:rsid w:val="04EB6681"/>
    <w:rsid w:val="055A11A8"/>
    <w:rsid w:val="05742AC8"/>
    <w:rsid w:val="059454B6"/>
    <w:rsid w:val="05E9526D"/>
    <w:rsid w:val="06352F05"/>
    <w:rsid w:val="063E7D85"/>
    <w:rsid w:val="066A33BC"/>
    <w:rsid w:val="070875E0"/>
    <w:rsid w:val="07293586"/>
    <w:rsid w:val="07295285"/>
    <w:rsid w:val="077257AF"/>
    <w:rsid w:val="07770C56"/>
    <w:rsid w:val="07BC57BE"/>
    <w:rsid w:val="07D10A07"/>
    <w:rsid w:val="08B43760"/>
    <w:rsid w:val="091D49BD"/>
    <w:rsid w:val="091E14C0"/>
    <w:rsid w:val="092217DD"/>
    <w:rsid w:val="093A7294"/>
    <w:rsid w:val="09895630"/>
    <w:rsid w:val="09C070DB"/>
    <w:rsid w:val="0A803E44"/>
    <w:rsid w:val="0AA043A4"/>
    <w:rsid w:val="0AB12DC0"/>
    <w:rsid w:val="0AE71698"/>
    <w:rsid w:val="0AF25C9E"/>
    <w:rsid w:val="0B48482D"/>
    <w:rsid w:val="0B562520"/>
    <w:rsid w:val="0B735FF3"/>
    <w:rsid w:val="0BAE3E9B"/>
    <w:rsid w:val="0BD27BF6"/>
    <w:rsid w:val="0C0A59CB"/>
    <w:rsid w:val="0C2F1549"/>
    <w:rsid w:val="0CA7258C"/>
    <w:rsid w:val="0CB679B8"/>
    <w:rsid w:val="0CB961F5"/>
    <w:rsid w:val="0D5D3E94"/>
    <w:rsid w:val="0DCB34F3"/>
    <w:rsid w:val="0DF75C09"/>
    <w:rsid w:val="0E110D06"/>
    <w:rsid w:val="0E30225E"/>
    <w:rsid w:val="0E8F7B30"/>
    <w:rsid w:val="0EEB328C"/>
    <w:rsid w:val="0F0C466A"/>
    <w:rsid w:val="0F13775A"/>
    <w:rsid w:val="0F5372FC"/>
    <w:rsid w:val="0F9A112B"/>
    <w:rsid w:val="106D2F64"/>
    <w:rsid w:val="10B63710"/>
    <w:rsid w:val="10C36704"/>
    <w:rsid w:val="111C2F7A"/>
    <w:rsid w:val="113013DE"/>
    <w:rsid w:val="113D2804"/>
    <w:rsid w:val="12193C0C"/>
    <w:rsid w:val="122B06C2"/>
    <w:rsid w:val="12796471"/>
    <w:rsid w:val="12D40EE0"/>
    <w:rsid w:val="12EF37E0"/>
    <w:rsid w:val="134358DA"/>
    <w:rsid w:val="138472D1"/>
    <w:rsid w:val="13951726"/>
    <w:rsid w:val="13C02DBF"/>
    <w:rsid w:val="14396509"/>
    <w:rsid w:val="1447165C"/>
    <w:rsid w:val="145D29CB"/>
    <w:rsid w:val="14957C2A"/>
    <w:rsid w:val="14B15984"/>
    <w:rsid w:val="15597637"/>
    <w:rsid w:val="156C4E90"/>
    <w:rsid w:val="15FA618E"/>
    <w:rsid w:val="16506B32"/>
    <w:rsid w:val="166806D5"/>
    <w:rsid w:val="16754487"/>
    <w:rsid w:val="16784180"/>
    <w:rsid w:val="16CC350B"/>
    <w:rsid w:val="16F10FA9"/>
    <w:rsid w:val="16FB0A86"/>
    <w:rsid w:val="172B0A36"/>
    <w:rsid w:val="17735226"/>
    <w:rsid w:val="17AA23CB"/>
    <w:rsid w:val="17EC6540"/>
    <w:rsid w:val="182932F0"/>
    <w:rsid w:val="184D3B19"/>
    <w:rsid w:val="18FB1AE9"/>
    <w:rsid w:val="19560718"/>
    <w:rsid w:val="19C36D63"/>
    <w:rsid w:val="19C74C41"/>
    <w:rsid w:val="19E96131"/>
    <w:rsid w:val="1A1C66C0"/>
    <w:rsid w:val="1A42393B"/>
    <w:rsid w:val="1AC03964"/>
    <w:rsid w:val="1AC60B16"/>
    <w:rsid w:val="1B046F80"/>
    <w:rsid w:val="1B3267B5"/>
    <w:rsid w:val="1B41180B"/>
    <w:rsid w:val="1B6008AF"/>
    <w:rsid w:val="1BB63319"/>
    <w:rsid w:val="1BC25DC8"/>
    <w:rsid w:val="1C5E7925"/>
    <w:rsid w:val="1C887FC8"/>
    <w:rsid w:val="1C902D42"/>
    <w:rsid w:val="1C985047"/>
    <w:rsid w:val="1C9C473D"/>
    <w:rsid w:val="1D5F6196"/>
    <w:rsid w:val="1D6132A5"/>
    <w:rsid w:val="1D8E56D5"/>
    <w:rsid w:val="1DA631EF"/>
    <w:rsid w:val="1DC336A9"/>
    <w:rsid w:val="1DDE1307"/>
    <w:rsid w:val="1E7A43DA"/>
    <w:rsid w:val="1EB277FE"/>
    <w:rsid w:val="1EC04283"/>
    <w:rsid w:val="1F705A78"/>
    <w:rsid w:val="1F7F7C9A"/>
    <w:rsid w:val="1F881244"/>
    <w:rsid w:val="1FC77071"/>
    <w:rsid w:val="1FE7539E"/>
    <w:rsid w:val="20215F2A"/>
    <w:rsid w:val="20963CB8"/>
    <w:rsid w:val="20B07FB6"/>
    <w:rsid w:val="21001874"/>
    <w:rsid w:val="213B74B1"/>
    <w:rsid w:val="215313E0"/>
    <w:rsid w:val="215A2310"/>
    <w:rsid w:val="217355AD"/>
    <w:rsid w:val="21DE318A"/>
    <w:rsid w:val="21E2133E"/>
    <w:rsid w:val="21EF5B80"/>
    <w:rsid w:val="22576990"/>
    <w:rsid w:val="225D5873"/>
    <w:rsid w:val="22652133"/>
    <w:rsid w:val="229C4EAB"/>
    <w:rsid w:val="229E3DE3"/>
    <w:rsid w:val="22AC036E"/>
    <w:rsid w:val="22B01830"/>
    <w:rsid w:val="22FE3670"/>
    <w:rsid w:val="23132C3F"/>
    <w:rsid w:val="23552F44"/>
    <w:rsid w:val="23CD52D2"/>
    <w:rsid w:val="24093492"/>
    <w:rsid w:val="240F5A90"/>
    <w:rsid w:val="24197E88"/>
    <w:rsid w:val="246D18CE"/>
    <w:rsid w:val="247834C7"/>
    <w:rsid w:val="247D1E56"/>
    <w:rsid w:val="24A3267C"/>
    <w:rsid w:val="24B321AE"/>
    <w:rsid w:val="24D51FDD"/>
    <w:rsid w:val="24F739EE"/>
    <w:rsid w:val="252D53FE"/>
    <w:rsid w:val="2560465F"/>
    <w:rsid w:val="25DF7A08"/>
    <w:rsid w:val="25EC2D81"/>
    <w:rsid w:val="262B0B7B"/>
    <w:rsid w:val="264528BD"/>
    <w:rsid w:val="26895E7B"/>
    <w:rsid w:val="276F082F"/>
    <w:rsid w:val="27D15DD1"/>
    <w:rsid w:val="27E3173A"/>
    <w:rsid w:val="27EA3CD9"/>
    <w:rsid w:val="27EB0FE8"/>
    <w:rsid w:val="27FE5367"/>
    <w:rsid w:val="28102647"/>
    <w:rsid w:val="28357A8F"/>
    <w:rsid w:val="284525E3"/>
    <w:rsid w:val="289C366A"/>
    <w:rsid w:val="28A67ADA"/>
    <w:rsid w:val="28A76295"/>
    <w:rsid w:val="28BF16AD"/>
    <w:rsid w:val="29191FA9"/>
    <w:rsid w:val="291E2401"/>
    <w:rsid w:val="29206EB8"/>
    <w:rsid w:val="29E325E0"/>
    <w:rsid w:val="29FB5186"/>
    <w:rsid w:val="2A123CFA"/>
    <w:rsid w:val="2A452503"/>
    <w:rsid w:val="2A4D29B5"/>
    <w:rsid w:val="2AB47601"/>
    <w:rsid w:val="2ABD6366"/>
    <w:rsid w:val="2B312790"/>
    <w:rsid w:val="2B550C2B"/>
    <w:rsid w:val="2B6C7CBA"/>
    <w:rsid w:val="2B7E73D8"/>
    <w:rsid w:val="2B8B283E"/>
    <w:rsid w:val="2B9B5117"/>
    <w:rsid w:val="2BA936A8"/>
    <w:rsid w:val="2C315A5A"/>
    <w:rsid w:val="2C626979"/>
    <w:rsid w:val="2C6C0F94"/>
    <w:rsid w:val="2C982FDC"/>
    <w:rsid w:val="2D7C60EC"/>
    <w:rsid w:val="2D9E56F5"/>
    <w:rsid w:val="2DF75DCE"/>
    <w:rsid w:val="2E4700B3"/>
    <w:rsid w:val="2E667F96"/>
    <w:rsid w:val="2E7F2588"/>
    <w:rsid w:val="2E8226AB"/>
    <w:rsid w:val="2E8E0531"/>
    <w:rsid w:val="2EF10115"/>
    <w:rsid w:val="2F4A7E19"/>
    <w:rsid w:val="2F832C79"/>
    <w:rsid w:val="2F833124"/>
    <w:rsid w:val="2FC40297"/>
    <w:rsid w:val="2FEF2D58"/>
    <w:rsid w:val="30580BC9"/>
    <w:rsid w:val="30654C8C"/>
    <w:rsid w:val="308B6756"/>
    <w:rsid w:val="30D36097"/>
    <w:rsid w:val="30DA40F9"/>
    <w:rsid w:val="30DB445C"/>
    <w:rsid w:val="31097D0B"/>
    <w:rsid w:val="311E2ED7"/>
    <w:rsid w:val="31434FCB"/>
    <w:rsid w:val="314B6706"/>
    <w:rsid w:val="315C449C"/>
    <w:rsid w:val="31B82709"/>
    <w:rsid w:val="31D86357"/>
    <w:rsid w:val="31F25ACE"/>
    <w:rsid w:val="32186458"/>
    <w:rsid w:val="321A2D68"/>
    <w:rsid w:val="321E4AA5"/>
    <w:rsid w:val="3228697C"/>
    <w:rsid w:val="32400B34"/>
    <w:rsid w:val="32803FFD"/>
    <w:rsid w:val="328B7D6E"/>
    <w:rsid w:val="329E6876"/>
    <w:rsid w:val="32F52E26"/>
    <w:rsid w:val="33367FB7"/>
    <w:rsid w:val="338E680F"/>
    <w:rsid w:val="33D934D4"/>
    <w:rsid w:val="33FE2F6A"/>
    <w:rsid w:val="34B933D2"/>
    <w:rsid w:val="34E34DD8"/>
    <w:rsid w:val="350C5BF1"/>
    <w:rsid w:val="353C16C8"/>
    <w:rsid w:val="35696FCA"/>
    <w:rsid w:val="35E56723"/>
    <w:rsid w:val="35EC2E42"/>
    <w:rsid w:val="35FC6BDB"/>
    <w:rsid w:val="36074A7F"/>
    <w:rsid w:val="36442540"/>
    <w:rsid w:val="366B3363"/>
    <w:rsid w:val="367F7AB5"/>
    <w:rsid w:val="36923549"/>
    <w:rsid w:val="36AF3047"/>
    <w:rsid w:val="36B75FBF"/>
    <w:rsid w:val="36FB4891"/>
    <w:rsid w:val="37001BE1"/>
    <w:rsid w:val="3723640B"/>
    <w:rsid w:val="372666C3"/>
    <w:rsid w:val="374B40CC"/>
    <w:rsid w:val="377203B8"/>
    <w:rsid w:val="37BD44F0"/>
    <w:rsid w:val="3817477A"/>
    <w:rsid w:val="38F12CD3"/>
    <w:rsid w:val="38F94775"/>
    <w:rsid w:val="392971ED"/>
    <w:rsid w:val="39A12A46"/>
    <w:rsid w:val="3A1A58D0"/>
    <w:rsid w:val="3A270C24"/>
    <w:rsid w:val="3A40479E"/>
    <w:rsid w:val="3A683E14"/>
    <w:rsid w:val="3AA75652"/>
    <w:rsid w:val="3B225E5C"/>
    <w:rsid w:val="3B290C77"/>
    <w:rsid w:val="3B3763D1"/>
    <w:rsid w:val="3B762DE1"/>
    <w:rsid w:val="3C2477F8"/>
    <w:rsid w:val="3C3B0531"/>
    <w:rsid w:val="3CC365FB"/>
    <w:rsid w:val="3CDA245A"/>
    <w:rsid w:val="3CE6518E"/>
    <w:rsid w:val="3CEE0A37"/>
    <w:rsid w:val="3CF81D16"/>
    <w:rsid w:val="3D9C44E6"/>
    <w:rsid w:val="3DFA24DD"/>
    <w:rsid w:val="3E3208A1"/>
    <w:rsid w:val="3E9C7C9C"/>
    <w:rsid w:val="3E9F1D36"/>
    <w:rsid w:val="3EE002FD"/>
    <w:rsid w:val="3F660E74"/>
    <w:rsid w:val="3F6F42E2"/>
    <w:rsid w:val="3FD71776"/>
    <w:rsid w:val="4050524F"/>
    <w:rsid w:val="407A6407"/>
    <w:rsid w:val="41322966"/>
    <w:rsid w:val="41AC50BF"/>
    <w:rsid w:val="423A3BCC"/>
    <w:rsid w:val="42521512"/>
    <w:rsid w:val="42542091"/>
    <w:rsid w:val="426B5CC1"/>
    <w:rsid w:val="42934990"/>
    <w:rsid w:val="42BE58DE"/>
    <w:rsid w:val="42CF6144"/>
    <w:rsid w:val="430310FA"/>
    <w:rsid w:val="433A6FE6"/>
    <w:rsid w:val="4350713C"/>
    <w:rsid w:val="435469A1"/>
    <w:rsid w:val="436653E0"/>
    <w:rsid w:val="43F42155"/>
    <w:rsid w:val="448434D9"/>
    <w:rsid w:val="44C304A5"/>
    <w:rsid w:val="44CD14E0"/>
    <w:rsid w:val="44DF70AD"/>
    <w:rsid w:val="45471A8E"/>
    <w:rsid w:val="457A74AC"/>
    <w:rsid w:val="45821292"/>
    <w:rsid w:val="458946E9"/>
    <w:rsid w:val="45A60F0C"/>
    <w:rsid w:val="45B14D2D"/>
    <w:rsid w:val="45D65FB6"/>
    <w:rsid w:val="45F915B1"/>
    <w:rsid w:val="460B1E86"/>
    <w:rsid w:val="46300235"/>
    <w:rsid w:val="4673308F"/>
    <w:rsid w:val="46D955A7"/>
    <w:rsid w:val="46E929A3"/>
    <w:rsid w:val="47133957"/>
    <w:rsid w:val="47412210"/>
    <w:rsid w:val="4779329E"/>
    <w:rsid w:val="47A07E0C"/>
    <w:rsid w:val="4870272E"/>
    <w:rsid w:val="487C6DD3"/>
    <w:rsid w:val="49DC7715"/>
    <w:rsid w:val="4A023139"/>
    <w:rsid w:val="4A3414FD"/>
    <w:rsid w:val="4A7B576F"/>
    <w:rsid w:val="4AD14DDA"/>
    <w:rsid w:val="4B7E5E68"/>
    <w:rsid w:val="4B8C7DC7"/>
    <w:rsid w:val="4BE60F1D"/>
    <w:rsid w:val="4C3727C8"/>
    <w:rsid w:val="4C4A0649"/>
    <w:rsid w:val="4C6B0DBF"/>
    <w:rsid w:val="4C87625C"/>
    <w:rsid w:val="4CB45D6C"/>
    <w:rsid w:val="4CE470D3"/>
    <w:rsid w:val="4D1675E0"/>
    <w:rsid w:val="4D4D6EA4"/>
    <w:rsid w:val="4D9C7AE5"/>
    <w:rsid w:val="4DEC4FB0"/>
    <w:rsid w:val="4DF47921"/>
    <w:rsid w:val="4E037B64"/>
    <w:rsid w:val="4E075D8A"/>
    <w:rsid w:val="4E9B7D9D"/>
    <w:rsid w:val="4F3A53E6"/>
    <w:rsid w:val="4FC62A8C"/>
    <w:rsid w:val="4FE20F0D"/>
    <w:rsid w:val="4FED56A1"/>
    <w:rsid w:val="50497344"/>
    <w:rsid w:val="50504C4B"/>
    <w:rsid w:val="506A3ECB"/>
    <w:rsid w:val="508F161F"/>
    <w:rsid w:val="509C6E7C"/>
    <w:rsid w:val="50CF3D2E"/>
    <w:rsid w:val="5162104E"/>
    <w:rsid w:val="51711289"/>
    <w:rsid w:val="5176689F"/>
    <w:rsid w:val="51964211"/>
    <w:rsid w:val="519B7CE6"/>
    <w:rsid w:val="520619D1"/>
    <w:rsid w:val="521079D2"/>
    <w:rsid w:val="52292CD0"/>
    <w:rsid w:val="523303DA"/>
    <w:rsid w:val="52434A0D"/>
    <w:rsid w:val="52C171A6"/>
    <w:rsid w:val="533F731B"/>
    <w:rsid w:val="53A039CC"/>
    <w:rsid w:val="53A1505A"/>
    <w:rsid w:val="53AC4AD4"/>
    <w:rsid w:val="54063E08"/>
    <w:rsid w:val="540A05D4"/>
    <w:rsid w:val="543437E8"/>
    <w:rsid w:val="54387E3C"/>
    <w:rsid w:val="54616E3A"/>
    <w:rsid w:val="54786446"/>
    <w:rsid w:val="547D4110"/>
    <w:rsid w:val="54824CAB"/>
    <w:rsid w:val="54AF07F4"/>
    <w:rsid w:val="54FC355F"/>
    <w:rsid w:val="55382B5F"/>
    <w:rsid w:val="556D42E1"/>
    <w:rsid w:val="558A2919"/>
    <w:rsid w:val="559B174B"/>
    <w:rsid w:val="55B87486"/>
    <w:rsid w:val="55CE0CF4"/>
    <w:rsid w:val="55D92852"/>
    <w:rsid w:val="5619357A"/>
    <w:rsid w:val="561F04E5"/>
    <w:rsid w:val="56880559"/>
    <w:rsid w:val="569143F6"/>
    <w:rsid w:val="569461A5"/>
    <w:rsid w:val="569A4DDE"/>
    <w:rsid w:val="56A47F8D"/>
    <w:rsid w:val="56B22A9C"/>
    <w:rsid w:val="56BA2E5C"/>
    <w:rsid w:val="56BA722E"/>
    <w:rsid w:val="56FD4392"/>
    <w:rsid w:val="571E03FB"/>
    <w:rsid w:val="575707E8"/>
    <w:rsid w:val="578633A6"/>
    <w:rsid w:val="57B72A76"/>
    <w:rsid w:val="57C42CC1"/>
    <w:rsid w:val="585C72CE"/>
    <w:rsid w:val="587B479B"/>
    <w:rsid w:val="591F373D"/>
    <w:rsid w:val="5921119F"/>
    <w:rsid w:val="59874AA8"/>
    <w:rsid w:val="5A125321"/>
    <w:rsid w:val="5A3C747D"/>
    <w:rsid w:val="5A6B1057"/>
    <w:rsid w:val="5A793421"/>
    <w:rsid w:val="5ABD6CE0"/>
    <w:rsid w:val="5ABE2233"/>
    <w:rsid w:val="5AD36B10"/>
    <w:rsid w:val="5B276D18"/>
    <w:rsid w:val="5B6A7475"/>
    <w:rsid w:val="5B7B74B8"/>
    <w:rsid w:val="5BDF5D95"/>
    <w:rsid w:val="5C5B0568"/>
    <w:rsid w:val="5C851146"/>
    <w:rsid w:val="5C8D1FB6"/>
    <w:rsid w:val="5CB54D32"/>
    <w:rsid w:val="5CD219F0"/>
    <w:rsid w:val="5CE86853"/>
    <w:rsid w:val="5CE902D2"/>
    <w:rsid w:val="5D647CEF"/>
    <w:rsid w:val="5DE178D9"/>
    <w:rsid w:val="5DEF5A0F"/>
    <w:rsid w:val="5DF87A0F"/>
    <w:rsid w:val="5EAB02A7"/>
    <w:rsid w:val="5EFA64EC"/>
    <w:rsid w:val="5F1A2B43"/>
    <w:rsid w:val="5F3F720C"/>
    <w:rsid w:val="5F553F98"/>
    <w:rsid w:val="5F7544C8"/>
    <w:rsid w:val="5F8D3F05"/>
    <w:rsid w:val="5F9F3C11"/>
    <w:rsid w:val="5FB311A0"/>
    <w:rsid w:val="5FB837BB"/>
    <w:rsid w:val="5FD17AC2"/>
    <w:rsid w:val="5FD458D6"/>
    <w:rsid w:val="602030F0"/>
    <w:rsid w:val="606B1B79"/>
    <w:rsid w:val="60784772"/>
    <w:rsid w:val="608D7DF6"/>
    <w:rsid w:val="60C2565D"/>
    <w:rsid w:val="60EB6C8D"/>
    <w:rsid w:val="61122341"/>
    <w:rsid w:val="61571C6D"/>
    <w:rsid w:val="61AC52C9"/>
    <w:rsid w:val="61D736EF"/>
    <w:rsid w:val="62364782"/>
    <w:rsid w:val="62540537"/>
    <w:rsid w:val="62803317"/>
    <w:rsid w:val="639776FD"/>
    <w:rsid w:val="63B04B4A"/>
    <w:rsid w:val="63D40BE9"/>
    <w:rsid w:val="63DE190F"/>
    <w:rsid w:val="63E0211F"/>
    <w:rsid w:val="63E17E2B"/>
    <w:rsid w:val="647C103B"/>
    <w:rsid w:val="64BC44ED"/>
    <w:rsid w:val="64C41932"/>
    <w:rsid w:val="65322C65"/>
    <w:rsid w:val="65373578"/>
    <w:rsid w:val="65FE7137"/>
    <w:rsid w:val="66805DEC"/>
    <w:rsid w:val="668D168B"/>
    <w:rsid w:val="66E10EA2"/>
    <w:rsid w:val="67234EA3"/>
    <w:rsid w:val="67237133"/>
    <w:rsid w:val="673F2C7A"/>
    <w:rsid w:val="67654121"/>
    <w:rsid w:val="681F6961"/>
    <w:rsid w:val="68420338"/>
    <w:rsid w:val="68610A2F"/>
    <w:rsid w:val="68622EBE"/>
    <w:rsid w:val="686E72AD"/>
    <w:rsid w:val="68787875"/>
    <w:rsid w:val="68805514"/>
    <w:rsid w:val="68E44506"/>
    <w:rsid w:val="68EB03C3"/>
    <w:rsid w:val="691F5B44"/>
    <w:rsid w:val="694E2071"/>
    <w:rsid w:val="697A3B33"/>
    <w:rsid w:val="699E2456"/>
    <w:rsid w:val="69A53324"/>
    <w:rsid w:val="69B96FB4"/>
    <w:rsid w:val="6A2E5B11"/>
    <w:rsid w:val="6A3C6480"/>
    <w:rsid w:val="6AB77A1F"/>
    <w:rsid w:val="6B2313EE"/>
    <w:rsid w:val="6B322639"/>
    <w:rsid w:val="6B3D0E89"/>
    <w:rsid w:val="6B473A34"/>
    <w:rsid w:val="6B794BB1"/>
    <w:rsid w:val="6C636C38"/>
    <w:rsid w:val="6C93086C"/>
    <w:rsid w:val="6D0112BB"/>
    <w:rsid w:val="6D28709B"/>
    <w:rsid w:val="6D773ED6"/>
    <w:rsid w:val="6DB34098"/>
    <w:rsid w:val="6DB545B6"/>
    <w:rsid w:val="6DD24282"/>
    <w:rsid w:val="6E4375A0"/>
    <w:rsid w:val="6E4B2EB1"/>
    <w:rsid w:val="6E4C7581"/>
    <w:rsid w:val="6E514CED"/>
    <w:rsid w:val="6E674750"/>
    <w:rsid w:val="6E79491A"/>
    <w:rsid w:val="6EB563D5"/>
    <w:rsid w:val="6EB57440"/>
    <w:rsid w:val="6EC45E08"/>
    <w:rsid w:val="6F12172A"/>
    <w:rsid w:val="6F225983"/>
    <w:rsid w:val="6F2B5282"/>
    <w:rsid w:val="6FE365AF"/>
    <w:rsid w:val="6FFC5590"/>
    <w:rsid w:val="70072E06"/>
    <w:rsid w:val="70301DA3"/>
    <w:rsid w:val="70513443"/>
    <w:rsid w:val="706D1DD0"/>
    <w:rsid w:val="70856B87"/>
    <w:rsid w:val="708D5CA5"/>
    <w:rsid w:val="70AA1E06"/>
    <w:rsid w:val="70D527EE"/>
    <w:rsid w:val="71141580"/>
    <w:rsid w:val="714049C9"/>
    <w:rsid w:val="71461035"/>
    <w:rsid w:val="715B5300"/>
    <w:rsid w:val="715F4BD7"/>
    <w:rsid w:val="71B111CA"/>
    <w:rsid w:val="71D27F8A"/>
    <w:rsid w:val="71F744C6"/>
    <w:rsid w:val="71F960CF"/>
    <w:rsid w:val="720F7FD6"/>
    <w:rsid w:val="7257661F"/>
    <w:rsid w:val="72E970FE"/>
    <w:rsid w:val="72EF7C7F"/>
    <w:rsid w:val="73124222"/>
    <w:rsid w:val="731F5D5E"/>
    <w:rsid w:val="738E4E64"/>
    <w:rsid w:val="73DF11F6"/>
    <w:rsid w:val="7414659C"/>
    <w:rsid w:val="74166EB4"/>
    <w:rsid w:val="74181304"/>
    <w:rsid w:val="741E793C"/>
    <w:rsid w:val="74454183"/>
    <w:rsid w:val="747800B5"/>
    <w:rsid w:val="747B56C4"/>
    <w:rsid w:val="74C90910"/>
    <w:rsid w:val="757271FA"/>
    <w:rsid w:val="758D75E2"/>
    <w:rsid w:val="75D1448A"/>
    <w:rsid w:val="76064652"/>
    <w:rsid w:val="762B4822"/>
    <w:rsid w:val="766964A3"/>
    <w:rsid w:val="76941967"/>
    <w:rsid w:val="77107220"/>
    <w:rsid w:val="77727A12"/>
    <w:rsid w:val="77762421"/>
    <w:rsid w:val="77845E66"/>
    <w:rsid w:val="77A10504"/>
    <w:rsid w:val="77CA3F60"/>
    <w:rsid w:val="780F09F4"/>
    <w:rsid w:val="784C3D32"/>
    <w:rsid w:val="7868522C"/>
    <w:rsid w:val="789C4F47"/>
    <w:rsid w:val="78A90480"/>
    <w:rsid w:val="78CC6C21"/>
    <w:rsid w:val="78FB2FDA"/>
    <w:rsid w:val="790F43FB"/>
    <w:rsid w:val="79385B55"/>
    <w:rsid w:val="795030BE"/>
    <w:rsid w:val="79811327"/>
    <w:rsid w:val="7A364017"/>
    <w:rsid w:val="7A544FCF"/>
    <w:rsid w:val="7A8265E1"/>
    <w:rsid w:val="7ACA53E2"/>
    <w:rsid w:val="7B100F5A"/>
    <w:rsid w:val="7B2F7856"/>
    <w:rsid w:val="7B3A7406"/>
    <w:rsid w:val="7B686D42"/>
    <w:rsid w:val="7B841746"/>
    <w:rsid w:val="7BA20677"/>
    <w:rsid w:val="7BBB4D2B"/>
    <w:rsid w:val="7C044E61"/>
    <w:rsid w:val="7C8570A6"/>
    <w:rsid w:val="7C99506C"/>
    <w:rsid w:val="7CBE6DC8"/>
    <w:rsid w:val="7D0239FF"/>
    <w:rsid w:val="7D0264A7"/>
    <w:rsid w:val="7D1F4613"/>
    <w:rsid w:val="7D5E40CD"/>
    <w:rsid w:val="7D693BED"/>
    <w:rsid w:val="7D910A9C"/>
    <w:rsid w:val="7DA46223"/>
    <w:rsid w:val="7DFA4DB3"/>
    <w:rsid w:val="7EDB5E10"/>
    <w:rsid w:val="7F096E99"/>
    <w:rsid w:val="7F325365"/>
    <w:rsid w:val="7F493047"/>
    <w:rsid w:val="7F7804B8"/>
    <w:rsid w:val="7F994CC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0"/>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link w:val="61"/>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62"/>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63"/>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4"/>
    <w:qFormat/>
    <w:uiPriority w:val="0"/>
    <w:pPr>
      <w:keepNext/>
      <w:keepLines/>
      <w:spacing w:before="240" w:after="64" w:line="320" w:lineRule="auto"/>
      <w:outlineLvl w:val="6"/>
    </w:pPr>
    <w:rPr>
      <w:rFonts w:ascii="Calibri" w:hAnsi="Calibri"/>
      <w:b/>
      <w:bCs/>
      <w:sz w:val="24"/>
    </w:rPr>
  </w:style>
  <w:style w:type="paragraph" w:styleId="10">
    <w:name w:val="heading 8"/>
    <w:basedOn w:val="1"/>
    <w:next w:val="1"/>
    <w:link w:val="65"/>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6"/>
    <w:qFormat/>
    <w:uiPriority w:val="0"/>
    <w:pPr>
      <w:keepNext/>
      <w:keepLines/>
      <w:spacing w:before="240" w:after="64" w:line="320" w:lineRule="auto"/>
      <w:outlineLvl w:val="8"/>
    </w:pPr>
    <w:rPr>
      <w:rFonts w:ascii="Arial" w:hAnsi="Arial" w:eastAsia="黑体"/>
      <w:szCs w:val="21"/>
    </w:rPr>
  </w:style>
  <w:style w:type="character" w:default="1" w:styleId="46">
    <w:name w:val="Default Paragraph Font"/>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Note Heading"/>
    <w:basedOn w:val="1"/>
    <w:next w:val="1"/>
    <w:link w:val="67"/>
    <w:qFormat/>
    <w:uiPriority w:val="0"/>
    <w:pPr>
      <w:jc w:val="center"/>
    </w:pPr>
    <w:rPr>
      <w:rFonts w:ascii="Calibri" w:hAnsi="Calibri"/>
    </w:rPr>
  </w:style>
  <w:style w:type="paragraph" w:styleId="13">
    <w:name w:val="Normal Indent"/>
    <w:basedOn w:val="1"/>
    <w:next w:val="6"/>
    <w:link w:val="68"/>
    <w:qFormat/>
    <w:uiPriority w:val="0"/>
    <w:pPr>
      <w:spacing w:line="240" w:lineRule="atLeast"/>
      <w:ind w:firstLine="420"/>
    </w:pPr>
    <w:rPr>
      <w:rFonts w:ascii="Calibri" w:hAnsi="Calibri"/>
      <w:kern w:val="0"/>
      <w:sz w:val="28"/>
      <w:szCs w:val="20"/>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69"/>
    <w:qFormat/>
    <w:uiPriority w:val="0"/>
    <w:pPr>
      <w:shd w:val="clear" w:color="auto" w:fill="000080"/>
    </w:pPr>
    <w:rPr>
      <w:rFonts w:ascii="Calibri" w:hAnsi="Calibri"/>
    </w:rPr>
  </w:style>
  <w:style w:type="paragraph" w:styleId="16">
    <w:name w:val="annotation text"/>
    <w:basedOn w:val="1"/>
    <w:link w:val="70"/>
    <w:qFormat/>
    <w:uiPriority w:val="0"/>
    <w:pPr>
      <w:jc w:val="left"/>
    </w:pPr>
    <w:rPr>
      <w:kern w:val="0"/>
      <w:sz w:val="20"/>
    </w:rPr>
  </w:style>
  <w:style w:type="paragraph" w:styleId="17">
    <w:name w:val="Salutation"/>
    <w:basedOn w:val="1"/>
    <w:next w:val="1"/>
    <w:link w:val="71"/>
    <w:qFormat/>
    <w:uiPriority w:val="0"/>
    <w:rPr>
      <w:rFonts w:ascii="Calibri" w:hAnsi="Calibri"/>
    </w:rPr>
  </w:style>
  <w:style w:type="paragraph" w:styleId="18">
    <w:name w:val="Body Text 3"/>
    <w:basedOn w:val="1"/>
    <w:link w:val="72"/>
    <w:qFormat/>
    <w:uiPriority w:val="0"/>
    <w:pPr>
      <w:spacing w:line="440" w:lineRule="exact"/>
    </w:pPr>
    <w:rPr>
      <w:rFonts w:ascii="宋体" w:hAnsi="宋体"/>
      <w:sz w:val="28"/>
    </w:rPr>
  </w:style>
  <w:style w:type="paragraph" w:styleId="19">
    <w:name w:val="Body Text"/>
    <w:basedOn w:val="1"/>
    <w:link w:val="73"/>
    <w:qFormat/>
    <w:uiPriority w:val="0"/>
    <w:pPr>
      <w:widowControl/>
      <w:snapToGrid w:val="0"/>
      <w:spacing w:before="60" w:after="160" w:line="259" w:lineRule="auto"/>
      <w:ind w:right="113"/>
    </w:pPr>
    <w:rPr>
      <w:kern w:val="0"/>
      <w:sz w:val="18"/>
      <w:szCs w:val="18"/>
    </w:rPr>
  </w:style>
  <w:style w:type="paragraph" w:styleId="20">
    <w:name w:val="Body Text Indent"/>
    <w:basedOn w:val="1"/>
    <w:next w:val="21"/>
    <w:link w:val="74"/>
    <w:qFormat/>
    <w:uiPriority w:val="0"/>
    <w:pPr>
      <w:spacing w:after="120"/>
      <w:ind w:left="420" w:leftChars="200"/>
    </w:pPr>
  </w:style>
  <w:style w:type="paragraph" w:customStyle="1" w:styleId="21">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styleId="22">
    <w:name w:val="List 2"/>
    <w:basedOn w:val="1"/>
    <w:qFormat/>
    <w:uiPriority w:val="0"/>
    <w:pPr>
      <w:ind w:left="840" w:hanging="420"/>
    </w:pPr>
    <w:rPr>
      <w:rFonts w:ascii="Calibri" w:hAnsi="Calibri"/>
      <w:sz w:val="26"/>
    </w:rPr>
  </w:style>
  <w:style w:type="paragraph" w:styleId="23">
    <w:name w:val="toc 3"/>
    <w:basedOn w:val="1"/>
    <w:next w:val="1"/>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4">
    <w:name w:val="Plain Text"/>
    <w:basedOn w:val="1"/>
    <w:link w:val="75"/>
    <w:qFormat/>
    <w:uiPriority w:val="0"/>
    <w:pPr>
      <w:widowControl/>
      <w:spacing w:before="100" w:beforeAutospacing="1" w:after="100" w:afterAutospacing="1"/>
      <w:jc w:val="left"/>
    </w:pPr>
    <w:rPr>
      <w:rFonts w:ascii="宋体" w:hAnsi="宋体"/>
      <w:kern w:val="0"/>
      <w:sz w:val="24"/>
    </w:rPr>
  </w:style>
  <w:style w:type="paragraph" w:styleId="25">
    <w:name w:val="Date"/>
    <w:basedOn w:val="1"/>
    <w:next w:val="1"/>
    <w:link w:val="76"/>
    <w:qFormat/>
    <w:uiPriority w:val="0"/>
    <w:pPr>
      <w:ind w:left="100" w:leftChars="2500"/>
    </w:pPr>
    <w:rPr>
      <w:kern w:val="0"/>
      <w:sz w:val="20"/>
    </w:rPr>
  </w:style>
  <w:style w:type="paragraph" w:styleId="26">
    <w:name w:val="Body Text Indent 2"/>
    <w:basedOn w:val="1"/>
    <w:next w:val="27"/>
    <w:link w:val="77"/>
    <w:qFormat/>
    <w:uiPriority w:val="0"/>
    <w:pPr>
      <w:spacing w:line="360" w:lineRule="auto"/>
    </w:pPr>
    <w:rPr>
      <w:sz w:val="24"/>
    </w:rPr>
  </w:style>
  <w:style w:type="paragraph" w:customStyle="1" w:styleId="27">
    <w:name w:val="样式 正文文本缩进 2 + 自动设置 行距: 1.5 倍行距"/>
    <w:basedOn w:val="26"/>
    <w:next w:val="1"/>
    <w:unhideWhenUsed/>
    <w:qFormat/>
    <w:uiPriority w:val="0"/>
    <w:rPr>
      <w:rFonts w:hint="eastAsia" w:cs="宋体"/>
      <w:szCs w:val="20"/>
    </w:rPr>
  </w:style>
  <w:style w:type="paragraph" w:styleId="28">
    <w:name w:val="Balloon Text"/>
    <w:basedOn w:val="1"/>
    <w:link w:val="78"/>
    <w:semiHidden/>
    <w:qFormat/>
    <w:uiPriority w:val="0"/>
    <w:rPr>
      <w:sz w:val="18"/>
      <w:szCs w:val="18"/>
    </w:rPr>
  </w:style>
  <w:style w:type="paragraph" w:styleId="29">
    <w:name w:val="footer"/>
    <w:basedOn w:val="1"/>
    <w:link w:val="79"/>
    <w:qFormat/>
    <w:uiPriority w:val="0"/>
    <w:pPr>
      <w:tabs>
        <w:tab w:val="center" w:pos="4153"/>
        <w:tab w:val="right" w:pos="8306"/>
      </w:tabs>
      <w:snapToGrid w:val="0"/>
      <w:jc w:val="left"/>
    </w:pPr>
    <w:rPr>
      <w:sz w:val="18"/>
      <w:szCs w:val="18"/>
    </w:rPr>
  </w:style>
  <w:style w:type="paragraph" w:styleId="30">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adjustRightInd w:val="0"/>
      <w:snapToGrid w:val="0"/>
      <w:spacing w:line="240" w:lineRule="atLeast"/>
      <w:textAlignment w:val="baseline"/>
    </w:pPr>
    <w:rPr>
      <w:rFonts w:ascii="宋体" w:hAnsi="宋体"/>
      <w:kern w:val="0"/>
      <w:szCs w:val="20"/>
    </w:rPr>
  </w:style>
  <w:style w:type="paragraph" w:styleId="32">
    <w:name w:val="Subtitle"/>
    <w:basedOn w:val="1"/>
    <w:next w:val="1"/>
    <w:link w:val="81"/>
    <w:qFormat/>
    <w:uiPriority w:val="0"/>
    <w:pPr>
      <w:jc w:val="center"/>
    </w:pPr>
    <w:rPr>
      <w:rFonts w:ascii="Calibri" w:hAnsi="Calibri"/>
      <w:bCs/>
      <w:kern w:val="28"/>
      <w:sz w:val="20"/>
      <w:szCs w:val="32"/>
    </w:rPr>
  </w:style>
  <w:style w:type="paragraph" w:styleId="33">
    <w:name w:val="List"/>
    <w:basedOn w:val="1"/>
    <w:qFormat/>
    <w:uiPriority w:val="0"/>
    <w:pPr>
      <w:ind w:left="420" w:hanging="420"/>
    </w:pPr>
    <w:rPr>
      <w:sz w:val="28"/>
      <w:szCs w:val="20"/>
    </w:rPr>
  </w:style>
  <w:style w:type="paragraph" w:styleId="34">
    <w:name w:val="Body Text Indent 3"/>
    <w:basedOn w:val="1"/>
    <w:link w:val="82"/>
    <w:qFormat/>
    <w:uiPriority w:val="0"/>
    <w:pPr>
      <w:ind w:firstLine="646"/>
    </w:pPr>
    <w:rPr>
      <w:rFonts w:ascii="仿宋_GB2312" w:hAnsi="Calibri" w:eastAsia="仿宋_GB2312"/>
      <w:sz w:val="28"/>
    </w:rPr>
  </w:style>
  <w:style w:type="paragraph" w:styleId="35">
    <w:name w:val="toc 2"/>
    <w:basedOn w:val="1"/>
    <w:next w:val="1"/>
    <w:qFormat/>
    <w:uiPriority w:val="0"/>
    <w:pPr>
      <w:ind w:left="420" w:leftChars="200"/>
    </w:pPr>
    <w:rPr>
      <w:rFonts w:ascii="Calibri" w:hAnsi="Calibri"/>
    </w:rPr>
  </w:style>
  <w:style w:type="paragraph" w:styleId="36">
    <w:name w:val="Body Text 2"/>
    <w:basedOn w:val="1"/>
    <w:link w:val="83"/>
    <w:qFormat/>
    <w:uiPriority w:val="0"/>
    <w:pPr>
      <w:spacing w:after="120" w:line="480" w:lineRule="auto"/>
    </w:pPr>
    <w:rPr>
      <w:rFonts w:ascii="Calibri" w:hAnsi="Calibri"/>
    </w:rPr>
  </w:style>
  <w:style w:type="paragraph" w:styleId="37">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link w:val="85"/>
    <w:qFormat/>
    <w:uiPriority w:val="0"/>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40">
    <w:name w:val="Title"/>
    <w:basedOn w:val="1"/>
    <w:next w:val="1"/>
    <w:link w:val="86"/>
    <w:qFormat/>
    <w:uiPriority w:val="0"/>
    <w:pPr>
      <w:spacing w:line="360" w:lineRule="auto"/>
      <w:jc w:val="center"/>
    </w:pPr>
    <w:rPr>
      <w:rFonts w:ascii="Calibri" w:hAnsi="Calibri"/>
      <w:b/>
      <w:bCs/>
      <w:kern w:val="0"/>
      <w:sz w:val="20"/>
      <w:szCs w:val="32"/>
    </w:rPr>
  </w:style>
  <w:style w:type="paragraph" w:styleId="41">
    <w:name w:val="annotation subject"/>
    <w:basedOn w:val="16"/>
    <w:next w:val="16"/>
    <w:link w:val="87"/>
    <w:qFormat/>
    <w:uiPriority w:val="0"/>
    <w:rPr>
      <w:b/>
      <w:bCs/>
    </w:rPr>
  </w:style>
  <w:style w:type="paragraph" w:styleId="42">
    <w:name w:val="Body Text First Indent"/>
    <w:basedOn w:val="19"/>
    <w:link w:val="88"/>
    <w:qFormat/>
    <w:uiPriority w:val="0"/>
    <w:pPr>
      <w:widowControl w:val="0"/>
      <w:snapToGrid/>
      <w:spacing w:before="0" w:after="120" w:line="240" w:lineRule="auto"/>
      <w:ind w:right="0" w:firstLine="420" w:firstLineChars="100"/>
    </w:pPr>
    <w:rPr>
      <w:rFonts w:hAnsi="Calibri"/>
      <w:kern w:val="2"/>
      <w:sz w:val="21"/>
      <w:szCs w:val="24"/>
    </w:rPr>
  </w:style>
  <w:style w:type="paragraph" w:styleId="43">
    <w:name w:val="Body Text First Indent 2"/>
    <w:basedOn w:val="20"/>
    <w:next w:val="1"/>
    <w:link w:val="89"/>
    <w:qFormat/>
    <w:uiPriority w:val="0"/>
    <w:pPr>
      <w:ind w:firstLine="420" w:firstLineChars="200"/>
    </w:pPr>
    <w:rPr>
      <w:rFonts w:ascii="Calibri" w:hAnsi="Calibri"/>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Emphasis"/>
    <w:qFormat/>
    <w:uiPriority w:val="0"/>
    <w:rPr>
      <w:color w:val="C60A00"/>
    </w:rPr>
  </w:style>
  <w:style w:type="character" w:styleId="51">
    <w:name w:val="Hyperlink"/>
    <w:qFormat/>
    <w:uiPriority w:val="0"/>
    <w:rPr>
      <w:color w:val="3333FF"/>
      <w:u w:val="single"/>
    </w:rPr>
  </w:style>
  <w:style w:type="character" w:styleId="52">
    <w:name w:val="annotation reference"/>
    <w:basedOn w:val="46"/>
    <w:qFormat/>
    <w:uiPriority w:val="0"/>
    <w:rPr>
      <w:sz w:val="21"/>
    </w:rPr>
  </w:style>
  <w:style w:type="paragraph" w:customStyle="1" w:styleId="53">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customStyle="1" w:styleId="54">
    <w:name w:val="正文 首行缩进:  2 字符"/>
    <w:basedOn w:val="1"/>
    <w:qFormat/>
    <w:uiPriority w:val="0"/>
    <w:pPr>
      <w:ind w:firstLine="579" w:firstLineChars="200"/>
    </w:pPr>
    <w:rPr>
      <w:sz w:val="28"/>
      <w:szCs w:val="20"/>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7">
    <w:name w:val="宏文本 字符"/>
    <w:link w:val="2"/>
    <w:qFormat/>
    <w:uiPriority w:val="0"/>
    <w:rPr>
      <w:rFonts w:ascii="Courier New" w:hAnsi="Courier New" w:cs="Courier New"/>
      <w:kern w:val="2"/>
      <w:sz w:val="24"/>
      <w:szCs w:val="24"/>
    </w:rPr>
  </w:style>
  <w:style w:type="character" w:customStyle="1" w:styleId="58">
    <w:name w:val="标题 1 字符"/>
    <w:link w:val="3"/>
    <w:qFormat/>
    <w:uiPriority w:val="0"/>
    <w:rPr>
      <w:rFonts w:eastAsia="黑体"/>
      <w:b/>
      <w:bCs/>
      <w:color w:val="000000"/>
      <w:kern w:val="44"/>
      <w:sz w:val="30"/>
      <w:szCs w:val="30"/>
    </w:rPr>
  </w:style>
  <w:style w:type="character" w:customStyle="1" w:styleId="59">
    <w:name w:val="标题 2 字符"/>
    <w:link w:val="4"/>
    <w:qFormat/>
    <w:uiPriority w:val="0"/>
    <w:rPr>
      <w:rFonts w:ascii="Arial" w:hAnsi="Arial" w:eastAsia="黑体"/>
      <w:b/>
      <w:bCs/>
      <w:kern w:val="2"/>
      <w:sz w:val="32"/>
      <w:szCs w:val="32"/>
    </w:rPr>
  </w:style>
  <w:style w:type="character" w:customStyle="1" w:styleId="60">
    <w:name w:val="标题 3 字符"/>
    <w:link w:val="5"/>
    <w:qFormat/>
    <w:uiPriority w:val="0"/>
    <w:rPr>
      <w:rFonts w:ascii="Calibri" w:hAnsi="Calibri"/>
      <w:b/>
      <w:bCs/>
      <w:kern w:val="2"/>
      <w:sz w:val="32"/>
      <w:szCs w:val="32"/>
    </w:rPr>
  </w:style>
  <w:style w:type="character" w:customStyle="1" w:styleId="61">
    <w:name w:val="标题 4 字符"/>
    <w:link w:val="6"/>
    <w:qFormat/>
    <w:uiPriority w:val="0"/>
    <w:rPr>
      <w:rFonts w:ascii="等线 Light" w:hAnsi="等线 Light" w:eastAsia="等线 Light" w:cs="Times New Roman"/>
      <w:b/>
      <w:bCs/>
      <w:kern w:val="2"/>
      <w:sz w:val="28"/>
      <w:szCs w:val="28"/>
    </w:rPr>
  </w:style>
  <w:style w:type="character" w:customStyle="1" w:styleId="62">
    <w:name w:val="标题 5 字符"/>
    <w:link w:val="7"/>
    <w:qFormat/>
    <w:uiPriority w:val="0"/>
    <w:rPr>
      <w:rFonts w:ascii="Calibri" w:hAnsi="Calibri"/>
      <w:b/>
      <w:bCs/>
      <w:kern w:val="2"/>
      <w:sz w:val="28"/>
      <w:szCs w:val="28"/>
    </w:rPr>
  </w:style>
  <w:style w:type="character" w:customStyle="1" w:styleId="63">
    <w:name w:val="标题 6 字符"/>
    <w:link w:val="8"/>
    <w:qFormat/>
    <w:uiPriority w:val="0"/>
    <w:rPr>
      <w:rFonts w:ascii="Arial" w:hAnsi="Arial" w:eastAsia="黑体"/>
      <w:b/>
      <w:bCs/>
      <w:kern w:val="2"/>
      <w:sz w:val="24"/>
      <w:szCs w:val="24"/>
    </w:rPr>
  </w:style>
  <w:style w:type="character" w:customStyle="1" w:styleId="64">
    <w:name w:val="标题 7 字符"/>
    <w:link w:val="9"/>
    <w:qFormat/>
    <w:uiPriority w:val="0"/>
    <w:rPr>
      <w:rFonts w:ascii="Calibri" w:hAnsi="Calibri"/>
      <w:b/>
      <w:bCs/>
      <w:kern w:val="2"/>
      <w:sz w:val="24"/>
      <w:szCs w:val="24"/>
    </w:rPr>
  </w:style>
  <w:style w:type="character" w:customStyle="1" w:styleId="65">
    <w:name w:val="标题 8 字符"/>
    <w:link w:val="10"/>
    <w:qFormat/>
    <w:uiPriority w:val="0"/>
    <w:rPr>
      <w:rFonts w:ascii="Arial" w:hAnsi="Arial" w:eastAsia="黑体"/>
      <w:kern w:val="2"/>
      <w:sz w:val="24"/>
      <w:szCs w:val="24"/>
    </w:rPr>
  </w:style>
  <w:style w:type="character" w:customStyle="1" w:styleId="66">
    <w:name w:val="标题 9 字符"/>
    <w:link w:val="11"/>
    <w:qFormat/>
    <w:uiPriority w:val="0"/>
    <w:rPr>
      <w:rFonts w:ascii="Arial" w:hAnsi="Arial" w:eastAsia="黑体"/>
      <w:kern w:val="2"/>
      <w:sz w:val="21"/>
      <w:szCs w:val="21"/>
    </w:rPr>
  </w:style>
  <w:style w:type="character" w:customStyle="1" w:styleId="67">
    <w:name w:val="注释标题 字符"/>
    <w:link w:val="12"/>
    <w:qFormat/>
    <w:uiPriority w:val="0"/>
    <w:rPr>
      <w:rFonts w:ascii="Calibri" w:hAnsi="Calibri"/>
      <w:kern w:val="2"/>
      <w:sz w:val="21"/>
      <w:szCs w:val="24"/>
    </w:rPr>
  </w:style>
  <w:style w:type="character" w:customStyle="1" w:styleId="68">
    <w:name w:val="正文缩进 字符"/>
    <w:link w:val="13"/>
    <w:qFormat/>
    <w:uiPriority w:val="0"/>
    <w:rPr>
      <w:rFonts w:ascii="Calibri" w:hAnsi="Calibri"/>
      <w:sz w:val="28"/>
    </w:rPr>
  </w:style>
  <w:style w:type="character" w:customStyle="1" w:styleId="69">
    <w:name w:val="文档结构图 字符"/>
    <w:link w:val="15"/>
    <w:qFormat/>
    <w:uiPriority w:val="0"/>
    <w:rPr>
      <w:rFonts w:ascii="Calibri" w:hAnsi="Calibri"/>
      <w:kern w:val="2"/>
      <w:sz w:val="21"/>
      <w:szCs w:val="24"/>
      <w:shd w:val="clear" w:color="auto" w:fill="000080"/>
    </w:rPr>
  </w:style>
  <w:style w:type="character" w:customStyle="1" w:styleId="70">
    <w:name w:val="批注文字 字符"/>
    <w:link w:val="16"/>
    <w:qFormat/>
    <w:uiPriority w:val="0"/>
    <w:rPr>
      <w:rFonts w:ascii="Times New Roman" w:hAnsi="Times New Roman" w:eastAsia="宋体"/>
      <w:sz w:val="24"/>
    </w:rPr>
  </w:style>
  <w:style w:type="character" w:customStyle="1" w:styleId="71">
    <w:name w:val="称呼 字符"/>
    <w:link w:val="17"/>
    <w:qFormat/>
    <w:uiPriority w:val="0"/>
    <w:rPr>
      <w:rFonts w:ascii="Calibri" w:hAnsi="Calibri"/>
      <w:kern w:val="2"/>
      <w:sz w:val="21"/>
      <w:szCs w:val="24"/>
    </w:rPr>
  </w:style>
  <w:style w:type="character" w:customStyle="1" w:styleId="72">
    <w:name w:val="正文文本 3 字符"/>
    <w:link w:val="18"/>
    <w:qFormat/>
    <w:uiPriority w:val="0"/>
    <w:rPr>
      <w:rFonts w:ascii="宋体" w:hAnsi="宋体"/>
      <w:kern w:val="2"/>
      <w:sz w:val="28"/>
      <w:szCs w:val="24"/>
    </w:rPr>
  </w:style>
  <w:style w:type="character" w:customStyle="1" w:styleId="73">
    <w:name w:val="正文文本 字符"/>
    <w:link w:val="19"/>
    <w:qFormat/>
    <w:uiPriority w:val="0"/>
    <w:rPr>
      <w:sz w:val="18"/>
    </w:rPr>
  </w:style>
  <w:style w:type="character" w:customStyle="1" w:styleId="74">
    <w:name w:val="正文文本缩进 字符"/>
    <w:link w:val="20"/>
    <w:qFormat/>
    <w:uiPriority w:val="0"/>
    <w:rPr>
      <w:rFonts w:ascii="Times New Roman" w:hAnsi="Times New Roman" w:eastAsia="宋体" w:cs="Times New Roman"/>
      <w:sz w:val="24"/>
      <w:szCs w:val="24"/>
    </w:rPr>
  </w:style>
  <w:style w:type="character" w:customStyle="1" w:styleId="75">
    <w:name w:val="纯文本 字符"/>
    <w:link w:val="24"/>
    <w:qFormat/>
    <w:uiPriority w:val="0"/>
    <w:rPr>
      <w:rFonts w:ascii="宋体" w:hAnsi="宋体"/>
      <w:sz w:val="24"/>
      <w:szCs w:val="24"/>
    </w:rPr>
  </w:style>
  <w:style w:type="character" w:customStyle="1" w:styleId="76">
    <w:name w:val="日期 字符1"/>
    <w:link w:val="25"/>
    <w:qFormat/>
    <w:uiPriority w:val="0"/>
    <w:rPr>
      <w:rFonts w:ascii="Times New Roman" w:hAnsi="Times New Roman" w:eastAsia="宋体"/>
      <w:sz w:val="24"/>
    </w:rPr>
  </w:style>
  <w:style w:type="character" w:customStyle="1" w:styleId="77">
    <w:name w:val="正文文本缩进 2 字符"/>
    <w:link w:val="26"/>
    <w:qFormat/>
    <w:uiPriority w:val="0"/>
    <w:rPr>
      <w:rFonts w:eastAsia="宋体"/>
      <w:kern w:val="2"/>
      <w:sz w:val="24"/>
      <w:szCs w:val="24"/>
    </w:rPr>
  </w:style>
  <w:style w:type="character" w:customStyle="1" w:styleId="78">
    <w:name w:val="批注框文本 字符"/>
    <w:link w:val="28"/>
    <w:qFormat/>
    <w:uiPriority w:val="0"/>
    <w:rPr>
      <w:rFonts w:ascii="Times New Roman" w:hAnsi="Times New Roman" w:eastAsia="宋体" w:cs="Times New Roman"/>
      <w:sz w:val="18"/>
      <w:szCs w:val="18"/>
    </w:rPr>
  </w:style>
  <w:style w:type="character" w:customStyle="1" w:styleId="79">
    <w:name w:val="页脚 字符"/>
    <w:link w:val="29"/>
    <w:qFormat/>
    <w:uiPriority w:val="0"/>
    <w:rPr>
      <w:rFonts w:cs="Times New Roman"/>
      <w:sz w:val="18"/>
      <w:szCs w:val="18"/>
    </w:rPr>
  </w:style>
  <w:style w:type="character" w:customStyle="1" w:styleId="80">
    <w:name w:val="页眉 字符"/>
    <w:link w:val="30"/>
    <w:qFormat/>
    <w:uiPriority w:val="99"/>
    <w:rPr>
      <w:rFonts w:cs="Times New Roman"/>
      <w:sz w:val="18"/>
      <w:szCs w:val="18"/>
    </w:rPr>
  </w:style>
  <w:style w:type="character" w:customStyle="1" w:styleId="81">
    <w:name w:val="副标题 字符"/>
    <w:link w:val="32"/>
    <w:qFormat/>
    <w:uiPriority w:val="0"/>
    <w:rPr>
      <w:rFonts w:ascii="Calibri" w:hAnsi="Calibri"/>
      <w:bCs/>
      <w:kern w:val="28"/>
      <w:szCs w:val="32"/>
    </w:rPr>
  </w:style>
  <w:style w:type="character" w:customStyle="1" w:styleId="82">
    <w:name w:val="正文文本缩进 3 字符"/>
    <w:link w:val="34"/>
    <w:qFormat/>
    <w:uiPriority w:val="0"/>
    <w:rPr>
      <w:rFonts w:ascii="仿宋_GB2312" w:hAnsi="Calibri" w:eastAsia="仿宋_GB2312"/>
      <w:kern w:val="2"/>
      <w:sz w:val="28"/>
      <w:szCs w:val="24"/>
    </w:rPr>
  </w:style>
  <w:style w:type="character" w:customStyle="1" w:styleId="83">
    <w:name w:val="正文文本 2 字符"/>
    <w:link w:val="36"/>
    <w:qFormat/>
    <w:uiPriority w:val="0"/>
    <w:rPr>
      <w:rFonts w:ascii="Calibri" w:hAnsi="Calibri"/>
      <w:kern w:val="2"/>
      <w:sz w:val="21"/>
      <w:szCs w:val="24"/>
    </w:rPr>
  </w:style>
  <w:style w:type="character" w:customStyle="1" w:styleId="84">
    <w:name w:val="HTML 预设格式 字符"/>
    <w:link w:val="37"/>
    <w:qFormat/>
    <w:uiPriority w:val="0"/>
    <w:rPr>
      <w:rFonts w:ascii="宋体" w:hAnsi="宋体" w:cs="宋体"/>
      <w:sz w:val="24"/>
      <w:szCs w:val="24"/>
    </w:rPr>
  </w:style>
  <w:style w:type="character" w:customStyle="1" w:styleId="85">
    <w:name w:val="普通(网站) 字符"/>
    <w:link w:val="38"/>
    <w:qFormat/>
    <w:uiPriority w:val="0"/>
    <w:rPr>
      <w:rFonts w:ascii="宋体" w:hAnsi="宋体" w:eastAsia="宋体"/>
      <w:sz w:val="24"/>
    </w:rPr>
  </w:style>
  <w:style w:type="character" w:customStyle="1" w:styleId="86">
    <w:name w:val="标题 字符"/>
    <w:link w:val="40"/>
    <w:qFormat/>
    <w:uiPriority w:val="0"/>
    <w:rPr>
      <w:rFonts w:ascii="Calibri" w:hAnsi="Calibri"/>
      <w:b/>
      <w:bCs/>
      <w:szCs w:val="32"/>
    </w:rPr>
  </w:style>
  <w:style w:type="character" w:customStyle="1" w:styleId="87">
    <w:name w:val="批注主题 字符"/>
    <w:link w:val="41"/>
    <w:qFormat/>
    <w:uiPriority w:val="0"/>
    <w:rPr>
      <w:rFonts w:ascii="Times New Roman" w:hAnsi="Times New Roman" w:eastAsia="宋体" w:cs="Times New Roman"/>
      <w:b/>
      <w:bCs/>
      <w:kern w:val="2"/>
      <w:sz w:val="24"/>
      <w:szCs w:val="24"/>
    </w:rPr>
  </w:style>
  <w:style w:type="character" w:customStyle="1" w:styleId="88">
    <w:name w:val="正文文本首行缩进 字符"/>
    <w:link w:val="42"/>
    <w:qFormat/>
    <w:uiPriority w:val="0"/>
    <w:rPr>
      <w:rFonts w:hAnsi="Calibri"/>
      <w:kern w:val="2"/>
      <w:sz w:val="21"/>
      <w:szCs w:val="24"/>
    </w:rPr>
  </w:style>
  <w:style w:type="character" w:customStyle="1" w:styleId="89">
    <w:name w:val="正文文本首行缩进 2 字符"/>
    <w:link w:val="43"/>
    <w:qFormat/>
    <w:uiPriority w:val="0"/>
    <w:rPr>
      <w:rFonts w:ascii="Calibri" w:hAnsi="Calibri" w:eastAsia="宋体" w:cs="Times New Roman"/>
      <w:kern w:val="2"/>
      <w:sz w:val="21"/>
      <w:szCs w:val="24"/>
    </w:rPr>
  </w:style>
  <w:style w:type="character" w:customStyle="1" w:styleId="90">
    <w:name w:val="表格1 Char"/>
    <w:link w:val="91"/>
    <w:qFormat/>
    <w:uiPriority w:val="0"/>
    <w:rPr>
      <w:rFonts w:ascii="宋体" w:hAnsi="Calibri"/>
      <w:sz w:val="24"/>
    </w:rPr>
  </w:style>
  <w:style w:type="paragraph" w:customStyle="1" w:styleId="91">
    <w:name w:val="表格1"/>
    <w:basedOn w:val="1"/>
    <w:link w:val="90"/>
    <w:qFormat/>
    <w:uiPriority w:val="0"/>
    <w:pPr>
      <w:adjustRightInd w:val="0"/>
      <w:jc w:val="center"/>
      <w:textAlignment w:val="baseline"/>
    </w:pPr>
    <w:rPr>
      <w:rFonts w:ascii="宋体" w:hAnsi="Calibri"/>
      <w:kern w:val="0"/>
      <w:sz w:val="24"/>
      <w:szCs w:val="20"/>
    </w:rPr>
  </w:style>
  <w:style w:type="character" w:customStyle="1" w:styleId="92">
    <w:name w:val="表头样式1 Char Char"/>
    <w:qFormat/>
    <w:uiPriority w:val="0"/>
    <w:rPr>
      <w:rFonts w:hint="default" w:ascii="Times New Roman" w:hAnsi="Times New Roman" w:eastAsia="黑体" w:cs="Times New Roman"/>
      <w:b/>
      <w:sz w:val="20"/>
    </w:rPr>
  </w:style>
  <w:style w:type="character" w:customStyle="1" w:styleId="93">
    <w:name w:val="样式 标题ljm + 首行缩进:  2 字符 Char Char"/>
    <w:qFormat/>
    <w:uiPriority w:val="0"/>
    <w:rPr>
      <w:rFonts w:hint="default" w:ascii="Times New Roman" w:hAnsi="Times New Roman" w:cs="Times New Roman"/>
      <w:b/>
    </w:rPr>
  </w:style>
  <w:style w:type="character" w:customStyle="1" w:styleId="94">
    <w:name w:val="样式 表（或图）标题 样式 宋体 五号 居中 SL CON + 非加粗 Char Char"/>
    <w:qFormat/>
    <w:uiPriority w:val="0"/>
    <w:rPr>
      <w:b/>
      <w:sz w:val="21"/>
    </w:rPr>
  </w:style>
  <w:style w:type="character" w:customStyle="1" w:styleId="95">
    <w:name w:val="表格样式 Char"/>
    <w:link w:val="96"/>
    <w:qFormat/>
    <w:uiPriority w:val="0"/>
    <w:rPr>
      <w:kern w:val="2"/>
      <w:sz w:val="21"/>
      <w:szCs w:val="24"/>
    </w:rPr>
  </w:style>
  <w:style w:type="paragraph" w:customStyle="1" w:styleId="96">
    <w:name w:val="表格样式"/>
    <w:basedOn w:val="1"/>
    <w:link w:val="95"/>
    <w:qFormat/>
    <w:uiPriority w:val="0"/>
    <w:pPr>
      <w:spacing w:line="320" w:lineRule="exact"/>
      <w:contextualSpacing/>
      <w:jc w:val="center"/>
    </w:pPr>
  </w:style>
  <w:style w:type="character" w:customStyle="1" w:styleId="97">
    <w:name w:val="title8"/>
    <w:qFormat/>
    <w:uiPriority w:val="0"/>
  </w:style>
  <w:style w:type="character" w:customStyle="1" w:styleId="98">
    <w:name w:val="03表格文字 Char"/>
    <w:link w:val="99"/>
    <w:qFormat/>
    <w:uiPriority w:val="0"/>
    <w:rPr>
      <w:kern w:val="2"/>
      <w:sz w:val="22"/>
      <w:szCs w:val="22"/>
    </w:rPr>
  </w:style>
  <w:style w:type="paragraph" w:customStyle="1" w:styleId="99">
    <w:name w:val="03表格文字"/>
    <w:basedOn w:val="1"/>
    <w:link w:val="98"/>
    <w:qFormat/>
    <w:uiPriority w:val="0"/>
    <w:pPr>
      <w:adjustRightInd w:val="0"/>
      <w:snapToGrid w:val="0"/>
      <w:spacing w:line="360" w:lineRule="exact"/>
      <w:jc w:val="center"/>
    </w:pPr>
    <w:rPr>
      <w:sz w:val="22"/>
      <w:szCs w:val="22"/>
    </w:rPr>
  </w:style>
  <w:style w:type="character" w:customStyle="1" w:styleId="100">
    <w:name w:val="题注 Char"/>
    <w:qFormat/>
    <w:uiPriority w:val="0"/>
    <w:rPr>
      <w:rFonts w:hint="default" w:ascii="Arial" w:hAnsi="Arial" w:eastAsia="黑体" w:cs="Arial"/>
    </w:rPr>
  </w:style>
  <w:style w:type="character" w:customStyle="1" w:styleId="101">
    <w:name w:val="07报告文本 Char"/>
    <w:link w:val="102"/>
    <w:qFormat/>
    <w:uiPriority w:val="0"/>
    <w:rPr>
      <w:kern w:val="2"/>
      <w:sz w:val="24"/>
      <w:szCs w:val="28"/>
    </w:rPr>
  </w:style>
  <w:style w:type="paragraph" w:customStyle="1" w:styleId="102">
    <w:name w:val="07报告文本"/>
    <w:basedOn w:val="1"/>
    <w:link w:val="101"/>
    <w:qFormat/>
    <w:uiPriority w:val="0"/>
    <w:pPr>
      <w:spacing w:line="460" w:lineRule="exact"/>
      <w:ind w:firstLine="200" w:firstLineChars="200"/>
    </w:pPr>
    <w:rPr>
      <w:sz w:val="24"/>
      <w:szCs w:val="28"/>
    </w:rPr>
  </w:style>
  <w:style w:type="character" w:customStyle="1" w:styleId="103">
    <w:name w:val="01表格 Char"/>
    <w:qFormat/>
    <w:uiPriority w:val="0"/>
    <w:rPr>
      <w:rFonts w:hint="default" w:ascii="Arial" w:hAnsi="Arial" w:eastAsia="黑体" w:cs="Arial"/>
      <w:b/>
      <w:sz w:val="21"/>
    </w:rPr>
  </w:style>
  <w:style w:type="character" w:customStyle="1" w:styleId="104">
    <w:name w:val="表内字 Char Char"/>
    <w:link w:val="105"/>
    <w:qFormat/>
    <w:uiPriority w:val="0"/>
    <w:rPr>
      <w:kern w:val="2"/>
      <w:sz w:val="22"/>
      <w:szCs w:val="21"/>
    </w:rPr>
  </w:style>
  <w:style w:type="paragraph" w:customStyle="1" w:styleId="105">
    <w:name w:val="表内字"/>
    <w:basedOn w:val="106"/>
    <w:link w:val="104"/>
    <w:qFormat/>
    <w:uiPriority w:val="0"/>
    <w:pPr>
      <w:adjustRightInd/>
      <w:snapToGrid/>
      <w:spacing w:beforeLines="0" w:afterLines="0" w:line="240" w:lineRule="auto"/>
    </w:pPr>
    <w:rPr>
      <w:rFonts w:ascii="Times New Roman"/>
      <w:kern w:val="2"/>
      <w:sz w:val="22"/>
    </w:rPr>
  </w:style>
  <w:style w:type="paragraph" w:customStyle="1" w:styleId="106">
    <w:name w:val="表格"/>
    <w:basedOn w:val="1"/>
    <w:next w:val="1"/>
    <w:link w:val="107"/>
    <w:qFormat/>
    <w:uiPriority w:val="0"/>
    <w:pPr>
      <w:adjustRightInd w:val="0"/>
      <w:snapToGrid w:val="0"/>
      <w:spacing w:beforeLines="10" w:afterLines="10" w:line="259" w:lineRule="auto"/>
      <w:jc w:val="center"/>
    </w:pPr>
    <w:rPr>
      <w:rFonts w:ascii="宋体"/>
      <w:kern w:val="0"/>
      <w:sz w:val="20"/>
      <w:szCs w:val="21"/>
    </w:rPr>
  </w:style>
  <w:style w:type="character" w:customStyle="1" w:styleId="107">
    <w:name w:val="表格 Char"/>
    <w:link w:val="106"/>
    <w:qFormat/>
    <w:uiPriority w:val="0"/>
    <w:rPr>
      <w:rFonts w:ascii="宋体"/>
      <w:sz w:val="21"/>
    </w:rPr>
  </w:style>
  <w:style w:type="character" w:customStyle="1" w:styleId="108">
    <w:name w:val="表内文字 样式 五号 居中 行距: 单倍行距 SL CON Char"/>
    <w:qFormat/>
    <w:uiPriority w:val="0"/>
    <w:rPr>
      <w:sz w:val="21"/>
    </w:rPr>
  </w:style>
  <w:style w:type="character" w:customStyle="1" w:styleId="109">
    <w:name w:val="正文缩进 Char2"/>
    <w:qFormat/>
    <w:uiPriority w:val="0"/>
    <w:rPr>
      <w:rFonts w:hint="default" w:ascii="Times New Roman" w:hAnsi="Times New Roman" w:cs="Times New Roman"/>
    </w:rPr>
  </w:style>
  <w:style w:type="character" w:customStyle="1" w:styleId="110">
    <w:name w:val="批注文字 字符1"/>
    <w:semiHidden/>
    <w:qFormat/>
    <w:uiPriority w:val="0"/>
    <w:rPr>
      <w:rFonts w:ascii="Times New Roman" w:hAnsi="Times New Roman" w:eastAsia="宋体" w:cs="Times New Roman"/>
      <w:sz w:val="24"/>
      <w:szCs w:val="24"/>
    </w:rPr>
  </w:style>
  <w:style w:type="character" w:customStyle="1" w:styleId="111">
    <w:name w:val="表头样式1 Char"/>
    <w:qFormat/>
    <w:uiPriority w:val="0"/>
    <w:rPr>
      <w:rFonts w:hint="default" w:ascii="Times New Roman" w:hAnsi="Times New Roman" w:eastAsia="黑体" w:cs="Times New Roman"/>
      <w:b/>
    </w:rPr>
  </w:style>
  <w:style w:type="character" w:customStyle="1" w:styleId="112">
    <w:name w:val="font21"/>
    <w:basedOn w:val="46"/>
    <w:qFormat/>
    <w:uiPriority w:val="0"/>
    <w:rPr>
      <w:rFonts w:hint="default" w:ascii="Times New Roman" w:hAnsi="Times New Roman" w:cs="Times New Roman"/>
      <w:b/>
      <w:color w:val="000000"/>
      <w:sz w:val="24"/>
      <w:szCs w:val="24"/>
      <w:u w:val="none"/>
      <w:vertAlign w:val="superscript"/>
    </w:rPr>
  </w:style>
  <w:style w:type="character" w:customStyle="1" w:styleId="113">
    <w:name w:val="我的正文 Char"/>
    <w:qFormat/>
    <w:uiPriority w:val="0"/>
    <w:rPr>
      <w:rFonts w:hint="eastAsia" w:ascii="宋体" w:hAnsi="宋体" w:eastAsia="宋体" w:cs="宋体"/>
      <w:color w:val="000000"/>
      <w:kern w:val="2"/>
      <w:sz w:val="24"/>
    </w:rPr>
  </w:style>
  <w:style w:type="character" w:customStyle="1" w:styleId="114">
    <w:name w:val="正文文本缩进 2 Char1"/>
    <w:qFormat/>
    <w:uiPriority w:val="0"/>
    <w:rPr>
      <w:sz w:val="24"/>
    </w:rPr>
  </w:style>
  <w:style w:type="character" w:customStyle="1" w:styleId="115">
    <w:name w:val="图题 表题 Char"/>
    <w:qFormat/>
    <w:uiPriority w:val="0"/>
    <w:rPr>
      <w:rFonts w:hint="default" w:ascii="Times New Roman" w:hAnsi="Times New Roman" w:cs="Times New Roman"/>
      <w:b/>
      <w:kern w:val="2"/>
      <w:sz w:val="21"/>
    </w:rPr>
  </w:style>
  <w:style w:type="character" w:customStyle="1" w:styleId="116">
    <w:name w:val="表格表格 Char"/>
    <w:link w:val="117"/>
    <w:qFormat/>
    <w:uiPriority w:val="0"/>
    <w:rPr>
      <w:rFonts w:cs="宋体"/>
      <w:color w:val="000000"/>
      <w:sz w:val="21"/>
      <w:szCs w:val="21"/>
    </w:rPr>
  </w:style>
  <w:style w:type="paragraph" w:customStyle="1" w:styleId="117">
    <w:name w:val="表格表格"/>
    <w:basedOn w:val="1"/>
    <w:link w:val="116"/>
    <w:qFormat/>
    <w:uiPriority w:val="0"/>
    <w:pPr>
      <w:jc w:val="left"/>
    </w:pPr>
    <w:rPr>
      <w:rFonts w:cs="宋体"/>
      <w:color w:val="000000"/>
      <w:kern w:val="0"/>
      <w:szCs w:val="21"/>
    </w:rPr>
  </w:style>
  <w:style w:type="character" w:customStyle="1" w:styleId="118">
    <w:name w:val="日期 Char"/>
    <w:qFormat/>
    <w:uiPriority w:val="0"/>
    <w:rPr>
      <w:rFonts w:hint="eastAsia" w:ascii="宋体" w:hAnsi="Courier New" w:eastAsia="宋体" w:cs="宋体"/>
      <w:sz w:val="28"/>
    </w:rPr>
  </w:style>
  <w:style w:type="character" w:customStyle="1" w:styleId="119">
    <w:name w:val="样式9 Char"/>
    <w:qFormat/>
    <w:uiPriority w:val="0"/>
    <w:rPr>
      <w:rFonts w:hint="default" w:ascii="Times New Roman" w:hAnsi="Times New Roman" w:cs="Times New Roman"/>
      <w:sz w:val="26"/>
    </w:rPr>
  </w:style>
  <w:style w:type="character" w:customStyle="1" w:styleId="120">
    <w:name w:val="Heading 2 Char"/>
    <w:qFormat/>
    <w:uiPriority w:val="0"/>
    <w:rPr>
      <w:rFonts w:hint="default" w:ascii="Cambria" w:hAnsi="Cambria" w:eastAsia="宋体" w:cs="Times New Roman"/>
      <w:b/>
      <w:kern w:val="2"/>
      <w:sz w:val="32"/>
      <w:szCs w:val="32"/>
    </w:rPr>
  </w:style>
  <w:style w:type="character" w:customStyle="1" w:styleId="121">
    <w:name w:val="新格式表 Char"/>
    <w:link w:val="122"/>
    <w:qFormat/>
    <w:uiPriority w:val="0"/>
    <w:rPr>
      <w:snapToGrid w:val="0"/>
      <w:color w:val="000000"/>
      <w:kern w:val="2"/>
      <w:sz w:val="21"/>
      <w:szCs w:val="21"/>
      <w:lang w:val="en-GB"/>
    </w:rPr>
  </w:style>
  <w:style w:type="paragraph" w:customStyle="1" w:styleId="122">
    <w:name w:val="新格式表"/>
    <w:basedOn w:val="1"/>
    <w:link w:val="121"/>
    <w:qFormat/>
    <w:uiPriority w:val="0"/>
    <w:pPr>
      <w:jc w:val="center"/>
    </w:pPr>
    <w:rPr>
      <w:color w:val="000000"/>
      <w:szCs w:val="21"/>
      <w:lang w:val="en-GB"/>
    </w:rPr>
  </w:style>
  <w:style w:type="character" w:customStyle="1" w:styleId="123">
    <w:name w:val="02图 Char"/>
    <w:qFormat/>
    <w:uiPriority w:val="0"/>
    <w:rPr>
      <w:rFonts w:hint="default" w:ascii="Arial" w:hAnsi="Arial" w:eastAsia="黑体" w:cs="Arial"/>
      <w:b/>
    </w:rPr>
  </w:style>
  <w:style w:type="character" w:customStyle="1" w:styleId="124">
    <w:name w:val="Char1 Char Char Char Char Char"/>
    <w:qFormat/>
    <w:uiPriority w:val="0"/>
    <w:rPr>
      <w:rFonts w:eastAsia="宋体"/>
      <w:kern w:val="2"/>
      <w:sz w:val="21"/>
      <w:szCs w:val="24"/>
      <w:lang w:val="en-US" w:eastAsia="zh-CN" w:bidi="ar-SA"/>
    </w:rPr>
  </w:style>
  <w:style w:type="character" w:customStyle="1" w:styleId="125">
    <w:name w:val="表名-中煤 Char"/>
    <w:link w:val="126"/>
    <w:qFormat/>
    <w:uiPriority w:val="0"/>
    <w:rPr>
      <w:color w:val="000000"/>
      <w:sz w:val="26"/>
      <w:szCs w:val="21"/>
      <w:lang w:val="zh-CN"/>
    </w:rPr>
  </w:style>
  <w:style w:type="paragraph" w:customStyle="1" w:styleId="126">
    <w:name w:val="表名-中煤"/>
    <w:basedOn w:val="1"/>
    <w:link w:val="125"/>
    <w:qFormat/>
    <w:uiPriority w:val="0"/>
    <w:pPr>
      <w:autoSpaceDE w:val="0"/>
      <w:autoSpaceDN w:val="0"/>
      <w:adjustRightInd w:val="0"/>
      <w:snapToGrid w:val="0"/>
      <w:jc w:val="center"/>
    </w:pPr>
    <w:rPr>
      <w:color w:val="000000"/>
      <w:kern w:val="0"/>
      <w:sz w:val="26"/>
      <w:szCs w:val="21"/>
      <w:lang w:val="zh-CN"/>
    </w:rPr>
  </w:style>
  <w:style w:type="character" w:customStyle="1" w:styleId="127">
    <w:name w:val="h31"/>
    <w:qFormat/>
    <w:uiPriority w:val="0"/>
    <w:rPr>
      <w:sz w:val="21"/>
      <w:szCs w:val="21"/>
    </w:rPr>
  </w:style>
  <w:style w:type="character" w:customStyle="1" w:styleId="128">
    <w:name w:val="环评证文 Char"/>
    <w:link w:val="129"/>
    <w:qFormat/>
    <w:uiPriority w:val="0"/>
    <w:rPr>
      <w:rFonts w:hAnsi="宋体"/>
      <w:color w:val="000000"/>
      <w:sz w:val="24"/>
    </w:rPr>
  </w:style>
  <w:style w:type="paragraph" w:customStyle="1" w:styleId="129">
    <w:name w:val="环评证文"/>
    <w:basedOn w:val="1"/>
    <w:link w:val="128"/>
    <w:qFormat/>
    <w:uiPriority w:val="0"/>
    <w:pPr>
      <w:widowControl/>
      <w:spacing w:line="440" w:lineRule="exact"/>
      <w:ind w:firstLine="480"/>
      <w:jc w:val="left"/>
    </w:pPr>
    <w:rPr>
      <w:rFonts w:hAnsi="宋体"/>
      <w:color w:val="000000"/>
      <w:kern w:val="0"/>
      <w:sz w:val="24"/>
      <w:szCs w:val="20"/>
    </w:rPr>
  </w:style>
  <w:style w:type="character" w:customStyle="1" w:styleId="130">
    <w:name w:val="纯文本 Char"/>
    <w:qFormat/>
    <w:uiPriority w:val="0"/>
    <w:rPr>
      <w:rFonts w:ascii="宋体" w:hAnsi="宋体" w:eastAsia="宋体"/>
      <w:sz w:val="24"/>
      <w:szCs w:val="24"/>
      <w:lang w:val="en-US" w:eastAsia="zh-CN" w:bidi="ar-SA"/>
    </w:rPr>
  </w:style>
  <w:style w:type="character" w:customStyle="1" w:styleId="131">
    <w:name w:val="正文（首行缩进2字） Char"/>
    <w:link w:val="132"/>
    <w:qFormat/>
    <w:uiPriority w:val="0"/>
    <w:rPr>
      <w:rFonts w:ascii="宋体" w:hAnsi="宋体"/>
      <w:kern w:val="2"/>
      <w:sz w:val="24"/>
      <w:szCs w:val="24"/>
    </w:rPr>
  </w:style>
  <w:style w:type="paragraph" w:customStyle="1" w:styleId="132">
    <w:name w:val="正文（首行缩进2字）"/>
    <w:basedOn w:val="1"/>
    <w:link w:val="131"/>
    <w:qFormat/>
    <w:uiPriority w:val="0"/>
    <w:rPr>
      <w:rFonts w:ascii="宋体" w:hAnsi="宋体"/>
      <w:sz w:val="24"/>
    </w:rPr>
  </w:style>
  <w:style w:type="character" w:customStyle="1" w:styleId="133">
    <w:name w:val="style4"/>
    <w:qFormat/>
    <w:uiPriority w:val="0"/>
  </w:style>
  <w:style w:type="character" w:customStyle="1" w:styleId="134">
    <w:name w:val="font11"/>
    <w:basedOn w:val="46"/>
    <w:qFormat/>
    <w:uiPriority w:val="0"/>
    <w:rPr>
      <w:rFonts w:hint="eastAsia" w:ascii="宋体" w:hAnsi="宋体" w:eastAsia="宋体" w:cs="宋体"/>
      <w:b/>
      <w:color w:val="000000"/>
      <w:sz w:val="24"/>
      <w:szCs w:val="24"/>
      <w:u w:val="none"/>
    </w:rPr>
  </w:style>
  <w:style w:type="character" w:customStyle="1" w:styleId="135">
    <w:name w:val="cn"/>
    <w:qFormat/>
    <w:uiPriority w:val="0"/>
  </w:style>
  <w:style w:type="character" w:customStyle="1" w:styleId="136">
    <w:name w:val="Char Char7"/>
    <w:qFormat/>
    <w:uiPriority w:val="0"/>
    <w:rPr>
      <w:rFonts w:ascii="宋体" w:hAnsi="宋体" w:eastAsia="黑体"/>
      <w:bCs/>
      <w:color w:val="FF0000"/>
      <w:kern w:val="2"/>
      <w:sz w:val="28"/>
      <w:szCs w:val="28"/>
    </w:rPr>
  </w:style>
  <w:style w:type="character" w:customStyle="1" w:styleId="137">
    <w:name w:val="纯文本 Char2"/>
    <w:qFormat/>
    <w:uiPriority w:val="0"/>
    <w:rPr>
      <w:rFonts w:hint="eastAsia" w:ascii="宋体" w:hAnsi="Courier New" w:eastAsia="宋体" w:cs="宋体"/>
      <w:kern w:val="2"/>
      <w:sz w:val="21"/>
      <w:lang w:val="en-US" w:eastAsia="zh-CN"/>
    </w:rPr>
  </w:style>
  <w:style w:type="character" w:customStyle="1" w:styleId="138">
    <w:name w:val="表格文字五号 Char"/>
    <w:link w:val="139"/>
    <w:qFormat/>
    <w:uiPriority w:val="0"/>
    <w:rPr>
      <w:sz w:val="21"/>
    </w:rPr>
  </w:style>
  <w:style w:type="paragraph" w:customStyle="1" w:styleId="139">
    <w:name w:val="表格文字五号"/>
    <w:basedOn w:val="1"/>
    <w:next w:val="1"/>
    <w:link w:val="138"/>
    <w:qFormat/>
    <w:uiPriority w:val="0"/>
    <w:pPr>
      <w:adjustRightInd w:val="0"/>
      <w:jc w:val="center"/>
    </w:pPr>
    <w:rPr>
      <w:kern w:val="0"/>
      <w:szCs w:val="20"/>
    </w:rPr>
  </w:style>
  <w:style w:type="character" w:customStyle="1" w:styleId="140">
    <w:name w:val="常用表格样式 Char1"/>
    <w:qFormat/>
    <w:uiPriority w:val="0"/>
    <w:rPr>
      <w:rFonts w:hint="eastAsia" w:ascii="宋体" w:hAnsi="新宋体" w:eastAsia="仿宋_GB2312" w:cs="宋体"/>
      <w:spacing w:val="2"/>
      <w:sz w:val="24"/>
    </w:rPr>
  </w:style>
  <w:style w:type="character" w:customStyle="1" w:styleId="141">
    <w:name w:val="样式 表（或图）标题 样式 宋体 五号 居中 SL CON + 非加粗 Char"/>
    <w:qFormat/>
    <w:uiPriority w:val="0"/>
    <w:rPr>
      <w:rFonts w:hint="eastAsia" w:ascii="宋体" w:hAnsi="宋体" w:eastAsia="宋体" w:cs="宋体"/>
      <w:b/>
    </w:rPr>
  </w:style>
  <w:style w:type="character" w:customStyle="1" w:styleId="142">
    <w:name w:val="Date Char1"/>
    <w:qFormat/>
    <w:uiPriority w:val="0"/>
    <w:rPr>
      <w:rFonts w:hint="default" w:ascii="Times New Roman" w:hAnsi="Times New Roman" w:cs="Times New Roman"/>
      <w:kern w:val="2"/>
      <w:sz w:val="21"/>
      <w:szCs w:val="24"/>
    </w:rPr>
  </w:style>
  <w:style w:type="character" w:customStyle="1" w:styleId="143">
    <w:name w:val="表头 Char1"/>
    <w:qFormat/>
    <w:uiPriority w:val="0"/>
    <w:rPr>
      <w:rFonts w:hint="default" w:ascii="Times New Roman" w:hAnsi="Times New Roman" w:cs="Times New Roman"/>
      <w:spacing w:val="2"/>
    </w:rPr>
  </w:style>
  <w:style w:type="character" w:customStyle="1" w:styleId="144">
    <w:name w:val="样式9 Char Char"/>
    <w:link w:val="145"/>
    <w:qFormat/>
    <w:uiPriority w:val="0"/>
    <w:rPr>
      <w:sz w:val="26"/>
      <w:szCs w:val="26"/>
    </w:rPr>
  </w:style>
  <w:style w:type="paragraph" w:customStyle="1" w:styleId="145">
    <w:name w:val="样式9"/>
    <w:basedOn w:val="1"/>
    <w:link w:val="144"/>
    <w:qFormat/>
    <w:uiPriority w:val="0"/>
    <w:pPr>
      <w:snapToGrid w:val="0"/>
      <w:spacing w:line="480" w:lineRule="atLeast"/>
      <w:ind w:firstLine="200" w:firstLineChars="200"/>
    </w:pPr>
    <w:rPr>
      <w:kern w:val="0"/>
      <w:sz w:val="26"/>
      <w:szCs w:val="26"/>
    </w:rPr>
  </w:style>
  <w:style w:type="character" w:customStyle="1" w:styleId="146">
    <w:name w:val="Body Text Indent 2 Char1"/>
    <w:qFormat/>
    <w:uiPriority w:val="0"/>
    <w:rPr>
      <w:rFonts w:hint="default" w:ascii="Times New Roman" w:hAnsi="Times New Roman" w:cs="Times New Roman"/>
      <w:kern w:val="2"/>
      <w:sz w:val="21"/>
      <w:szCs w:val="24"/>
    </w:rPr>
  </w:style>
  <w:style w:type="character" w:customStyle="1" w:styleId="147">
    <w:name w:val="正文缩进 Char"/>
    <w:qFormat/>
    <w:uiPriority w:val="0"/>
    <w:rPr>
      <w:rFonts w:eastAsia="宋体"/>
      <w:kern w:val="2"/>
      <w:sz w:val="21"/>
      <w:szCs w:val="24"/>
      <w:lang w:val="en-US" w:eastAsia="zh-CN" w:bidi="ar-SA"/>
    </w:rPr>
  </w:style>
  <w:style w:type="character" w:customStyle="1" w:styleId="148">
    <w:name w:val="报告 Char Char"/>
    <w:link w:val="149"/>
    <w:qFormat/>
    <w:uiPriority w:val="0"/>
    <w:rPr>
      <w:rFonts w:ascii="TimesNewRoman" w:hAnsi="TimesNewRoman"/>
      <w:sz w:val="24"/>
    </w:rPr>
  </w:style>
  <w:style w:type="paragraph" w:customStyle="1" w:styleId="149">
    <w:name w:val="报告"/>
    <w:basedOn w:val="1"/>
    <w:link w:val="148"/>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50">
    <w:name w:val="样式 宋体 小四 行距: 1.5 倍行距 Char"/>
    <w:qFormat/>
    <w:uiPriority w:val="0"/>
    <w:rPr>
      <w:rFonts w:hint="eastAsia" w:ascii="宋体" w:hAnsi="宋体" w:eastAsia="宋体" w:cs="宋体"/>
      <w:sz w:val="24"/>
    </w:rPr>
  </w:style>
  <w:style w:type="character" w:customStyle="1" w:styleId="151">
    <w:name w:val="我的报告正文 Char"/>
    <w:qFormat/>
    <w:uiPriority w:val="0"/>
    <w:rPr>
      <w:rFonts w:hint="default" w:ascii="Times New Roman" w:hAnsi="Times New Roman" w:cs="Times New Roman"/>
      <w:sz w:val="24"/>
    </w:rPr>
  </w:style>
  <w:style w:type="character" w:customStyle="1" w:styleId="152">
    <w:name w:val="text1"/>
    <w:qFormat/>
    <w:uiPriority w:val="0"/>
    <w:rPr>
      <w:rFonts w:hint="eastAsia" w:ascii="宋体" w:hAnsi="宋体" w:eastAsia="宋体"/>
      <w:color w:val="999999"/>
      <w:sz w:val="18"/>
      <w:szCs w:val="18"/>
      <w:u w:val="none"/>
    </w:rPr>
  </w:style>
  <w:style w:type="character" w:customStyle="1" w:styleId="153">
    <w:name w:val="Plain Text Char1"/>
    <w:qFormat/>
    <w:uiPriority w:val="0"/>
    <w:rPr>
      <w:rFonts w:hint="eastAsia" w:ascii="宋体" w:hAnsi="Courier New" w:eastAsia="宋体" w:cs="Courier New"/>
      <w:kern w:val="2"/>
      <w:sz w:val="21"/>
      <w:szCs w:val="21"/>
    </w:rPr>
  </w:style>
  <w:style w:type="character" w:customStyle="1" w:styleId="154">
    <w:name w:val="Style1 Char"/>
    <w:link w:val="155"/>
    <w:qFormat/>
    <w:uiPriority w:val="0"/>
    <w:rPr>
      <w:sz w:val="24"/>
    </w:rPr>
  </w:style>
  <w:style w:type="paragraph" w:customStyle="1" w:styleId="155">
    <w:name w:val="Style1"/>
    <w:basedOn w:val="1"/>
    <w:link w:val="154"/>
    <w:qFormat/>
    <w:uiPriority w:val="0"/>
    <w:pPr>
      <w:widowControl/>
      <w:spacing w:line="360" w:lineRule="auto"/>
      <w:ind w:firstLine="200" w:firstLineChars="200"/>
      <w:jc w:val="left"/>
    </w:pPr>
    <w:rPr>
      <w:kern w:val="0"/>
      <w:sz w:val="24"/>
      <w:szCs w:val="20"/>
    </w:rPr>
  </w:style>
  <w:style w:type="character" w:customStyle="1" w:styleId="156">
    <w:name w:val="排版正文 Char Char"/>
    <w:qFormat/>
    <w:uiPriority w:val="0"/>
    <w:rPr>
      <w:rFonts w:hint="default" w:ascii="Times New Roman" w:hAnsi="Times New Roman" w:eastAsia="宋体" w:cs="Times New Roman"/>
      <w:kern w:val="0"/>
      <w:sz w:val="26"/>
    </w:rPr>
  </w:style>
  <w:style w:type="character" w:customStyle="1" w:styleId="157">
    <w:name w:val="zhengwen Char1"/>
    <w:link w:val="158"/>
    <w:qFormat/>
    <w:uiPriority w:val="0"/>
    <w:rPr>
      <w:rFonts w:ascii="Arial" w:hAnsi="Arial" w:cs="Arial"/>
      <w:sz w:val="24"/>
    </w:rPr>
  </w:style>
  <w:style w:type="paragraph" w:customStyle="1" w:styleId="158">
    <w:name w:val="zhengwen"/>
    <w:basedOn w:val="1"/>
    <w:link w:val="157"/>
    <w:qFormat/>
    <w:uiPriority w:val="0"/>
    <w:pPr>
      <w:spacing w:line="360" w:lineRule="auto"/>
      <w:ind w:firstLine="200" w:firstLineChars="200"/>
    </w:pPr>
    <w:rPr>
      <w:rFonts w:ascii="Arial" w:hAnsi="Arial" w:cs="Arial"/>
      <w:kern w:val="0"/>
      <w:sz w:val="24"/>
      <w:szCs w:val="20"/>
    </w:rPr>
  </w:style>
  <w:style w:type="character" w:customStyle="1" w:styleId="159">
    <w:name w:val="标题 3 SL CON Char"/>
    <w:qFormat/>
    <w:uiPriority w:val="0"/>
    <w:rPr>
      <w:rFonts w:hint="default" w:ascii="Times New Roman" w:hAnsi="Times New Roman" w:eastAsia="黑体" w:cs="Times New Roman"/>
      <w:sz w:val="24"/>
    </w:rPr>
  </w:style>
  <w:style w:type="character" w:customStyle="1" w:styleId="160">
    <w:name w:val="样式6 Char"/>
    <w:link w:val="161"/>
    <w:qFormat/>
    <w:uiPriority w:val="0"/>
    <w:rPr>
      <w:rFonts w:ascii="宋体" w:hAnsi="宋体"/>
      <w:kern w:val="2"/>
      <w:sz w:val="24"/>
      <w:szCs w:val="24"/>
    </w:rPr>
  </w:style>
  <w:style w:type="paragraph" w:customStyle="1" w:styleId="161">
    <w:name w:val="样式6"/>
    <w:basedOn w:val="18"/>
    <w:link w:val="160"/>
    <w:qFormat/>
    <w:uiPriority w:val="0"/>
    <w:pPr>
      <w:spacing w:line="500" w:lineRule="exact"/>
      <w:ind w:firstLine="480"/>
    </w:pPr>
    <w:rPr>
      <w:sz w:val="24"/>
    </w:rPr>
  </w:style>
  <w:style w:type="character" w:customStyle="1" w:styleId="162">
    <w:name w:val="样式 正文 首行缩进:  2 字符 SL CON + 首行缩进:  2 字符 Char"/>
    <w:qFormat/>
    <w:uiPriority w:val="0"/>
    <w:rPr>
      <w:rFonts w:hint="eastAsia" w:ascii="宋体" w:hAnsi="宋体" w:eastAsia="宋体" w:cs="宋体"/>
      <w:sz w:val="24"/>
    </w:rPr>
  </w:style>
  <w:style w:type="character" w:customStyle="1" w:styleId="163">
    <w:name w:val="count4"/>
    <w:qFormat/>
    <w:uiPriority w:val="0"/>
  </w:style>
  <w:style w:type="character" w:customStyle="1" w:styleId="164">
    <w:name w:val="纯文本 Char Char Char Char2"/>
    <w:qFormat/>
    <w:uiPriority w:val="0"/>
    <w:rPr>
      <w:rFonts w:ascii="宋体" w:hAnsi="Courier New" w:eastAsia="宋体"/>
      <w:kern w:val="2"/>
      <w:sz w:val="21"/>
      <w:lang w:val="en-US" w:eastAsia="zh-CN" w:bidi="ar-SA"/>
    </w:rPr>
  </w:style>
  <w:style w:type="character" w:customStyle="1" w:styleId="165">
    <w:name w:val="标题1"/>
    <w:qFormat/>
    <w:uiPriority w:val="0"/>
    <w:rPr>
      <w:rFonts w:hint="default" w:ascii="Times New Roman" w:hAnsi="Times New Roman" w:cs="Times New Roman"/>
    </w:rPr>
  </w:style>
  <w:style w:type="character" w:customStyle="1" w:styleId="166">
    <w:name w:val="Bullet - Sub Char"/>
    <w:link w:val="167"/>
    <w:qFormat/>
    <w:uiPriority w:val="0"/>
    <w:rPr>
      <w:spacing w:val="-3"/>
      <w:kern w:val="2"/>
      <w:sz w:val="22"/>
      <w:szCs w:val="22"/>
      <w:lang w:eastAsia="en-US"/>
    </w:rPr>
  </w:style>
  <w:style w:type="paragraph" w:customStyle="1" w:styleId="167">
    <w:name w:val="Bullet - Sub"/>
    <w:basedOn w:val="1"/>
    <w:link w:val="166"/>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8">
    <w:name w:val="apple-converted-space"/>
    <w:qFormat/>
    <w:uiPriority w:val="0"/>
    <w:rPr>
      <w:rFonts w:hint="default" w:ascii="Times New Roman" w:hAnsi="Times New Roman" w:cs="Times New Roman"/>
    </w:rPr>
  </w:style>
  <w:style w:type="character" w:customStyle="1" w:styleId="169">
    <w:name w:val="highlight1"/>
    <w:qFormat/>
    <w:uiPriority w:val="0"/>
    <w:rPr>
      <w:sz w:val="21"/>
      <w:szCs w:val="21"/>
    </w:rPr>
  </w:style>
  <w:style w:type="character" w:customStyle="1" w:styleId="170">
    <w:name w:val="font01"/>
    <w:qFormat/>
    <w:uiPriority w:val="0"/>
    <w:rPr>
      <w:rFonts w:hint="eastAsia" w:ascii="宋体" w:hAnsi="宋体" w:eastAsia="宋体" w:cs="宋体"/>
      <w:color w:val="000000"/>
      <w:sz w:val="24"/>
      <w:szCs w:val="24"/>
      <w:u w:val="none"/>
    </w:rPr>
  </w:style>
  <w:style w:type="character" w:customStyle="1" w:styleId="171">
    <w:name w:val="CJ 文本111 Char Char"/>
    <w:qFormat/>
    <w:uiPriority w:val="0"/>
    <w:rPr>
      <w:rFonts w:hint="default" w:ascii="Times New Roman" w:hAnsi="Times New Roman" w:cs="Times New Roman"/>
      <w:sz w:val="24"/>
    </w:rPr>
  </w:style>
  <w:style w:type="character" w:customStyle="1" w:styleId="172">
    <w:name w:val="环评表格文字 Char"/>
    <w:link w:val="173"/>
    <w:qFormat/>
    <w:uiPriority w:val="0"/>
    <w:rPr>
      <w:rFonts w:ascii="宋体" w:hAnsi="宋体"/>
      <w:kern w:val="2"/>
      <w:sz w:val="21"/>
      <w:szCs w:val="24"/>
    </w:rPr>
  </w:style>
  <w:style w:type="paragraph" w:customStyle="1" w:styleId="173">
    <w:name w:val="环评表格文字"/>
    <w:basedOn w:val="1"/>
    <w:next w:val="1"/>
    <w:link w:val="172"/>
    <w:qFormat/>
    <w:uiPriority w:val="0"/>
    <w:rPr>
      <w:rFonts w:ascii="宋体" w:hAnsi="宋体"/>
    </w:rPr>
  </w:style>
  <w:style w:type="character" w:customStyle="1" w:styleId="174">
    <w:name w:val="样式3 Char Char"/>
    <w:qFormat/>
    <w:uiPriority w:val="0"/>
    <w:rPr>
      <w:rFonts w:hint="eastAsia" w:ascii="宋体" w:hAnsi="宋体" w:eastAsia="宋体" w:cs="宋体"/>
      <w:b/>
      <w:sz w:val="24"/>
    </w:rPr>
  </w:style>
  <w:style w:type="character" w:customStyle="1" w:styleId="175">
    <w:name w:val="已访问的超链接1"/>
    <w:qFormat/>
    <w:uiPriority w:val="0"/>
    <w:rPr>
      <w:color w:val="606420"/>
      <w:u w:val="single"/>
    </w:rPr>
  </w:style>
  <w:style w:type="character" w:customStyle="1" w:styleId="176">
    <w:name w:val="样式 正文 首行缩进:  2 字符 SL CON + 首行缩进:  2 字符 Char Char Char Char"/>
    <w:qFormat/>
    <w:uiPriority w:val="0"/>
    <w:rPr>
      <w:kern w:val="2"/>
      <w:sz w:val="21"/>
    </w:rPr>
  </w:style>
  <w:style w:type="character" w:customStyle="1" w:styleId="177">
    <w:name w:val="普通(网站) Char"/>
    <w:qFormat/>
    <w:uiPriority w:val="0"/>
    <w:rPr>
      <w:rFonts w:ascii="宋体" w:hAnsi="宋体" w:eastAsia="宋体"/>
      <w:sz w:val="24"/>
    </w:rPr>
  </w:style>
  <w:style w:type="character" w:customStyle="1" w:styleId="178">
    <w:name w:val="Char1 Char Char"/>
    <w:qFormat/>
    <w:uiPriority w:val="0"/>
    <w:rPr>
      <w:rFonts w:eastAsia="宋体"/>
      <w:kern w:val="2"/>
      <w:sz w:val="21"/>
      <w:szCs w:val="24"/>
      <w:lang w:val="en-US" w:eastAsia="zh-CN" w:bidi="ar-SA"/>
    </w:rPr>
  </w:style>
  <w:style w:type="character" w:customStyle="1" w:styleId="179">
    <w:name w:val="样式 样式 正文 首行缩进:  2 字符 SL CON + 首行缩进:  2 字符 + 宋体 Char Char"/>
    <w:qFormat/>
    <w:uiPriority w:val="0"/>
    <w:rPr>
      <w:sz w:val="21"/>
    </w:rPr>
  </w:style>
  <w:style w:type="character" w:customStyle="1" w:styleId="180">
    <w:name w:val="表内文字 Char Char"/>
    <w:qFormat/>
    <w:uiPriority w:val="0"/>
  </w:style>
  <w:style w:type="character" w:customStyle="1" w:styleId="181">
    <w:name w:val="报告表正文 Char Char"/>
    <w:link w:val="182"/>
    <w:qFormat/>
    <w:uiPriority w:val="0"/>
    <w:rPr>
      <w:sz w:val="24"/>
    </w:rPr>
  </w:style>
  <w:style w:type="paragraph" w:customStyle="1" w:styleId="182">
    <w:name w:val="报告表正文"/>
    <w:basedOn w:val="1"/>
    <w:link w:val="181"/>
    <w:qFormat/>
    <w:uiPriority w:val="0"/>
    <w:pPr>
      <w:adjustRightInd w:val="0"/>
      <w:spacing w:line="312" w:lineRule="auto"/>
      <w:ind w:left="113" w:right="113" w:firstLine="482"/>
      <w:jc w:val="left"/>
      <w:textAlignment w:val="baseline"/>
    </w:pPr>
    <w:rPr>
      <w:kern w:val="0"/>
      <w:sz w:val="24"/>
      <w:szCs w:val="20"/>
    </w:rPr>
  </w:style>
  <w:style w:type="character" w:customStyle="1" w:styleId="183">
    <w:name w:val="表内文字3 Char Char"/>
    <w:qFormat/>
    <w:uiPriority w:val="0"/>
    <w:rPr>
      <w:sz w:val="21"/>
    </w:rPr>
  </w:style>
  <w:style w:type="character" w:customStyle="1" w:styleId="184">
    <w:name w:val="排版正文 Char"/>
    <w:qFormat/>
    <w:uiPriority w:val="0"/>
    <w:rPr>
      <w:rFonts w:hint="default" w:ascii="Times New Roman" w:hAnsi="Times New Roman" w:cs="Times New Roman"/>
      <w:sz w:val="26"/>
    </w:rPr>
  </w:style>
  <w:style w:type="character" w:customStyle="1" w:styleId="185">
    <w:name w:val="样式2 Char Char Char"/>
    <w:link w:val="186"/>
    <w:qFormat/>
    <w:uiPriority w:val="0"/>
    <w:rPr>
      <w:rFonts w:ascii="黑体" w:hAnsi="宋体" w:eastAsia="黑体"/>
      <w:b/>
      <w:kern w:val="2"/>
      <w:sz w:val="24"/>
      <w:szCs w:val="24"/>
    </w:rPr>
  </w:style>
  <w:style w:type="paragraph" w:customStyle="1" w:styleId="186">
    <w:name w:val="样式2 Char Char"/>
    <w:basedOn w:val="1"/>
    <w:link w:val="185"/>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7">
    <w:name w:val="标题 2 Char"/>
    <w:qFormat/>
    <w:uiPriority w:val="0"/>
    <w:rPr>
      <w:rFonts w:hint="default" w:ascii="Cambria" w:hAnsi="Cambria" w:eastAsia="Cambria" w:cs="Cambria"/>
      <w:b/>
      <w:sz w:val="32"/>
      <w:szCs w:val="32"/>
    </w:rPr>
  </w:style>
  <w:style w:type="character" w:customStyle="1" w:styleId="188">
    <w:name w:val="表文字 Char1"/>
    <w:qFormat/>
    <w:uiPriority w:val="0"/>
    <w:rPr>
      <w:rFonts w:ascii="Times New Roman" w:hAnsi="Times New Roman"/>
      <w:sz w:val="24"/>
    </w:rPr>
  </w:style>
  <w:style w:type="character" w:customStyle="1" w:styleId="189">
    <w:name w:val="样式 样式 正文 首行缩进:  2 字符 SL CON + 首行缩进:  2 字符 + 宋体 Char Char Char"/>
    <w:qFormat/>
    <w:uiPriority w:val="0"/>
    <w:rPr>
      <w:kern w:val="2"/>
      <w:sz w:val="24"/>
      <w:szCs w:val="21"/>
    </w:rPr>
  </w:style>
  <w:style w:type="character" w:customStyle="1" w:styleId="190">
    <w:name w:val="digest1"/>
    <w:qFormat/>
    <w:uiPriority w:val="0"/>
    <w:rPr>
      <w:color w:val="3A4343"/>
      <w:sz w:val="20"/>
      <w:szCs w:val="20"/>
    </w:rPr>
  </w:style>
  <w:style w:type="character" w:customStyle="1" w:styleId="191">
    <w:name w:val="fontstyle01"/>
    <w:qFormat/>
    <w:uiPriority w:val="0"/>
    <w:rPr>
      <w:rFonts w:hint="default" w:ascii="仿宋" w:hAnsi="仿宋"/>
      <w:color w:val="000000"/>
      <w:sz w:val="28"/>
      <w:szCs w:val="28"/>
    </w:rPr>
  </w:style>
  <w:style w:type="character" w:customStyle="1" w:styleId="192">
    <w:name w:val="表内文字 Char"/>
    <w:qFormat/>
    <w:uiPriority w:val="0"/>
    <w:rPr>
      <w:rFonts w:hint="eastAsia" w:ascii="宋体" w:hAnsi="宋体" w:eastAsia="宋体" w:cs="宋体"/>
      <w:kern w:val="2"/>
      <w:sz w:val="21"/>
      <w:lang w:val="en-US" w:eastAsia="zh-CN"/>
    </w:rPr>
  </w:style>
  <w:style w:type="character" w:customStyle="1" w:styleId="193">
    <w:name w:val="纯文本 Char1"/>
    <w:qFormat/>
    <w:uiPriority w:val="0"/>
    <w:rPr>
      <w:rFonts w:hint="eastAsia" w:ascii="宋体" w:hAnsi="Courier New" w:eastAsia="宋体" w:cs="宋体"/>
    </w:rPr>
  </w:style>
  <w:style w:type="character" w:customStyle="1" w:styleId="194">
    <w:name w:val="图题表题 Char"/>
    <w:qFormat/>
    <w:uiPriority w:val="0"/>
    <w:rPr>
      <w:b/>
      <w:kern w:val="2"/>
      <w:sz w:val="21"/>
    </w:rPr>
  </w:style>
  <w:style w:type="character" w:customStyle="1" w:styleId="195">
    <w:name w:val="图名 Char"/>
    <w:link w:val="196"/>
    <w:qFormat/>
    <w:uiPriority w:val="0"/>
    <w:rPr>
      <w:rFonts w:ascii="Wingdings" w:hAnsi="Wingdings" w:eastAsia="Courier New" w:cs="Wingdings"/>
      <w:b/>
      <w:bCs/>
      <w:sz w:val="24"/>
      <w:szCs w:val="24"/>
    </w:rPr>
  </w:style>
  <w:style w:type="paragraph" w:customStyle="1" w:styleId="196">
    <w:name w:val="图名"/>
    <w:basedOn w:val="1"/>
    <w:link w:val="195"/>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7">
    <w:name w:val="样式 标题ljm + 首行缩进:  2 字符 Char"/>
    <w:qFormat/>
    <w:uiPriority w:val="0"/>
    <w:rPr>
      <w:rFonts w:hint="default" w:ascii="Times New Roman" w:hAnsi="Times New Roman" w:eastAsia="宋体" w:cs="Times New Roman"/>
      <w:b/>
      <w:sz w:val="20"/>
    </w:rPr>
  </w:style>
  <w:style w:type="character" w:customStyle="1" w:styleId="198">
    <w:name w:val="Char Char11"/>
    <w:qFormat/>
    <w:uiPriority w:val="0"/>
    <w:rPr>
      <w:rFonts w:eastAsia="宋体"/>
      <w:b/>
      <w:bCs/>
      <w:kern w:val="44"/>
      <w:sz w:val="24"/>
      <w:szCs w:val="44"/>
      <w:lang w:val="en-US" w:eastAsia="zh-CN" w:bidi="ar-SA"/>
    </w:rPr>
  </w:style>
  <w:style w:type="character" w:customStyle="1" w:styleId="199">
    <w:name w:val="表头 Char"/>
    <w:link w:val="200"/>
    <w:qFormat/>
    <w:uiPriority w:val="0"/>
    <w:rPr>
      <w:rFonts w:ascii="Calibri" w:hAnsi="Calibri" w:eastAsia="黑体"/>
      <w:spacing w:val="10"/>
      <w:kern w:val="2"/>
      <w:sz w:val="28"/>
    </w:rPr>
  </w:style>
  <w:style w:type="paragraph" w:customStyle="1" w:styleId="200">
    <w:name w:val="表头"/>
    <w:basedOn w:val="1"/>
    <w:link w:val="199"/>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201">
    <w:name w:val="报告正文 Char Char"/>
    <w:link w:val="202"/>
    <w:qFormat/>
    <w:uiPriority w:val="0"/>
    <w:rPr>
      <w:kern w:val="2"/>
      <w:sz w:val="24"/>
      <w:szCs w:val="24"/>
    </w:rPr>
  </w:style>
  <w:style w:type="paragraph" w:customStyle="1" w:styleId="202">
    <w:name w:val="报告正文"/>
    <w:basedOn w:val="1"/>
    <w:link w:val="201"/>
    <w:qFormat/>
    <w:uiPriority w:val="0"/>
    <w:pPr>
      <w:spacing w:line="360" w:lineRule="auto"/>
      <w:ind w:firstLine="200" w:firstLineChars="200"/>
      <w:jc w:val="left"/>
    </w:pPr>
    <w:rPr>
      <w:sz w:val="24"/>
    </w:rPr>
  </w:style>
  <w:style w:type="character" w:customStyle="1" w:styleId="203">
    <w:name w:val="图题表题 Char Char"/>
    <w:qFormat/>
    <w:uiPriority w:val="0"/>
    <w:rPr>
      <w:rFonts w:hint="default" w:ascii="Times New Roman" w:hAnsi="Times New Roman" w:cs="Times New Roman"/>
      <w:b/>
    </w:rPr>
  </w:style>
  <w:style w:type="character" w:customStyle="1" w:styleId="204">
    <w:name w:val="报告书正文 Char Char"/>
    <w:qFormat/>
    <w:uiPriority w:val="0"/>
    <w:rPr>
      <w:rFonts w:ascii="Arial" w:hAnsi="宋体" w:eastAsia="宋体" w:cs="Arial"/>
      <w:bCs/>
      <w:snapToGrid/>
      <w:sz w:val="24"/>
      <w:szCs w:val="24"/>
      <w:lang w:val="zh-CN" w:eastAsia="zh-CN" w:bidi="ar-SA"/>
    </w:rPr>
  </w:style>
  <w:style w:type="character" w:customStyle="1" w:styleId="205">
    <w:name w:val="样式5 Char Char"/>
    <w:link w:val="206"/>
    <w:qFormat/>
    <w:uiPriority w:val="0"/>
    <w:rPr>
      <w:sz w:val="24"/>
    </w:rPr>
  </w:style>
  <w:style w:type="paragraph" w:customStyle="1" w:styleId="206">
    <w:name w:val="样式5 Char"/>
    <w:basedOn w:val="26"/>
    <w:next w:val="1"/>
    <w:link w:val="205"/>
    <w:qFormat/>
    <w:uiPriority w:val="0"/>
    <w:pPr>
      <w:adjustRightInd w:val="0"/>
      <w:snapToGrid w:val="0"/>
      <w:spacing w:line="500" w:lineRule="exact"/>
      <w:ind w:firstLine="200" w:firstLineChars="200"/>
    </w:pPr>
    <w:rPr>
      <w:kern w:val="0"/>
      <w:szCs w:val="20"/>
    </w:rPr>
  </w:style>
  <w:style w:type="character" w:customStyle="1" w:styleId="207">
    <w:name w:val="表中文字 Char"/>
    <w:link w:val="208"/>
    <w:qFormat/>
    <w:uiPriority w:val="0"/>
    <w:rPr>
      <w:kern w:val="2"/>
      <w:sz w:val="21"/>
      <w:szCs w:val="24"/>
    </w:rPr>
  </w:style>
  <w:style w:type="paragraph" w:customStyle="1" w:styleId="208">
    <w:name w:val="表中文字"/>
    <w:basedOn w:val="1"/>
    <w:link w:val="207"/>
    <w:qFormat/>
    <w:uiPriority w:val="0"/>
    <w:pPr>
      <w:adjustRightInd w:val="0"/>
      <w:snapToGrid w:val="0"/>
      <w:spacing w:line="400" w:lineRule="exact"/>
      <w:jc w:val="center"/>
    </w:pPr>
  </w:style>
  <w:style w:type="character" w:customStyle="1" w:styleId="209">
    <w:name w:val="样式 样式 正文 首行缩进:  2 字符 SL CON + 首行缩进:  2 字符 + 宋体 Char"/>
    <w:qFormat/>
    <w:uiPriority w:val="0"/>
    <w:rPr>
      <w:kern w:val="2"/>
      <w:sz w:val="21"/>
    </w:rPr>
  </w:style>
  <w:style w:type="character" w:customStyle="1" w:styleId="210">
    <w:name w:val="宋体 小四 Char Char"/>
    <w:link w:val="211"/>
    <w:qFormat/>
    <w:uiPriority w:val="0"/>
    <w:rPr>
      <w:rFonts w:hAnsi="宋体"/>
      <w:kern w:val="2"/>
      <w:sz w:val="24"/>
      <w:szCs w:val="24"/>
    </w:rPr>
  </w:style>
  <w:style w:type="paragraph" w:customStyle="1" w:styleId="211">
    <w:name w:val="宋体 小四"/>
    <w:basedOn w:val="1"/>
    <w:link w:val="210"/>
    <w:qFormat/>
    <w:uiPriority w:val="0"/>
    <w:pPr>
      <w:spacing w:line="360" w:lineRule="auto"/>
      <w:ind w:firstLine="200" w:firstLineChars="200"/>
    </w:pPr>
    <w:rPr>
      <w:rFonts w:hAnsi="宋体"/>
      <w:sz w:val="24"/>
    </w:rPr>
  </w:style>
  <w:style w:type="character" w:customStyle="1" w:styleId="212">
    <w:name w:val="日期 字符"/>
    <w:qFormat/>
    <w:uiPriority w:val="0"/>
    <w:rPr>
      <w:rFonts w:ascii="Times New Roman" w:hAnsi="Times New Roman" w:eastAsia="宋体" w:cs="Times New Roman"/>
      <w:sz w:val="24"/>
      <w:szCs w:val="24"/>
    </w:rPr>
  </w:style>
  <w:style w:type="character" w:customStyle="1" w:styleId="213">
    <w:name w:val="fontstyle11"/>
    <w:qFormat/>
    <w:uiPriority w:val="0"/>
    <w:rPr>
      <w:rFonts w:hint="eastAsia" w:ascii="宋体" w:hAnsi="宋体" w:eastAsia="宋体"/>
      <w:color w:val="000000"/>
      <w:sz w:val="22"/>
      <w:szCs w:val="22"/>
    </w:rPr>
  </w:style>
  <w:style w:type="character" w:customStyle="1" w:styleId="214">
    <w:name w:val="样式 正文 首行缩进:  2 字符 SL CON + 首行缩进:  2 字符 Char Char"/>
    <w:link w:val="215"/>
    <w:qFormat/>
    <w:uiPriority w:val="0"/>
    <w:rPr>
      <w:kern w:val="2"/>
      <w:sz w:val="24"/>
      <w:szCs w:val="21"/>
    </w:rPr>
  </w:style>
  <w:style w:type="paragraph" w:customStyle="1" w:styleId="215">
    <w:name w:val="样式 正文 首行缩进:  2 字符 SL CON + 首行缩进:  2 字符"/>
    <w:basedOn w:val="216"/>
    <w:link w:val="214"/>
    <w:qFormat/>
    <w:uiPriority w:val="0"/>
    <w:pPr>
      <w:tabs>
        <w:tab w:val="left" w:pos="377"/>
      </w:tabs>
      <w:ind w:firstLine="480"/>
    </w:pPr>
    <w:rPr>
      <w:szCs w:val="21"/>
    </w:rPr>
  </w:style>
  <w:style w:type="paragraph" w:customStyle="1" w:styleId="216">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character" w:customStyle="1" w:styleId="217">
    <w:name w:val="表头排版 Char"/>
    <w:qFormat/>
    <w:uiPriority w:val="0"/>
    <w:rPr>
      <w:rFonts w:hint="default" w:ascii="Times New Roman" w:hAnsi="Times New Roman" w:cs="Times New Roman"/>
      <w:sz w:val="21"/>
    </w:rPr>
  </w:style>
  <w:style w:type="character" w:customStyle="1" w:styleId="218">
    <w:name w:val="表 Char"/>
    <w:qFormat/>
    <w:uiPriority w:val="0"/>
    <w:rPr>
      <w:rFonts w:hint="default" w:ascii="Times New Roman" w:hAnsi="Times New Roman" w:cs="Times New Roman"/>
      <w:sz w:val="26"/>
    </w:rPr>
  </w:style>
  <w:style w:type="character" w:customStyle="1" w:styleId="219">
    <w:name w:val="样式18 Char"/>
    <w:link w:val="220"/>
    <w:qFormat/>
    <w:uiPriority w:val="0"/>
    <w:rPr>
      <w:rFonts w:ascii="Calibri" w:hAnsi="Calibri"/>
      <w:sz w:val="26"/>
      <w:szCs w:val="26"/>
    </w:rPr>
  </w:style>
  <w:style w:type="paragraph" w:customStyle="1" w:styleId="220">
    <w:name w:val="样式18"/>
    <w:basedOn w:val="1"/>
    <w:link w:val="219"/>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21">
    <w:name w:val="1号标题 Char Char"/>
    <w:link w:val="222"/>
    <w:qFormat/>
    <w:uiPriority w:val="0"/>
    <w:rPr>
      <w:color w:val="000000"/>
    </w:rPr>
  </w:style>
  <w:style w:type="paragraph" w:customStyle="1" w:styleId="222">
    <w:name w:val="1号标题"/>
    <w:basedOn w:val="202"/>
    <w:link w:val="221"/>
    <w:qFormat/>
    <w:uiPriority w:val="0"/>
    <w:pPr>
      <w:numPr>
        <w:ilvl w:val="0"/>
        <w:numId w:val="1"/>
      </w:numPr>
      <w:ind w:firstLine="182" w:firstLineChars="182"/>
    </w:pPr>
    <w:rPr>
      <w:color w:val="000000"/>
      <w:kern w:val="0"/>
      <w:sz w:val="20"/>
      <w:szCs w:val="20"/>
    </w:rPr>
  </w:style>
  <w:style w:type="character" w:customStyle="1" w:styleId="223">
    <w:name w:val="报告书正文 Char"/>
    <w:link w:val="224"/>
    <w:qFormat/>
    <w:uiPriority w:val="0"/>
    <w:rPr>
      <w:rFonts w:ascii="黑体" w:eastAsia="黑体"/>
      <w:kern w:val="2"/>
      <w:sz w:val="28"/>
      <w:szCs w:val="28"/>
    </w:rPr>
  </w:style>
  <w:style w:type="paragraph" w:customStyle="1" w:styleId="224">
    <w:name w:val="报告书正文"/>
    <w:basedOn w:val="26"/>
    <w:link w:val="223"/>
    <w:qFormat/>
    <w:uiPriority w:val="0"/>
    <w:pPr>
      <w:adjustRightInd w:val="0"/>
      <w:ind w:firstLine="560" w:firstLineChars="200"/>
      <w:jc w:val="center"/>
    </w:pPr>
    <w:rPr>
      <w:rFonts w:ascii="黑体" w:eastAsia="黑体"/>
      <w:sz w:val="28"/>
      <w:szCs w:val="28"/>
    </w:rPr>
  </w:style>
  <w:style w:type="character" w:customStyle="1" w:styleId="225">
    <w:name w:val="titletext1"/>
    <w:qFormat/>
    <w:uiPriority w:val="0"/>
    <w:rPr>
      <w:color w:val="000000"/>
      <w:sz w:val="21"/>
      <w:szCs w:val="21"/>
    </w:rPr>
  </w:style>
  <w:style w:type="character" w:customStyle="1" w:styleId="226">
    <w:name w:val="样式7 Char"/>
    <w:qFormat/>
    <w:uiPriority w:val="0"/>
    <w:rPr>
      <w:rFonts w:hint="default" w:ascii="Times New Roman" w:hAnsi="Times New Roman" w:cs="Times New Roman"/>
      <w:sz w:val="26"/>
    </w:rPr>
  </w:style>
  <w:style w:type="character" w:customStyle="1" w:styleId="227">
    <w:name w:val="Char1 Char1"/>
    <w:link w:val="228"/>
    <w:qFormat/>
    <w:uiPriority w:val="0"/>
    <w:rPr>
      <w:kern w:val="2"/>
      <w:sz w:val="21"/>
      <w:szCs w:val="24"/>
    </w:rPr>
  </w:style>
  <w:style w:type="paragraph" w:customStyle="1" w:styleId="228">
    <w:name w:val="Char1"/>
    <w:basedOn w:val="1"/>
    <w:link w:val="227"/>
    <w:qFormat/>
    <w:uiPriority w:val="0"/>
  </w:style>
  <w:style w:type="character" w:customStyle="1" w:styleId="229">
    <w:name w:val="正文文本 字符1"/>
    <w:qFormat/>
    <w:uiPriority w:val="0"/>
    <w:rPr>
      <w:rFonts w:ascii="Times New Roman" w:hAnsi="Times New Roman" w:eastAsia="宋体" w:cs="Times New Roman"/>
      <w:sz w:val="24"/>
      <w:szCs w:val="24"/>
    </w:rPr>
  </w:style>
  <w:style w:type="paragraph" w:customStyle="1" w:styleId="230">
    <w:name w:val="Char Char Char Char"/>
    <w:basedOn w:val="1"/>
    <w:qFormat/>
    <w:uiPriority w:val="0"/>
    <w:rPr>
      <w:rFonts w:ascii="Calibri" w:hAnsi="Calibri"/>
    </w:rPr>
  </w:style>
  <w:style w:type="paragraph" w:customStyle="1" w:styleId="231">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32">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3">
    <w:name w:val="Char1 Char Char Char"/>
    <w:basedOn w:val="1"/>
    <w:qFormat/>
    <w:uiPriority w:val="0"/>
    <w:rPr>
      <w:rFonts w:ascii="Calibri" w:hAnsi="Calibri"/>
    </w:rPr>
  </w:style>
  <w:style w:type="paragraph" w:customStyle="1" w:styleId="234">
    <w:name w:val="正文A"/>
    <w:basedOn w:val="1"/>
    <w:qFormat/>
    <w:uiPriority w:val="0"/>
    <w:pPr>
      <w:spacing w:line="540" w:lineRule="exact"/>
    </w:pPr>
    <w:rPr>
      <w:rFonts w:ascii="Calibri" w:hAnsi="Calibri" w:cs="宋体"/>
      <w:sz w:val="24"/>
      <w:szCs w:val="20"/>
    </w:rPr>
  </w:style>
  <w:style w:type="paragraph" w:customStyle="1" w:styleId="235">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6">
    <w:name w:val="列出段落1"/>
    <w:basedOn w:val="1"/>
    <w:qFormat/>
    <w:uiPriority w:val="0"/>
    <w:pPr>
      <w:ind w:firstLine="420" w:firstLineChars="200"/>
      <w:jc w:val="left"/>
    </w:pPr>
    <w:rPr>
      <w:rFonts w:ascii="宋体" w:hAnsi="宋体" w:cs="宋体"/>
      <w:color w:val="000000"/>
      <w:kern w:val="0"/>
      <w:sz w:val="24"/>
    </w:rPr>
  </w:style>
  <w:style w:type="paragraph" w:customStyle="1" w:styleId="237">
    <w:name w:val="表标题"/>
    <w:basedOn w:val="1"/>
    <w:qFormat/>
    <w:uiPriority w:val="0"/>
    <w:pPr>
      <w:jc w:val="center"/>
    </w:pPr>
    <w:rPr>
      <w:rFonts w:ascii="宋体" w:hAnsi="宋体"/>
      <w:kern w:val="0"/>
      <w:sz w:val="24"/>
      <w:szCs w:val="20"/>
    </w:rPr>
  </w:style>
  <w:style w:type="paragraph" w:customStyle="1" w:styleId="238">
    <w:name w:val="wislin正文"/>
    <w:basedOn w:val="1"/>
    <w:qFormat/>
    <w:uiPriority w:val="0"/>
    <w:pPr>
      <w:spacing w:line="300" w:lineRule="auto"/>
      <w:ind w:firstLine="454"/>
    </w:pPr>
    <w:rPr>
      <w:rFonts w:ascii="Calibri" w:hAnsi="Calibri"/>
      <w:sz w:val="24"/>
    </w:rPr>
  </w:style>
  <w:style w:type="paragraph" w:customStyle="1" w:styleId="239">
    <w:name w:val="环评正文"/>
    <w:basedOn w:val="3"/>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40">
    <w:name w:val="正文表标题"/>
    <w:next w:val="241"/>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2">
    <w:name w:val="01表格"/>
    <w:basedOn w:val="14"/>
    <w:qFormat/>
    <w:uiPriority w:val="0"/>
    <w:pPr>
      <w:keepNext/>
      <w:widowControl/>
      <w:jc w:val="center"/>
    </w:pPr>
    <w:rPr>
      <w:b/>
    </w:rPr>
  </w:style>
  <w:style w:type="paragraph" w:customStyle="1" w:styleId="243">
    <w:name w:val="样式3"/>
    <w:basedOn w:val="1"/>
    <w:qFormat/>
    <w:uiPriority w:val="0"/>
    <w:pPr>
      <w:spacing w:line="440" w:lineRule="exact"/>
      <w:jc w:val="center"/>
    </w:pPr>
    <w:rPr>
      <w:rFonts w:ascii="宋体" w:hAnsi="宋体"/>
      <w:sz w:val="24"/>
      <w:szCs w:val="20"/>
    </w:rPr>
  </w:style>
  <w:style w:type="paragraph" w:customStyle="1" w:styleId="244">
    <w:name w:val="封面正文"/>
    <w:qFormat/>
    <w:uiPriority w:val="0"/>
    <w:pPr>
      <w:jc w:val="both"/>
    </w:pPr>
    <w:rPr>
      <w:rFonts w:ascii="Calibri" w:hAnsi="Calibri" w:eastAsia="宋体" w:cs="Times New Roman"/>
      <w:lang w:val="en-US" w:eastAsia="zh-CN" w:bidi="ar-SA"/>
    </w:rPr>
  </w:style>
  <w:style w:type="paragraph" w:customStyle="1" w:styleId="245">
    <w:name w:val="正文缩进2"/>
    <w:basedOn w:val="1"/>
    <w:qFormat/>
    <w:uiPriority w:val="0"/>
    <w:pPr>
      <w:ind w:firstLine="420"/>
    </w:pPr>
    <w:rPr>
      <w:rFonts w:ascii="Calibri" w:hAnsi="Calibri"/>
      <w:kern w:val="0"/>
      <w:sz w:val="26"/>
      <w:szCs w:val="20"/>
    </w:rPr>
  </w:style>
  <w:style w:type="paragraph" w:customStyle="1" w:styleId="246">
    <w:name w:val="表头样式1"/>
    <w:basedOn w:val="1"/>
    <w:qFormat/>
    <w:uiPriority w:val="0"/>
    <w:pPr>
      <w:jc w:val="center"/>
    </w:pPr>
    <w:rPr>
      <w:rFonts w:ascii="Calibri" w:hAnsi="Calibri" w:eastAsia="黑体"/>
      <w:b/>
      <w:kern w:val="0"/>
      <w:sz w:val="24"/>
      <w:szCs w:val="20"/>
    </w:rPr>
  </w:style>
  <w:style w:type="paragraph" w:customStyle="1" w:styleId="247">
    <w:name w:val="表内文字"/>
    <w:basedOn w:val="1"/>
    <w:qFormat/>
    <w:uiPriority w:val="0"/>
    <w:pPr>
      <w:spacing w:line="0" w:lineRule="atLeast"/>
      <w:jc w:val="center"/>
    </w:pPr>
    <w:rPr>
      <w:rFonts w:ascii="Calibri" w:hAnsi="Calibri"/>
      <w:kern w:val="0"/>
      <w:sz w:val="20"/>
      <w:szCs w:val="20"/>
    </w:rPr>
  </w:style>
  <w:style w:type="paragraph" w:customStyle="1" w:styleId="248">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9">
    <w:name w:val="样式 样式 正文 首行缩进:  2 字符 SL CON + 首行缩进:  2 字符 + 宋体"/>
    <w:basedOn w:val="215"/>
    <w:qFormat/>
    <w:uiPriority w:val="0"/>
    <w:rPr>
      <w:rFonts w:ascii="Calibri"/>
    </w:rPr>
  </w:style>
  <w:style w:type="paragraph" w:customStyle="1" w:styleId="250">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51">
    <w:name w:val="Char"/>
    <w:basedOn w:val="1"/>
    <w:qFormat/>
    <w:uiPriority w:val="0"/>
    <w:rPr>
      <w:rFonts w:ascii="Calibri" w:hAnsi="Calibri"/>
    </w:rPr>
  </w:style>
  <w:style w:type="paragraph" w:customStyle="1" w:styleId="252">
    <w:name w:val="Char Char Char Char Char Char2"/>
    <w:basedOn w:val="1"/>
    <w:next w:val="2"/>
    <w:qFormat/>
    <w:uiPriority w:val="0"/>
    <w:rPr>
      <w:rFonts w:ascii="Calibri" w:hAnsi="Calibri"/>
      <w:sz w:val="28"/>
      <w:szCs w:val="28"/>
    </w:rPr>
  </w:style>
  <w:style w:type="paragraph" w:customStyle="1" w:styleId="253">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4">
    <w:name w:val="Table Paragraph"/>
    <w:basedOn w:val="1"/>
    <w:qFormat/>
    <w:uiPriority w:val="1"/>
    <w:rPr>
      <w:rFonts w:ascii="Arial" w:hAnsi="Arial" w:eastAsia="Arial" w:cs="Arial"/>
      <w:lang w:val="zh-CN" w:bidi="zh-CN"/>
    </w:rPr>
  </w:style>
  <w:style w:type="paragraph" w:customStyle="1" w:styleId="255">
    <w:name w:val="简单回函地址"/>
    <w:basedOn w:val="1"/>
    <w:qFormat/>
    <w:uiPriority w:val="0"/>
    <w:rPr>
      <w:rFonts w:ascii="Calibri" w:hAnsi="Calibri"/>
      <w:sz w:val="24"/>
      <w:szCs w:val="20"/>
    </w:rPr>
  </w:style>
  <w:style w:type="paragraph" w:customStyle="1" w:styleId="256">
    <w:name w:val="0环评正文"/>
    <w:basedOn w:val="1"/>
    <w:qFormat/>
    <w:uiPriority w:val="0"/>
    <w:pPr>
      <w:spacing w:line="360" w:lineRule="auto"/>
      <w:ind w:firstLine="200" w:firstLineChars="200"/>
    </w:pPr>
    <w:rPr>
      <w:sz w:val="24"/>
      <w:szCs w:val="22"/>
    </w:rPr>
  </w:style>
  <w:style w:type="paragraph" w:customStyle="1" w:styleId="257">
    <w:name w:val="图题表题"/>
    <w:basedOn w:val="1"/>
    <w:qFormat/>
    <w:uiPriority w:val="0"/>
    <w:pPr>
      <w:spacing w:line="360" w:lineRule="auto"/>
      <w:jc w:val="center"/>
    </w:pPr>
    <w:rPr>
      <w:rFonts w:ascii="Calibri" w:hAnsi="Calibri"/>
      <w:b/>
      <w:bCs/>
      <w:kern w:val="0"/>
      <w:sz w:val="20"/>
      <w:szCs w:val="20"/>
    </w:rPr>
  </w:style>
  <w:style w:type="paragraph" w:customStyle="1" w:styleId="258">
    <w:name w:val="大标题（表外部的）"/>
    <w:basedOn w:val="1"/>
    <w:qFormat/>
    <w:uiPriority w:val="0"/>
    <w:pPr>
      <w:keepNext/>
      <w:keepLines/>
    </w:pPr>
    <w:rPr>
      <w:rFonts w:ascii="宋体" w:hAnsi="宋体" w:eastAsia="黑体"/>
      <w:b/>
      <w:sz w:val="30"/>
    </w:rPr>
  </w:style>
  <w:style w:type="paragraph" w:customStyle="1" w:styleId="2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0">
    <w:name w:val="表文"/>
    <w:basedOn w:val="19"/>
    <w:next w:val="13"/>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61">
    <w:name w:val="正文缩进1"/>
    <w:basedOn w:val="1"/>
    <w:qFormat/>
    <w:uiPriority w:val="0"/>
    <w:pPr>
      <w:ind w:firstLine="420" w:firstLineChars="200"/>
    </w:pPr>
    <w:rPr>
      <w:rFonts w:ascii="Calibri" w:hAnsi="Calibri"/>
    </w:rPr>
  </w:style>
  <w:style w:type="paragraph" w:customStyle="1" w:styleId="262">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3">
    <w:name w:val="列表段落1"/>
    <w:basedOn w:val="1"/>
    <w:qFormat/>
    <w:uiPriority w:val="0"/>
    <w:pPr>
      <w:ind w:firstLine="420" w:firstLineChars="200"/>
    </w:pPr>
    <w:rPr>
      <w:rFonts w:ascii="Calibri" w:hAnsi="Calibri"/>
    </w:rPr>
  </w:style>
  <w:style w:type="paragraph" w:customStyle="1" w:styleId="264">
    <w:name w:val="Char Char Char Char Char Char Char Char Char Char Char Char Char"/>
    <w:basedOn w:val="1"/>
    <w:qFormat/>
    <w:uiPriority w:val="0"/>
    <w:rPr>
      <w:rFonts w:ascii="Calibri" w:hAnsi="Calibri"/>
    </w:rPr>
  </w:style>
  <w:style w:type="paragraph" w:customStyle="1" w:styleId="265">
    <w:name w:val="环表头"/>
    <w:next w:val="248"/>
    <w:qFormat/>
    <w:uiPriority w:val="0"/>
    <w:pPr>
      <w:jc w:val="center"/>
    </w:pPr>
    <w:rPr>
      <w:rFonts w:ascii="Calibri" w:hAnsi="Calibri" w:eastAsia="宋体" w:cs="Times New Roman"/>
      <w:kern w:val="2"/>
      <w:sz w:val="24"/>
      <w:szCs w:val="24"/>
      <w:lang w:val="en-US" w:eastAsia="zh-CN" w:bidi="ar-SA"/>
    </w:rPr>
  </w:style>
  <w:style w:type="paragraph" w:customStyle="1" w:styleId="26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Plain Text1"/>
    <w:basedOn w:val="1"/>
    <w:qFormat/>
    <w:uiPriority w:val="0"/>
    <w:rPr>
      <w:rFonts w:ascii="宋体" w:hAnsi="Courier New"/>
      <w:kern w:val="0"/>
      <w:sz w:val="28"/>
    </w:rPr>
  </w:style>
  <w:style w:type="paragraph" w:customStyle="1" w:styleId="268">
    <w:name w:val="报告表 表名、表头、图名"/>
    <w:basedOn w:val="1"/>
    <w:qFormat/>
    <w:uiPriority w:val="0"/>
    <w:pPr>
      <w:adjustRightInd w:val="0"/>
      <w:snapToGrid w:val="0"/>
      <w:jc w:val="center"/>
    </w:pPr>
    <w:rPr>
      <w:rFonts w:eastAsia="Times New Roman"/>
      <w:b/>
      <w:szCs w:val="21"/>
    </w:rPr>
  </w:style>
  <w:style w:type="paragraph" w:customStyle="1" w:styleId="269">
    <w:name w:val="1表格"/>
    <w:basedOn w:val="1"/>
    <w:qFormat/>
    <w:uiPriority w:val="0"/>
    <w:pPr>
      <w:snapToGrid w:val="0"/>
      <w:spacing w:line="160" w:lineRule="atLeast"/>
      <w:jc w:val="center"/>
    </w:pPr>
    <w:rPr>
      <w:rFonts w:ascii="Calibri" w:hAnsi="Calibri" w:eastAsia="仿宋_GB2312"/>
      <w:szCs w:val="20"/>
    </w:rPr>
  </w:style>
  <w:style w:type="paragraph" w:customStyle="1" w:styleId="270">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71">
    <w:name w:val="正文格式"/>
    <w:basedOn w:val="1"/>
    <w:qFormat/>
    <w:uiPriority w:val="0"/>
    <w:pPr>
      <w:spacing w:line="360" w:lineRule="auto"/>
      <w:ind w:firstLine="480" w:firstLineChars="200"/>
    </w:pPr>
    <w:rPr>
      <w:rFonts w:ascii="Calibri" w:hAnsi="Calibri"/>
      <w:kern w:val="0"/>
      <w:sz w:val="24"/>
    </w:rPr>
  </w:style>
  <w:style w:type="paragraph" w:customStyle="1" w:styleId="272">
    <w:name w:val="zw1"/>
    <w:basedOn w:val="1"/>
    <w:qFormat/>
    <w:uiPriority w:val="0"/>
    <w:pPr>
      <w:ind w:firstLine="480"/>
    </w:pPr>
    <w:rPr>
      <w:rFonts w:ascii="Calibri" w:hAnsi="Calibri" w:eastAsia="仿宋_GB2312"/>
      <w:sz w:val="24"/>
    </w:rPr>
  </w:style>
  <w:style w:type="paragraph" w:customStyle="1" w:styleId="273">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4">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5">
    <w:name w:val="Char26"/>
    <w:basedOn w:val="1"/>
    <w:qFormat/>
    <w:uiPriority w:val="99"/>
  </w:style>
  <w:style w:type="paragraph" w:customStyle="1" w:styleId="276">
    <w:name w:val="纯文本1"/>
    <w:basedOn w:val="1"/>
    <w:qFormat/>
    <w:uiPriority w:val="0"/>
    <w:rPr>
      <w:rFonts w:ascii="宋体" w:hAnsi="Courier New"/>
    </w:rPr>
  </w:style>
  <w:style w:type="paragraph" w:customStyle="1" w:styleId="277">
    <w:name w:val="Char Char1 Char Char Char Char Char Char Char Char Char"/>
    <w:basedOn w:val="1"/>
    <w:qFormat/>
    <w:uiPriority w:val="0"/>
    <w:rPr>
      <w:rFonts w:ascii="Calibri" w:hAnsi="Calibri"/>
    </w:rPr>
  </w:style>
  <w:style w:type="paragraph" w:customStyle="1" w:styleId="278">
    <w:name w:val="3"/>
    <w:basedOn w:val="1"/>
    <w:qFormat/>
    <w:uiPriority w:val="0"/>
    <w:rPr>
      <w:rFonts w:ascii="Calibri" w:hAnsi="Calibri"/>
    </w:rPr>
  </w:style>
  <w:style w:type="paragraph" w:customStyle="1" w:styleId="279">
    <w:name w:val="p19"/>
    <w:basedOn w:val="1"/>
    <w:qFormat/>
    <w:uiPriority w:val="0"/>
    <w:pPr>
      <w:widowControl/>
      <w:spacing w:after="120" w:line="480" w:lineRule="auto"/>
      <w:ind w:left="420"/>
    </w:pPr>
    <w:rPr>
      <w:rFonts w:ascii="Calibri" w:hAnsi="Calibri"/>
      <w:kern w:val="0"/>
      <w:szCs w:val="21"/>
    </w:rPr>
  </w:style>
  <w:style w:type="paragraph" w:customStyle="1" w:styleId="280">
    <w:name w:val="表格格式1-2"/>
    <w:basedOn w:val="1"/>
    <w:qFormat/>
    <w:uiPriority w:val="0"/>
    <w:pPr>
      <w:jc w:val="center"/>
    </w:pPr>
    <w:rPr>
      <w:rFonts w:cs="宋体"/>
      <w:szCs w:val="21"/>
    </w:rPr>
  </w:style>
  <w:style w:type="paragraph" w:customStyle="1" w:styleId="2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2">
    <w:name w:val="默认段落字体 Para Char"/>
    <w:basedOn w:val="1"/>
    <w:qFormat/>
    <w:uiPriority w:val="0"/>
    <w:rPr>
      <w:rFonts w:ascii="Calibri" w:hAnsi="Calibri"/>
      <w:sz w:val="24"/>
    </w:rPr>
  </w:style>
  <w:style w:type="paragraph" w:customStyle="1" w:styleId="283">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4">
    <w:name w:val="纯文本2"/>
    <w:basedOn w:val="1"/>
    <w:qFormat/>
    <w:uiPriority w:val="0"/>
    <w:rPr>
      <w:rFonts w:ascii="宋体" w:hAnsi="Courier New"/>
      <w:kern w:val="0"/>
      <w:sz w:val="28"/>
      <w:szCs w:val="20"/>
    </w:rPr>
  </w:style>
  <w:style w:type="paragraph" w:customStyle="1" w:styleId="285">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6">
    <w:name w:val="表文排版"/>
    <w:basedOn w:val="19"/>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7">
    <w:name w:val="小标题（表内部的）"/>
    <w:basedOn w:val="1"/>
    <w:qFormat/>
    <w:uiPriority w:val="0"/>
    <w:pPr>
      <w:spacing w:line="360" w:lineRule="auto"/>
    </w:pPr>
    <w:rPr>
      <w:rFonts w:ascii="Calibri" w:hAnsi="Calibri" w:eastAsia="黑体"/>
      <w:b/>
      <w:bCs/>
      <w:sz w:val="24"/>
    </w:rPr>
  </w:style>
  <w:style w:type="paragraph" w:customStyle="1" w:styleId="288">
    <w:name w:val="p0"/>
    <w:basedOn w:val="1"/>
    <w:qFormat/>
    <w:uiPriority w:val="0"/>
    <w:pPr>
      <w:widowControl/>
    </w:pPr>
    <w:rPr>
      <w:rFonts w:ascii="Calibri" w:hAnsi="Calibri"/>
      <w:kern w:val="0"/>
      <w:szCs w:val="21"/>
    </w:rPr>
  </w:style>
  <w:style w:type="paragraph" w:customStyle="1" w:styleId="289">
    <w:name w:val="0环评标题2"/>
    <w:basedOn w:val="4"/>
    <w:qFormat/>
    <w:uiPriority w:val="0"/>
    <w:pPr>
      <w:spacing w:before="0" w:after="0" w:line="480" w:lineRule="exact"/>
      <w:ind w:firstLine="200" w:firstLineChars="200"/>
    </w:pPr>
    <w:rPr>
      <w:rFonts w:ascii="Cambria" w:hAnsi="Cambria" w:eastAsia="Times New Roman"/>
      <w:sz w:val="26"/>
    </w:rPr>
  </w:style>
  <w:style w:type="paragraph" w:customStyle="1" w:styleId="290">
    <w:name w:val="纯文本11"/>
    <w:basedOn w:val="1"/>
    <w:qFormat/>
    <w:uiPriority w:val="0"/>
    <w:rPr>
      <w:rFonts w:ascii="Calibri" w:hAnsi="Courier New"/>
      <w:sz w:val="28"/>
      <w:szCs w:val="20"/>
    </w:rPr>
  </w:style>
  <w:style w:type="paragraph" w:customStyle="1" w:styleId="291">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2">
    <w:name w:val="标题2"/>
    <w:basedOn w:val="13"/>
    <w:next w:val="5"/>
    <w:qFormat/>
    <w:uiPriority w:val="0"/>
    <w:pPr>
      <w:spacing w:line="480" w:lineRule="exact"/>
      <w:ind w:firstLine="482"/>
    </w:pPr>
    <w:rPr>
      <w:rFonts w:ascii="仿宋_GB2312" w:hAnsi="宋体" w:eastAsia="仿宋_GB2312"/>
      <w:b/>
      <w:bCs/>
      <w:color w:val="FF0000"/>
      <w:sz w:val="24"/>
    </w:rPr>
  </w:style>
  <w:style w:type="paragraph" w:customStyle="1" w:styleId="293">
    <w:name w:val="样式7"/>
    <w:basedOn w:val="1"/>
    <w:qFormat/>
    <w:uiPriority w:val="0"/>
    <w:pPr>
      <w:spacing w:line="480" w:lineRule="exact"/>
      <w:ind w:firstLine="200" w:firstLineChars="200"/>
    </w:pPr>
    <w:rPr>
      <w:rFonts w:ascii="宋体" w:hAnsi="宋体"/>
      <w:sz w:val="26"/>
      <w:szCs w:val="26"/>
    </w:rPr>
  </w:style>
  <w:style w:type="paragraph" w:customStyle="1" w:styleId="294">
    <w:name w:val="列表段落11"/>
    <w:basedOn w:val="1"/>
    <w:qFormat/>
    <w:uiPriority w:val="0"/>
    <w:pPr>
      <w:ind w:firstLine="420" w:firstLineChars="200"/>
    </w:pPr>
    <w:rPr>
      <w:rFonts w:ascii="Calibri" w:hAnsi="Calibri"/>
    </w:rPr>
  </w:style>
  <w:style w:type="paragraph" w:customStyle="1" w:styleId="295">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6">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7">
    <w:name w:val="表格式"/>
    <w:basedOn w:val="33"/>
    <w:qFormat/>
    <w:uiPriority w:val="0"/>
    <w:pPr>
      <w:spacing w:before="156" w:beforeLines="50" w:after="156" w:afterLines="50" w:line="240" w:lineRule="exact"/>
      <w:ind w:left="0" w:firstLine="0"/>
      <w:jc w:val="center"/>
    </w:pPr>
    <w:rPr>
      <w:sz w:val="21"/>
    </w:rPr>
  </w:style>
  <w:style w:type="paragraph" w:customStyle="1" w:styleId="298">
    <w:name w:val="样式 表（或图）标题 样式 宋体 五号 居中 SL CON + 非加粗"/>
    <w:basedOn w:val="299"/>
    <w:qFormat/>
    <w:uiPriority w:val="0"/>
    <w:pPr>
      <w:tabs>
        <w:tab w:val="left" w:pos="377"/>
      </w:tabs>
      <w:spacing w:before="0" w:beforeAutospacing="0" w:line="240" w:lineRule="auto"/>
    </w:pPr>
    <w:rPr>
      <w:rFonts w:ascii="Times New Roman" w:hAnsi="Times New Roman"/>
    </w:rPr>
  </w:style>
  <w:style w:type="paragraph" w:customStyle="1" w:styleId="299">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00">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301">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2">
    <w:name w:val="Char2"/>
    <w:basedOn w:val="1"/>
    <w:qFormat/>
    <w:uiPriority w:val="0"/>
    <w:rPr>
      <w:rFonts w:ascii="Calibri" w:hAnsi="Calibri"/>
    </w:rPr>
  </w:style>
  <w:style w:type="paragraph" w:customStyle="1" w:styleId="303">
    <w:name w:val="正文1"/>
    <w:basedOn w:val="1"/>
    <w:next w:val="13"/>
    <w:qFormat/>
    <w:uiPriority w:val="0"/>
    <w:pPr>
      <w:jc w:val="center"/>
    </w:pPr>
    <w:rPr>
      <w:rFonts w:ascii="Calibri" w:hAnsi="Calibri"/>
    </w:rPr>
  </w:style>
  <w:style w:type="paragraph" w:customStyle="1" w:styleId="304">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5">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6">
    <w:name w:val="样式 标题ljm + 首行缩进:  2 字符"/>
    <w:basedOn w:val="1"/>
    <w:link w:val="379"/>
    <w:qFormat/>
    <w:uiPriority w:val="0"/>
    <w:pPr>
      <w:spacing w:line="360" w:lineRule="auto"/>
      <w:ind w:firstLine="482" w:firstLineChars="200"/>
    </w:pPr>
    <w:rPr>
      <w:rFonts w:ascii="Calibri" w:hAnsi="Calibri"/>
      <w:b/>
      <w:bCs/>
      <w:kern w:val="0"/>
      <w:sz w:val="24"/>
      <w:szCs w:val="20"/>
    </w:rPr>
  </w:style>
  <w:style w:type="paragraph" w:customStyle="1" w:styleId="307">
    <w:name w:val="表格填充1"/>
    <w:basedOn w:val="1"/>
    <w:qFormat/>
    <w:uiPriority w:val="0"/>
    <w:pPr>
      <w:adjustRightInd w:val="0"/>
      <w:snapToGrid w:val="0"/>
      <w:spacing w:line="400" w:lineRule="exact"/>
      <w:jc w:val="center"/>
    </w:pPr>
    <w:rPr>
      <w:kern w:val="0"/>
      <w:szCs w:val="18"/>
    </w:rPr>
  </w:style>
  <w:style w:type="paragraph" w:customStyle="1" w:styleId="308">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9">
    <w:name w:val="Char Char Char1 Char Char Char Char"/>
    <w:basedOn w:val="1"/>
    <w:qFormat/>
    <w:uiPriority w:val="0"/>
    <w:pPr>
      <w:adjustRightInd w:val="0"/>
      <w:snapToGrid w:val="0"/>
      <w:spacing w:line="360" w:lineRule="auto"/>
      <w:ind w:firstLine="200" w:firstLineChars="200"/>
    </w:pPr>
  </w:style>
  <w:style w:type="paragraph" w:customStyle="1" w:styleId="310">
    <w:name w:val="默认段落字体 Para Char Char Char Char"/>
    <w:basedOn w:val="1"/>
    <w:qFormat/>
    <w:uiPriority w:val="0"/>
    <w:rPr>
      <w:rFonts w:ascii="Calibri" w:hAnsi="Calibri"/>
      <w:sz w:val="24"/>
    </w:rPr>
  </w:style>
  <w:style w:type="paragraph" w:customStyle="1" w:styleId="311">
    <w:name w:val="表biao"/>
    <w:basedOn w:val="1"/>
    <w:qFormat/>
    <w:uiPriority w:val="0"/>
    <w:pPr>
      <w:jc w:val="center"/>
    </w:pPr>
    <w:rPr>
      <w:rFonts w:ascii="宋体" w:hAnsi="宋体"/>
      <w:sz w:val="24"/>
    </w:rPr>
  </w:style>
  <w:style w:type="paragraph" w:customStyle="1" w:styleId="31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3">
    <w:name w:val="表"/>
    <w:basedOn w:val="19"/>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4">
    <w:name w:val="图名-中煤"/>
    <w:basedOn w:val="19"/>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5">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7">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8">
    <w:name w:val="首行缩进"/>
    <w:basedOn w:val="1"/>
    <w:qFormat/>
    <w:uiPriority w:val="0"/>
    <w:pPr>
      <w:tabs>
        <w:tab w:val="left" w:pos="-238"/>
      </w:tabs>
      <w:spacing w:line="340" w:lineRule="exact"/>
      <w:jc w:val="center"/>
    </w:pPr>
    <w:rPr>
      <w:color w:val="FF0000"/>
      <w:szCs w:val="21"/>
    </w:rPr>
  </w:style>
  <w:style w:type="paragraph" w:customStyle="1" w:styleId="319">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20">
    <w:name w:val="文章正文 Char"/>
    <w:basedOn w:val="1"/>
    <w:qFormat/>
    <w:uiPriority w:val="0"/>
    <w:pPr>
      <w:spacing w:line="600" w:lineRule="exact"/>
      <w:ind w:firstLine="200" w:firstLineChars="200"/>
    </w:pPr>
    <w:rPr>
      <w:rFonts w:eastAsia="仿宋_GB2312"/>
      <w:sz w:val="32"/>
      <w:szCs w:val="32"/>
    </w:rPr>
  </w:style>
  <w:style w:type="paragraph" w:customStyle="1" w:styleId="321">
    <w:name w:val="报告表 表中文字"/>
    <w:basedOn w:val="1"/>
    <w:qFormat/>
    <w:uiPriority w:val="0"/>
    <w:pPr>
      <w:adjustRightInd w:val="0"/>
      <w:snapToGrid w:val="0"/>
      <w:jc w:val="center"/>
    </w:pPr>
    <w:rPr>
      <w:rFonts w:eastAsia="Times New Roman"/>
    </w:rPr>
  </w:style>
  <w:style w:type="paragraph" w:customStyle="1" w:styleId="322">
    <w:name w:val="02图"/>
    <w:basedOn w:val="14"/>
    <w:qFormat/>
    <w:uiPriority w:val="0"/>
    <w:pPr>
      <w:widowControl/>
      <w:jc w:val="center"/>
    </w:pPr>
    <w:rPr>
      <w:rFonts w:eastAsia="宋体"/>
      <w:b/>
      <w:sz w:val="22"/>
      <w:szCs w:val="22"/>
    </w:rPr>
  </w:style>
  <w:style w:type="paragraph" w:customStyle="1" w:styleId="323">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4">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5">
    <w:name w:val="表格-HF"/>
    <w:basedOn w:val="1"/>
    <w:qFormat/>
    <w:uiPriority w:val="2"/>
    <w:pPr>
      <w:jc w:val="center"/>
    </w:pPr>
    <w:rPr>
      <w:rFonts w:cs="宋体"/>
      <w:szCs w:val="21"/>
    </w:rPr>
  </w:style>
  <w:style w:type="paragraph" w:customStyle="1" w:styleId="326">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7">
    <w:name w:val="正文四号"/>
    <w:basedOn w:val="1"/>
    <w:qFormat/>
    <w:uiPriority w:val="0"/>
    <w:pPr>
      <w:spacing w:line="360" w:lineRule="auto"/>
      <w:ind w:firstLine="200" w:firstLineChars="200"/>
    </w:pPr>
    <w:rPr>
      <w:rFonts w:ascii="Calibri" w:hAnsi="Calibri" w:cs="宋体"/>
      <w:sz w:val="24"/>
      <w:szCs w:val="28"/>
    </w:rPr>
  </w:style>
  <w:style w:type="paragraph" w:customStyle="1" w:styleId="32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9">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30">
    <w:name w:val="样式 标题 2节名节H22nd levelh2Header 2标题 1.1编号标题2head:2#2 hea..."/>
    <w:basedOn w:val="4"/>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1">
    <w:name w:val="lulu表格"/>
    <w:basedOn w:val="1"/>
    <w:qFormat/>
    <w:uiPriority w:val="0"/>
    <w:pPr>
      <w:widowControl/>
      <w:jc w:val="center"/>
    </w:pPr>
    <w:rPr>
      <w:rFonts w:cs="宋体"/>
      <w:kern w:val="0"/>
      <w:sz w:val="22"/>
      <w:szCs w:val="22"/>
    </w:rPr>
  </w:style>
  <w:style w:type="paragraph" w:customStyle="1" w:styleId="332">
    <w:name w:val="Char Char Char Char Char Char Char"/>
    <w:basedOn w:val="1"/>
    <w:qFormat/>
    <w:uiPriority w:val="0"/>
    <w:pPr>
      <w:spacing w:after="160" w:line="240" w:lineRule="exact"/>
    </w:pPr>
    <w:rPr>
      <w:szCs w:val="20"/>
    </w:rPr>
  </w:style>
  <w:style w:type="paragraph" w:styleId="333">
    <w:name w:val="List Paragraph"/>
    <w:basedOn w:val="1"/>
    <w:qFormat/>
    <w:uiPriority w:val="99"/>
    <w:pPr>
      <w:ind w:firstLine="420" w:firstLineChars="200"/>
    </w:pPr>
  </w:style>
  <w:style w:type="paragraph" w:customStyle="1" w:styleId="334">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5">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6">
    <w:name w:val="0环评 表中文字"/>
    <w:basedOn w:val="1"/>
    <w:qFormat/>
    <w:uiPriority w:val="0"/>
    <w:pPr>
      <w:adjustRightInd w:val="0"/>
      <w:snapToGrid w:val="0"/>
      <w:jc w:val="center"/>
    </w:pPr>
  </w:style>
  <w:style w:type="character" w:customStyle="1" w:styleId="337">
    <w:name w:val="样式25 Char"/>
    <w:link w:val="338"/>
    <w:qFormat/>
    <w:uiPriority w:val="0"/>
    <w:rPr>
      <w:color w:val="000000"/>
      <w:kern w:val="2"/>
      <w:sz w:val="26"/>
    </w:rPr>
  </w:style>
  <w:style w:type="paragraph" w:customStyle="1" w:styleId="338">
    <w:name w:val="样式25"/>
    <w:basedOn w:val="1"/>
    <w:link w:val="337"/>
    <w:qFormat/>
    <w:uiPriority w:val="0"/>
    <w:pPr>
      <w:spacing w:line="460" w:lineRule="exact"/>
      <w:ind w:firstLine="520" w:firstLineChars="200"/>
    </w:pPr>
    <w:rPr>
      <w:color w:val="000000"/>
      <w:sz w:val="26"/>
      <w:szCs w:val="20"/>
    </w:rPr>
  </w:style>
  <w:style w:type="character" w:customStyle="1" w:styleId="339">
    <w:name w:val="纯文本 字符1"/>
    <w:semiHidden/>
    <w:qFormat/>
    <w:uiPriority w:val="0"/>
    <w:rPr>
      <w:sz w:val="28"/>
    </w:rPr>
  </w:style>
  <w:style w:type="character" w:customStyle="1" w:styleId="340">
    <w:name w:val="01 大庆环评 正文 字符"/>
    <w:link w:val="341"/>
    <w:qFormat/>
    <w:uiPriority w:val="0"/>
    <w:rPr>
      <w:kern w:val="2"/>
      <w:sz w:val="21"/>
      <w:szCs w:val="28"/>
    </w:rPr>
  </w:style>
  <w:style w:type="paragraph" w:customStyle="1" w:styleId="341">
    <w:name w:val="01 大庆环评 正文"/>
    <w:basedOn w:val="256"/>
    <w:link w:val="340"/>
    <w:qFormat/>
    <w:uiPriority w:val="0"/>
    <w:rPr>
      <w:sz w:val="21"/>
      <w:szCs w:val="28"/>
    </w:rPr>
  </w:style>
  <w:style w:type="paragraph" w:customStyle="1" w:styleId="342">
    <w:name w:val="01大庆环评 表格文字"/>
    <w:basedOn w:val="1"/>
    <w:qFormat/>
    <w:uiPriority w:val="0"/>
    <w:pPr>
      <w:jc w:val="center"/>
    </w:pPr>
    <w:rPr>
      <w:kern w:val="0"/>
    </w:rPr>
  </w:style>
  <w:style w:type="paragraph" w:customStyle="1" w:styleId="343">
    <w:name w:val="02 大庆环评 表格标题"/>
    <w:basedOn w:val="1"/>
    <w:qFormat/>
    <w:uiPriority w:val="0"/>
    <w:pPr>
      <w:widowControl/>
      <w:spacing w:line="360" w:lineRule="auto"/>
      <w:jc w:val="center"/>
    </w:pPr>
    <w:rPr>
      <w:rFonts w:cs="宋体"/>
      <w:b/>
      <w:kern w:val="0"/>
      <w:szCs w:val="22"/>
    </w:rPr>
  </w:style>
  <w:style w:type="character" w:customStyle="1" w:styleId="344">
    <w:name w:val="05 大庆环评 正文 字符"/>
    <w:link w:val="345"/>
    <w:qFormat/>
    <w:uiPriority w:val="0"/>
    <w:rPr>
      <w:rFonts w:eastAsia="宋体"/>
      <w:kern w:val="2"/>
      <w:sz w:val="24"/>
      <w:szCs w:val="26"/>
    </w:rPr>
  </w:style>
  <w:style w:type="paragraph" w:customStyle="1" w:styleId="345">
    <w:name w:val="05 环评 正文"/>
    <w:basedOn w:val="1"/>
    <w:link w:val="344"/>
    <w:qFormat/>
    <w:uiPriority w:val="0"/>
    <w:pPr>
      <w:adjustRightInd w:val="0"/>
      <w:snapToGrid w:val="0"/>
      <w:spacing w:line="360" w:lineRule="auto"/>
      <w:ind w:firstLine="200" w:firstLineChars="200"/>
    </w:pPr>
    <w:rPr>
      <w:sz w:val="24"/>
      <w:szCs w:val="26"/>
    </w:rPr>
  </w:style>
  <w:style w:type="paragraph" w:customStyle="1" w:styleId="346">
    <w:name w:val="07 大庆环评 表格标题"/>
    <w:basedOn w:val="345"/>
    <w:qFormat/>
    <w:uiPriority w:val="0"/>
    <w:pPr>
      <w:ind w:firstLine="0" w:firstLineChars="0"/>
      <w:jc w:val="center"/>
    </w:pPr>
    <w:rPr>
      <w:b/>
      <w:bCs/>
      <w:sz w:val="21"/>
      <w:szCs w:val="28"/>
    </w:rPr>
  </w:style>
  <w:style w:type="character" w:customStyle="1" w:styleId="347">
    <w:name w:val="未处理的提及1"/>
    <w:unhideWhenUsed/>
    <w:qFormat/>
    <w:uiPriority w:val="99"/>
    <w:rPr>
      <w:color w:val="605E5C"/>
      <w:shd w:val="clear" w:color="auto" w:fill="E1DFDD"/>
    </w:rPr>
  </w:style>
  <w:style w:type="paragraph" w:customStyle="1" w:styleId="348">
    <w:name w:val="06 环评 表格问题"/>
    <w:basedOn w:val="345"/>
    <w:qFormat/>
    <w:uiPriority w:val="0"/>
    <w:pPr>
      <w:spacing w:line="240" w:lineRule="auto"/>
      <w:ind w:firstLine="0" w:firstLineChars="0"/>
      <w:jc w:val="center"/>
    </w:pPr>
    <w:rPr>
      <w:sz w:val="21"/>
      <w:szCs w:val="22"/>
    </w:rPr>
  </w:style>
  <w:style w:type="paragraph" w:customStyle="1" w:styleId="349">
    <w:name w:val="ns正文"/>
    <w:basedOn w:val="1"/>
    <w:qFormat/>
    <w:uiPriority w:val="0"/>
    <w:pPr>
      <w:spacing w:line="360" w:lineRule="auto"/>
      <w:ind w:firstLine="200" w:firstLineChars="200"/>
    </w:pPr>
    <w:rPr>
      <w:sz w:val="24"/>
      <w:szCs w:val="22"/>
    </w:rPr>
  </w:style>
  <w:style w:type="table" w:customStyle="1" w:styleId="350">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1">
    <w:name w:val="07大庆环评 报告文本 字符"/>
    <w:link w:val="352"/>
    <w:qFormat/>
    <w:uiPriority w:val="0"/>
    <w:rPr>
      <w:kern w:val="2"/>
      <w:sz w:val="21"/>
      <w:szCs w:val="28"/>
    </w:rPr>
  </w:style>
  <w:style w:type="paragraph" w:customStyle="1" w:styleId="352">
    <w:name w:val="07大庆环评 报告文本"/>
    <w:basedOn w:val="1"/>
    <w:link w:val="351"/>
    <w:qFormat/>
    <w:uiPriority w:val="0"/>
    <w:pPr>
      <w:spacing w:line="360" w:lineRule="auto"/>
      <w:ind w:firstLine="200" w:firstLineChars="200"/>
    </w:pPr>
    <w:rPr>
      <w:szCs w:val="28"/>
    </w:rPr>
  </w:style>
  <w:style w:type="character" w:customStyle="1" w:styleId="353">
    <w:name w:val="Char1 Char Char Char Char Char1"/>
    <w:qFormat/>
    <w:uiPriority w:val="0"/>
    <w:rPr>
      <w:rFonts w:eastAsia="宋体"/>
      <w:kern w:val="2"/>
      <w:sz w:val="21"/>
      <w:szCs w:val="24"/>
      <w:lang w:val="en-US" w:eastAsia="zh-CN" w:bidi="ar-SA"/>
    </w:rPr>
  </w:style>
  <w:style w:type="character" w:customStyle="1" w:styleId="354">
    <w:name w:val="Char Char71"/>
    <w:qFormat/>
    <w:uiPriority w:val="0"/>
    <w:rPr>
      <w:rFonts w:ascii="宋体" w:hAnsi="宋体" w:eastAsia="黑体"/>
      <w:bCs/>
      <w:color w:val="FF0000"/>
      <w:kern w:val="2"/>
      <w:sz w:val="28"/>
      <w:szCs w:val="28"/>
    </w:rPr>
  </w:style>
  <w:style w:type="character" w:customStyle="1" w:styleId="355">
    <w:name w:val="Char1 Char Char1"/>
    <w:qFormat/>
    <w:uiPriority w:val="0"/>
    <w:rPr>
      <w:rFonts w:eastAsia="宋体"/>
      <w:kern w:val="2"/>
      <w:sz w:val="21"/>
      <w:szCs w:val="24"/>
      <w:lang w:val="en-US" w:eastAsia="zh-CN" w:bidi="ar-SA"/>
    </w:rPr>
  </w:style>
  <w:style w:type="character" w:customStyle="1" w:styleId="356">
    <w:name w:val="Char Char1"/>
    <w:qFormat/>
    <w:uiPriority w:val="0"/>
    <w:rPr>
      <w:rFonts w:eastAsia="宋体"/>
      <w:b/>
      <w:bCs/>
      <w:kern w:val="44"/>
      <w:sz w:val="24"/>
      <w:szCs w:val="44"/>
      <w:lang w:val="en-US" w:eastAsia="zh-CN" w:bidi="ar-SA"/>
    </w:rPr>
  </w:style>
  <w:style w:type="character" w:customStyle="1" w:styleId="357">
    <w:name w:val="Char1 Char"/>
    <w:link w:val="358"/>
    <w:qFormat/>
    <w:uiPriority w:val="0"/>
    <w:rPr>
      <w:kern w:val="2"/>
      <w:sz w:val="21"/>
      <w:szCs w:val="24"/>
    </w:rPr>
  </w:style>
  <w:style w:type="paragraph" w:customStyle="1" w:styleId="358">
    <w:name w:val="Char11"/>
    <w:basedOn w:val="1"/>
    <w:link w:val="357"/>
    <w:qFormat/>
    <w:uiPriority w:val="0"/>
  </w:style>
  <w:style w:type="paragraph" w:customStyle="1" w:styleId="359">
    <w:name w:val="Char Char Char Char1"/>
    <w:basedOn w:val="1"/>
    <w:qFormat/>
    <w:uiPriority w:val="0"/>
    <w:rPr>
      <w:rFonts w:ascii="Calibri" w:hAnsi="Calibri"/>
    </w:rPr>
  </w:style>
  <w:style w:type="paragraph" w:customStyle="1" w:styleId="360">
    <w:name w:val="Char1 Char Char Char1"/>
    <w:basedOn w:val="1"/>
    <w:qFormat/>
    <w:uiPriority w:val="0"/>
    <w:rPr>
      <w:rFonts w:ascii="Calibri" w:hAnsi="Calibri"/>
    </w:rPr>
  </w:style>
  <w:style w:type="paragraph" w:customStyle="1" w:styleId="361">
    <w:name w:val="Char3"/>
    <w:basedOn w:val="1"/>
    <w:qFormat/>
    <w:uiPriority w:val="0"/>
    <w:rPr>
      <w:rFonts w:ascii="Calibri" w:hAnsi="Calibri"/>
    </w:rPr>
  </w:style>
  <w:style w:type="paragraph" w:customStyle="1" w:styleId="362">
    <w:name w:val="Char Char Char Char Char Char"/>
    <w:basedOn w:val="1"/>
    <w:next w:val="2"/>
    <w:qFormat/>
    <w:uiPriority w:val="0"/>
    <w:rPr>
      <w:rFonts w:ascii="Calibri" w:hAnsi="Calibri"/>
      <w:sz w:val="28"/>
      <w:szCs w:val="28"/>
    </w:rPr>
  </w:style>
  <w:style w:type="paragraph" w:customStyle="1" w:styleId="363">
    <w:name w:val="07 大庆环评 表格文字"/>
    <w:basedOn w:val="1"/>
    <w:qFormat/>
    <w:uiPriority w:val="0"/>
    <w:pPr>
      <w:jc w:val="center"/>
    </w:pPr>
    <w:rPr>
      <w:szCs w:val="22"/>
    </w:rPr>
  </w:style>
  <w:style w:type="paragraph" w:customStyle="1" w:styleId="364">
    <w:name w:val="正文缩进3"/>
    <w:basedOn w:val="1"/>
    <w:qFormat/>
    <w:uiPriority w:val="0"/>
    <w:pPr>
      <w:ind w:firstLine="420" w:firstLineChars="200"/>
    </w:pPr>
    <w:rPr>
      <w:rFonts w:ascii="Calibri" w:hAnsi="Calibri"/>
    </w:rPr>
  </w:style>
  <w:style w:type="paragraph" w:customStyle="1" w:styleId="365">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6">
    <w:name w:val="列表段落2"/>
    <w:basedOn w:val="1"/>
    <w:qFormat/>
    <w:uiPriority w:val="0"/>
    <w:pPr>
      <w:ind w:firstLine="420" w:firstLineChars="200"/>
    </w:pPr>
    <w:rPr>
      <w:rFonts w:ascii="Calibri" w:hAnsi="Calibri"/>
    </w:rPr>
  </w:style>
  <w:style w:type="paragraph" w:customStyle="1" w:styleId="367">
    <w:name w:val="Char Char Char Char Char Char Char Char Char Char Char Char Char1"/>
    <w:basedOn w:val="1"/>
    <w:qFormat/>
    <w:uiPriority w:val="0"/>
    <w:rPr>
      <w:rFonts w:ascii="Calibri" w:hAnsi="Calibri"/>
    </w:rPr>
  </w:style>
  <w:style w:type="paragraph" w:customStyle="1" w:styleId="368">
    <w:name w:val="纯文本3"/>
    <w:basedOn w:val="1"/>
    <w:qFormat/>
    <w:uiPriority w:val="0"/>
    <w:rPr>
      <w:rFonts w:ascii="宋体" w:hAnsi="Courier New"/>
    </w:rPr>
  </w:style>
  <w:style w:type="paragraph" w:customStyle="1" w:styleId="369">
    <w:name w:val="Char Char1 Char Char Char Char Char Char Char Char Char1"/>
    <w:basedOn w:val="1"/>
    <w:qFormat/>
    <w:uiPriority w:val="0"/>
    <w:rPr>
      <w:rFonts w:ascii="Calibri" w:hAnsi="Calibri"/>
    </w:rPr>
  </w:style>
  <w:style w:type="paragraph" w:customStyle="1" w:styleId="370">
    <w:name w:val="08 大庆环评 表格标题2"/>
    <w:basedOn w:val="4"/>
    <w:qFormat/>
    <w:uiPriority w:val="0"/>
    <w:pPr>
      <w:spacing w:before="0" w:after="0" w:line="360" w:lineRule="auto"/>
      <w:jc w:val="center"/>
      <w:outlineLvl w:val="9"/>
    </w:pPr>
    <w:rPr>
      <w:rFonts w:ascii="Times New Roman" w:hAnsi="Times New Roman" w:eastAsia="宋体"/>
      <w:sz w:val="21"/>
    </w:rPr>
  </w:style>
  <w:style w:type="paragraph" w:customStyle="1" w:styleId="371">
    <w:name w:val="Char Char Char1 Char Char Char Char1"/>
    <w:basedOn w:val="1"/>
    <w:qFormat/>
    <w:uiPriority w:val="0"/>
    <w:pPr>
      <w:adjustRightInd w:val="0"/>
      <w:snapToGrid w:val="0"/>
      <w:spacing w:line="360" w:lineRule="auto"/>
      <w:ind w:firstLine="200" w:firstLineChars="200"/>
    </w:pPr>
  </w:style>
  <w:style w:type="paragraph" w:customStyle="1" w:styleId="372">
    <w:name w:val="05环评 正文"/>
    <w:basedOn w:val="1"/>
    <w:qFormat/>
    <w:uiPriority w:val="0"/>
    <w:pPr>
      <w:spacing w:line="360" w:lineRule="auto"/>
      <w:ind w:firstLine="200" w:firstLineChars="200"/>
    </w:pPr>
    <w:rPr>
      <w:sz w:val="24"/>
      <w:szCs w:val="22"/>
    </w:rPr>
  </w:style>
  <w:style w:type="paragraph" w:customStyle="1" w:styleId="3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4">
    <w:name w:val="Table Grid_0"/>
    <w:basedOn w:val="44"/>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5">
    <w:name w:val="Placeholder Text"/>
    <w:basedOn w:val="46"/>
    <w:unhideWhenUsed/>
    <w:qFormat/>
    <w:uiPriority w:val="99"/>
    <w:rPr>
      <w:color w:val="808080"/>
    </w:rPr>
  </w:style>
  <w:style w:type="character" w:customStyle="1" w:styleId="376">
    <w:name w:val="正文文本缩进 2 Char"/>
    <w:qFormat/>
    <w:uiPriority w:val="0"/>
    <w:rPr>
      <w:kern w:val="2"/>
      <w:sz w:val="21"/>
      <w:szCs w:val="24"/>
    </w:rPr>
  </w:style>
  <w:style w:type="paragraph" w:customStyle="1" w:styleId="377">
    <w:name w:val="_Style 374"/>
    <w:basedOn w:val="1"/>
    <w:next w:val="333"/>
    <w:qFormat/>
    <w:uiPriority w:val="99"/>
    <w:pPr>
      <w:ind w:firstLine="420" w:firstLineChars="200"/>
    </w:pPr>
  </w:style>
  <w:style w:type="character" w:customStyle="1" w:styleId="378">
    <w:name w:val="普通(网站) 字符1"/>
    <w:qFormat/>
    <w:uiPriority w:val="0"/>
    <w:rPr>
      <w:rFonts w:ascii="宋体" w:hAnsi="宋体" w:eastAsia="宋体"/>
      <w:sz w:val="24"/>
    </w:rPr>
  </w:style>
  <w:style w:type="character" w:customStyle="1" w:styleId="379">
    <w:name w:val="样式 标题ljm + 首行缩进:  2 字符 Char Char Char"/>
    <w:basedOn w:val="46"/>
    <w:link w:val="306"/>
    <w:qFormat/>
    <w:uiPriority w:val="0"/>
    <w:rPr>
      <w:rFonts w:ascii="Calibri" w:hAnsi="Calibri"/>
      <w:b/>
      <w:bCs/>
      <w:sz w:val="24"/>
    </w:rPr>
  </w:style>
  <w:style w:type="character" w:customStyle="1" w:styleId="380">
    <w:name w:val="font31"/>
    <w:basedOn w:val="46"/>
    <w:qFormat/>
    <w:uiPriority w:val="0"/>
    <w:rPr>
      <w:rFonts w:hint="eastAsia" w:ascii="宋体" w:hAnsi="宋体" w:eastAsia="宋体" w:cs="宋体"/>
      <w:color w:val="000000"/>
      <w:sz w:val="21"/>
      <w:szCs w:val="21"/>
      <w:u w:val="none"/>
    </w:rPr>
  </w:style>
  <w:style w:type="paragraph" w:customStyle="1" w:styleId="381">
    <w:name w:val="技术图表"/>
    <w:basedOn w:val="1"/>
    <w:qFormat/>
    <w:uiPriority w:val="0"/>
    <w:pPr>
      <w:jc w:val="center"/>
    </w:pPr>
    <w:rPr>
      <w:rFonts w:eastAsia="仿宋"/>
      <w:szCs w:val="22"/>
    </w:rPr>
  </w:style>
  <w:style w:type="paragraph" w:customStyle="1" w:styleId="382">
    <w:name w:val="CCGL表"/>
    <w:basedOn w:val="1"/>
    <w:qFormat/>
    <w:uiPriority w:val="0"/>
    <w:pPr>
      <w:jc w:val="center"/>
    </w:pPr>
    <w:rPr>
      <w:kern w:val="0"/>
      <w:sz w:val="22"/>
      <w:szCs w:val="20"/>
    </w:rPr>
  </w:style>
  <w:style w:type="paragraph" w:customStyle="1" w:styleId="383">
    <w:name w:val="XF-正文"/>
    <w:basedOn w:val="1"/>
    <w:qFormat/>
    <w:uiPriority w:val="0"/>
    <w:pPr>
      <w:spacing w:line="520" w:lineRule="exact"/>
      <w:ind w:firstLine="880" w:firstLineChars="200"/>
    </w:pPr>
    <w:rPr>
      <w:kern w:val="0"/>
      <w:sz w:val="24"/>
      <w:szCs w:val="22"/>
    </w:rPr>
  </w:style>
  <w:style w:type="character" w:customStyle="1" w:styleId="384">
    <w:name w:val="font61"/>
    <w:basedOn w:val="46"/>
    <w:qFormat/>
    <w:uiPriority w:val="0"/>
    <w:rPr>
      <w:rFonts w:hint="eastAsia" w:ascii="宋体" w:hAnsi="宋体" w:eastAsia="宋体" w:cs="宋体"/>
      <w:color w:val="000000"/>
      <w:sz w:val="20"/>
      <w:szCs w:val="20"/>
      <w:u w:val="none"/>
    </w:rPr>
  </w:style>
  <w:style w:type="character" w:customStyle="1" w:styleId="385">
    <w:name w:val="15"/>
    <w:basedOn w:val="46"/>
    <w:qFormat/>
    <w:uiPriority w:val="0"/>
    <w:rPr>
      <w:rFonts w:hint="default" w:ascii="Times New Roman" w:hAnsi="Times New Roman" w:cs="Times New Roman"/>
    </w:rPr>
  </w:style>
  <w:style w:type="paragraph" w:customStyle="1" w:styleId="386">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7">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8">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9">
    <w:name w:val="0正文"/>
    <w:basedOn w:val="38"/>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90">
    <w:name w:val="1、L表名、图名"/>
    <w:basedOn w:val="1"/>
    <w:qFormat/>
    <w:uiPriority w:val="0"/>
    <w:pPr>
      <w:adjustRightInd w:val="0"/>
      <w:snapToGrid w:val="0"/>
      <w:spacing w:line="360" w:lineRule="auto"/>
      <w:jc w:val="center"/>
    </w:pPr>
    <w:rPr>
      <w:b/>
      <w:bCs/>
      <w:szCs w:val="18"/>
    </w:rPr>
  </w:style>
  <w:style w:type="paragraph" w:customStyle="1" w:styleId="391">
    <w:name w:val="1 Char Char Char Char"/>
    <w:basedOn w:val="1"/>
    <w:qFormat/>
    <w:uiPriority w:val="0"/>
  </w:style>
  <w:style w:type="paragraph" w:customStyle="1" w:styleId="39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3">
    <w:name w:val="11正文"/>
    <w:basedOn w:val="1"/>
    <w:qFormat/>
    <w:uiPriority w:val="0"/>
    <w:pPr>
      <w:spacing w:line="500" w:lineRule="exact"/>
      <w:ind w:firstLine="200" w:firstLineChars="200"/>
    </w:pPr>
    <w:rPr>
      <w:bCs/>
      <w:sz w:val="24"/>
    </w:rPr>
  </w:style>
  <w:style w:type="paragraph" w:customStyle="1" w:styleId="394">
    <w:name w:val="11表格文字"/>
    <w:basedOn w:val="1"/>
    <w:qFormat/>
    <w:uiPriority w:val="0"/>
    <w:pPr>
      <w:jc w:val="center"/>
    </w:pPr>
    <w:rPr>
      <w:szCs w:val="21"/>
    </w:rPr>
  </w:style>
  <w:style w:type="paragraph" w:customStyle="1" w:styleId="395">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7">
    <w:name w:val="SSEC 2级序号"/>
    <w:basedOn w:val="387"/>
    <w:qFormat/>
    <w:uiPriority w:val="0"/>
    <w:pPr>
      <w:numPr>
        <w:numId w:val="0"/>
      </w:numPr>
      <w:ind w:firstLine="476"/>
    </w:pPr>
  </w:style>
  <w:style w:type="paragraph" w:customStyle="1" w:styleId="398">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9">
    <w:name w:val="表标题名"/>
    <w:basedOn w:val="400"/>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400">
    <w:name w:val="表名"/>
    <w:basedOn w:val="1"/>
    <w:next w:val="14"/>
    <w:qFormat/>
    <w:uiPriority w:val="0"/>
    <w:pPr>
      <w:jc w:val="center"/>
    </w:pPr>
    <w:rPr>
      <w:rFonts w:eastAsia="Times New Roman"/>
      <w:b/>
      <w:sz w:val="20"/>
      <w:szCs w:val="20"/>
    </w:rPr>
  </w:style>
  <w:style w:type="paragraph" w:customStyle="1" w:styleId="401">
    <w:name w:val="正文(首缩进)"/>
    <w:basedOn w:val="1"/>
    <w:qFormat/>
    <w:uiPriority w:val="0"/>
    <w:rPr>
      <w:szCs w:val="20"/>
    </w:rPr>
  </w:style>
  <w:style w:type="paragraph" w:customStyle="1" w:styleId="402">
    <w:name w:val="0大庆环评 正文"/>
    <w:basedOn w:val="1"/>
    <w:qFormat/>
    <w:uiPriority w:val="0"/>
    <w:pPr>
      <w:adjustRightInd w:val="0"/>
      <w:snapToGrid w:val="0"/>
      <w:spacing w:line="360" w:lineRule="auto"/>
      <w:ind w:firstLine="200" w:firstLineChars="200"/>
    </w:pPr>
  </w:style>
  <w:style w:type="paragraph" w:customStyle="1" w:styleId="403">
    <w:name w:val="报告书标题5"/>
    <w:basedOn w:val="7"/>
    <w:next w:val="1"/>
    <w:qFormat/>
    <w:uiPriority w:val="0"/>
    <w:pPr>
      <w:spacing w:before="0" w:after="0" w:line="360" w:lineRule="auto"/>
      <w:jc w:val="center"/>
    </w:pPr>
    <w:rPr>
      <w:rFonts w:cs="宋体"/>
      <w:color w:val="000000" w:themeColor="text1"/>
      <w:sz w:val="21"/>
      <w14:textFill>
        <w14:solidFill>
          <w14:schemeClr w14:val="tx1"/>
        </w14:solidFill>
      </w14:textFill>
    </w:rPr>
  </w:style>
  <w:style w:type="paragraph" w:styleId="404">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customStyle="1" w:styleId="4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table" w:customStyle="1" w:styleId="406">
    <w:name w:val="常用"/>
    <w:basedOn w:val="44"/>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407">
    <w:name w:val="样式61"/>
    <w:basedOn w:val="44"/>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408">
    <w:name w:val="Normal_0"/>
    <w:basedOn w:val="1"/>
    <w:qFormat/>
    <w:uiPriority w:val="0"/>
    <w:pPr>
      <w:spacing w:line="360" w:lineRule="auto"/>
      <w:ind w:firstLine="200" w:firstLineChars="200"/>
    </w:pPr>
    <w:rPr>
      <w:rFonts w:eastAsia="仿宋"/>
      <w:sz w:val="28"/>
      <w:szCs w:val="28"/>
    </w:rPr>
  </w:style>
  <w:style w:type="table" w:customStyle="1" w:styleId="409">
    <w:name w:val="样式64"/>
    <w:basedOn w:val="44"/>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410">
    <w:name w:val="00表格正文"/>
    <w:basedOn w:val="1"/>
    <w:qFormat/>
    <w:uiPriority w:val="0"/>
    <w:pPr>
      <w:adjustRightInd w:val="0"/>
      <w:snapToGrid w:val="0"/>
      <w:jc w:val="center"/>
    </w:pPr>
    <w:rPr>
      <w:rFonts w:ascii="宋体"/>
      <w:snapToGrid w:val="0"/>
      <w:kern w:val="0"/>
      <w:sz w:val="20"/>
    </w:rPr>
  </w:style>
  <w:style w:type="table" w:customStyle="1" w:styleId="411">
    <w:name w:val="样式621"/>
    <w:basedOn w:val="44"/>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41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13">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41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solidFill>
            <a:schemeClr val="accent1">
              <a:lumMod val="40000"/>
              <a:lumOff val="60000"/>
            </a:schemeClr>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142</Pages>
  <Words>28638</Words>
  <Characters>29542</Characters>
  <Lines>5959</Lines>
  <Paragraphs>6293</Paragraphs>
  <TotalTime>6</TotalTime>
  <ScaleCrop>false</ScaleCrop>
  <LinksUpToDate>false</LinksUpToDate>
  <CharactersWithSpaces>29673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东方轩尘</cp:lastModifiedBy>
  <cp:lastPrinted>2022-06-20T01:49:00Z</cp:lastPrinted>
  <dcterms:modified xsi:type="dcterms:W3CDTF">2025-06-25T03:31:57Z</dcterms:modified>
  <dc:title>建设项目环境影响报告表（生态影响类）</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54A595081EB449878F28ECC3303B5086_13</vt:lpwstr>
  </property>
  <property fmtid="{D5CDD505-2E9C-101B-9397-08002B2CF9AE}" pid="4" name="KSOTemplateDocerSaveRecord">
    <vt:lpwstr>eyJoZGlkIjoiYzU5YTRhNGJlNmNjOGM3OWZmMjE5Yjg3MjAyODU3ZmIiLCJ1c2VySWQiOiI3MzY3MTE1ODkifQ==</vt:lpwstr>
  </property>
</Properties>
</file>