
<file path=[Content_Types].xml><?xml version="1.0" encoding="utf-8"?>
<Types xmlns="http://schemas.openxmlformats.org/package/2006/content-types">
  <Default Extension="xml" ContentType="application/xml"/>
  <Default Extension="bin" ContentType="application/vnd.openxmlformats-officedocument.oleObject"/>
  <Default Extension="tiff" ContentType="image/tiff"/>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286A74">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14:paraId="1C231329">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14:paraId="16B78723">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14:paraId="0B7C6C2A">
      <w:pPr>
        <w:keepNext w:val="0"/>
        <w:keepLines w:val="0"/>
        <w:pageBreakBefore w:val="0"/>
        <w:kinsoku/>
        <w:wordWrap/>
        <w:topLinePunct w:val="0"/>
        <w:bidi w:val="0"/>
        <w:spacing w:line="360" w:lineRule="auto"/>
        <w:ind w:left="0" w:leftChars="0"/>
        <w:jc w:val="center"/>
        <w:rPr>
          <w:rFonts w:hint="default" w:ascii="Times New Roman" w:hAnsi="Times New Roman" w:eastAsia="方正小标宋_GBK" w:cs="Times New Roman"/>
          <w:color w:val="auto"/>
          <w:sz w:val="72"/>
          <w:szCs w:val="72"/>
          <w:highlight w:val="none"/>
        </w:rPr>
      </w:pPr>
      <w:r>
        <w:rPr>
          <w:rFonts w:hint="default" w:ascii="Times New Roman" w:hAnsi="Times New Roman" w:eastAsia="方正小标宋_GBK" w:cs="Times New Roman"/>
          <w:color w:val="auto"/>
          <w:sz w:val="72"/>
          <w:szCs w:val="72"/>
          <w:highlight w:val="none"/>
        </w:rPr>
        <w:t>建设项目环境影响报告表</w:t>
      </w:r>
    </w:p>
    <w:p w14:paraId="21EFDFF9">
      <w:pPr>
        <w:keepNext w:val="0"/>
        <w:keepLines w:val="0"/>
        <w:pageBreakBefore w:val="0"/>
        <w:kinsoku/>
        <w:wordWrap/>
        <w:topLinePunct w:val="0"/>
        <w:bidi w:val="0"/>
        <w:spacing w:line="360" w:lineRule="auto"/>
        <w:ind w:left="0" w:leftChars="0"/>
        <w:jc w:val="center"/>
        <w:rPr>
          <w:rFonts w:hint="default" w:ascii="Times New Roman" w:hAnsi="Times New Roman" w:eastAsia="楷体" w:cs="Times New Roman"/>
          <w:color w:val="auto"/>
          <w:sz w:val="48"/>
          <w:szCs w:val="48"/>
          <w:highlight w:val="none"/>
        </w:rPr>
      </w:pPr>
      <w:r>
        <w:rPr>
          <w:rFonts w:hint="default" w:ascii="Times New Roman" w:hAnsi="Times New Roman" w:eastAsia="楷体" w:cs="Times New Roman"/>
          <w:color w:val="auto"/>
          <w:sz w:val="48"/>
          <w:szCs w:val="48"/>
          <w:highlight w:val="none"/>
        </w:rPr>
        <w:t>（污染影响类）</w:t>
      </w:r>
    </w:p>
    <w:p w14:paraId="718331BD">
      <w:pPr>
        <w:keepNext w:val="0"/>
        <w:keepLines w:val="0"/>
        <w:pageBreakBefore w:val="0"/>
        <w:kinsoku/>
        <w:wordWrap/>
        <w:topLinePunct w:val="0"/>
        <w:bidi w:val="0"/>
        <w:spacing w:line="360" w:lineRule="auto"/>
        <w:ind w:left="0" w:leftChars="0"/>
        <w:jc w:val="center"/>
        <w:rPr>
          <w:rFonts w:hint="default" w:ascii="Times New Roman" w:hAnsi="Times New Roman" w:eastAsia="楷体" w:cs="Times New Roman"/>
          <w:color w:val="auto"/>
          <w:sz w:val="48"/>
          <w:szCs w:val="48"/>
          <w:highlight w:val="none"/>
        </w:rPr>
      </w:pPr>
      <w:r>
        <w:rPr>
          <w:rFonts w:hint="default" w:ascii="Times New Roman" w:hAnsi="Times New Roman" w:eastAsia="楷体" w:cs="Times New Roman"/>
          <w:color w:val="auto"/>
          <w:sz w:val="44"/>
          <w:szCs w:val="44"/>
          <w:highlight w:val="none"/>
        </w:rPr>
        <w:t>（</w:t>
      </w:r>
      <w:r>
        <w:rPr>
          <w:rFonts w:hint="eastAsia" w:ascii="Times New Roman" w:hAnsi="Times New Roman" w:eastAsia="楷体" w:cs="Times New Roman"/>
          <w:color w:val="auto"/>
          <w:sz w:val="44"/>
          <w:szCs w:val="44"/>
          <w:highlight w:val="none"/>
          <w:lang w:val="en-US" w:eastAsia="zh-CN"/>
        </w:rPr>
        <w:t>送审稿</w:t>
      </w:r>
      <w:r>
        <w:rPr>
          <w:rFonts w:hint="default" w:ascii="Times New Roman" w:hAnsi="Times New Roman" w:eastAsia="楷体" w:cs="Times New Roman"/>
          <w:color w:val="auto"/>
          <w:sz w:val="44"/>
          <w:szCs w:val="44"/>
          <w:highlight w:val="none"/>
        </w:rPr>
        <w:t>）</w:t>
      </w:r>
    </w:p>
    <w:p w14:paraId="7D916EE7">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14:paraId="45DF5020">
      <w:pPr>
        <w:keepNext w:val="0"/>
        <w:keepLines w:val="0"/>
        <w:pageBreakBefore w:val="0"/>
        <w:kinsoku/>
        <w:wordWrap/>
        <w:topLinePunct w:val="0"/>
        <w:bidi w:val="0"/>
        <w:spacing w:line="360" w:lineRule="auto"/>
        <w:ind w:left="0" w:leftChars="0"/>
        <w:rPr>
          <w:rFonts w:hint="default" w:ascii="Times New Roman" w:hAnsi="Times New Roman" w:eastAsia="仿宋_GB2312" w:cs="Times New Roman"/>
          <w:color w:val="auto"/>
          <w:sz w:val="36"/>
          <w:szCs w:val="36"/>
          <w:highlight w:val="none"/>
        </w:rPr>
      </w:pPr>
    </w:p>
    <w:p w14:paraId="12017D4D">
      <w:pPr>
        <w:keepNext w:val="0"/>
        <w:keepLines w:val="0"/>
        <w:pageBreakBefore w:val="0"/>
        <w:kinsoku/>
        <w:wordWrap/>
        <w:topLinePunct w:val="0"/>
        <w:bidi w:val="0"/>
        <w:spacing w:line="360" w:lineRule="auto"/>
        <w:ind w:left="0" w:leftChars="0"/>
        <w:jc w:val="center"/>
        <w:rPr>
          <w:rFonts w:hint="default" w:ascii="Times New Roman" w:hAnsi="Times New Roman" w:eastAsia="楷体" w:cs="Times New Roman"/>
          <w:color w:val="auto"/>
          <w:sz w:val="48"/>
          <w:szCs w:val="48"/>
          <w:highlight w:val="none"/>
        </w:rPr>
      </w:pPr>
    </w:p>
    <w:p w14:paraId="643FA39B">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14:paraId="5CD990AE">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14:paraId="6FDC9641">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14:paraId="658ABCA2">
      <w:pPr>
        <w:keepNext w:val="0"/>
        <w:keepLines w:val="0"/>
        <w:pageBreakBefore w:val="0"/>
        <w:kinsoku/>
        <w:wordWrap/>
        <w:topLinePunct w:val="0"/>
        <w:bidi w:val="0"/>
        <w:spacing w:line="360" w:lineRule="auto"/>
        <w:ind w:left="0" w:leftChars="0" w:firstLine="1040"/>
        <w:rPr>
          <w:rFonts w:hint="default" w:ascii="Times New Roman" w:hAnsi="Times New Roman" w:eastAsia="仿宋" w:cs="Times New Roman"/>
          <w:color w:val="auto"/>
          <w:sz w:val="44"/>
          <w:szCs w:val="44"/>
          <w:highlight w:val="none"/>
        </w:rPr>
      </w:pPr>
    </w:p>
    <w:p w14:paraId="508B383A">
      <w:pPr>
        <w:keepNext w:val="0"/>
        <w:keepLines w:val="0"/>
        <w:pageBreakBefore w:val="0"/>
        <w:kinsoku/>
        <w:wordWrap/>
        <w:topLinePunct w:val="0"/>
        <w:bidi w:val="0"/>
        <w:spacing w:line="360" w:lineRule="auto"/>
        <w:ind w:left="0" w:leftChars="0"/>
        <w:jc w:val="both"/>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lang w:val="en-US" w:eastAsia="zh-CN"/>
        </w:rPr>
        <w:t>项目名称：</w:t>
      </w: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lang w:eastAsia="zh-CN"/>
        </w:rPr>
        <w:t>宣汉县乡村水务试点县供水保障工程</w:t>
      </w:r>
      <w:r>
        <w:rPr>
          <w:rFonts w:hint="default" w:ascii="Times New Roman" w:hAnsi="Times New Roman" w:eastAsia="仿宋" w:cs="Times New Roman"/>
          <w:color w:val="auto"/>
          <w:sz w:val="36"/>
          <w:szCs w:val="36"/>
          <w:highlight w:val="none"/>
          <w:u w:val="single"/>
          <w:lang w:val="en-US" w:eastAsia="zh-CN"/>
        </w:rPr>
        <w:t xml:space="preserve">   </w:t>
      </w:r>
    </w:p>
    <w:p w14:paraId="2B5E0986">
      <w:pPr>
        <w:keepNext w:val="0"/>
        <w:keepLines w:val="0"/>
        <w:pageBreakBefore w:val="0"/>
        <w:kinsoku/>
        <w:wordWrap/>
        <w:topLinePunct w:val="0"/>
        <w:bidi w:val="0"/>
        <w:spacing w:line="360" w:lineRule="auto"/>
        <w:ind w:left="0" w:leftChars="0" w:firstLine="1800" w:firstLineChars="500"/>
        <w:jc w:val="both"/>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lang w:eastAsia="zh-CN"/>
        </w:rPr>
        <w:t>（</w:t>
      </w:r>
      <w:r>
        <w:rPr>
          <w:rFonts w:hint="eastAsia" w:ascii="Times New Roman" w:hAnsi="Times New Roman" w:eastAsia="仿宋" w:cs="Times New Roman"/>
          <w:color w:val="auto"/>
          <w:sz w:val="36"/>
          <w:szCs w:val="36"/>
          <w:highlight w:val="none"/>
          <w:u w:val="single"/>
          <w:lang w:val="en-US" w:eastAsia="zh-CN"/>
        </w:rPr>
        <w:t>马渡关片区</w:t>
      </w:r>
      <w:r>
        <w:rPr>
          <w:rFonts w:hint="default" w:ascii="Times New Roman" w:hAnsi="Times New Roman" w:eastAsia="仿宋" w:cs="Times New Roman"/>
          <w:color w:val="auto"/>
          <w:sz w:val="36"/>
          <w:szCs w:val="36"/>
          <w:highlight w:val="none"/>
          <w:u w:val="single"/>
          <w:lang w:eastAsia="zh-CN"/>
        </w:rPr>
        <w:t>供水工程）</w:t>
      </w:r>
      <w:r>
        <w:rPr>
          <w:rFonts w:hint="default" w:ascii="Times New Roman" w:hAnsi="Times New Roman" w:eastAsia="仿宋" w:cs="Times New Roman"/>
          <w:color w:val="auto"/>
          <w:sz w:val="36"/>
          <w:szCs w:val="36"/>
          <w:highlight w:val="none"/>
          <w:u w:val="single"/>
          <w:lang w:val="en-US" w:eastAsia="zh-CN"/>
        </w:rPr>
        <w:t xml:space="preserve">         </w:t>
      </w:r>
    </w:p>
    <w:p w14:paraId="7E15B372">
      <w:pPr>
        <w:keepNext w:val="0"/>
        <w:keepLines w:val="0"/>
        <w:pageBreakBefore w:val="0"/>
        <w:kinsoku/>
        <w:wordWrap/>
        <w:topLinePunct w:val="0"/>
        <w:bidi w:val="0"/>
        <w:spacing w:line="360" w:lineRule="auto"/>
        <w:ind w:left="0" w:leftChars="0" w:right="0"/>
        <w:rPr>
          <w:rFonts w:hint="default" w:ascii="Times New Roman" w:hAnsi="Times New Roman" w:eastAsia="仿宋" w:cs="Times New Roman"/>
          <w:color w:val="auto"/>
          <w:sz w:val="36"/>
          <w:szCs w:val="36"/>
          <w:highlight w:val="none"/>
          <w:u w:val="single"/>
          <w:lang w:val="en-US"/>
        </w:rPr>
      </w:pPr>
      <w:r>
        <w:rPr>
          <w:rFonts w:hint="default" w:ascii="Times New Roman" w:hAnsi="Times New Roman" w:eastAsia="仿宋" w:cs="Times New Roman"/>
          <w:color w:val="auto"/>
          <w:sz w:val="36"/>
          <w:szCs w:val="36"/>
          <w:highlight w:val="none"/>
        </w:rPr>
        <w:t>建设单位（盖章）</w:t>
      </w:r>
      <w:r>
        <w:rPr>
          <w:rFonts w:hint="default" w:ascii="Times New Roman" w:hAnsi="Times New Roman" w:eastAsia="仿宋" w:cs="Times New Roman"/>
          <w:color w:val="auto"/>
          <w:sz w:val="36"/>
          <w:szCs w:val="36"/>
          <w:highlight w:val="none"/>
          <w:lang w:eastAsia="zh-CN"/>
        </w:rPr>
        <w:t>：</w:t>
      </w:r>
      <w:r>
        <w:rPr>
          <w:rFonts w:hint="default" w:ascii="Times New Roman" w:hAnsi="Times New Roman" w:eastAsia="仿宋" w:cs="Times New Roman"/>
          <w:color w:val="auto"/>
          <w:sz w:val="36"/>
          <w:szCs w:val="36"/>
          <w:highlight w:val="none"/>
          <w:u w:val="single"/>
          <w:lang w:val="en-US" w:eastAsia="zh-CN"/>
        </w:rPr>
        <w:t xml:space="preserve">   四川汉润水务集团有限公司   </w:t>
      </w:r>
    </w:p>
    <w:p w14:paraId="0370CB62">
      <w:pPr>
        <w:pStyle w:val="24"/>
        <w:keepNext w:val="0"/>
        <w:keepLines w:val="0"/>
        <w:pageBreakBefore w:val="0"/>
        <w:kinsoku/>
        <w:wordWrap/>
        <w:topLinePunct w:val="0"/>
        <w:bidi w:val="0"/>
        <w:spacing w:after="0" w:line="360" w:lineRule="auto"/>
        <w:ind w:left="0" w:leftChars="0" w:firstLine="0" w:firstLineChars="0"/>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lang w:val="en-US" w:eastAsia="zh-CN"/>
        </w:rPr>
        <w:t xml:space="preserve">            </w:t>
      </w:r>
      <w:r>
        <w:rPr>
          <w:rFonts w:hint="eastAsia"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lang w:val="en-US" w:eastAsia="zh-CN"/>
        </w:rPr>
        <w:t xml:space="preserve">  </w:t>
      </w:r>
      <w:r>
        <w:rPr>
          <w:rFonts w:hint="default" w:ascii="Times New Roman" w:hAnsi="Times New Roman" w:eastAsia="仿宋" w:cs="Times New Roman"/>
          <w:color w:val="auto"/>
          <w:sz w:val="36"/>
          <w:szCs w:val="36"/>
          <w:highlight w:val="none"/>
          <w:u w:val="single"/>
        </w:rPr>
        <w:t>202</w:t>
      </w:r>
      <w:r>
        <w:rPr>
          <w:rFonts w:hint="eastAsia" w:hAnsi="Times New Roman" w:eastAsia="仿宋" w:cs="Times New Roman"/>
          <w:color w:val="auto"/>
          <w:sz w:val="36"/>
          <w:szCs w:val="36"/>
          <w:highlight w:val="none"/>
          <w:u w:val="single"/>
          <w:lang w:val="en-US" w:eastAsia="zh-CN"/>
        </w:rPr>
        <w:t>5</w:t>
      </w:r>
      <w:r>
        <w:rPr>
          <w:rFonts w:hint="default" w:ascii="Times New Roman" w:hAnsi="Times New Roman" w:eastAsia="仿宋" w:cs="Times New Roman"/>
          <w:color w:val="auto"/>
          <w:sz w:val="36"/>
          <w:szCs w:val="36"/>
          <w:highlight w:val="none"/>
          <w:u w:val="single"/>
        </w:rPr>
        <w:t>年</w:t>
      </w:r>
      <w:r>
        <w:rPr>
          <w:rFonts w:hint="eastAsia" w:hAnsi="Times New Roman" w:eastAsia="仿宋" w:cs="Times New Roman"/>
          <w:color w:val="auto"/>
          <w:sz w:val="36"/>
          <w:szCs w:val="36"/>
          <w:highlight w:val="none"/>
          <w:u w:val="single"/>
          <w:lang w:val="en-US" w:eastAsia="zh-CN"/>
        </w:rPr>
        <w:t>9</w:t>
      </w:r>
      <w:r>
        <w:rPr>
          <w:rFonts w:hint="default" w:ascii="Times New Roman" w:hAnsi="Times New Roman" w:eastAsia="仿宋" w:cs="Times New Roman"/>
          <w:color w:val="auto"/>
          <w:sz w:val="36"/>
          <w:szCs w:val="36"/>
          <w:highlight w:val="none"/>
          <w:u w:val="single"/>
        </w:rPr>
        <w:t>月</w:t>
      </w:r>
      <w:r>
        <w:rPr>
          <w:rFonts w:hint="default" w:ascii="Times New Roman" w:hAnsi="Times New Roman" w:eastAsia="仿宋" w:cs="Times New Roman"/>
          <w:color w:val="auto"/>
          <w:sz w:val="36"/>
          <w:szCs w:val="36"/>
          <w:highlight w:val="none"/>
          <w:u w:val="single"/>
          <w:lang w:val="en-US" w:eastAsia="zh-CN"/>
        </w:rPr>
        <w:t xml:space="preserve">             </w:t>
      </w:r>
    </w:p>
    <w:p w14:paraId="1A95C44B">
      <w:pPr>
        <w:pStyle w:val="24"/>
        <w:keepNext w:val="0"/>
        <w:keepLines w:val="0"/>
        <w:pageBreakBefore w:val="0"/>
        <w:kinsoku/>
        <w:wordWrap/>
        <w:topLinePunct w:val="0"/>
        <w:bidi w:val="0"/>
        <w:spacing w:after="0" w:line="360" w:lineRule="auto"/>
        <w:ind w:left="0" w:leftChars="0" w:firstLine="0" w:firstLineChars="0"/>
        <w:jc w:val="center"/>
        <w:rPr>
          <w:rFonts w:hint="default" w:ascii="Times New Roman" w:hAnsi="Times New Roman" w:eastAsia="楷体" w:cs="Times New Roman"/>
          <w:color w:val="auto"/>
          <w:sz w:val="36"/>
          <w:szCs w:val="36"/>
          <w:highlight w:val="none"/>
        </w:rPr>
      </w:pPr>
    </w:p>
    <w:p w14:paraId="53685CD3">
      <w:pPr>
        <w:keepNext w:val="0"/>
        <w:keepLines w:val="0"/>
        <w:pageBreakBefore w:val="0"/>
        <w:kinsoku/>
        <w:wordWrap/>
        <w:topLinePunct w:val="0"/>
        <w:bidi w:val="0"/>
        <w:ind w:left="0" w:leftChars="0"/>
        <w:rPr>
          <w:rFonts w:hint="default" w:ascii="Times New Roman" w:hAnsi="Times New Roman" w:eastAsia="楷体" w:cs="Times New Roman"/>
          <w:color w:val="auto"/>
          <w:sz w:val="36"/>
          <w:szCs w:val="36"/>
          <w:highlight w:val="none"/>
        </w:rPr>
      </w:pPr>
    </w:p>
    <w:p w14:paraId="43B89834">
      <w:pPr>
        <w:pStyle w:val="24"/>
        <w:keepNext w:val="0"/>
        <w:keepLines w:val="0"/>
        <w:pageBreakBefore w:val="0"/>
        <w:kinsoku/>
        <w:wordWrap/>
        <w:topLinePunct w:val="0"/>
        <w:bidi w:val="0"/>
        <w:spacing w:after="0"/>
        <w:ind w:left="0" w:leftChars="0"/>
        <w:rPr>
          <w:rFonts w:hint="default" w:ascii="Times New Roman" w:hAnsi="Times New Roman" w:cs="Times New Roman"/>
          <w:color w:val="auto"/>
          <w:highlight w:val="none"/>
        </w:rPr>
      </w:pPr>
    </w:p>
    <w:p w14:paraId="27194DDF">
      <w:pPr>
        <w:pStyle w:val="24"/>
        <w:keepNext w:val="0"/>
        <w:keepLines w:val="0"/>
        <w:pageBreakBefore w:val="0"/>
        <w:kinsoku/>
        <w:wordWrap/>
        <w:topLinePunct w:val="0"/>
        <w:bidi w:val="0"/>
        <w:spacing w:after="0" w:line="360" w:lineRule="auto"/>
        <w:ind w:left="0" w:leftChars="0" w:firstLine="0" w:firstLineChars="0"/>
        <w:jc w:val="center"/>
        <w:rPr>
          <w:rFonts w:hint="default" w:ascii="Times New Roman" w:hAnsi="Times New Roman" w:eastAsia="仿宋" w:cs="Times New Roman"/>
          <w:color w:val="auto"/>
          <w:sz w:val="36"/>
          <w:szCs w:val="36"/>
          <w:highlight w:val="none"/>
          <w:u w:val="single"/>
        </w:rPr>
        <w:sectPr>
          <w:pgSz w:w="11906" w:h="16838"/>
          <w:pgMar w:top="1440" w:right="1361" w:bottom="1440" w:left="136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楷体" w:cs="Times New Roman"/>
          <w:color w:val="auto"/>
          <w:sz w:val="36"/>
          <w:szCs w:val="36"/>
          <w:highlight w:val="none"/>
        </w:rPr>
        <w:t>中华人民共和国生态环境部</w:t>
      </w:r>
    </w:p>
    <w:p w14:paraId="09C1B3F6">
      <w:pPr>
        <w:pStyle w:val="30"/>
        <w:keepNext w:val="0"/>
        <w:keepLines w:val="0"/>
        <w:pageBreakBefore w:val="0"/>
        <w:kinsoku/>
        <w:wordWrap/>
        <w:topLinePunct w:val="0"/>
        <w:bidi w:val="0"/>
        <w:ind w:left="0" w:leftChars="0" w:right="0"/>
        <w:jc w:val="center"/>
        <w:rPr>
          <w:rFonts w:hint="default" w:ascii="Times New Roman" w:hAnsi="Times New Roman" w:cs="Times New Roman"/>
          <w:color w:val="auto"/>
          <w:szCs w:val="24"/>
          <w:highlight w:val="none"/>
        </w:rPr>
      </w:pPr>
      <w:r>
        <w:rPr>
          <w:rFonts w:hint="default" w:ascii="Times New Roman" w:hAnsi="Times New Roman" w:eastAsia="黑体" w:cs="Times New Roman"/>
          <w:b w:val="0"/>
          <w:color w:val="auto"/>
          <w:sz w:val="30"/>
          <w:szCs w:val="30"/>
          <w:highlight w:val="none"/>
        </w:rPr>
        <w:t>一、建设项目基本情况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3"/>
        <w:gridCol w:w="1385"/>
        <w:gridCol w:w="2400"/>
        <w:gridCol w:w="2176"/>
        <w:gridCol w:w="3312"/>
      </w:tblGrid>
      <w:tr w14:paraId="65E4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4C30650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建设项目名称</w:t>
            </w:r>
          </w:p>
        </w:tc>
        <w:tc>
          <w:tcPr>
            <w:tcW w:w="3997" w:type="pct"/>
            <w:gridSpan w:val="3"/>
            <w:vAlign w:val="center"/>
          </w:tcPr>
          <w:p w14:paraId="3AB53F0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eastAsia="宋体" w:cs="Times New Roman"/>
                <w:color w:val="auto"/>
                <w:sz w:val="24"/>
                <w:szCs w:val="32"/>
                <w:highlight w:val="none"/>
                <w:vertAlign w:val="baseline"/>
                <w:lang w:eastAsia="zh-CN"/>
              </w:rPr>
              <w:t>宣汉县乡村水务试点县供水保障工程（</w:t>
            </w:r>
            <w:r>
              <w:rPr>
                <w:rFonts w:hint="eastAsia" w:ascii="Times New Roman" w:hAnsi="Times New Roman" w:eastAsia="宋体" w:cs="Times New Roman"/>
                <w:color w:val="auto"/>
                <w:sz w:val="24"/>
                <w:szCs w:val="32"/>
                <w:highlight w:val="none"/>
                <w:vertAlign w:val="baseline"/>
                <w:lang w:val="en-US" w:eastAsia="zh-CN"/>
              </w:rPr>
              <w:t>马渡关片区</w:t>
            </w:r>
            <w:r>
              <w:rPr>
                <w:rFonts w:hint="default" w:ascii="Times New Roman" w:hAnsi="Times New Roman" w:eastAsia="宋体" w:cs="Times New Roman"/>
                <w:color w:val="auto"/>
                <w:sz w:val="24"/>
                <w:szCs w:val="32"/>
                <w:highlight w:val="none"/>
                <w:vertAlign w:val="baseline"/>
                <w:lang w:eastAsia="zh-CN"/>
              </w:rPr>
              <w:t>供水工程）</w:t>
            </w:r>
          </w:p>
        </w:tc>
      </w:tr>
      <w:tr w14:paraId="0E79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14A9E2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项目代码</w:t>
            </w:r>
          </w:p>
        </w:tc>
        <w:tc>
          <w:tcPr>
            <w:tcW w:w="3997" w:type="pct"/>
            <w:gridSpan w:val="3"/>
            <w:vAlign w:val="center"/>
          </w:tcPr>
          <w:p w14:paraId="5096394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2209-511722-04-01-945435</w:t>
            </w:r>
          </w:p>
        </w:tc>
      </w:tr>
      <w:tr w14:paraId="0826E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3BCE09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eastAsia="宋体" w:cs="Times New Roman"/>
                <w:color w:val="auto"/>
                <w:sz w:val="24"/>
                <w:szCs w:val="24"/>
                <w:highlight w:val="none"/>
              </w:rPr>
              <w:t>建设单位联系人</w:t>
            </w:r>
          </w:p>
        </w:tc>
        <w:tc>
          <w:tcPr>
            <w:tcW w:w="1216" w:type="pct"/>
            <w:vAlign w:val="center"/>
          </w:tcPr>
          <w:p w14:paraId="5E7E6DF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向旭东</w:t>
            </w:r>
          </w:p>
        </w:tc>
        <w:tc>
          <w:tcPr>
            <w:tcW w:w="1102" w:type="pct"/>
            <w:vAlign w:val="center"/>
          </w:tcPr>
          <w:p w14:paraId="7C7D928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eastAsia="宋体" w:cs="Times New Roman"/>
                <w:color w:val="auto"/>
                <w:sz w:val="24"/>
                <w:szCs w:val="24"/>
                <w:highlight w:val="none"/>
              </w:rPr>
              <w:t>联系方式</w:t>
            </w:r>
          </w:p>
        </w:tc>
        <w:tc>
          <w:tcPr>
            <w:tcW w:w="1678" w:type="pct"/>
            <w:vAlign w:val="center"/>
          </w:tcPr>
          <w:p w14:paraId="6F4582B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13795675626</w:t>
            </w:r>
          </w:p>
        </w:tc>
      </w:tr>
      <w:tr w14:paraId="5B7A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2" w:type="pct"/>
            <w:gridSpan w:val="2"/>
            <w:vAlign w:val="center"/>
          </w:tcPr>
          <w:p w14:paraId="4CA02CC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建设地点</w:t>
            </w:r>
          </w:p>
        </w:tc>
        <w:tc>
          <w:tcPr>
            <w:tcW w:w="3997" w:type="pct"/>
            <w:gridSpan w:val="3"/>
            <w:vAlign w:val="center"/>
          </w:tcPr>
          <w:p w14:paraId="54FD7B8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32"/>
                <w:highlight w:val="none"/>
                <w:vertAlign w:val="baseline"/>
                <w:lang w:val="en-US" w:eastAsia="zh-CN"/>
              </w:rPr>
              <w:t>马渡关</w:t>
            </w:r>
            <w:r>
              <w:rPr>
                <w:rFonts w:hint="default" w:ascii="Times New Roman" w:hAnsi="Times New Roman" w:eastAsia="宋体" w:cs="Times New Roman"/>
                <w:color w:val="auto"/>
                <w:sz w:val="24"/>
                <w:szCs w:val="32"/>
                <w:highlight w:val="none"/>
                <w:vertAlign w:val="baseline"/>
                <w:lang w:val="en-US" w:eastAsia="zh-CN"/>
              </w:rPr>
              <w:t>水厂：</w:t>
            </w:r>
            <w:r>
              <w:rPr>
                <w:rFonts w:hint="eastAsia" w:ascii="Times New Roman" w:hAnsi="Times New Roman" w:eastAsia="宋体" w:cs="Times New Roman"/>
                <w:color w:val="auto"/>
                <w:sz w:val="24"/>
                <w:szCs w:val="32"/>
                <w:highlight w:val="none"/>
                <w:vertAlign w:val="baseline"/>
                <w:lang w:val="en-US" w:eastAsia="zh-CN"/>
              </w:rPr>
              <w:t>宣汉县马渡关镇长滩村</w:t>
            </w:r>
          </w:p>
          <w:p w14:paraId="559EE8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eastAsia" w:ascii="Times New Roman" w:hAnsi="Times New Roman" w:eastAsia="宋体" w:cs="Times New Roman"/>
                <w:color w:val="auto"/>
                <w:sz w:val="24"/>
                <w:szCs w:val="32"/>
                <w:highlight w:val="none"/>
                <w:vertAlign w:val="baseline"/>
                <w:lang w:val="en-US" w:eastAsia="zh-CN"/>
              </w:rPr>
              <w:t>隘口</w:t>
            </w:r>
            <w:r>
              <w:rPr>
                <w:rFonts w:hint="default" w:ascii="Times New Roman" w:hAnsi="Times New Roman" w:eastAsia="宋体" w:cs="Times New Roman"/>
                <w:color w:val="auto"/>
                <w:sz w:val="24"/>
                <w:szCs w:val="32"/>
                <w:highlight w:val="none"/>
                <w:vertAlign w:val="baseline"/>
                <w:lang w:val="en-US" w:eastAsia="zh-CN"/>
              </w:rPr>
              <w:t>水厂</w:t>
            </w:r>
            <w:r>
              <w:rPr>
                <w:rFonts w:hint="default"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32"/>
                <w:highlight w:val="none"/>
                <w:vertAlign w:val="baseline"/>
                <w:lang w:val="en-US" w:eastAsia="zh-CN"/>
              </w:rPr>
              <w:t>宣汉县马渡关镇隘口社区</w:t>
            </w:r>
          </w:p>
        </w:tc>
      </w:tr>
      <w:tr w14:paraId="1731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780F52C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地理坐标</w:t>
            </w:r>
          </w:p>
        </w:tc>
        <w:tc>
          <w:tcPr>
            <w:tcW w:w="3997" w:type="pct"/>
            <w:gridSpan w:val="3"/>
            <w:vAlign w:val="center"/>
          </w:tcPr>
          <w:p w14:paraId="54B7909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32"/>
                <w:highlight w:val="none"/>
                <w:vertAlign w:val="baseline"/>
                <w:lang w:val="en-US" w:eastAsia="zh-CN"/>
              </w:rPr>
              <w:t>马渡关</w:t>
            </w:r>
            <w:r>
              <w:rPr>
                <w:rFonts w:hint="default" w:ascii="Times New Roman" w:hAnsi="Times New Roman" w:eastAsia="宋体" w:cs="Times New Roman"/>
                <w:color w:val="auto"/>
                <w:sz w:val="24"/>
                <w:szCs w:val="32"/>
                <w:highlight w:val="none"/>
                <w:vertAlign w:val="baseline"/>
                <w:lang w:val="en-US" w:eastAsia="zh-CN"/>
              </w:rPr>
              <w:t>水厂：</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107</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度</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29</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分</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56.712</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秒，</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31</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度</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37</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分</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4.036</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秒）</w:t>
            </w:r>
          </w:p>
          <w:p w14:paraId="2558E97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eastAsia" w:ascii="Times New Roman" w:hAnsi="Times New Roman" w:eastAsia="宋体" w:cs="Times New Roman"/>
                <w:color w:val="auto"/>
                <w:sz w:val="24"/>
                <w:szCs w:val="32"/>
                <w:highlight w:val="none"/>
                <w:vertAlign w:val="baseline"/>
                <w:lang w:val="en-US" w:eastAsia="zh-CN"/>
              </w:rPr>
              <w:t>隘口</w:t>
            </w:r>
            <w:r>
              <w:rPr>
                <w:rFonts w:hint="default" w:ascii="Times New Roman" w:hAnsi="Times New Roman" w:eastAsia="宋体" w:cs="Times New Roman"/>
                <w:color w:val="auto"/>
                <w:sz w:val="24"/>
                <w:szCs w:val="32"/>
                <w:highlight w:val="none"/>
                <w:vertAlign w:val="baseline"/>
                <w:lang w:val="en-US" w:eastAsia="zh-CN"/>
              </w:rPr>
              <w:t>水厂</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107</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度</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32</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分</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14.333</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秒，</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31</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度</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32</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分</w:t>
            </w:r>
            <w:r>
              <w:rPr>
                <w:rFonts w:hint="default" w:ascii="Times New Roman" w:hAnsi="Times New Roman" w:cs="Times New Roman"/>
                <w:b w:val="0"/>
                <w:bCs w:val="0"/>
                <w:color w:val="auto"/>
                <w:sz w:val="24"/>
                <w:szCs w:val="24"/>
                <w:u w:val="single"/>
              </w:rPr>
              <w:t xml:space="preserve"> </w:t>
            </w:r>
            <w:r>
              <w:rPr>
                <w:rFonts w:hint="eastAsia" w:ascii="Times New Roman" w:hAnsi="Times New Roman" w:cs="Times New Roman"/>
                <w:b w:val="0"/>
                <w:bCs w:val="0"/>
                <w:color w:val="auto"/>
                <w:sz w:val="24"/>
                <w:szCs w:val="24"/>
                <w:u w:val="single"/>
                <w:lang w:val="en-US" w:eastAsia="zh-CN"/>
              </w:rPr>
              <w:t>34.630</w:t>
            </w:r>
            <w:r>
              <w:rPr>
                <w:rFonts w:hint="default" w:ascii="Times New Roman" w:hAnsi="Times New Roman" w:cs="Times New Roman"/>
                <w:b w:val="0"/>
                <w:bCs w:val="0"/>
                <w:color w:val="auto"/>
                <w:sz w:val="24"/>
                <w:szCs w:val="24"/>
                <w:u w:val="single"/>
              </w:rPr>
              <w:t xml:space="preserve"> </w:t>
            </w:r>
            <w:r>
              <w:rPr>
                <w:rFonts w:hint="default" w:ascii="Times New Roman" w:hAnsi="Times New Roman" w:cs="Times New Roman"/>
                <w:b w:val="0"/>
                <w:bCs w:val="0"/>
                <w:color w:val="auto"/>
                <w:sz w:val="24"/>
                <w:szCs w:val="24"/>
              </w:rPr>
              <w:t>秒）</w:t>
            </w:r>
          </w:p>
        </w:tc>
      </w:tr>
      <w:tr w14:paraId="7D7C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74F31DF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国民经济行业类别</w:t>
            </w:r>
          </w:p>
        </w:tc>
        <w:tc>
          <w:tcPr>
            <w:tcW w:w="1216" w:type="pct"/>
            <w:vAlign w:val="center"/>
          </w:tcPr>
          <w:p w14:paraId="5311969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eastAsia" w:ascii="Times New Roman" w:hAnsi="Times New Roman" w:eastAsia="宋体" w:cs="Times New Roman"/>
                <w:color w:val="auto"/>
                <w:sz w:val="24"/>
                <w:szCs w:val="32"/>
                <w:highlight w:val="none"/>
                <w:vertAlign w:val="baseline"/>
                <w:lang w:val="en-US" w:eastAsia="zh-CN"/>
              </w:rPr>
              <w:t>D</w:t>
            </w:r>
            <w:r>
              <w:rPr>
                <w:rFonts w:hint="default" w:ascii="Times New Roman" w:hAnsi="Times New Roman" w:eastAsia="宋体" w:cs="Times New Roman"/>
                <w:color w:val="auto"/>
                <w:sz w:val="24"/>
                <w:szCs w:val="32"/>
                <w:highlight w:val="none"/>
                <w:vertAlign w:val="baseline"/>
                <w:lang w:val="en-US" w:eastAsia="zh-CN"/>
              </w:rPr>
              <w:t>4610自来水生产和供应</w:t>
            </w:r>
          </w:p>
        </w:tc>
        <w:tc>
          <w:tcPr>
            <w:tcW w:w="1102" w:type="pct"/>
            <w:vAlign w:val="center"/>
          </w:tcPr>
          <w:p w14:paraId="243D5A6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建设项目</w:t>
            </w:r>
          </w:p>
          <w:p w14:paraId="5BF5104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行业类别</w:t>
            </w:r>
          </w:p>
        </w:tc>
        <w:tc>
          <w:tcPr>
            <w:tcW w:w="1678" w:type="pct"/>
            <w:vAlign w:val="center"/>
          </w:tcPr>
          <w:p w14:paraId="7C0B55E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val="en-US" w:eastAsia="zh-CN"/>
              </w:rPr>
            </w:pPr>
            <w:r>
              <w:rPr>
                <w:rFonts w:hint="default" w:ascii="Times New Roman" w:hAnsi="Times New Roman" w:eastAsia="宋体" w:cs="Times New Roman"/>
                <w:color w:val="auto"/>
                <w:sz w:val="24"/>
                <w:szCs w:val="32"/>
                <w:highlight w:val="none"/>
                <w:vertAlign w:val="baseline"/>
                <w:lang w:val="en-US" w:eastAsia="zh-CN"/>
              </w:rPr>
              <w:t>四十三、水的生产和供应业94自来水生产和供应461</w:t>
            </w:r>
          </w:p>
        </w:tc>
      </w:tr>
      <w:tr w14:paraId="46D7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16899DD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建设性质</w:t>
            </w:r>
          </w:p>
        </w:tc>
        <w:tc>
          <w:tcPr>
            <w:tcW w:w="1216" w:type="pct"/>
            <w:vAlign w:val="center"/>
          </w:tcPr>
          <w:p w14:paraId="7B82C27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14:paraId="755C829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□改建</w:t>
            </w:r>
          </w:p>
          <w:p w14:paraId="2F680BD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扩建</w:t>
            </w:r>
          </w:p>
          <w:p w14:paraId="3C8AED4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□技术改造</w:t>
            </w:r>
          </w:p>
        </w:tc>
        <w:tc>
          <w:tcPr>
            <w:tcW w:w="1102" w:type="pct"/>
            <w:vAlign w:val="center"/>
          </w:tcPr>
          <w:p w14:paraId="6543B0B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14:paraId="54962E5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申报情形</w:t>
            </w:r>
          </w:p>
        </w:tc>
        <w:tc>
          <w:tcPr>
            <w:tcW w:w="1678" w:type="pct"/>
            <w:vAlign w:val="center"/>
          </w:tcPr>
          <w:p w14:paraId="0A9C115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首次申报项目</w:t>
            </w:r>
          </w:p>
          <w:p w14:paraId="3F8373B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□不予批准后再次申报项目</w:t>
            </w:r>
          </w:p>
          <w:p w14:paraId="002DADC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□超五年重新审核项目</w:t>
            </w:r>
          </w:p>
          <w:p w14:paraId="5952B6C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□重大变动重新报批项目</w:t>
            </w:r>
          </w:p>
        </w:tc>
      </w:tr>
      <w:tr w14:paraId="1955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2" w:type="pct"/>
            <w:gridSpan w:val="2"/>
            <w:vAlign w:val="center"/>
          </w:tcPr>
          <w:p w14:paraId="63D8D4B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项目审批（核准/备案）部门</w:t>
            </w:r>
          </w:p>
        </w:tc>
        <w:tc>
          <w:tcPr>
            <w:tcW w:w="1216" w:type="pct"/>
            <w:vAlign w:val="center"/>
          </w:tcPr>
          <w:p w14:paraId="7D3376A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eastAsia="zh-CN"/>
              </w:rPr>
              <w:t>宣汉县发展和改革局</w:t>
            </w:r>
          </w:p>
        </w:tc>
        <w:tc>
          <w:tcPr>
            <w:tcW w:w="1102" w:type="pct"/>
            <w:vAlign w:val="center"/>
          </w:tcPr>
          <w:p w14:paraId="3CA83E4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项目审批（核准/备案）文号</w:t>
            </w:r>
          </w:p>
        </w:tc>
        <w:tc>
          <w:tcPr>
            <w:tcW w:w="1678" w:type="pct"/>
            <w:vAlign w:val="center"/>
          </w:tcPr>
          <w:p w14:paraId="3808525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宣发改审〔2022〕273号</w:t>
            </w:r>
          </w:p>
        </w:tc>
      </w:tr>
      <w:tr w14:paraId="79A9B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3687612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总投资（万元）</w:t>
            </w:r>
          </w:p>
        </w:tc>
        <w:tc>
          <w:tcPr>
            <w:tcW w:w="1216" w:type="pct"/>
            <w:vAlign w:val="center"/>
          </w:tcPr>
          <w:p w14:paraId="32BF14C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7200</w:t>
            </w:r>
          </w:p>
        </w:tc>
        <w:tc>
          <w:tcPr>
            <w:tcW w:w="1102" w:type="pct"/>
            <w:vAlign w:val="center"/>
          </w:tcPr>
          <w:p w14:paraId="4936E7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环保投资（万元）</w:t>
            </w:r>
          </w:p>
        </w:tc>
        <w:tc>
          <w:tcPr>
            <w:tcW w:w="1678" w:type="pct"/>
            <w:vAlign w:val="center"/>
          </w:tcPr>
          <w:p w14:paraId="67E4E79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sz w:val="24"/>
                <w:szCs w:val="24"/>
                <w:highlight w:val="none"/>
                <w:lang w:val="en-US" w:eastAsia="zh-CN"/>
              </w:rPr>
              <w:t>106</w:t>
            </w:r>
          </w:p>
        </w:tc>
      </w:tr>
      <w:tr w14:paraId="69F5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4361704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环保投资占比（%）</w:t>
            </w:r>
          </w:p>
        </w:tc>
        <w:tc>
          <w:tcPr>
            <w:tcW w:w="1216" w:type="pct"/>
            <w:vAlign w:val="center"/>
          </w:tcPr>
          <w:p w14:paraId="31B3D09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1.472</w:t>
            </w:r>
          </w:p>
        </w:tc>
        <w:tc>
          <w:tcPr>
            <w:tcW w:w="1102" w:type="pct"/>
            <w:vAlign w:val="center"/>
          </w:tcPr>
          <w:p w14:paraId="38A2CF2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施工工期</w:t>
            </w:r>
          </w:p>
        </w:tc>
        <w:tc>
          <w:tcPr>
            <w:tcW w:w="1678" w:type="pct"/>
            <w:vAlign w:val="center"/>
          </w:tcPr>
          <w:p w14:paraId="4C2B81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个月</w:t>
            </w:r>
          </w:p>
        </w:tc>
      </w:tr>
      <w:tr w14:paraId="0DB8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39A1306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是否开工建设</w:t>
            </w:r>
          </w:p>
        </w:tc>
        <w:tc>
          <w:tcPr>
            <w:tcW w:w="1216" w:type="pct"/>
            <w:vAlign w:val="center"/>
          </w:tcPr>
          <w:p w14:paraId="074F1C4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14:paraId="4655577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left"/>
              <w:textAlignment w:val="auto"/>
              <w:rPr>
                <w:rFonts w:hint="default" w:ascii="Times New Roman" w:hAnsi="Times New Roman" w:eastAsia="宋体" w:cs="Times New Roman"/>
                <w:color w:val="auto"/>
                <w:kern w:val="2"/>
                <w:sz w:val="24"/>
                <w:szCs w:val="24"/>
                <w:highlight w:val="none"/>
                <w:u w:val="single"/>
                <w:lang w:val="en-US" w:eastAsia="zh-CN" w:bidi="ar-SA"/>
              </w:rPr>
            </w:pPr>
            <w:r>
              <w:rPr>
                <w:rFonts w:hint="default" w:ascii="Times New Roman" w:hAnsi="Times New Roman" w:eastAsia="宋体" w:cs="Times New Roman"/>
                <w:color w:val="auto"/>
                <w:sz w:val="24"/>
                <w:szCs w:val="24"/>
                <w:highlight w:val="none"/>
              </w:rPr>
              <w:t>□是：</w:t>
            </w:r>
          </w:p>
        </w:tc>
        <w:tc>
          <w:tcPr>
            <w:tcW w:w="1102" w:type="pct"/>
            <w:vAlign w:val="center"/>
          </w:tcPr>
          <w:p w14:paraId="3817FAB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用地（用海）面积（m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w:t>
            </w:r>
          </w:p>
        </w:tc>
        <w:tc>
          <w:tcPr>
            <w:tcW w:w="1678" w:type="pct"/>
            <w:vAlign w:val="center"/>
          </w:tcPr>
          <w:p w14:paraId="5202D1A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32"/>
                <w:highlight w:val="none"/>
                <w:vertAlign w:val="baseline"/>
                <w:lang w:val="en-US" w:eastAsia="zh-CN"/>
              </w:rPr>
              <w:t>马渡关</w:t>
            </w:r>
            <w:r>
              <w:rPr>
                <w:rFonts w:hint="eastAsia" w:ascii="Times New Roman" w:hAnsi="Times New Roman" w:eastAsia="宋体" w:cs="Times New Roman"/>
                <w:color w:val="auto"/>
                <w:kern w:val="2"/>
                <w:sz w:val="24"/>
                <w:szCs w:val="24"/>
                <w:highlight w:val="none"/>
                <w:lang w:val="en-US" w:eastAsia="zh-CN" w:bidi="ar-SA"/>
              </w:rPr>
              <w:t>水厂：2085.32</w:t>
            </w:r>
          </w:p>
          <w:p w14:paraId="59912A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32"/>
                <w:highlight w:val="none"/>
                <w:vertAlign w:val="baseline"/>
                <w:lang w:val="en-US" w:eastAsia="zh-CN"/>
              </w:rPr>
              <w:t>隘口</w:t>
            </w:r>
            <w:r>
              <w:rPr>
                <w:rFonts w:hint="eastAsia" w:ascii="Times New Roman" w:hAnsi="Times New Roman" w:eastAsia="宋体" w:cs="Times New Roman"/>
                <w:color w:val="auto"/>
                <w:kern w:val="2"/>
                <w:sz w:val="24"/>
                <w:szCs w:val="24"/>
                <w:highlight w:val="none"/>
                <w:lang w:val="en-US" w:eastAsia="zh-CN" w:bidi="ar-SA"/>
              </w:rPr>
              <w:t>水厂：1046</w:t>
            </w:r>
          </w:p>
        </w:tc>
      </w:tr>
      <w:tr w14:paraId="7E66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2" w:type="pct"/>
            <w:gridSpan w:val="2"/>
            <w:vAlign w:val="center"/>
          </w:tcPr>
          <w:p w14:paraId="07AE2F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cs="Times New Roman"/>
                <w:color w:val="auto"/>
                <w:sz w:val="24"/>
                <w:szCs w:val="24"/>
                <w:highlight w:val="none"/>
              </w:rPr>
              <w:t>专项评价设置情况</w:t>
            </w:r>
          </w:p>
        </w:tc>
        <w:tc>
          <w:tcPr>
            <w:tcW w:w="3997" w:type="pct"/>
            <w:gridSpan w:val="3"/>
            <w:vAlign w:val="center"/>
          </w:tcPr>
          <w:p w14:paraId="65603AB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根据《建设项目环境影响报告表编制技术指南（污染影响类）（试行）》，本项目专项评价设置情况见下表：</w:t>
            </w:r>
          </w:p>
          <w:p w14:paraId="2A0B4E7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表1-1</w:t>
            </w:r>
            <w:r>
              <w:rPr>
                <w:rFonts w:hint="default" w:ascii="Times New Roman" w:hAnsi="Times New Roman" w:eastAsia="黑体" w:cs="Times New Roman"/>
                <w:color w:val="auto"/>
                <w:szCs w:val="21"/>
                <w:highlight w:val="none"/>
                <w:lang w:val="en-US" w:eastAsia="zh-CN"/>
              </w:rPr>
              <w:t xml:space="preserve"> </w:t>
            </w:r>
            <w:r>
              <w:rPr>
                <w:rFonts w:hint="default" w:ascii="Times New Roman" w:hAnsi="Times New Roman" w:eastAsia="黑体" w:cs="Times New Roman"/>
                <w:color w:val="auto"/>
                <w:szCs w:val="21"/>
                <w:highlight w:val="none"/>
              </w:rPr>
              <w:t>专项评价设置表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30"/>
              <w:gridCol w:w="3108"/>
              <w:gridCol w:w="3159"/>
              <w:gridCol w:w="767"/>
            </w:tblGrid>
            <w:tr w14:paraId="53B2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0" w:type="pct"/>
                  <w:shd w:val="clear" w:color="auto" w:fill="auto"/>
                  <w:vAlign w:val="center"/>
                </w:tcPr>
                <w:p w14:paraId="5878F8D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专项评价类别</w:t>
                  </w:r>
                </w:p>
              </w:tc>
              <w:tc>
                <w:tcPr>
                  <w:tcW w:w="2001" w:type="pct"/>
                  <w:vAlign w:val="center"/>
                </w:tcPr>
                <w:p w14:paraId="35D048C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设置原则</w:t>
                  </w:r>
                </w:p>
              </w:tc>
              <w:tc>
                <w:tcPr>
                  <w:tcW w:w="2034" w:type="pct"/>
                  <w:vAlign w:val="center"/>
                </w:tcPr>
                <w:p w14:paraId="7E34A2D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493" w:type="pct"/>
                  <w:vAlign w:val="center"/>
                </w:tcPr>
                <w:p w14:paraId="543289A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是否专项评价</w:t>
                  </w:r>
                </w:p>
              </w:tc>
            </w:tr>
            <w:tr w14:paraId="3C92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0" w:type="pct"/>
                  <w:shd w:val="clear" w:color="auto" w:fill="auto"/>
                  <w:vAlign w:val="center"/>
                </w:tcPr>
                <w:p w14:paraId="59D5057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w:t>
                  </w:r>
                </w:p>
              </w:tc>
              <w:tc>
                <w:tcPr>
                  <w:tcW w:w="2001" w:type="pct"/>
                  <w:vAlign w:val="center"/>
                </w:tcPr>
                <w:p w14:paraId="459F370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排放废气含有有毒有害物、二噁英、苯并[a]芘、氰化物、氯气且厂界外500米范围内有环境空气保护目标的建设项目</w:t>
                  </w:r>
                </w:p>
              </w:tc>
              <w:tc>
                <w:tcPr>
                  <w:tcW w:w="2034" w:type="pct"/>
                  <w:vAlign w:val="center"/>
                </w:tcPr>
                <w:p w14:paraId="4F4C861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rPr>
                    <w:t>排放废气不涉及列入《有毒有害大气污染物名录（2018年）》中的有毒有害物质</w:t>
                  </w:r>
                  <w:r>
                    <w:rPr>
                      <w:rFonts w:hint="default" w:ascii="Times New Roman" w:hAnsi="Times New Roman" w:cs="Times New Roman"/>
                      <w:color w:val="auto"/>
                      <w:sz w:val="21"/>
                      <w:szCs w:val="21"/>
                      <w:lang w:val="en-US" w:eastAsia="zh-CN"/>
                    </w:rPr>
                    <w:t>以及</w:t>
                  </w:r>
                  <w:r>
                    <w:rPr>
                      <w:rFonts w:hint="default" w:ascii="Times New Roman" w:hAnsi="Times New Roman" w:cs="Times New Roman"/>
                      <w:color w:val="auto"/>
                      <w:sz w:val="21"/>
                      <w:szCs w:val="21"/>
                    </w:rPr>
                    <w:t>二噁英、苯并[a]芘、氰化物、氯气</w:t>
                  </w:r>
                </w:p>
              </w:tc>
              <w:tc>
                <w:tcPr>
                  <w:tcW w:w="493" w:type="pct"/>
                  <w:vAlign w:val="center"/>
                </w:tcPr>
                <w:p w14:paraId="42D065E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57F8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0" w:type="pct"/>
                  <w:vMerge w:val="restart"/>
                  <w:shd w:val="clear" w:color="auto" w:fill="auto"/>
                  <w:vAlign w:val="center"/>
                </w:tcPr>
                <w:p w14:paraId="4B2F84A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tc>
              <w:tc>
                <w:tcPr>
                  <w:tcW w:w="2001" w:type="pct"/>
                  <w:vAlign w:val="center"/>
                </w:tcPr>
                <w:p w14:paraId="3F5423B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新增工业废水直排建设项目（槽罐车外送污水处理厂的除外）</w:t>
                  </w:r>
                </w:p>
              </w:tc>
              <w:tc>
                <w:tcPr>
                  <w:tcW w:w="2034" w:type="pct"/>
                  <w:vMerge w:val="restart"/>
                  <w:vAlign w:val="center"/>
                </w:tcPr>
                <w:p w14:paraId="7955AF3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项目生活污水经化粪池处理后用于农肥</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不外排</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vertAlign w:val="baseline"/>
                      <w:lang w:val="en-US" w:eastAsia="zh-CN"/>
                    </w:rPr>
                    <w:t>排泥水</w:t>
                  </w:r>
                  <w:r>
                    <w:rPr>
                      <w:rFonts w:hint="eastAsia" w:ascii="Times New Roman" w:hAnsi="Times New Roman" w:cs="Times New Roman"/>
                      <w:color w:val="auto"/>
                      <w:sz w:val="21"/>
                      <w:szCs w:val="21"/>
                      <w:highlight w:val="none"/>
                      <w:vertAlign w:val="baseline"/>
                      <w:lang w:val="en-US" w:eastAsia="zh-CN"/>
                    </w:rPr>
                    <w:t>经沉淀后回用于厂区绿化；膜</w:t>
                  </w:r>
                  <w:r>
                    <w:rPr>
                      <w:rFonts w:hint="default" w:ascii="Times New Roman" w:hAnsi="Times New Roman" w:cs="Times New Roman"/>
                      <w:color w:val="auto"/>
                      <w:sz w:val="21"/>
                      <w:szCs w:val="21"/>
                      <w:highlight w:val="none"/>
                      <w:vertAlign w:val="baseline"/>
                      <w:lang w:val="en-US" w:eastAsia="zh-CN"/>
                    </w:rPr>
                    <w:t>反冲洗水</w:t>
                  </w:r>
                  <w:r>
                    <w:rPr>
                      <w:rFonts w:hint="eastAsia" w:ascii="Times New Roman" w:hAnsi="Times New Roman" w:cs="Times New Roman"/>
                      <w:color w:val="auto"/>
                      <w:sz w:val="21"/>
                      <w:szCs w:val="21"/>
                      <w:highlight w:val="none"/>
                      <w:vertAlign w:val="baseline"/>
                      <w:lang w:val="en-US" w:eastAsia="zh-CN"/>
                    </w:rPr>
                    <w:t>经排水池收集后全部返回供水厂净水设施处理</w:t>
                  </w:r>
                </w:p>
              </w:tc>
              <w:tc>
                <w:tcPr>
                  <w:tcW w:w="493" w:type="pct"/>
                  <w:vMerge w:val="restart"/>
                  <w:vAlign w:val="center"/>
                </w:tcPr>
                <w:p w14:paraId="7D9841E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2D63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0" w:type="pct"/>
                  <w:vMerge w:val="continue"/>
                  <w:shd w:val="clear" w:color="auto" w:fill="auto"/>
                  <w:vAlign w:val="center"/>
                </w:tcPr>
                <w:p w14:paraId="5EBF72B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p>
              </w:tc>
              <w:tc>
                <w:tcPr>
                  <w:tcW w:w="2001" w:type="pct"/>
                  <w:vAlign w:val="center"/>
                </w:tcPr>
                <w:p w14:paraId="4372F52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新增废水直接排放的污水集中处理厂</w:t>
                  </w:r>
                </w:p>
              </w:tc>
              <w:tc>
                <w:tcPr>
                  <w:tcW w:w="2034" w:type="pct"/>
                  <w:vMerge w:val="continue"/>
                  <w:vAlign w:val="center"/>
                </w:tcPr>
                <w:p w14:paraId="406DCEC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p>
              </w:tc>
              <w:tc>
                <w:tcPr>
                  <w:tcW w:w="493" w:type="pct"/>
                  <w:vMerge w:val="continue"/>
                  <w:vAlign w:val="center"/>
                </w:tcPr>
                <w:p w14:paraId="79A646C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p>
              </w:tc>
            </w:tr>
            <w:tr w14:paraId="6FB6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0" w:type="pct"/>
                  <w:shd w:val="clear" w:color="auto" w:fill="auto"/>
                  <w:vAlign w:val="center"/>
                </w:tcPr>
                <w:p w14:paraId="1E68F63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2001" w:type="pct"/>
                  <w:vAlign w:val="center"/>
                </w:tcPr>
                <w:p w14:paraId="54DD8A3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有毒有害和易燃易爆危险物质存储量超过临界量的建设项目</w:t>
                  </w:r>
                </w:p>
              </w:tc>
              <w:tc>
                <w:tcPr>
                  <w:tcW w:w="2034" w:type="pct"/>
                  <w:vAlign w:val="center"/>
                </w:tcPr>
                <w:p w14:paraId="3E3E2BA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rPr>
                    <w:t>危险物质存储量未超过临界量</w:t>
                  </w:r>
                </w:p>
              </w:tc>
              <w:tc>
                <w:tcPr>
                  <w:tcW w:w="493" w:type="pct"/>
                  <w:vAlign w:val="center"/>
                </w:tcPr>
                <w:p w14:paraId="4053915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45FE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0" w:type="pct"/>
                  <w:shd w:val="clear" w:color="auto" w:fill="auto"/>
                  <w:vAlign w:val="center"/>
                </w:tcPr>
                <w:p w14:paraId="6E0B547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w:t>
                  </w:r>
                </w:p>
              </w:tc>
              <w:tc>
                <w:tcPr>
                  <w:tcW w:w="2001" w:type="pct"/>
                  <w:vAlign w:val="center"/>
                </w:tcPr>
                <w:p w14:paraId="3588B0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取水口下游500米范围内有重要水生生物的自然产卵场、索饵场、越冬场和洄游通道的新增河道取水的污染类建设项目</w:t>
                  </w:r>
                </w:p>
              </w:tc>
              <w:tc>
                <w:tcPr>
                  <w:tcW w:w="2034" w:type="pct"/>
                  <w:vAlign w:val="center"/>
                </w:tcPr>
                <w:p w14:paraId="6705350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本项目取水口下游</w:t>
                  </w:r>
                  <w:r>
                    <w:rPr>
                      <w:rFonts w:hint="default" w:ascii="Times New Roman" w:hAnsi="Times New Roman" w:cs="Times New Roman"/>
                      <w:color w:val="auto"/>
                      <w:sz w:val="21"/>
                      <w:szCs w:val="21"/>
                      <w:highlight w:val="none"/>
                    </w:rPr>
                    <w:t>500米范围内</w:t>
                  </w:r>
                  <w:r>
                    <w:rPr>
                      <w:rFonts w:hint="default" w:ascii="Times New Roman" w:hAnsi="Times New Roman" w:cs="Times New Roman"/>
                      <w:color w:val="auto"/>
                      <w:sz w:val="21"/>
                      <w:szCs w:val="21"/>
                      <w:highlight w:val="none"/>
                      <w:lang w:val="en-US" w:eastAsia="zh-CN"/>
                    </w:rPr>
                    <w:t>无</w:t>
                  </w:r>
                  <w:r>
                    <w:rPr>
                      <w:rFonts w:hint="default" w:ascii="Times New Roman" w:hAnsi="Times New Roman" w:cs="Times New Roman"/>
                      <w:color w:val="auto"/>
                      <w:sz w:val="21"/>
                      <w:szCs w:val="21"/>
                      <w:highlight w:val="none"/>
                    </w:rPr>
                    <w:t>重要水生生物的自然产卵场、索饵场、越冬场和洄游通道</w:t>
                  </w:r>
                </w:p>
              </w:tc>
              <w:tc>
                <w:tcPr>
                  <w:tcW w:w="493" w:type="pct"/>
                  <w:vAlign w:val="center"/>
                </w:tcPr>
                <w:p w14:paraId="7E9BA45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r w14:paraId="3A30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70" w:type="pct"/>
                  <w:shd w:val="clear" w:color="auto" w:fill="auto"/>
                  <w:vAlign w:val="center"/>
                </w:tcPr>
                <w:p w14:paraId="0042695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海洋</w:t>
                  </w:r>
                </w:p>
              </w:tc>
              <w:tc>
                <w:tcPr>
                  <w:tcW w:w="2001" w:type="pct"/>
                  <w:vAlign w:val="center"/>
                </w:tcPr>
                <w:p w14:paraId="70D5537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直接向海排放污染物的海洋工程建设项目</w:t>
                  </w:r>
                </w:p>
              </w:tc>
              <w:tc>
                <w:tcPr>
                  <w:tcW w:w="2034" w:type="pct"/>
                  <w:vAlign w:val="center"/>
                </w:tcPr>
                <w:p w14:paraId="018427C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rPr>
                    <w:t>不涉及</w:t>
                  </w:r>
                </w:p>
              </w:tc>
              <w:tc>
                <w:tcPr>
                  <w:tcW w:w="493" w:type="pct"/>
                  <w:vAlign w:val="center"/>
                </w:tcPr>
                <w:p w14:paraId="276CF1F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r>
          </w:tbl>
          <w:p w14:paraId="5B0FB5A9">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32"/>
                <w:highlight w:val="none"/>
                <w:vertAlign w:val="baseline"/>
                <w:lang w:eastAsia="zh-CN"/>
              </w:rPr>
            </w:pPr>
            <w:r>
              <w:rPr>
                <w:rFonts w:hint="default" w:ascii="Times New Roman" w:hAnsi="Times New Roman" w:cs="Times New Roman"/>
                <w:b/>
                <w:bCs/>
                <w:color w:val="auto"/>
                <w:sz w:val="24"/>
                <w:szCs w:val="24"/>
                <w:highlight w:val="none"/>
              </w:rPr>
              <w:t>因此，本项目不需开展专项评价工作。</w:t>
            </w:r>
          </w:p>
        </w:tc>
      </w:tr>
      <w:tr w14:paraId="15355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09F0412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规划情况</w:t>
            </w:r>
          </w:p>
        </w:tc>
        <w:tc>
          <w:tcPr>
            <w:tcW w:w="3997" w:type="pct"/>
            <w:gridSpan w:val="3"/>
            <w:vAlign w:val="center"/>
          </w:tcPr>
          <w:p w14:paraId="081B6B8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sz w:val="24"/>
                <w:szCs w:val="32"/>
                <w:lang w:eastAsia="zh-CN"/>
              </w:rPr>
              <w:t>《</w:t>
            </w:r>
            <w:r>
              <w:rPr>
                <w:rFonts w:hint="default" w:ascii="Times New Roman" w:hAnsi="Times New Roman" w:cs="Times New Roman"/>
                <w:sz w:val="24"/>
                <w:szCs w:val="32"/>
              </w:rPr>
              <w:t>“十四五”水安全保障规划</w:t>
            </w:r>
            <w:r>
              <w:rPr>
                <w:rFonts w:hint="eastAsia" w:ascii="Times New Roman" w:hAnsi="Times New Roman" w:cs="Times New Roman"/>
                <w:sz w:val="24"/>
                <w:szCs w:val="32"/>
                <w:lang w:eastAsia="zh-CN"/>
              </w:rPr>
              <w:t>》《</w:t>
            </w:r>
            <w:r>
              <w:rPr>
                <w:rFonts w:ascii="Times New Roman" w:hAnsi="Times New Roman" w:cs="Times New Roman"/>
                <w:sz w:val="24"/>
                <w:szCs w:val="32"/>
              </w:rPr>
              <w:t>宣汉县“十四五”新农水规划》</w:t>
            </w:r>
          </w:p>
        </w:tc>
      </w:tr>
      <w:tr w14:paraId="58B0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1FF3665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规划环境影响评价情况</w:t>
            </w:r>
          </w:p>
        </w:tc>
        <w:tc>
          <w:tcPr>
            <w:tcW w:w="3997" w:type="pct"/>
            <w:gridSpan w:val="3"/>
            <w:vAlign w:val="center"/>
          </w:tcPr>
          <w:p w14:paraId="377664B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auto"/>
                <w:kern w:val="2"/>
                <w:sz w:val="21"/>
                <w:szCs w:val="24"/>
                <w:highlight w:val="none"/>
                <w:lang w:val="en-US" w:eastAsia="zh-CN" w:bidi="ar-SA"/>
              </w:rPr>
            </w:pPr>
            <w:r>
              <w:rPr>
                <w:rFonts w:hint="default" w:ascii="Times New Roman" w:hAnsi="Times New Roman" w:cs="Times New Roman"/>
                <w:color w:val="auto"/>
                <w:sz w:val="24"/>
                <w:szCs w:val="24"/>
                <w:highlight w:val="none"/>
                <w:lang w:val="en-US" w:eastAsia="zh-CN"/>
              </w:rPr>
              <w:t>无</w:t>
            </w:r>
          </w:p>
        </w:tc>
      </w:tr>
      <w:tr w14:paraId="0E17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002" w:type="pct"/>
            <w:gridSpan w:val="2"/>
            <w:vAlign w:val="center"/>
          </w:tcPr>
          <w:p w14:paraId="59C6912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规划及规划环境影响评价符合性分析</w:t>
            </w:r>
          </w:p>
        </w:tc>
        <w:tc>
          <w:tcPr>
            <w:tcW w:w="3997" w:type="pct"/>
            <w:gridSpan w:val="3"/>
            <w:vAlign w:val="center"/>
          </w:tcPr>
          <w:p w14:paraId="5F12A3A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1、与</w:t>
            </w:r>
            <w:r>
              <w:rPr>
                <w:rFonts w:hint="default" w:ascii="Times New Roman" w:hAnsi="Times New Roman" w:cs="Times New Roman"/>
                <w:b/>
                <w:bCs/>
                <w:color w:val="auto"/>
                <w:sz w:val="24"/>
                <w:szCs w:val="32"/>
                <w:lang w:eastAsia="zh-CN"/>
              </w:rPr>
              <w:t>《</w:t>
            </w:r>
            <w:r>
              <w:rPr>
                <w:rFonts w:hint="default" w:ascii="Times New Roman" w:hAnsi="Times New Roman" w:cs="Times New Roman"/>
                <w:b/>
                <w:bCs/>
                <w:color w:val="auto"/>
                <w:sz w:val="24"/>
                <w:szCs w:val="32"/>
              </w:rPr>
              <w:t>“十四五”水安全保障规划</w:t>
            </w:r>
            <w:r>
              <w:rPr>
                <w:rFonts w:hint="default" w:ascii="Times New Roman" w:hAnsi="Times New Roman" w:cs="Times New Roman"/>
                <w:b/>
                <w:bCs/>
                <w:color w:val="auto"/>
                <w:sz w:val="24"/>
                <w:szCs w:val="32"/>
                <w:lang w:eastAsia="zh-CN"/>
              </w:rPr>
              <w:t>》</w:t>
            </w:r>
            <w:r>
              <w:rPr>
                <w:rFonts w:hint="default" w:ascii="Times New Roman" w:hAnsi="Times New Roman" w:cs="Times New Roman"/>
                <w:b/>
                <w:bCs/>
                <w:color w:val="auto"/>
                <w:sz w:val="24"/>
                <w:szCs w:val="32"/>
                <w:highlight w:val="none"/>
                <w:vertAlign w:val="baseline"/>
                <w:lang w:val="en-US" w:eastAsia="zh-CN"/>
              </w:rPr>
              <w:t>符合性分析</w:t>
            </w:r>
          </w:p>
          <w:p w14:paraId="55E620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rPr>
              <w:t>“十四五”水安全保障规划</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内容要求：</w:t>
            </w:r>
            <w:r>
              <w:rPr>
                <w:rFonts w:hint="default" w:ascii="Times New Roman" w:hAnsi="Times New Roman" w:cs="Times New Roman"/>
                <w:color w:val="auto"/>
                <w:sz w:val="24"/>
                <w:szCs w:val="32"/>
                <w:highlight w:val="none"/>
                <w:vertAlign w:val="baseline"/>
                <w:lang w:val="en-US" w:eastAsia="zh-CN"/>
              </w:rPr>
              <w:t>（三）加强区域供水工程建设。根据区域水资源条件和经济社会发展布局，统筹考虑需求与可根据能，以区域内自然河湖水系为基础，加强重大引调水、重点水源工程与区域供水工程的配套衔接，加快推进重要城市群、重要能源基地、重要农产品主产区、重点生态功能区等区域供水工程建设。针对水资源过度开发、地下水超采、河湖生态用水挤占等问题，开展不同水源工程间、不同水资源配置工程间水系连通建设，进一步提高区域水资源丰枯调剂能力，缓解水资源短缺状况。改善大中城市和单一水源县级城市的供水水源保障水平，提高应对突发事件能力。</w:t>
            </w:r>
          </w:p>
          <w:p w14:paraId="770933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本项目建设后，</w:t>
            </w:r>
            <w:r>
              <w:rPr>
                <w:rFonts w:hint="eastAsia" w:ascii="Times New Roman" w:hAnsi="Times New Roman" w:cs="Times New Roman"/>
                <w:color w:val="auto"/>
                <w:sz w:val="24"/>
                <w:szCs w:val="32"/>
                <w:highlight w:val="none"/>
                <w:vertAlign w:val="baseline"/>
                <w:lang w:val="en-US" w:eastAsia="zh-CN"/>
              </w:rPr>
              <w:t>有利于改善宣汉县供水水源保障水平，</w:t>
            </w:r>
            <w:r>
              <w:rPr>
                <w:rFonts w:hint="default" w:ascii="Times New Roman" w:hAnsi="Times New Roman" w:cs="Times New Roman"/>
                <w:color w:val="auto"/>
                <w:sz w:val="24"/>
                <w:szCs w:val="32"/>
                <w:highlight w:val="none"/>
                <w:vertAlign w:val="baseline"/>
                <w:lang w:val="en-US" w:eastAsia="zh-CN"/>
              </w:rPr>
              <w:t>与</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rPr>
              <w:t>“十四五”水安全保障规划</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highlight w:val="none"/>
                <w:vertAlign w:val="baseline"/>
                <w:lang w:val="en-US" w:eastAsia="zh-CN"/>
              </w:rPr>
              <w:t>内容相符。</w:t>
            </w:r>
          </w:p>
          <w:p w14:paraId="63B4D35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2</w:t>
            </w:r>
            <w:r>
              <w:rPr>
                <w:rFonts w:hint="default" w:ascii="Times New Roman" w:hAnsi="Times New Roman" w:cs="Times New Roman"/>
                <w:b/>
                <w:bCs/>
                <w:color w:val="auto"/>
                <w:sz w:val="24"/>
                <w:szCs w:val="32"/>
                <w:highlight w:val="none"/>
                <w:vertAlign w:val="baseline"/>
                <w:lang w:val="en-US" w:eastAsia="zh-CN"/>
              </w:rPr>
              <w:t>、与《宣汉县“十四五”新农水规划》符合性分析</w:t>
            </w:r>
          </w:p>
          <w:p w14:paraId="75F20A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根据《宣汉县“十四五”新农水规划》内容要求：“十四五”期间，宣汉县规划新（改、扩）建农村供水工程491处规模化供水工程10处，小型供水工程4处），设计供水规模11.39万m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/d，其中新增供水规模6.07万m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工程受益人口87.34万人，其中新增覆盖人口49.20万人。涉及全县87.34万人（新增覆盖人口49.2万人）。到2025年，宣汉县农村自来水普及率达到95%，农村规模化工程供水人口覆盖比例达到80%以上，集中供水工程规范化管理达标水平比例100%，集中供水工程水费收缴率100%。”目前宣汉县现状乡镇居民多数均采用打井等自建水源的方式饮水，水量水质均难以满足农村居民生活需求。</w:t>
            </w:r>
          </w:p>
          <w:p w14:paraId="3CE3EA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32"/>
                <w:highlight w:val="none"/>
                <w:vertAlign w:val="baseline"/>
                <w:lang w:val="en-US" w:eastAsia="zh-CN"/>
              </w:rPr>
              <w:t>本项目建设后，可覆盖</w:t>
            </w:r>
            <w:r>
              <w:rPr>
                <w:rFonts w:hint="eastAsia" w:ascii="Times New Roman" w:hAnsi="Times New Roman" w:cs="Times New Roman"/>
                <w:color w:val="auto"/>
                <w:sz w:val="24"/>
                <w:szCs w:val="24"/>
                <w:highlight w:val="none"/>
                <w:vertAlign w:val="baseline"/>
                <w:lang w:val="en-US" w:eastAsia="zh-CN"/>
              </w:rPr>
              <w:t>马渡关</w:t>
            </w:r>
            <w:r>
              <w:rPr>
                <w:rFonts w:hint="default" w:ascii="Times New Roman" w:hAnsi="Times New Roman" w:cs="Times New Roman"/>
                <w:color w:val="auto"/>
                <w:sz w:val="24"/>
                <w:szCs w:val="24"/>
                <w:highlight w:val="none"/>
                <w:vertAlign w:val="baseline"/>
                <w:lang w:val="en-US" w:eastAsia="zh-CN"/>
              </w:rPr>
              <w:t>镇、</w:t>
            </w:r>
            <w:r>
              <w:rPr>
                <w:rFonts w:hint="eastAsia" w:ascii="Times New Roman" w:hAnsi="Times New Roman" w:cs="Times New Roman"/>
                <w:b w:val="0"/>
                <w:bCs w:val="0"/>
                <w:color w:val="auto"/>
                <w:sz w:val="24"/>
                <w:szCs w:val="24"/>
                <w:highlight w:val="none"/>
                <w:vertAlign w:val="baseline"/>
                <w:lang w:val="en-US" w:eastAsia="zh-CN"/>
              </w:rPr>
              <w:t>庆云</w:t>
            </w:r>
            <w:r>
              <w:rPr>
                <w:rFonts w:hint="default" w:ascii="Times New Roman" w:hAnsi="Times New Roman" w:cs="Times New Roman"/>
                <w:b w:val="0"/>
                <w:bCs w:val="0"/>
                <w:color w:val="auto"/>
                <w:sz w:val="24"/>
                <w:szCs w:val="24"/>
                <w:highlight w:val="none"/>
                <w:vertAlign w:val="baseline"/>
                <w:lang w:val="en-US" w:eastAsia="zh-CN"/>
              </w:rPr>
              <w:t>社区、</w:t>
            </w:r>
            <w:r>
              <w:rPr>
                <w:rFonts w:hint="eastAsia" w:ascii="Times New Roman" w:hAnsi="Times New Roman" w:cs="Times New Roman"/>
                <w:color w:val="auto"/>
                <w:sz w:val="24"/>
                <w:szCs w:val="24"/>
                <w:highlight w:val="none"/>
                <w:vertAlign w:val="baseline"/>
                <w:lang w:val="en-US" w:eastAsia="zh-CN"/>
              </w:rPr>
              <w:t>隘口</w:t>
            </w:r>
            <w:r>
              <w:rPr>
                <w:rFonts w:hint="default" w:ascii="Times New Roman" w:hAnsi="Times New Roman" w:cs="Times New Roman"/>
                <w:color w:val="auto"/>
                <w:sz w:val="24"/>
                <w:szCs w:val="24"/>
                <w:highlight w:val="none"/>
                <w:vertAlign w:val="baseline"/>
                <w:lang w:val="en-US" w:eastAsia="zh-CN"/>
              </w:rPr>
              <w:t>社区</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有利于提高</w:t>
            </w:r>
            <w:r>
              <w:rPr>
                <w:rFonts w:hint="default" w:ascii="Times New Roman" w:hAnsi="Times New Roman" w:cs="Times New Roman"/>
                <w:color w:val="auto"/>
                <w:sz w:val="24"/>
                <w:szCs w:val="32"/>
                <w:highlight w:val="none"/>
                <w:vertAlign w:val="baseline"/>
                <w:lang w:val="en-US" w:eastAsia="zh-CN"/>
              </w:rPr>
              <w:t>宣汉县农村自来水普及率及满足农村居民生活需求。综上，本项目的建设与《宣汉县“十四五”新农水规划》内容相符</w:t>
            </w:r>
            <w:r>
              <w:rPr>
                <w:rFonts w:hint="eastAsia" w:ascii="Times New Roman" w:hAnsi="Times New Roman" w:cs="Times New Roman"/>
                <w:color w:val="auto"/>
                <w:sz w:val="24"/>
                <w:szCs w:val="32"/>
                <w:highlight w:val="none"/>
                <w:vertAlign w:val="baseline"/>
                <w:lang w:val="en-US" w:eastAsia="zh-CN"/>
              </w:rPr>
              <w:t>。</w:t>
            </w:r>
          </w:p>
        </w:tc>
      </w:tr>
      <w:tr w14:paraId="23E4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00" w:type="pct"/>
            <w:vAlign w:val="center"/>
          </w:tcPr>
          <w:p w14:paraId="0189BC9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其他符合性分析</w:t>
            </w:r>
          </w:p>
        </w:tc>
        <w:tc>
          <w:tcPr>
            <w:tcW w:w="4699" w:type="pct"/>
            <w:gridSpan w:val="4"/>
            <w:vAlign w:val="center"/>
          </w:tcPr>
          <w:p w14:paraId="312D882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1、产业政策符合性分析</w:t>
            </w:r>
          </w:p>
          <w:p w14:paraId="59C8E6D2">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本项目为自来水生产与供应，属</w:t>
            </w:r>
            <w:r>
              <w:rPr>
                <w:rFonts w:hint="default" w:ascii="Times New Roman" w:hAnsi="Times New Roman" w:cs="Times New Roman"/>
                <w:sz w:val="24"/>
                <w:szCs w:val="24"/>
              </w:rPr>
              <w:t>中华人民共和国国家发展和改革委员会令第7号</w:t>
            </w:r>
            <w:r>
              <w:rPr>
                <w:rFonts w:hint="default" w:ascii="Times New Roman" w:hAnsi="Times New Roman" w:cs="Times New Roman"/>
                <w:color w:val="auto"/>
                <w:sz w:val="24"/>
                <w:szCs w:val="24"/>
                <w:highlight w:val="none"/>
                <w:lang w:eastAsia="zh-CN"/>
              </w:rPr>
              <w:t>《产业结构调整指导目录（20</w:t>
            </w:r>
            <w:r>
              <w:rPr>
                <w:rFonts w:hint="default" w:ascii="Times New Roman" w:hAnsi="Times New Roman" w:cs="Times New Roman"/>
                <w:color w:val="auto"/>
                <w:sz w:val="24"/>
                <w:szCs w:val="24"/>
                <w:highlight w:val="none"/>
                <w:lang w:val="en-US" w:eastAsia="zh-CN"/>
              </w:rPr>
              <w:t>24</w:t>
            </w:r>
            <w:r>
              <w:rPr>
                <w:rFonts w:hint="default" w:ascii="Times New Roman" w:hAnsi="Times New Roman" w:cs="Times New Roman"/>
                <w:color w:val="auto"/>
                <w:sz w:val="24"/>
                <w:szCs w:val="24"/>
                <w:highlight w:val="none"/>
                <w:lang w:eastAsia="zh-CN"/>
              </w:rPr>
              <w:t>年本）》中</w:t>
            </w:r>
            <w:r>
              <w:rPr>
                <w:rFonts w:hint="default" w:ascii="Times New Roman" w:hAnsi="Times New Roman" w:cs="Times New Roman"/>
                <w:i/>
                <w:iCs/>
                <w:color w:val="auto"/>
                <w:sz w:val="24"/>
                <w:szCs w:val="24"/>
                <w:highlight w:val="none"/>
                <w:lang w:eastAsia="zh-CN"/>
              </w:rPr>
              <w:t>“第一类鼓励类/二十二、城</w:t>
            </w:r>
            <w:r>
              <w:rPr>
                <w:rFonts w:hint="default" w:ascii="Times New Roman" w:hAnsi="Times New Roman" w:cs="Times New Roman"/>
                <w:i/>
                <w:iCs/>
                <w:color w:val="auto"/>
                <w:sz w:val="24"/>
                <w:szCs w:val="24"/>
                <w:highlight w:val="none"/>
                <w:lang w:val="en-US" w:eastAsia="zh-CN"/>
              </w:rPr>
              <w:t>镇</w:t>
            </w:r>
            <w:r>
              <w:rPr>
                <w:rFonts w:hint="default" w:ascii="Times New Roman" w:hAnsi="Times New Roman" w:cs="Times New Roman"/>
                <w:i/>
                <w:iCs/>
                <w:color w:val="auto"/>
                <w:sz w:val="24"/>
                <w:szCs w:val="24"/>
                <w:highlight w:val="none"/>
                <w:lang w:eastAsia="zh-CN"/>
              </w:rPr>
              <w:t>基础设施/</w:t>
            </w:r>
            <w:r>
              <w:rPr>
                <w:rFonts w:hint="default" w:ascii="Times New Roman" w:hAnsi="Times New Roman" w:cs="Times New Roman"/>
                <w:i/>
                <w:iCs/>
                <w:color w:val="auto"/>
                <w:sz w:val="24"/>
                <w:szCs w:val="24"/>
                <w:highlight w:val="none"/>
                <w:lang w:val="en-US" w:eastAsia="zh-CN"/>
              </w:rPr>
              <w:t>2</w:t>
            </w:r>
            <w:r>
              <w:rPr>
                <w:rFonts w:hint="default" w:ascii="Times New Roman" w:hAnsi="Times New Roman" w:cs="Times New Roman"/>
                <w:i/>
                <w:iCs/>
                <w:color w:val="auto"/>
                <w:sz w:val="24"/>
                <w:szCs w:val="24"/>
                <w:highlight w:val="none"/>
                <w:lang w:eastAsia="zh-CN"/>
              </w:rPr>
              <w:t>、</w:t>
            </w:r>
            <w:r>
              <w:rPr>
                <w:rFonts w:hint="default" w:ascii="Times New Roman" w:hAnsi="Times New Roman" w:cs="Times New Roman"/>
                <w:i/>
                <w:iCs/>
                <w:color w:val="auto"/>
                <w:sz w:val="24"/>
                <w:szCs w:val="24"/>
                <w:highlight w:val="none"/>
                <w:lang w:val="en-US" w:eastAsia="zh-CN"/>
              </w:rPr>
              <w:t>市镇基础设施：城镇供排水工程及相关设备生产</w:t>
            </w:r>
            <w:r>
              <w:rPr>
                <w:rFonts w:hint="default" w:ascii="Times New Roman" w:hAnsi="Times New Roman" w:cs="Times New Roman"/>
                <w:i/>
                <w:iCs/>
                <w:color w:val="auto"/>
                <w:sz w:val="24"/>
                <w:szCs w:val="24"/>
                <w:highlight w:val="none"/>
                <w:lang w:eastAsia="zh-CN"/>
              </w:rPr>
              <w:t>”，</w:t>
            </w:r>
            <w:r>
              <w:rPr>
                <w:rFonts w:hint="default" w:ascii="Times New Roman" w:hAnsi="Times New Roman" w:cs="Times New Roman"/>
                <w:color w:val="auto"/>
                <w:sz w:val="24"/>
                <w:szCs w:val="24"/>
                <w:highlight w:val="none"/>
                <w:lang w:eastAsia="zh-CN"/>
              </w:rPr>
              <w:t>符合国家现行产业政策。</w:t>
            </w:r>
          </w:p>
          <w:p w14:paraId="293255D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 w:val="24"/>
                <w:szCs w:val="32"/>
                <w:highlight w:val="none"/>
                <w:lang w:eastAsia="zh-CN"/>
              </w:rPr>
              <w:t>同时，</w:t>
            </w:r>
            <w:r>
              <w:rPr>
                <w:rFonts w:hint="eastAsia" w:ascii="Times New Roman" w:hAnsi="Times New Roman" w:cs="Times New Roman"/>
                <w:color w:val="auto"/>
                <w:sz w:val="24"/>
                <w:szCs w:val="32"/>
                <w:highlight w:val="none"/>
                <w:lang w:val="en-US" w:eastAsia="zh-CN"/>
              </w:rPr>
              <w:t>项目于</w:t>
            </w:r>
            <w:r>
              <w:rPr>
                <w:rFonts w:hint="default" w:ascii="Times New Roman" w:hAnsi="Times New Roman" w:cs="Times New Roman"/>
                <w:color w:val="auto"/>
                <w:sz w:val="24"/>
                <w:szCs w:val="32"/>
                <w:highlight w:val="none"/>
                <w:lang w:val="en-US" w:eastAsia="zh-CN"/>
              </w:rPr>
              <w:t>2022年9月2日取得了宣汉县发展和改革局出具的“关于宣汉县乡村水务试点县供水保障工程可行性研究报告的批复”（宣发改审〔2022〕273号）</w:t>
            </w:r>
            <w:r>
              <w:rPr>
                <w:rFonts w:hint="default" w:ascii="Times New Roman" w:hAnsi="Times New Roman" w:cs="Times New Roman"/>
                <w:color w:val="auto"/>
                <w:sz w:val="24"/>
                <w:szCs w:val="32"/>
                <w:highlight w:val="none"/>
                <w:lang w:eastAsia="zh-CN"/>
              </w:rPr>
              <w:t>，</w:t>
            </w:r>
            <w:r>
              <w:rPr>
                <w:rFonts w:hint="default" w:ascii="Times New Roman" w:hAnsi="Times New Roman" w:cs="Times New Roman"/>
                <w:color w:val="auto"/>
                <w:sz w:val="24"/>
                <w:szCs w:val="32"/>
                <w:highlight w:val="none"/>
                <w:lang w:val="en-US" w:eastAsia="zh-CN"/>
              </w:rPr>
              <w:t>本项目属于宣汉县乡村水务试点县供水保障工程中的一个子项目（</w:t>
            </w:r>
            <w:r>
              <w:rPr>
                <w:rFonts w:hint="eastAsia" w:ascii="Times New Roman" w:hAnsi="Times New Roman" w:eastAsia="宋体" w:cs="Times New Roman"/>
                <w:color w:val="auto"/>
                <w:sz w:val="24"/>
                <w:szCs w:val="32"/>
                <w:highlight w:val="none"/>
                <w:vertAlign w:val="baseline"/>
                <w:lang w:val="en-US" w:eastAsia="zh-CN"/>
              </w:rPr>
              <w:t>马渡关片区</w:t>
            </w:r>
            <w:r>
              <w:rPr>
                <w:rFonts w:hint="default" w:ascii="Times New Roman" w:hAnsi="Times New Roman" w:eastAsia="宋体" w:cs="Times New Roman"/>
                <w:color w:val="auto"/>
                <w:sz w:val="24"/>
                <w:szCs w:val="32"/>
                <w:highlight w:val="none"/>
                <w:vertAlign w:val="baseline"/>
                <w:lang w:eastAsia="zh-CN"/>
              </w:rPr>
              <w:t>供水工程</w:t>
            </w:r>
            <w:r>
              <w:rPr>
                <w:rFonts w:hint="default" w:ascii="Times New Roman" w:hAnsi="Times New Roman" w:cs="Times New Roman"/>
                <w:color w:val="auto"/>
                <w:sz w:val="24"/>
                <w:szCs w:val="32"/>
                <w:highlight w:val="none"/>
                <w:lang w:val="en-US" w:eastAsia="zh-CN"/>
              </w:rPr>
              <w:t>），且</w:t>
            </w:r>
            <w:r>
              <w:rPr>
                <w:rFonts w:hint="default" w:ascii="Times New Roman" w:hAnsi="Times New Roman" w:cs="Times New Roman"/>
                <w:color w:val="auto"/>
                <w:sz w:val="24"/>
                <w:szCs w:val="24"/>
              </w:rPr>
              <w:t>本项目所用设备和采取的生产工艺均不属于淘汰和限制类之列。</w:t>
            </w:r>
          </w:p>
          <w:p w14:paraId="5203EB7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left"/>
              <w:textAlignment w:val="auto"/>
              <w:rPr>
                <w:rFonts w:hint="default" w:ascii="Times New Roman" w:hAnsi="Times New Roman" w:cs="Times New Roman"/>
                <w:b/>
                <w:bCs/>
                <w:color w:val="auto"/>
                <w:sz w:val="24"/>
                <w:szCs w:val="32"/>
                <w:highlight w:val="none"/>
                <w:lang w:eastAsia="zh-CN"/>
              </w:rPr>
            </w:pPr>
            <w:r>
              <w:rPr>
                <w:rFonts w:hint="default" w:ascii="Times New Roman" w:hAnsi="Times New Roman" w:cs="Times New Roman"/>
                <w:b/>
                <w:bCs/>
                <w:color w:val="auto"/>
                <w:sz w:val="24"/>
                <w:szCs w:val="32"/>
                <w:highlight w:val="none"/>
                <w:lang w:eastAsia="zh-CN"/>
              </w:rPr>
              <w:t>因此，本项目符合国家现行产业政策。</w:t>
            </w:r>
          </w:p>
          <w:p w14:paraId="763B6E7C">
            <w:pPr>
              <w:keepNext w:val="0"/>
              <w:keepLines w:val="0"/>
              <w:pageBreakBefore w:val="0"/>
              <w:kinsoku/>
              <w:wordWrap/>
              <w:overflowPunct/>
              <w:topLinePunct w:val="0"/>
              <w:autoSpaceDE/>
              <w:autoSpaceDN/>
              <w:bidi w:val="0"/>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2、用地规划符合性分析</w:t>
            </w:r>
          </w:p>
          <w:p w14:paraId="6F9D71A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马渡关水厂</w:t>
            </w:r>
            <w:r>
              <w:rPr>
                <w:rFonts w:hint="default" w:ascii="Times New Roman" w:hAnsi="Times New Roman" w:cs="Times New Roman"/>
                <w:color w:val="auto"/>
                <w:sz w:val="24"/>
                <w:szCs w:val="32"/>
                <w:highlight w:val="none"/>
                <w:vertAlign w:val="baseline"/>
                <w:lang w:val="en-US" w:eastAsia="zh-CN"/>
              </w:rPr>
              <w:t>位于</w:t>
            </w:r>
            <w:r>
              <w:rPr>
                <w:rFonts w:hint="eastAsia" w:ascii="Times New Roman" w:hAnsi="Times New Roman" w:eastAsia="宋体" w:cs="Times New Roman"/>
                <w:color w:val="auto"/>
                <w:sz w:val="24"/>
                <w:szCs w:val="32"/>
                <w:highlight w:val="none"/>
                <w:vertAlign w:val="baseline"/>
                <w:lang w:val="en-US" w:eastAsia="zh-CN"/>
              </w:rPr>
              <w:t>宣汉县马渡关镇长滩村</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32"/>
                <w:highlight w:val="none"/>
                <w:vertAlign w:val="baseline"/>
                <w:lang w:val="en-US" w:eastAsia="zh-CN"/>
              </w:rPr>
              <w:t>用地面积</w:t>
            </w:r>
            <w:r>
              <w:rPr>
                <w:rFonts w:hint="eastAsia" w:ascii="Times New Roman" w:hAnsi="Times New Roman" w:cs="Times New Roman"/>
                <w:color w:val="auto"/>
                <w:sz w:val="24"/>
                <w:szCs w:val="32"/>
                <w:highlight w:val="none"/>
                <w:vertAlign w:val="baseline"/>
                <w:lang w:val="en-US" w:eastAsia="zh-CN"/>
              </w:rPr>
              <w:t>2085.32</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2</w:t>
            </w:r>
            <w:r>
              <w:rPr>
                <w:rFonts w:hint="default" w:ascii="Times New Roman" w:hAnsi="Times New Roman" w:cs="Times New Roman"/>
                <w:color w:val="auto"/>
                <w:sz w:val="24"/>
                <w:szCs w:val="32"/>
                <w:highlight w:val="none"/>
                <w:vertAlign w:val="baseline"/>
                <w:lang w:val="en-US" w:eastAsia="zh-CN"/>
              </w:rPr>
              <w:t>，为永久用地</w:t>
            </w:r>
            <w:r>
              <w:rPr>
                <w:rFonts w:hint="eastAsia" w:ascii="Times New Roman" w:hAnsi="Times New Roman" w:cs="Times New Roman"/>
                <w:color w:val="auto"/>
                <w:sz w:val="24"/>
                <w:szCs w:val="32"/>
                <w:highlight w:val="none"/>
                <w:vertAlign w:val="baseline"/>
                <w:lang w:val="en-US" w:eastAsia="zh-CN"/>
              </w:rPr>
              <w:t>；隘口水厂</w:t>
            </w:r>
            <w:r>
              <w:rPr>
                <w:rFonts w:hint="default" w:ascii="Times New Roman" w:hAnsi="Times New Roman" w:cs="Times New Roman"/>
                <w:color w:val="auto"/>
                <w:sz w:val="24"/>
                <w:szCs w:val="32"/>
                <w:highlight w:val="none"/>
                <w:vertAlign w:val="baseline"/>
                <w:lang w:val="en-US" w:eastAsia="zh-CN"/>
              </w:rPr>
              <w:t>位于</w:t>
            </w:r>
            <w:r>
              <w:rPr>
                <w:rFonts w:hint="eastAsia" w:ascii="Times New Roman" w:hAnsi="Times New Roman" w:cs="Times New Roman"/>
                <w:color w:val="auto"/>
                <w:sz w:val="24"/>
                <w:szCs w:val="24"/>
                <w:highlight w:val="none"/>
                <w:lang w:val="en-US" w:eastAsia="zh-CN"/>
              </w:rPr>
              <w:t>宣汉县</w:t>
            </w:r>
            <w:r>
              <w:rPr>
                <w:rFonts w:hint="eastAsia" w:ascii="Times New Roman" w:hAnsi="Times New Roman" w:eastAsia="宋体" w:cs="Times New Roman"/>
                <w:color w:val="auto"/>
                <w:sz w:val="24"/>
                <w:szCs w:val="32"/>
                <w:highlight w:val="none"/>
                <w:vertAlign w:val="baseline"/>
                <w:lang w:val="en-US" w:eastAsia="zh-CN"/>
              </w:rPr>
              <w:t>马渡关镇</w:t>
            </w:r>
            <w:r>
              <w:rPr>
                <w:rFonts w:hint="eastAsia" w:ascii="Times New Roman" w:hAnsi="Times New Roman" w:cs="Times New Roman"/>
                <w:color w:val="auto"/>
                <w:sz w:val="24"/>
                <w:szCs w:val="24"/>
                <w:highlight w:val="none"/>
                <w:lang w:val="en-US" w:eastAsia="zh-CN"/>
              </w:rPr>
              <w:t>隘口社区</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32"/>
                <w:highlight w:val="none"/>
                <w:vertAlign w:val="baseline"/>
                <w:lang w:val="en-US" w:eastAsia="zh-CN"/>
              </w:rPr>
              <w:t>用地面积</w:t>
            </w:r>
            <w:r>
              <w:rPr>
                <w:rFonts w:hint="eastAsia" w:ascii="Times New Roman" w:hAnsi="Times New Roman" w:cs="Times New Roman"/>
                <w:color w:val="auto"/>
                <w:sz w:val="24"/>
                <w:szCs w:val="32"/>
                <w:highlight w:val="none"/>
                <w:vertAlign w:val="baseline"/>
                <w:lang w:val="en-US" w:eastAsia="zh-CN"/>
              </w:rPr>
              <w:t>1046</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2</w:t>
            </w:r>
            <w:r>
              <w:rPr>
                <w:rFonts w:hint="default" w:ascii="Times New Roman" w:hAnsi="Times New Roman" w:cs="Times New Roman"/>
                <w:color w:val="auto"/>
                <w:sz w:val="24"/>
                <w:szCs w:val="32"/>
                <w:highlight w:val="none"/>
                <w:vertAlign w:val="baseline"/>
                <w:lang w:val="en-US" w:eastAsia="zh-CN"/>
              </w:rPr>
              <w:t>，为永久用地</w:t>
            </w:r>
            <w:r>
              <w:rPr>
                <w:rFonts w:hint="eastAsia" w:ascii="Times New Roman" w:hAnsi="Times New Roman" w:cs="Times New Roman"/>
                <w:color w:val="auto"/>
                <w:sz w:val="24"/>
                <w:szCs w:val="32"/>
                <w:highlight w:val="none"/>
                <w:vertAlign w:val="baseline"/>
                <w:lang w:val="en-US" w:eastAsia="zh-CN"/>
              </w:rPr>
              <w:t>；根据宣汉县自然资源局出具的《用地情况说明》可知，本项目用地符合宣汉县国土空间规划，目前正在办理完善用地手续。本次评价要求，建设单位取得用地手续后，方可施工建设。</w:t>
            </w:r>
          </w:p>
          <w:p w14:paraId="2481A2F4">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因此，本项目符合当地用地规划要求，用地合法。</w:t>
            </w:r>
          </w:p>
          <w:p w14:paraId="69546B31">
            <w:pPr>
              <w:keepNext w:val="0"/>
              <w:keepLines w:val="0"/>
              <w:pageBreakBefore w:val="0"/>
              <w:kinsoku/>
              <w:wordWrap/>
              <w:overflowPunct/>
              <w:topLinePunct w:val="0"/>
              <w:autoSpaceDE/>
              <w:autoSpaceDN/>
              <w:bidi w:val="0"/>
              <w:spacing w:line="360" w:lineRule="auto"/>
              <w:ind w:left="0" w:leftChars="0"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val="0"/>
                <w:color w:val="auto"/>
                <w:kern w:val="0"/>
                <w:sz w:val="24"/>
                <w:szCs w:val="24"/>
                <w:lang w:val="en-US" w:eastAsia="zh-CN" w:bidi="ar"/>
              </w:rPr>
              <w:t>生态环境分区管控</w:t>
            </w:r>
            <w:r>
              <w:rPr>
                <w:rFonts w:hint="eastAsia" w:ascii="Times New Roman" w:hAnsi="Times New Roman" w:eastAsia="宋体" w:cs="Times New Roman"/>
                <w:b/>
                <w:bCs w:val="0"/>
                <w:color w:val="auto"/>
                <w:kern w:val="0"/>
                <w:sz w:val="24"/>
                <w:szCs w:val="24"/>
                <w:lang w:val="en-US" w:eastAsia="zh-CN" w:bidi="ar"/>
              </w:rPr>
              <w:t>符合性</w:t>
            </w:r>
            <w:r>
              <w:rPr>
                <w:rFonts w:hint="default" w:ascii="Times New Roman" w:hAnsi="Times New Roman" w:eastAsia="宋体" w:cs="Times New Roman"/>
                <w:b/>
                <w:bCs w:val="0"/>
                <w:color w:val="auto"/>
                <w:kern w:val="0"/>
                <w:sz w:val="24"/>
                <w:szCs w:val="24"/>
                <w:lang w:val="en-US" w:eastAsia="zh-CN" w:bidi="ar"/>
              </w:rPr>
              <w:t>分析</w:t>
            </w:r>
          </w:p>
          <w:p w14:paraId="21F124AA">
            <w:pPr>
              <w:keepNext w:val="0"/>
              <w:keepLines w:val="0"/>
              <w:pageBreakBefore w:val="0"/>
              <w:widowControl w:val="0"/>
              <w:tabs>
                <w:tab w:val="left" w:pos="1327"/>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cs="Times New Roman"/>
                <w:b/>
                <w:bCs/>
                <w:color w:val="auto"/>
                <w:sz w:val="24"/>
                <w:szCs w:val="24"/>
              </w:rPr>
              <w:t>与《四川省人民政府关于落实生态保护红线、环境质量底线、资源利用上线制定生态环境准入清单实施生态环境分区管控的通知》（川府发〔2020〕9号）的符合性分析</w:t>
            </w:r>
          </w:p>
          <w:p w14:paraId="52326B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位于</w:t>
            </w:r>
            <w:r>
              <w:rPr>
                <w:rFonts w:hint="default" w:ascii="Times New Roman" w:hAnsi="Times New Roman" w:eastAsia="宋体" w:cs="Times New Roman"/>
                <w:color w:val="auto"/>
                <w:kern w:val="0"/>
                <w:sz w:val="24"/>
                <w:szCs w:val="24"/>
                <w:lang w:val="en-US" w:eastAsia="zh-CN" w:bidi="ar"/>
              </w:rPr>
              <w:t>达州市宣汉县，所在地属于川东北经济区，本项目涉及其中的</w:t>
            </w:r>
            <w:r>
              <w:rPr>
                <w:rFonts w:hint="default" w:ascii="Times New Roman" w:hAnsi="Times New Roman" w:eastAsia="宋体" w:cs="Times New Roman"/>
                <w:b w:val="0"/>
                <w:bCs w:val="0"/>
                <w:color w:val="auto"/>
                <w:sz w:val="24"/>
                <w:szCs w:val="24"/>
                <w:lang w:val="en-US" w:eastAsia="zh-CN"/>
              </w:rPr>
              <w:t>一般管控单元</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bidi="ar"/>
              </w:rPr>
              <w:t>本</w:t>
            </w:r>
            <w:r>
              <w:rPr>
                <w:rFonts w:hint="default" w:ascii="Times New Roman" w:hAnsi="Times New Roman"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与四川省生态环境分区管控情况相符性分析见下表。</w:t>
            </w:r>
          </w:p>
          <w:p w14:paraId="479A10CC">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b/>
                <w:bCs/>
                <w:color w:val="auto"/>
                <w:sz w:val="21"/>
                <w:szCs w:val="21"/>
                <w:vertAlign w:val="baseline"/>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1-</w:t>
            </w:r>
            <w:r>
              <w:rPr>
                <w:rFonts w:hint="eastAsia" w:ascii="Times New Roman" w:hAnsi="Times New Roman" w:eastAsia="黑体" w:cs="Times New Roman"/>
                <w:b w:val="0"/>
                <w:bCs w:val="0"/>
                <w:color w:val="auto"/>
                <w:sz w:val="21"/>
                <w:szCs w:val="21"/>
                <w:lang w:val="en-US" w:eastAsia="zh-CN"/>
              </w:rPr>
              <w:t>2</w:t>
            </w:r>
            <w:r>
              <w:rPr>
                <w:rFonts w:hint="default" w:ascii="Times New Roman" w:hAnsi="Times New Roman" w:eastAsia="黑体" w:cs="Times New Roman"/>
                <w:b w:val="0"/>
                <w:bCs w:val="0"/>
                <w:color w:val="auto"/>
                <w:sz w:val="21"/>
                <w:szCs w:val="21"/>
              </w:rPr>
              <w:t xml:space="preserve">   </w:t>
            </w:r>
            <w:r>
              <w:rPr>
                <w:rFonts w:hint="default" w:ascii="Times New Roman" w:hAnsi="Times New Roman" w:eastAsia="黑体" w:cs="Times New Roman"/>
                <w:b w:val="0"/>
                <w:bCs w:val="0"/>
                <w:color w:val="auto"/>
                <w:sz w:val="21"/>
                <w:szCs w:val="21"/>
                <w:lang w:val="en-US" w:eastAsia="zh-CN"/>
              </w:rPr>
              <w:t>项目</w:t>
            </w:r>
            <w:r>
              <w:rPr>
                <w:rFonts w:hint="default" w:ascii="Times New Roman" w:hAnsi="Times New Roman" w:eastAsia="黑体" w:cs="Times New Roman"/>
                <w:b w:val="0"/>
                <w:bCs w:val="0"/>
                <w:color w:val="auto"/>
                <w:sz w:val="21"/>
                <w:szCs w:val="21"/>
              </w:rPr>
              <w:t>与四川省生态环境分区管控</w:t>
            </w:r>
            <w:r>
              <w:rPr>
                <w:rFonts w:hint="default" w:ascii="Times New Roman" w:hAnsi="Times New Roman" w:eastAsia="黑体" w:cs="Times New Roman"/>
                <w:b w:val="0"/>
                <w:bCs w:val="0"/>
                <w:color w:val="auto"/>
                <w:sz w:val="21"/>
                <w:szCs w:val="21"/>
                <w:lang w:val="en-US" w:eastAsia="zh-CN"/>
              </w:rPr>
              <w:t>要求</w:t>
            </w:r>
            <w:r>
              <w:rPr>
                <w:rFonts w:hint="default" w:ascii="Times New Roman" w:hAnsi="Times New Roman" w:eastAsia="黑体" w:cs="Times New Roman"/>
                <w:b w:val="0"/>
                <w:bCs w:val="0"/>
                <w:color w:val="auto"/>
                <w:sz w:val="21"/>
                <w:szCs w:val="21"/>
              </w:rPr>
              <w:t>相符性分析</w:t>
            </w:r>
          </w:p>
          <w:tbl>
            <w:tblPr>
              <w:tblStyle w:val="26"/>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4946"/>
              <w:gridCol w:w="3013"/>
            </w:tblGrid>
            <w:tr w14:paraId="39A9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1BDB4D5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环境管控单元类型</w:t>
                  </w:r>
                </w:p>
              </w:tc>
              <w:tc>
                <w:tcPr>
                  <w:tcW w:w="4946" w:type="dxa"/>
                  <w:noWrap w:val="0"/>
                  <w:vAlign w:val="center"/>
                </w:tcPr>
                <w:p w14:paraId="45A0A55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总体管控要求</w:t>
                  </w:r>
                </w:p>
              </w:tc>
              <w:tc>
                <w:tcPr>
                  <w:tcW w:w="3013" w:type="dxa"/>
                  <w:noWrap w:val="0"/>
                  <w:vAlign w:val="center"/>
                </w:tcPr>
                <w:p w14:paraId="48F738C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本项目情况</w:t>
                  </w:r>
                </w:p>
              </w:tc>
            </w:tr>
            <w:tr w14:paraId="189F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35118C7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优先保护单元</w:t>
                  </w:r>
                </w:p>
              </w:tc>
              <w:tc>
                <w:tcPr>
                  <w:tcW w:w="4946" w:type="dxa"/>
                  <w:noWrap w:val="0"/>
                  <w:vAlign w:val="center"/>
                </w:tcPr>
                <w:p w14:paraId="235DF56A">
                  <w:pPr>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生态保护红线原则上按照禁止开发区域的要求进行管理，其中自然保护地核心保护区原则上禁止人为活动，其他区域严格禁止开发性、生产性建设活动，在符合现行法律法规前提下，除国家重大战略项目外，仅允许对生态功能不造成破坏的有限人为活动</w:t>
                  </w:r>
                  <w:r>
                    <w:rPr>
                      <w:rFonts w:hint="eastAsia" w:ascii="Times New Roman" w:hAnsi="Times New Roman" w:eastAsia="宋体" w:cs="Times New Roman"/>
                      <w:b w:val="0"/>
                      <w:bCs w:val="0"/>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一</w:t>
                  </w:r>
                  <w:r>
                    <w:rPr>
                      <w:rFonts w:hint="default" w:ascii="Times New Roman" w:hAnsi="Times New Roman" w:eastAsia="宋体" w:cs="Times New Roman"/>
                      <w:b w:val="0"/>
                      <w:bCs w:val="0"/>
                      <w:color w:val="auto"/>
                      <w:sz w:val="21"/>
                      <w:szCs w:val="21"/>
                    </w:rPr>
                    <w:t>般生态空间按限制开发区域的要求进行管理，原则上不再新建各类开发区和扩大现有工业园区面积，已有的工业开发区要逐步改造成为低能耗、可循环、“零污染”的生态型工业区，鼓励发展“飞地经济”。</w:t>
                  </w:r>
                </w:p>
              </w:tc>
              <w:tc>
                <w:tcPr>
                  <w:tcW w:w="3013" w:type="dxa"/>
                  <w:noWrap w:val="0"/>
                  <w:vAlign w:val="center"/>
                </w:tcPr>
                <w:p w14:paraId="5C545EB9">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r>
            <w:tr w14:paraId="5ABA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398007D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重点管控单元</w:t>
                  </w:r>
                </w:p>
              </w:tc>
              <w:tc>
                <w:tcPr>
                  <w:tcW w:w="4946" w:type="dxa"/>
                  <w:noWrap w:val="0"/>
                  <w:vAlign w:val="center"/>
                </w:tcPr>
                <w:p w14:paraId="7B5A2C55">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3013" w:type="dxa"/>
                  <w:noWrap w:val="0"/>
                  <w:vAlign w:val="center"/>
                </w:tcPr>
                <w:p w14:paraId="024FBDCC">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t>/</w:t>
                  </w:r>
                </w:p>
              </w:tc>
            </w:tr>
            <w:tr w14:paraId="407D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4150ED38">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一般管控单元</w:t>
                  </w:r>
                </w:p>
              </w:tc>
              <w:tc>
                <w:tcPr>
                  <w:tcW w:w="4946" w:type="dxa"/>
                  <w:noWrap w:val="0"/>
                  <w:vAlign w:val="center"/>
                </w:tcPr>
                <w:p w14:paraId="6367CEDF">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一般管控单元中，执行区域生态环境保护的基本要求，对其中的永久基本农田实施永久特殊保护，不得擅自占用或者改变用途；对其中要素重点管控区提出水和大气污染重点管控要求。</w:t>
                  </w:r>
                </w:p>
              </w:tc>
              <w:tc>
                <w:tcPr>
                  <w:tcW w:w="3013" w:type="dxa"/>
                  <w:noWrap w:val="0"/>
                  <w:vAlign w:val="center"/>
                </w:tcPr>
                <w:p w14:paraId="0360004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本项目不占用</w:t>
                  </w:r>
                  <w:r>
                    <w:rPr>
                      <w:rFonts w:hint="eastAsia" w:ascii="宋体" w:hAnsi="宋体" w:eastAsia="宋体" w:cs="宋体"/>
                      <w:color w:val="auto"/>
                      <w:kern w:val="0"/>
                      <w:sz w:val="21"/>
                      <w:szCs w:val="21"/>
                      <w:lang w:val="en-US" w:eastAsia="zh-CN" w:bidi="ar"/>
                    </w:rPr>
                    <w:t>永久基本农田</w:t>
                  </w:r>
                  <w:r>
                    <w:rPr>
                      <w:rFonts w:hint="eastAsia" w:ascii="Times New Roman" w:hAnsi="Times New Roman" w:eastAsia="宋体" w:cs="Times New Roman"/>
                      <w:color w:val="auto"/>
                      <w:kern w:val="0"/>
                      <w:sz w:val="21"/>
                      <w:szCs w:val="21"/>
                      <w:lang w:val="en-US" w:eastAsia="zh-CN" w:bidi="ar"/>
                    </w:rPr>
                    <w:t>。本次评价</w:t>
                  </w:r>
                  <w:r>
                    <w:rPr>
                      <w:rFonts w:hint="eastAsia" w:ascii="宋体" w:hAnsi="宋体" w:eastAsia="宋体" w:cs="宋体"/>
                      <w:color w:val="auto"/>
                      <w:kern w:val="0"/>
                      <w:sz w:val="21"/>
                      <w:szCs w:val="21"/>
                      <w:lang w:val="en-US" w:eastAsia="zh-CN" w:bidi="ar"/>
                    </w:rPr>
                    <w:t>提出水和大气污染重点管控要求。</w:t>
                  </w:r>
                </w:p>
              </w:tc>
            </w:tr>
            <w:tr w14:paraId="6C0F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2D8BBF8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川东北经济区</w:t>
                  </w:r>
                </w:p>
              </w:tc>
              <w:tc>
                <w:tcPr>
                  <w:tcW w:w="4946" w:type="dxa"/>
                  <w:noWrap w:val="0"/>
                  <w:vAlign w:val="center"/>
                </w:tcPr>
                <w:p w14:paraId="3BA9661E">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color w:val="auto"/>
                    </w:rPr>
                  </w:pPr>
                  <w:r>
                    <w:rPr>
                      <w:rFonts w:hint="eastAsia" w:ascii="宋体" w:hAnsi="宋体" w:eastAsia="宋体" w:cs="宋体"/>
                      <w:color w:val="auto"/>
                      <w:kern w:val="0"/>
                      <w:sz w:val="21"/>
                      <w:szCs w:val="21"/>
                      <w:lang w:val="en-US" w:eastAsia="zh-CN" w:bidi="ar"/>
                    </w:rPr>
                    <w:t xml:space="preserve">①控制农村面源污染，提高废水收集处理率，加快乡镇污水处理基础设施建设。 </w:t>
                  </w:r>
                </w:p>
                <w:p w14:paraId="4FF849EE">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color w:val="auto"/>
                    </w:rPr>
                  </w:pPr>
                  <w:r>
                    <w:rPr>
                      <w:rFonts w:hint="eastAsia" w:ascii="宋体" w:hAnsi="宋体" w:eastAsia="宋体" w:cs="宋体"/>
                      <w:color w:val="auto"/>
                      <w:kern w:val="0"/>
                      <w:sz w:val="21"/>
                      <w:szCs w:val="21"/>
                      <w:lang w:val="en-US" w:eastAsia="zh-CN" w:bidi="ar"/>
                    </w:rPr>
                    <w:t xml:space="preserve">②建设流域水环境风险联防联控体系。 </w:t>
                  </w:r>
                </w:p>
                <w:p w14:paraId="1BB7715D">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③提高大气污染治理水平。</w:t>
                  </w:r>
                </w:p>
              </w:tc>
              <w:tc>
                <w:tcPr>
                  <w:tcW w:w="3013" w:type="dxa"/>
                  <w:noWrap w:val="0"/>
                  <w:vAlign w:val="center"/>
                </w:tcPr>
                <w:p w14:paraId="55C5B161">
                  <w:pPr>
                    <w:pStyle w:val="10"/>
                    <w:jc w:val="center"/>
                    <w:rPr>
                      <w:rFonts w:hint="eastAsia" w:ascii="Times New Roman" w:hAnsi="Times New Roman" w:eastAsia="宋体" w:cs="Times New Roman"/>
                      <w:color w:val="auto"/>
                      <w:kern w:val="2"/>
                      <w:sz w:val="21"/>
                      <w:szCs w:val="21"/>
                      <w:lang w:val="en-US" w:eastAsia="zh-CN" w:bidi="ar-SA"/>
                    </w:rPr>
                  </w:pPr>
                  <w:r>
                    <w:rPr>
                      <w:rFonts w:hint="eastAsia" w:cs="Times New Roman"/>
                      <w:iCs/>
                      <w:snapToGrid w:val="0"/>
                      <w:color w:val="auto"/>
                      <w:kern w:val="0"/>
                      <w:sz w:val="21"/>
                      <w:szCs w:val="21"/>
                      <w:highlight w:val="none"/>
                      <w:lang w:val="en-US" w:eastAsia="zh-CN"/>
                    </w:rPr>
                    <w:t>本项目在施工期和运营期将严格执行相关规定和要求，落实有关大气污染防治措施，确保废气达标排放。</w:t>
                  </w:r>
                  <w:r>
                    <w:rPr>
                      <w:rFonts w:hint="eastAsia"/>
                      <w:color w:val="auto"/>
                      <w:sz w:val="21"/>
                      <w:szCs w:val="21"/>
                    </w:rPr>
                    <w:t>符合四川省生态环境分区管控中对川东北经济区总体生态管控要求。</w:t>
                  </w:r>
                </w:p>
              </w:tc>
            </w:tr>
          </w:tbl>
          <w:p w14:paraId="48AAA685">
            <w:pPr>
              <w:pStyle w:val="17"/>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2）与《达州市人民政府办公室关于加强生态环境分区管控的通知》（达市府办函</w:t>
            </w:r>
            <w:r>
              <w:rPr>
                <w:rFonts w:hint="default" w:ascii="Times New Roman" w:hAnsi="Times New Roman" w:eastAsia="宋体" w:cs="Times New Roman"/>
                <w:b/>
                <w:bCs/>
                <w:color w:val="auto"/>
                <w:sz w:val="24"/>
                <w:szCs w:val="24"/>
              </w:rPr>
              <w:t>〔202</w:t>
            </w: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val="en-US" w:eastAsia="zh-CN"/>
              </w:rPr>
              <w:t>31</w:t>
            </w:r>
            <w:r>
              <w:rPr>
                <w:rFonts w:hint="default" w:ascii="Times New Roman" w:hAnsi="Times New Roman" w:eastAsia="宋体" w:cs="Times New Roman"/>
                <w:b/>
                <w:bCs/>
                <w:color w:val="auto"/>
                <w:sz w:val="24"/>
                <w:szCs w:val="24"/>
              </w:rPr>
              <w:t>号</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eastAsia="zh-CN"/>
              </w:rPr>
              <w:t>的</w:t>
            </w:r>
            <w:r>
              <w:rPr>
                <w:rFonts w:hint="default" w:ascii="Times New Roman" w:hAnsi="Times New Roman" w:eastAsia="宋体" w:cs="Times New Roman"/>
                <w:b/>
                <w:bCs/>
                <w:color w:val="auto"/>
                <w:sz w:val="24"/>
                <w:szCs w:val="24"/>
              </w:rPr>
              <w:t>符合性</w:t>
            </w:r>
            <w:r>
              <w:rPr>
                <w:rFonts w:hint="default" w:ascii="Times New Roman" w:hAnsi="Times New Roman" w:eastAsia="宋体" w:cs="Times New Roman"/>
                <w:b/>
                <w:bCs/>
                <w:color w:val="auto"/>
                <w:sz w:val="24"/>
                <w:szCs w:val="24"/>
                <w:lang w:val="en-US" w:eastAsia="zh-CN"/>
              </w:rPr>
              <w:t>分析</w:t>
            </w:r>
          </w:p>
          <w:p w14:paraId="013AFC73">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黑体" w:cs="Times New Roman"/>
                <w:b w:val="0"/>
                <w:bCs w:val="0"/>
                <w:color w:val="auto"/>
                <w:sz w:val="24"/>
                <w:szCs w:val="24"/>
              </w:rPr>
            </w:pPr>
            <w:r>
              <w:rPr>
                <w:rFonts w:hint="default" w:ascii="Times New Roman" w:hAnsi="Times New Roman" w:eastAsia="宋体" w:cs="Times New Roman"/>
                <w:b w:val="0"/>
                <w:bCs w:val="0"/>
                <w:color w:val="auto"/>
                <w:sz w:val="24"/>
                <w:szCs w:val="24"/>
                <w:lang w:val="en-US" w:eastAsia="zh-CN"/>
              </w:rPr>
              <w:t>为贯彻落实《中共中央办公厅</w:t>
            </w:r>
            <w:r>
              <w:rPr>
                <w:rFonts w:hint="eastAsia" w:ascii="Times New Roman" w:hAnsi="Times New Roman" w:eastAsia="宋体" w:cs="Times New Roman"/>
                <w:b w:val="0"/>
                <w:bCs w:val="0"/>
                <w:color w:val="auto"/>
                <w:sz w:val="24"/>
                <w:szCs w:val="24"/>
                <w:lang w:val="en-US" w:eastAsia="zh-CN"/>
              </w:rPr>
              <w:t xml:space="preserve"> </w:t>
            </w:r>
            <w:r>
              <w:rPr>
                <w:rFonts w:hint="default" w:ascii="Times New Roman" w:hAnsi="Times New Roman" w:eastAsia="宋体" w:cs="Times New Roman"/>
                <w:b w:val="0"/>
                <w:bCs w:val="0"/>
                <w:color w:val="auto"/>
                <w:sz w:val="24"/>
                <w:szCs w:val="24"/>
                <w:lang w:val="en-US" w:eastAsia="zh-CN"/>
              </w:rPr>
              <w:t>国务院办公厅关于加强生态环境分区管控的意见》《四川省生态环境保护委员会办公室关于印发〈2023年生态环境分区管控成果动态更新工作方案〉的通知》（川环委办〔2023</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b w:val="0"/>
                <w:bCs w:val="0"/>
                <w:color w:val="auto"/>
                <w:sz w:val="24"/>
                <w:szCs w:val="24"/>
                <w:lang w:val="en-US" w:eastAsia="zh-CN"/>
              </w:rPr>
              <w:t>11号）要求，充分衔接《达州市国土空间总体规划（2021—2035年）》最新成果，动态更新我市生态环境分区管控要求，以高水平保护助推经济高质量发展。加强生态环境分区管控有关要求如下。</w:t>
            </w:r>
          </w:p>
          <w:p w14:paraId="3EDAA2C1">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b/>
                <w:bCs/>
                <w:color w:val="auto"/>
                <w:sz w:val="21"/>
                <w:szCs w:val="21"/>
                <w:vertAlign w:val="baseline"/>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1-</w:t>
            </w:r>
            <w:r>
              <w:rPr>
                <w:rFonts w:hint="eastAsia" w:ascii="Times New Roman" w:hAnsi="Times New Roman" w:eastAsia="黑体" w:cs="Times New Roman"/>
                <w:b w:val="0"/>
                <w:bCs w:val="0"/>
                <w:color w:val="auto"/>
                <w:sz w:val="21"/>
                <w:szCs w:val="21"/>
                <w:lang w:val="en-US" w:eastAsia="zh-CN"/>
              </w:rPr>
              <w:t>3</w:t>
            </w:r>
            <w:r>
              <w:rPr>
                <w:rFonts w:hint="default" w:ascii="Times New Roman" w:hAnsi="Times New Roman" w:eastAsia="黑体" w:cs="Times New Roman"/>
                <w:b w:val="0"/>
                <w:bCs w:val="0"/>
                <w:color w:val="auto"/>
                <w:sz w:val="21"/>
                <w:szCs w:val="21"/>
              </w:rPr>
              <w:t xml:space="preserve">   </w:t>
            </w:r>
            <w:r>
              <w:rPr>
                <w:rFonts w:hint="default" w:ascii="Times New Roman" w:hAnsi="Times New Roman" w:eastAsia="黑体" w:cs="Times New Roman"/>
                <w:b w:val="0"/>
                <w:bCs w:val="0"/>
                <w:color w:val="auto"/>
                <w:sz w:val="21"/>
                <w:szCs w:val="21"/>
                <w:lang w:val="en-US" w:eastAsia="zh-CN"/>
              </w:rPr>
              <w:t>项目</w:t>
            </w:r>
            <w:r>
              <w:rPr>
                <w:rFonts w:hint="default" w:ascii="Times New Roman" w:hAnsi="Times New Roman" w:eastAsia="黑体" w:cs="Times New Roman"/>
                <w:b w:val="0"/>
                <w:bCs w:val="0"/>
                <w:color w:val="auto"/>
                <w:sz w:val="21"/>
                <w:szCs w:val="21"/>
              </w:rPr>
              <w:t>与</w:t>
            </w:r>
            <w:r>
              <w:rPr>
                <w:rFonts w:hint="eastAsia" w:ascii="Times New Roman" w:hAnsi="Times New Roman" w:eastAsia="黑体" w:cs="Times New Roman"/>
                <w:b w:val="0"/>
                <w:bCs w:val="0"/>
                <w:color w:val="auto"/>
                <w:sz w:val="21"/>
                <w:szCs w:val="21"/>
                <w:lang w:val="en-US" w:eastAsia="zh-CN"/>
              </w:rPr>
              <w:t>达州市</w:t>
            </w:r>
            <w:r>
              <w:rPr>
                <w:rFonts w:hint="default" w:ascii="Times New Roman" w:hAnsi="Times New Roman" w:eastAsia="黑体" w:cs="Times New Roman"/>
                <w:b w:val="0"/>
                <w:bCs w:val="0"/>
                <w:color w:val="auto"/>
                <w:sz w:val="21"/>
                <w:szCs w:val="21"/>
              </w:rPr>
              <w:t>生态环境管控</w:t>
            </w:r>
            <w:r>
              <w:rPr>
                <w:rFonts w:hint="default" w:ascii="Times New Roman" w:hAnsi="Times New Roman" w:eastAsia="黑体" w:cs="Times New Roman"/>
                <w:b w:val="0"/>
                <w:bCs w:val="0"/>
                <w:color w:val="auto"/>
                <w:sz w:val="21"/>
                <w:szCs w:val="21"/>
                <w:lang w:val="en-US" w:eastAsia="zh-CN"/>
              </w:rPr>
              <w:t>要求</w:t>
            </w:r>
            <w:r>
              <w:rPr>
                <w:rFonts w:hint="default" w:ascii="Times New Roman" w:hAnsi="Times New Roman" w:eastAsia="黑体" w:cs="Times New Roman"/>
                <w:b w:val="0"/>
                <w:bCs w:val="0"/>
                <w:color w:val="auto"/>
                <w:sz w:val="21"/>
                <w:szCs w:val="21"/>
              </w:rPr>
              <w:t>相符性分析</w:t>
            </w:r>
          </w:p>
          <w:tbl>
            <w:tblPr>
              <w:tblStyle w:val="26"/>
              <w:tblW w:w="9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5531"/>
              <w:gridCol w:w="2428"/>
            </w:tblGrid>
            <w:tr w14:paraId="4FE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740AFC05">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环境管控单元类型</w:t>
                  </w:r>
                </w:p>
              </w:tc>
              <w:tc>
                <w:tcPr>
                  <w:tcW w:w="5531" w:type="dxa"/>
                  <w:noWrap w:val="0"/>
                  <w:vAlign w:val="center"/>
                </w:tcPr>
                <w:p w14:paraId="0090063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总体管控要求</w:t>
                  </w:r>
                </w:p>
              </w:tc>
              <w:tc>
                <w:tcPr>
                  <w:tcW w:w="2428" w:type="dxa"/>
                  <w:noWrap w:val="0"/>
                  <w:vAlign w:val="center"/>
                </w:tcPr>
                <w:p w14:paraId="0191ADDF">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本项目情况</w:t>
                  </w:r>
                </w:p>
              </w:tc>
            </w:tr>
            <w:tr w14:paraId="171E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20BC7F9B">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优先保护单元</w:t>
                  </w:r>
                </w:p>
              </w:tc>
              <w:tc>
                <w:tcPr>
                  <w:tcW w:w="5531" w:type="dxa"/>
                  <w:noWrap w:val="0"/>
                  <w:vAlign w:val="center"/>
                </w:tcPr>
                <w:p w14:paraId="2F834380">
                  <w:pPr>
                    <w:keepNext w:val="0"/>
                    <w:keepLines w:val="0"/>
                    <w:pageBreakBefore w:val="0"/>
                    <w:widowControl/>
                    <w:kinsoku/>
                    <w:wordWrap/>
                    <w:overflowPunct/>
                    <w:topLinePunct w:val="0"/>
                    <w:autoSpaceDE/>
                    <w:autoSpaceDN/>
                    <w:bidi w:val="0"/>
                    <w:adjustRightInd w:val="0"/>
                    <w:snapToGrid w:val="0"/>
                    <w:ind w:left="0" w:leftChars="0" w:right="0" w:rightChars="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rPr>
                    <w:t>优先保护单元中，应以生态环境保护优先为原则</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严格执行相关法律、法规要求，严守生态环境质量底线，确保生态环境功能不降低。</w:t>
                  </w:r>
                </w:p>
              </w:tc>
              <w:tc>
                <w:tcPr>
                  <w:tcW w:w="2428" w:type="dxa"/>
                  <w:noWrap w:val="0"/>
                  <w:vAlign w:val="center"/>
                </w:tcPr>
                <w:p w14:paraId="500A9ECE">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w:t>
                  </w:r>
                </w:p>
              </w:tc>
            </w:tr>
            <w:tr w14:paraId="496F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3FF2C9B2">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重点管控单元</w:t>
                  </w:r>
                </w:p>
              </w:tc>
              <w:tc>
                <w:tcPr>
                  <w:tcW w:w="5531" w:type="dxa"/>
                  <w:noWrap w:val="0"/>
                  <w:vAlign w:val="center"/>
                </w:tcPr>
                <w:p w14:paraId="003C3B46">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2428" w:type="dxa"/>
                  <w:noWrap w:val="0"/>
                  <w:vAlign w:val="center"/>
                </w:tcPr>
                <w:p w14:paraId="57658361">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pPr>
                  <w:r>
                    <w:rPr>
                      <w:rFonts w:hint="eastAsia"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t>/</w:t>
                  </w:r>
                </w:p>
              </w:tc>
            </w:tr>
            <w:tr w14:paraId="7C5E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4" w:type="dxa"/>
                  <w:noWrap w:val="0"/>
                  <w:vAlign w:val="center"/>
                </w:tcPr>
                <w:p w14:paraId="2FABF0C7">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一般管控单元</w:t>
                  </w:r>
                </w:p>
              </w:tc>
              <w:tc>
                <w:tcPr>
                  <w:tcW w:w="5531" w:type="dxa"/>
                  <w:noWrap w:val="0"/>
                  <w:vAlign w:val="center"/>
                </w:tcPr>
                <w:p w14:paraId="5D43E8A8">
                  <w:pPr>
                    <w:keepNext w:val="0"/>
                    <w:keepLines w:val="0"/>
                    <w:pageBreakBefore w:val="0"/>
                    <w:widowControl/>
                    <w:suppressLineNumbers w:val="0"/>
                    <w:kinsoku/>
                    <w:wordWrap/>
                    <w:overflowPunct/>
                    <w:topLinePunct w:val="0"/>
                    <w:autoSpaceDE/>
                    <w:autoSpaceDN/>
                    <w:bidi w:val="0"/>
                    <w:ind w:left="0" w:leftChars="0" w:right="0" w:right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0"/>
                      <w:sz w:val="21"/>
                      <w:szCs w:val="21"/>
                      <w:lang w:val="en-US" w:eastAsia="zh-CN" w:bidi="ar"/>
                    </w:rPr>
                    <w:t>一般管控单元中，执行区域生态环境保护的基本要求，重点加强农业、生活等领域污染治理。</w:t>
                  </w:r>
                </w:p>
              </w:tc>
              <w:tc>
                <w:tcPr>
                  <w:tcW w:w="2428" w:type="dxa"/>
                  <w:noWrap w:val="0"/>
                  <w:vAlign w:val="center"/>
                </w:tcPr>
                <w:p w14:paraId="6CF1D59D">
                  <w:pPr>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i w:val="0"/>
                      <w:iCs w:val="0"/>
                      <w:caps w:val="0"/>
                      <w:color w:val="auto"/>
                      <w:spacing w:val="0"/>
                      <w:kern w:val="2"/>
                      <w:sz w:val="21"/>
                      <w:szCs w:val="21"/>
                      <w:shd w:val="clear" w:color="auto" w:fill="FFFFFF"/>
                      <w:lang w:val="en-US" w:eastAsia="zh-CN" w:bidi="ar-SA"/>
                    </w:rPr>
                    <w:t>本项目</w:t>
                  </w:r>
                  <w:r>
                    <w:rPr>
                      <w:rFonts w:hint="default" w:ascii="Times New Roman" w:hAnsi="Times New Roman" w:eastAsia="宋体" w:cs="Times New Roman"/>
                      <w:color w:val="auto"/>
                      <w:sz w:val="21"/>
                      <w:szCs w:val="21"/>
                      <w:highlight w:val="none"/>
                      <w:lang w:val="en-US" w:eastAsia="zh-CN"/>
                    </w:rPr>
                    <w:t>生活污水</w:t>
                  </w:r>
                  <w:r>
                    <w:rPr>
                      <w:rFonts w:hint="eastAsia" w:ascii="Times New Roman" w:hAnsi="Times New Roman" w:eastAsia="宋体" w:cs="Times New Roman"/>
                      <w:color w:val="auto"/>
                      <w:sz w:val="21"/>
                      <w:szCs w:val="21"/>
                      <w:highlight w:val="none"/>
                      <w:lang w:val="en-US" w:eastAsia="zh-CN"/>
                    </w:rPr>
                    <w:t>经化粪池处理后</w:t>
                  </w:r>
                  <w:r>
                    <w:rPr>
                      <w:rFonts w:hint="default" w:ascii="Times New Roman" w:hAnsi="Times New Roman" w:cs="Times New Roman"/>
                      <w:color w:val="auto"/>
                      <w:sz w:val="21"/>
                      <w:szCs w:val="21"/>
                      <w:highlight w:val="none"/>
                      <w:lang w:val="en-US" w:eastAsia="zh-CN"/>
                    </w:rPr>
                    <w:t>用于农肥</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不外排</w:t>
                  </w:r>
                </w:p>
              </w:tc>
            </w:tr>
          </w:tbl>
          <w:p w14:paraId="3435B610">
            <w:pPr>
              <w:pStyle w:val="17"/>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0" w:firstLineChars="0"/>
              <w:jc w:val="center"/>
              <w:textAlignment w:val="auto"/>
              <w:rPr>
                <w:rFonts w:hint="default" w:ascii="Times New Roman" w:hAnsi="Times New Roman" w:eastAsia="黑体" w:cs="Times New Roman"/>
                <w:b w:val="0"/>
                <w:bCs w:val="0"/>
                <w:color w:val="auto"/>
                <w:kern w:val="2"/>
                <w:sz w:val="21"/>
                <w:szCs w:val="21"/>
                <w:lang w:val="en-US" w:eastAsia="zh-CN" w:bidi="ar-SA"/>
              </w:rPr>
            </w:pPr>
            <w:r>
              <w:rPr>
                <w:rFonts w:hint="default" w:ascii="Times New Roman" w:hAnsi="Times New Roman" w:eastAsia="黑体" w:cs="Times New Roman"/>
                <w:b w:val="0"/>
                <w:bCs w:val="0"/>
                <w:color w:val="auto"/>
                <w:kern w:val="2"/>
                <w:sz w:val="21"/>
                <w:szCs w:val="21"/>
                <w:lang w:val="en-US" w:eastAsia="zh-CN" w:bidi="ar-SA"/>
              </w:rPr>
              <w:t>表</w:t>
            </w:r>
            <w:r>
              <w:rPr>
                <w:rFonts w:hint="eastAsia" w:ascii="Times New Roman" w:hAnsi="Times New Roman" w:eastAsia="黑体" w:cs="Times New Roman"/>
                <w:b w:val="0"/>
                <w:bCs w:val="0"/>
                <w:color w:val="auto"/>
                <w:kern w:val="2"/>
                <w:sz w:val="21"/>
                <w:szCs w:val="21"/>
                <w:lang w:val="en-US" w:eastAsia="zh-CN" w:bidi="ar-SA"/>
              </w:rPr>
              <w:t>1-4</w:t>
            </w:r>
            <w:r>
              <w:rPr>
                <w:rFonts w:hint="default" w:ascii="Times New Roman" w:hAnsi="Times New Roman" w:eastAsia="黑体" w:cs="Times New Roman"/>
                <w:b w:val="0"/>
                <w:bCs w:val="0"/>
                <w:color w:val="auto"/>
                <w:kern w:val="2"/>
                <w:sz w:val="21"/>
                <w:szCs w:val="21"/>
                <w:lang w:val="en-US" w:eastAsia="zh-CN" w:bidi="ar-SA"/>
              </w:rPr>
              <w:t xml:space="preserve">   </w:t>
            </w:r>
            <w:r>
              <w:rPr>
                <w:rFonts w:hint="eastAsia" w:ascii="Times New Roman" w:hAnsi="Times New Roman" w:eastAsia="黑体" w:cs="Times New Roman"/>
                <w:b w:val="0"/>
                <w:bCs w:val="0"/>
                <w:color w:val="auto"/>
                <w:kern w:val="2"/>
                <w:sz w:val="21"/>
                <w:szCs w:val="21"/>
                <w:lang w:val="en-US" w:eastAsia="zh-CN" w:bidi="ar-SA"/>
              </w:rPr>
              <w:t>项目</w:t>
            </w:r>
            <w:r>
              <w:rPr>
                <w:rFonts w:hint="default" w:ascii="Times New Roman" w:hAnsi="Times New Roman" w:eastAsia="黑体" w:cs="Times New Roman"/>
                <w:b w:val="0"/>
                <w:bCs w:val="0"/>
                <w:color w:val="auto"/>
                <w:kern w:val="2"/>
                <w:sz w:val="21"/>
                <w:szCs w:val="21"/>
                <w:lang w:val="en-US" w:eastAsia="zh-CN" w:bidi="ar-SA"/>
              </w:rPr>
              <w:t>与达州市及</w:t>
            </w:r>
            <w:r>
              <w:rPr>
                <w:rFonts w:hint="eastAsia" w:ascii="Times New Roman" w:hAnsi="Times New Roman" w:eastAsia="黑体" w:cs="Times New Roman"/>
                <w:b w:val="0"/>
                <w:bCs w:val="0"/>
                <w:color w:val="auto"/>
                <w:kern w:val="2"/>
                <w:sz w:val="21"/>
                <w:szCs w:val="21"/>
                <w:lang w:val="en-US" w:eastAsia="zh-CN" w:bidi="ar-SA"/>
              </w:rPr>
              <w:t>宣汉县总体生态环境</w:t>
            </w:r>
            <w:r>
              <w:rPr>
                <w:rFonts w:hint="default" w:ascii="Times New Roman" w:hAnsi="Times New Roman" w:eastAsia="黑体" w:cs="Times New Roman"/>
                <w:b w:val="0"/>
                <w:bCs w:val="0"/>
                <w:color w:val="auto"/>
                <w:kern w:val="2"/>
                <w:sz w:val="21"/>
                <w:szCs w:val="21"/>
                <w:lang w:val="en-US" w:eastAsia="zh-CN" w:bidi="ar-SA"/>
              </w:rPr>
              <w:t>管控要求符</w:t>
            </w:r>
            <w:r>
              <w:rPr>
                <w:rFonts w:hint="eastAsia" w:eastAsia="黑体" w:cs="Times New Roman"/>
                <w:b w:val="0"/>
                <w:bCs w:val="0"/>
                <w:color w:val="auto"/>
                <w:kern w:val="2"/>
                <w:sz w:val="21"/>
                <w:szCs w:val="21"/>
                <w:lang w:val="en-US" w:eastAsia="zh-CN" w:bidi="ar-SA"/>
              </w:rPr>
              <w:t>合</w:t>
            </w:r>
            <w:r>
              <w:rPr>
                <w:rFonts w:hint="default" w:ascii="Times New Roman" w:hAnsi="Times New Roman" w:eastAsia="黑体" w:cs="Times New Roman"/>
                <w:b w:val="0"/>
                <w:bCs w:val="0"/>
                <w:color w:val="auto"/>
                <w:kern w:val="2"/>
                <w:sz w:val="21"/>
                <w:szCs w:val="21"/>
                <w:lang w:val="en-US" w:eastAsia="zh-CN" w:bidi="ar-SA"/>
              </w:rPr>
              <w:t>性分析</w:t>
            </w:r>
          </w:p>
          <w:tbl>
            <w:tblPr>
              <w:tblStyle w:val="26"/>
              <w:tblW w:w="902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6"/>
              <w:gridCol w:w="5016"/>
              <w:gridCol w:w="2673"/>
              <w:gridCol w:w="681"/>
            </w:tblGrid>
            <w:tr w14:paraId="6D0575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tcBorders>
                    <w:tl2br w:val="nil"/>
                    <w:tr2bl w:val="nil"/>
                  </w:tcBorders>
                  <w:noWrap w:val="0"/>
                  <w:vAlign w:val="center"/>
                </w:tcPr>
                <w:p w14:paraId="0D61FAA2">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行政区划</w:t>
                  </w:r>
                </w:p>
              </w:tc>
              <w:tc>
                <w:tcPr>
                  <w:tcW w:w="5016" w:type="dxa"/>
                  <w:tcBorders>
                    <w:tl2br w:val="nil"/>
                    <w:tr2bl w:val="nil"/>
                  </w:tcBorders>
                  <w:noWrap w:val="0"/>
                  <w:vAlign w:val="center"/>
                </w:tcPr>
                <w:p w14:paraId="5E021BBA">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总体生态管控要求</w:t>
                  </w:r>
                </w:p>
              </w:tc>
              <w:tc>
                <w:tcPr>
                  <w:tcW w:w="2673" w:type="dxa"/>
                  <w:tcBorders>
                    <w:tl2br w:val="nil"/>
                    <w:tr2bl w:val="nil"/>
                  </w:tcBorders>
                  <w:noWrap w:val="0"/>
                  <w:vAlign w:val="center"/>
                </w:tcPr>
                <w:p w14:paraId="5F94725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p>
              </w:tc>
              <w:tc>
                <w:tcPr>
                  <w:tcW w:w="681" w:type="dxa"/>
                  <w:tcBorders>
                    <w:tl2br w:val="nil"/>
                    <w:tr2bl w:val="nil"/>
                  </w:tcBorders>
                  <w:noWrap w:val="0"/>
                  <w:vAlign w:val="center"/>
                </w:tcPr>
                <w:p w14:paraId="78E39027">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符合性</w:t>
                  </w:r>
                </w:p>
              </w:tc>
            </w:tr>
            <w:tr w14:paraId="21AD4F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restart"/>
                  <w:tcBorders>
                    <w:tl2br w:val="nil"/>
                    <w:tr2bl w:val="nil"/>
                  </w:tcBorders>
                  <w:noWrap w:val="0"/>
                  <w:vAlign w:val="center"/>
                </w:tcPr>
                <w:p w14:paraId="15960DD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达州市</w:t>
                  </w:r>
                </w:p>
              </w:tc>
              <w:tc>
                <w:tcPr>
                  <w:tcW w:w="5016" w:type="dxa"/>
                  <w:tcBorders>
                    <w:tl2br w:val="nil"/>
                    <w:tr2bl w:val="nil"/>
                  </w:tcBorders>
                  <w:noWrap w:val="0"/>
                  <w:vAlign w:val="center"/>
                </w:tcPr>
                <w:p w14:paraId="5EC9CDA7">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1、长江干支流岸线1千米范围内，不得新建、扩建化工园区和化工项目。</w:t>
                  </w:r>
                </w:p>
              </w:tc>
              <w:tc>
                <w:tcPr>
                  <w:tcW w:w="2673" w:type="dxa"/>
                  <w:tcBorders>
                    <w:tl2br w:val="nil"/>
                    <w:tr2bl w:val="nil"/>
                  </w:tcBorders>
                  <w:noWrap w:val="0"/>
                  <w:vAlign w:val="center"/>
                </w:tcPr>
                <w:p w14:paraId="1DD2422A">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不涉及</w:t>
                  </w:r>
                </w:p>
              </w:tc>
              <w:tc>
                <w:tcPr>
                  <w:tcW w:w="681" w:type="dxa"/>
                  <w:tcBorders>
                    <w:tl2br w:val="nil"/>
                    <w:tr2bl w:val="nil"/>
                  </w:tcBorders>
                  <w:noWrap w:val="0"/>
                  <w:vAlign w:val="center"/>
                </w:tcPr>
                <w:p w14:paraId="7D78994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20D2AD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3AED6A5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4E0EAE60">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2、严控产业转移环境准入。</w:t>
                  </w:r>
                </w:p>
              </w:tc>
              <w:tc>
                <w:tcPr>
                  <w:tcW w:w="2673" w:type="dxa"/>
                  <w:tcBorders>
                    <w:tl2br w:val="nil"/>
                    <w:tr2bl w:val="nil"/>
                  </w:tcBorders>
                  <w:noWrap w:val="0"/>
                  <w:vAlign w:val="center"/>
                </w:tcPr>
                <w:p w14:paraId="62548C99">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不涉及</w:t>
                  </w:r>
                </w:p>
              </w:tc>
              <w:tc>
                <w:tcPr>
                  <w:tcW w:w="681" w:type="dxa"/>
                  <w:tcBorders>
                    <w:tl2br w:val="nil"/>
                    <w:tr2bl w:val="nil"/>
                  </w:tcBorders>
                  <w:noWrap w:val="0"/>
                  <w:vAlign w:val="center"/>
                </w:tcPr>
                <w:p w14:paraId="730E50DF">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5584D4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6598BB80">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389717F7">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3、引进项目应符合园区规划环评和区域产业准入清单要求。</w:t>
                  </w:r>
                </w:p>
              </w:tc>
              <w:tc>
                <w:tcPr>
                  <w:tcW w:w="2673" w:type="dxa"/>
                  <w:tcBorders>
                    <w:tl2br w:val="nil"/>
                    <w:tr2bl w:val="nil"/>
                  </w:tcBorders>
                  <w:noWrap w:val="0"/>
                  <w:vAlign w:val="center"/>
                </w:tcPr>
                <w:p w14:paraId="1FB0B5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本项目为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default" w:ascii="Times New Roman" w:hAnsi="Times New Roman" w:eastAsia="宋体" w:cs="Times New Roman"/>
                      <w:b w:val="0"/>
                      <w:bCs w:val="0"/>
                      <w:color w:val="auto"/>
                      <w:sz w:val="21"/>
                      <w:szCs w:val="21"/>
                      <w:lang w:val="en-US" w:eastAsia="zh-CN"/>
                    </w:rPr>
                    <w:t>符合</w:t>
                  </w:r>
                  <w:r>
                    <w:rPr>
                      <w:rFonts w:hint="default" w:ascii="Times New Roman" w:hAnsi="Times New Roman" w:eastAsia="宋体" w:cs="Times New Roman"/>
                      <w:color w:val="auto"/>
                      <w:sz w:val="21"/>
                      <w:szCs w:val="21"/>
                      <w:vertAlign w:val="baseline"/>
                      <w:lang w:val="en-US" w:eastAsia="zh-CN"/>
                    </w:rPr>
                    <w:t>区域产业准入清单要求</w:t>
                  </w:r>
                </w:p>
              </w:tc>
              <w:tc>
                <w:tcPr>
                  <w:tcW w:w="681" w:type="dxa"/>
                  <w:tcBorders>
                    <w:tl2br w:val="nil"/>
                    <w:tr2bl w:val="nil"/>
                  </w:tcBorders>
                  <w:noWrap w:val="0"/>
                  <w:vAlign w:val="center"/>
                </w:tcPr>
                <w:p w14:paraId="53CC324B">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符合</w:t>
                  </w:r>
                </w:p>
              </w:tc>
            </w:tr>
            <w:tr w14:paraId="41ED24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54CD722C">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494FF6C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4、造纸等产业污染治理和环境管理应达到国内先进水平。优化制浆造纸产业布局，提升行业清洁生产水平，推动制浆造纸工业向节能、环保、绿色方向发展。</w:t>
                  </w:r>
                </w:p>
              </w:tc>
              <w:tc>
                <w:tcPr>
                  <w:tcW w:w="2673" w:type="dxa"/>
                  <w:tcBorders>
                    <w:tl2br w:val="nil"/>
                    <w:tr2bl w:val="nil"/>
                  </w:tcBorders>
                  <w:noWrap w:val="0"/>
                  <w:vAlign w:val="center"/>
                </w:tcPr>
                <w:p w14:paraId="09CB78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不涉及</w:t>
                  </w:r>
                </w:p>
              </w:tc>
              <w:tc>
                <w:tcPr>
                  <w:tcW w:w="681" w:type="dxa"/>
                  <w:tcBorders>
                    <w:tl2br w:val="nil"/>
                    <w:tr2bl w:val="nil"/>
                  </w:tcBorders>
                  <w:noWrap w:val="0"/>
                  <w:vAlign w:val="center"/>
                </w:tcPr>
                <w:p w14:paraId="058B604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w:t>
                  </w:r>
                </w:p>
              </w:tc>
            </w:tr>
            <w:tr w14:paraId="64B39F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782758D1">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0F64C7B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5、深化成都平原、川南、川东北地区大气污染联防联控工作机制，加强川渝地区联防联控。强化重污染天气区域应急联动机制，深化区域重污染天气联合应对。</w:t>
                  </w:r>
                </w:p>
              </w:tc>
              <w:tc>
                <w:tcPr>
                  <w:tcW w:w="2673" w:type="dxa"/>
                  <w:tcBorders>
                    <w:tl2br w:val="nil"/>
                    <w:tr2bl w:val="nil"/>
                  </w:tcBorders>
                  <w:noWrap w:val="0"/>
                  <w:vAlign w:val="center"/>
                </w:tcPr>
                <w:p w14:paraId="205C1A5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不涉及</w:t>
                  </w:r>
                </w:p>
              </w:tc>
              <w:tc>
                <w:tcPr>
                  <w:tcW w:w="681" w:type="dxa"/>
                  <w:tcBorders>
                    <w:tl2br w:val="nil"/>
                    <w:tr2bl w:val="nil"/>
                  </w:tcBorders>
                  <w:noWrap w:val="0"/>
                  <w:vAlign w:val="center"/>
                </w:tcPr>
                <w:p w14:paraId="0FE05657">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2D64BC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07311F58">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2F50B6B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2673" w:type="dxa"/>
                  <w:tcBorders>
                    <w:tl2br w:val="nil"/>
                    <w:tr2bl w:val="nil"/>
                  </w:tcBorders>
                  <w:noWrap w:val="0"/>
                  <w:vAlign w:val="center"/>
                </w:tcPr>
                <w:p w14:paraId="7BCD485E">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不涉及</w:t>
                  </w:r>
                </w:p>
              </w:tc>
              <w:tc>
                <w:tcPr>
                  <w:tcW w:w="681" w:type="dxa"/>
                  <w:tcBorders>
                    <w:tl2br w:val="nil"/>
                    <w:tr2bl w:val="nil"/>
                  </w:tcBorders>
                  <w:noWrap w:val="0"/>
                  <w:vAlign w:val="center"/>
                </w:tcPr>
                <w:p w14:paraId="35401AD3">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6FF009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restart"/>
                  <w:tcBorders>
                    <w:tl2br w:val="nil"/>
                    <w:tr2bl w:val="nil"/>
                  </w:tcBorders>
                  <w:noWrap w:val="0"/>
                  <w:vAlign w:val="center"/>
                </w:tcPr>
                <w:p w14:paraId="65DADBC4">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宣汉县</w:t>
                  </w:r>
                </w:p>
              </w:tc>
              <w:tc>
                <w:tcPr>
                  <w:tcW w:w="5016" w:type="dxa"/>
                  <w:tcBorders>
                    <w:tl2br w:val="nil"/>
                    <w:tr2bl w:val="nil"/>
                  </w:tcBorders>
                  <w:noWrap w:val="0"/>
                  <w:vAlign w:val="center"/>
                </w:tcPr>
                <w:p w14:paraId="36927FD1">
                  <w:pPr>
                    <w:keepNext w:val="0"/>
                    <w:keepLines w:val="0"/>
                    <w:pageBreakBefore w:val="0"/>
                    <w:widowControl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bCs/>
                      <w:color w:val="000000"/>
                      <w:sz w:val="21"/>
                      <w:szCs w:val="21"/>
                      <w:lang w:val="en-US" w:eastAsia="zh-CN"/>
                    </w:rPr>
                    <w:t>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2673" w:type="dxa"/>
                  <w:tcBorders>
                    <w:tl2br w:val="nil"/>
                    <w:tr2bl w:val="nil"/>
                  </w:tcBorders>
                  <w:noWrap w:val="0"/>
                  <w:vAlign w:val="center"/>
                </w:tcPr>
                <w:p w14:paraId="375CC3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kern w:val="2"/>
                      <w:sz w:val="21"/>
                      <w:szCs w:val="21"/>
                      <w:vertAlign w:val="baseline"/>
                      <w:lang w:val="en-US" w:eastAsia="zh-CN" w:bidi="ar-SA"/>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eastAsia" w:ascii="Times New Roman" w:hAnsi="Times New Roman" w:eastAsia="宋体" w:cs="Times New Roman"/>
                      <w:color w:val="auto"/>
                      <w:kern w:val="2"/>
                      <w:sz w:val="21"/>
                      <w:szCs w:val="21"/>
                      <w:vertAlign w:val="baseline"/>
                      <w:lang w:val="en-US" w:eastAsia="zh-CN" w:bidi="ar-SA"/>
                    </w:rPr>
                    <w:t>不属于</w:t>
                  </w:r>
                  <w:r>
                    <w:rPr>
                      <w:rFonts w:hint="default" w:ascii="Times New Roman" w:hAnsi="Times New Roman" w:eastAsia="宋体" w:cs="Times New Roman"/>
                      <w:bCs/>
                      <w:color w:val="000000"/>
                      <w:sz w:val="21"/>
                      <w:szCs w:val="21"/>
                      <w:lang w:val="en-US" w:eastAsia="zh-CN"/>
                    </w:rPr>
                    <w:t>天然气化工、硫化工、锂钾综合开发、冶金建材、新材料等产业</w:t>
                  </w:r>
                </w:p>
              </w:tc>
              <w:tc>
                <w:tcPr>
                  <w:tcW w:w="681" w:type="dxa"/>
                  <w:tcBorders>
                    <w:tl2br w:val="nil"/>
                    <w:tr2bl w:val="nil"/>
                  </w:tcBorders>
                  <w:noWrap w:val="0"/>
                  <w:vAlign w:val="center"/>
                </w:tcPr>
                <w:p w14:paraId="1908259F">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符合</w:t>
                  </w:r>
                </w:p>
              </w:tc>
            </w:tr>
            <w:tr w14:paraId="26E1E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283BCEBA">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3D3B3B70">
                  <w:pPr>
                    <w:keepNext w:val="0"/>
                    <w:keepLines w:val="0"/>
                    <w:pageBreakBefore w:val="0"/>
                    <w:widowControl w:val="0"/>
                    <w:numPr>
                      <w:ilvl w:val="0"/>
                      <w:numId w:val="0"/>
                    </w:numPr>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r>
                    <w:rPr>
                      <w:rFonts w:hint="default" w:ascii="Times New Roman" w:hAnsi="Times New Roman" w:eastAsia="宋体" w:cs="Times New Roman"/>
                      <w:bCs/>
                      <w:color w:val="000000"/>
                      <w:sz w:val="21"/>
                      <w:szCs w:val="21"/>
                      <w:lang w:val="en-US" w:eastAsia="zh-CN"/>
                    </w:rPr>
                    <w:t>打好升级版污染防治攻坚战。持续优化调整产业布局，以细颗粒物（PM</w:t>
                  </w:r>
                  <w:r>
                    <w:rPr>
                      <w:rFonts w:hint="default" w:ascii="Times New Roman" w:hAnsi="Times New Roman" w:eastAsia="宋体" w:cs="Times New Roman"/>
                      <w:bCs/>
                      <w:color w:val="000000"/>
                      <w:sz w:val="21"/>
                      <w:szCs w:val="21"/>
                      <w:vertAlign w:val="subscript"/>
                      <w:lang w:val="en-US" w:eastAsia="zh-CN"/>
                    </w:rPr>
                    <w:t>2.5</w:t>
                  </w:r>
                  <w:r>
                    <w:rPr>
                      <w:rFonts w:hint="default" w:ascii="Times New Roman" w:hAnsi="Times New Roman" w:eastAsia="宋体" w:cs="Times New Roman"/>
                      <w:bCs/>
                      <w:color w:val="000000"/>
                      <w:sz w:val="21"/>
                      <w:szCs w:val="21"/>
                      <w:lang w:val="en-US" w:eastAsia="zh-CN"/>
                    </w:rPr>
                    <w:t>）和臭氧（O</w:t>
                  </w:r>
                  <w:r>
                    <w:rPr>
                      <w:rFonts w:hint="default" w:ascii="Times New Roman" w:hAnsi="Times New Roman" w:eastAsia="宋体" w:cs="Times New Roman"/>
                      <w:bCs/>
                      <w:color w:val="000000"/>
                      <w:sz w:val="21"/>
                      <w:szCs w:val="21"/>
                      <w:vertAlign w:val="subscript"/>
                      <w:lang w:val="en-US" w:eastAsia="zh-CN"/>
                    </w:rPr>
                    <w:t>3</w:t>
                  </w:r>
                  <w:r>
                    <w:rPr>
                      <w:rFonts w:hint="default" w:ascii="Times New Roman" w:hAnsi="Times New Roman" w:eastAsia="宋体" w:cs="Times New Roman"/>
                      <w:bCs/>
                      <w:color w:val="000000"/>
                      <w:sz w:val="21"/>
                      <w:szCs w:val="21"/>
                      <w:lang w:val="en-US" w:eastAsia="zh-CN"/>
                    </w:rPr>
                    <w:t>）污染协同控制为重点，全面开展挥发性有机物（VOCs）治理，实施移动源整治，持续推进空气质量精细化管理。引进项目应符合园区规划环评和区域产业准入清单要求。</w:t>
                  </w:r>
                </w:p>
              </w:tc>
              <w:tc>
                <w:tcPr>
                  <w:tcW w:w="2673" w:type="dxa"/>
                  <w:tcBorders>
                    <w:tl2br w:val="nil"/>
                    <w:tr2bl w:val="nil"/>
                  </w:tcBorders>
                  <w:noWrap w:val="0"/>
                  <w:vAlign w:val="center"/>
                </w:tcPr>
                <w:p w14:paraId="6852AC6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kern w:val="2"/>
                      <w:sz w:val="21"/>
                      <w:szCs w:val="21"/>
                      <w:vertAlign w:val="baseline"/>
                      <w:lang w:val="en-US" w:eastAsia="zh-CN" w:bidi="ar-SA"/>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eastAsia" w:cs="Times New Roman"/>
                      <w:iCs/>
                      <w:snapToGrid w:val="0"/>
                      <w:color w:val="auto"/>
                      <w:kern w:val="0"/>
                      <w:sz w:val="21"/>
                      <w:szCs w:val="21"/>
                      <w:highlight w:val="none"/>
                      <w:lang w:val="en-US" w:eastAsia="zh-CN"/>
                    </w:rPr>
                    <w:t>将严格执行相关规定和要求，落实有关大气污染防治措施，</w:t>
                  </w:r>
                  <w:r>
                    <w:rPr>
                      <w:rFonts w:hint="eastAsia" w:ascii="Times New Roman" w:hAnsi="Times New Roman" w:eastAsia="宋体" w:cs="Times New Roman"/>
                      <w:color w:val="auto"/>
                      <w:kern w:val="2"/>
                      <w:sz w:val="21"/>
                      <w:szCs w:val="21"/>
                      <w:vertAlign w:val="baseline"/>
                      <w:lang w:val="en-US" w:eastAsia="zh-CN" w:bidi="ar-SA"/>
                    </w:rPr>
                    <w:t>符合</w:t>
                  </w:r>
                  <w:r>
                    <w:rPr>
                      <w:rFonts w:hint="default" w:ascii="Times New Roman" w:hAnsi="Times New Roman" w:eastAsia="宋体" w:cs="Times New Roman"/>
                      <w:bCs/>
                      <w:color w:val="000000"/>
                      <w:sz w:val="21"/>
                      <w:szCs w:val="21"/>
                      <w:lang w:val="en-US" w:eastAsia="zh-CN"/>
                    </w:rPr>
                    <w:t>区域产业准入清单要求</w:t>
                  </w:r>
                </w:p>
              </w:tc>
              <w:tc>
                <w:tcPr>
                  <w:tcW w:w="681" w:type="dxa"/>
                  <w:tcBorders>
                    <w:tl2br w:val="nil"/>
                    <w:tr2bl w:val="nil"/>
                  </w:tcBorders>
                  <w:noWrap w:val="0"/>
                  <w:vAlign w:val="center"/>
                </w:tcPr>
                <w:p w14:paraId="20559786">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BEF6F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2CB2BB2B">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3CAAD26C">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bCs/>
                      <w:color w:val="000000"/>
                      <w:sz w:val="21"/>
                      <w:szCs w:val="21"/>
                      <w:lang w:val="en-US" w:eastAsia="zh-CN"/>
                    </w:rPr>
                    <w:t>加强小流域水环境保护，推动农村环保基础设施建设，全面推进农村环境综合整治、生活污水处理项目。</w:t>
                  </w:r>
                </w:p>
              </w:tc>
              <w:tc>
                <w:tcPr>
                  <w:tcW w:w="2673" w:type="dxa"/>
                  <w:tcBorders>
                    <w:tl2br w:val="nil"/>
                    <w:tr2bl w:val="nil"/>
                  </w:tcBorders>
                  <w:noWrap w:val="0"/>
                  <w:vAlign w:val="center"/>
                </w:tcPr>
                <w:p w14:paraId="20D016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不涉及</w:t>
                  </w:r>
                </w:p>
              </w:tc>
              <w:tc>
                <w:tcPr>
                  <w:tcW w:w="681" w:type="dxa"/>
                  <w:tcBorders>
                    <w:tl2br w:val="nil"/>
                    <w:tr2bl w:val="nil"/>
                  </w:tcBorders>
                  <w:noWrap w:val="0"/>
                  <w:vAlign w:val="center"/>
                </w:tcPr>
                <w:p w14:paraId="657E1F0C">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4198E1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656" w:type="dxa"/>
                  <w:vMerge w:val="continue"/>
                  <w:tcBorders>
                    <w:tl2br w:val="nil"/>
                    <w:tr2bl w:val="nil"/>
                  </w:tcBorders>
                  <w:noWrap w:val="0"/>
                  <w:vAlign w:val="center"/>
                </w:tcPr>
                <w:p w14:paraId="1E5A8C0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5016" w:type="dxa"/>
                  <w:tcBorders>
                    <w:tl2br w:val="nil"/>
                    <w:tr2bl w:val="nil"/>
                  </w:tcBorders>
                  <w:noWrap w:val="0"/>
                  <w:vAlign w:val="center"/>
                </w:tcPr>
                <w:p w14:paraId="14972B91">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r>
                    <w:rPr>
                      <w:rFonts w:hint="default" w:ascii="Times New Roman" w:hAnsi="Times New Roman" w:eastAsia="宋体" w:cs="Times New Roman"/>
                      <w:bCs/>
                      <w:color w:val="000000"/>
                      <w:sz w:val="21"/>
                      <w:szCs w:val="21"/>
                      <w:lang w:val="en-US" w:eastAsia="zh-CN"/>
                    </w:rPr>
                    <w:t>大力开展沿河畜禽养殖污染整治，大力推广生态种植，减少农药化肥使用量；普光气田开发污染防治和环境管理等方面要达国内先进水平。</w:t>
                  </w:r>
                </w:p>
              </w:tc>
              <w:tc>
                <w:tcPr>
                  <w:tcW w:w="2673" w:type="dxa"/>
                  <w:tcBorders>
                    <w:tl2br w:val="nil"/>
                    <w:tr2bl w:val="nil"/>
                  </w:tcBorders>
                  <w:noWrap w:val="0"/>
                  <w:vAlign w:val="center"/>
                </w:tcPr>
                <w:p w14:paraId="46F4AB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681" w:type="dxa"/>
                  <w:tcBorders>
                    <w:tl2br w:val="nil"/>
                    <w:tr2bl w:val="nil"/>
                  </w:tcBorders>
                  <w:noWrap w:val="0"/>
                  <w:vAlign w:val="center"/>
                </w:tcPr>
                <w:p w14:paraId="1F876AAF">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w:t>
                  </w:r>
                </w:p>
              </w:tc>
            </w:tr>
          </w:tbl>
          <w:p w14:paraId="738CF2D6">
            <w:pPr>
              <w:pStyle w:val="17"/>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0" w:firstLineChars="0"/>
              <w:jc w:val="center"/>
              <w:textAlignment w:val="auto"/>
              <w:rPr>
                <w:rFonts w:hint="eastAsia"/>
                <w:color w:val="auto"/>
                <w:sz w:val="24"/>
                <w:szCs w:val="24"/>
                <w:lang w:val="en-US" w:eastAsia="zh-CN"/>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1614805</wp:posOffset>
                      </wp:positionH>
                      <wp:positionV relativeFrom="paragraph">
                        <wp:posOffset>833755</wp:posOffset>
                      </wp:positionV>
                      <wp:extent cx="725170" cy="325120"/>
                      <wp:effectExtent l="7620" t="7620" r="10160" b="715010"/>
                      <wp:wrapNone/>
                      <wp:docPr id="26" name="矩形标注 26"/>
                      <wp:cNvGraphicFramePr/>
                      <a:graphic xmlns:a="http://schemas.openxmlformats.org/drawingml/2006/main">
                        <a:graphicData uri="http://schemas.microsoft.com/office/word/2010/wordprocessingShape">
                          <wps:wsp>
                            <wps:cNvSpPr/>
                            <wps:spPr>
                              <a:xfrm>
                                <a:off x="2773680" y="4458335"/>
                                <a:ext cx="725170" cy="325120"/>
                              </a:xfrm>
                              <a:prstGeom prst="wedgeRectCallout">
                                <a:avLst>
                                  <a:gd name="adj1" fmla="val 45694"/>
                                  <a:gd name="adj2" fmla="val 249380"/>
                                </a:avLst>
                              </a:prstGeom>
                              <a:noFill/>
                              <a:ln w="15875" cap="flat" cmpd="sng">
                                <a:solidFill>
                                  <a:srgbClr val="FF0000"/>
                                </a:solidFill>
                                <a:prstDash val="solid"/>
                                <a:miter/>
                                <a:headEnd type="none" w="med" len="med"/>
                                <a:tailEnd type="none" w="med" len="med"/>
                              </a:ln>
                              <a:effectLst/>
                            </wps:spPr>
                            <wps:txbx>
                              <w:txbxContent>
                                <w:p w14:paraId="22C722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wps:txbx>
                            <wps:bodyPr upright="1"/>
                          </wps:wsp>
                        </a:graphicData>
                      </a:graphic>
                    </wp:anchor>
                  </w:drawing>
                </mc:Choice>
                <mc:Fallback>
                  <w:pict>
                    <v:shape id="_x0000_s1026" o:spid="_x0000_s1026" o:spt="61" type="#_x0000_t61" style="position:absolute;left:0pt;margin-left:127.15pt;margin-top:65.65pt;height:25.6pt;width:57.1pt;z-index:251660288;mso-width-relative:page;mso-height-relative:page;" filled="f" stroked="t" coordsize="21600,21600" o:gfxdata="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VFzO3AAAAAsBAAAPAAAA&#10;AAAAAAEAIAAAACIAAABkcnMvZG93bnJldi54bWxQSwECFAAUAAAACACHTuJAVx2+3UoCAACABAAA&#10;DgAAAAAAAAABACAAAAArAQAAZHJzL2Uyb0RvYy54bWxQSwUGAAAAAAYABgBZAQAA5wUAAAAA&#10;" adj="20670,64666">
                      <v:fill on="f" focussize="0,0"/>
                      <v:stroke weight="1.25pt" color="#FF0000" joinstyle="miter"/>
                      <v:imagedata o:title=""/>
                      <o:lock v:ext="edit" aspectratio="f"/>
                      <v:textbox>
                        <w:txbxContent>
                          <w:p w14:paraId="22C722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v:textbox>
                    </v:shape>
                  </w:pict>
                </mc:Fallback>
              </mc:AlternateContent>
            </w:r>
            <w:r>
              <w:rPr>
                <w:rFonts w:hint="eastAsia"/>
                <w:color w:val="auto"/>
                <w:sz w:val="24"/>
                <w:szCs w:val="24"/>
                <w:lang w:val="en-US" w:eastAsia="zh-CN"/>
              </w:rPr>
              <w:drawing>
                <wp:inline distT="0" distB="0" distL="114300" distR="114300">
                  <wp:extent cx="5641975" cy="4037330"/>
                  <wp:effectExtent l="0" t="0" r="15875" b="1270"/>
                  <wp:docPr id="19" name="图片 7" descr="达州市生态环境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达州市生态环境管控单元分布图"/>
                          <pic:cNvPicPr>
                            <a:picLocks noChangeAspect="1"/>
                          </pic:cNvPicPr>
                        </pic:nvPicPr>
                        <pic:blipFill>
                          <a:blip r:embed="rId5"/>
                          <a:stretch>
                            <a:fillRect/>
                          </a:stretch>
                        </pic:blipFill>
                        <pic:spPr>
                          <a:xfrm>
                            <a:off x="0" y="0"/>
                            <a:ext cx="5641975" cy="4037330"/>
                          </a:xfrm>
                          <a:prstGeom prst="rect">
                            <a:avLst/>
                          </a:prstGeom>
                          <a:noFill/>
                          <a:ln>
                            <a:noFill/>
                          </a:ln>
                        </pic:spPr>
                      </pic:pic>
                    </a:graphicData>
                  </a:graphic>
                </wp:inline>
              </w:drawing>
            </w:r>
          </w:p>
          <w:p w14:paraId="0944F8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lang w:eastAsia="zh-CN"/>
              </w:rPr>
            </w:pPr>
            <w:r>
              <w:rPr>
                <w:rFonts w:hint="default" w:ascii="Times New Roman" w:hAnsi="Times New Roman" w:eastAsia="黑体" w:cs="Times New Roman"/>
                <w:color w:val="auto"/>
                <w:szCs w:val="21"/>
              </w:rPr>
              <w:t>图1-</w:t>
            </w:r>
            <w:r>
              <w:rPr>
                <w:rFonts w:hint="default" w:ascii="Times New Roman" w:hAnsi="Times New Roman" w:eastAsia="黑体" w:cs="Times New Roman"/>
                <w:color w:val="auto"/>
                <w:szCs w:val="21"/>
                <w:lang w:val="en-US" w:eastAsia="zh-CN"/>
              </w:rPr>
              <w:t>1</w:t>
            </w:r>
            <w:r>
              <w:rPr>
                <w:rFonts w:hint="default" w:ascii="Times New Roman" w:hAnsi="Times New Roman" w:eastAsia="黑体" w:cs="Times New Roman"/>
                <w:color w:val="auto"/>
                <w:szCs w:val="21"/>
              </w:rPr>
              <w:t xml:space="preserve">  项目与</w:t>
            </w:r>
            <w:r>
              <w:rPr>
                <w:rFonts w:hint="default" w:ascii="Times New Roman" w:hAnsi="Times New Roman" w:eastAsia="黑体" w:cs="Times New Roman"/>
                <w:color w:val="auto"/>
                <w:szCs w:val="21"/>
                <w:lang w:val="en-US" w:eastAsia="zh-CN"/>
              </w:rPr>
              <w:t>达州市生态环境</w:t>
            </w:r>
            <w:r>
              <w:rPr>
                <w:rFonts w:hint="default" w:ascii="Times New Roman" w:hAnsi="Times New Roman" w:eastAsia="黑体" w:cs="Times New Roman"/>
                <w:color w:val="auto"/>
                <w:szCs w:val="21"/>
              </w:rPr>
              <w:t>管控单元相对位置图</w:t>
            </w:r>
          </w:p>
          <w:p w14:paraId="2A8228D9">
            <w:pPr>
              <w:pStyle w:val="17"/>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both"/>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与达州市生态环境分区管控符合性分析</w:t>
            </w:r>
          </w:p>
          <w:p w14:paraId="4A1AA33A">
            <w:pPr>
              <w:pStyle w:val="11"/>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firstLine="482"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①环境管控单元</w:t>
            </w:r>
          </w:p>
          <w:p w14:paraId="6DB3B38E">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shd w:val="clear" w:color="auto" w:fill="FFFFFF"/>
                <w:lang w:val="en-US" w:eastAsia="zh-CN"/>
              </w:rPr>
            </w:pPr>
            <w:r>
              <w:rPr>
                <w:rFonts w:hint="default" w:ascii="Times New Roman" w:hAnsi="Times New Roman" w:eastAsia="宋体" w:cs="Times New Roman"/>
                <w:color w:val="auto"/>
                <w:sz w:val="24"/>
                <w:szCs w:val="24"/>
                <w:lang w:val="en-US" w:eastAsia="zh-CN"/>
              </w:rPr>
              <w:t>通过查询“四川省生态环境分区管控公众服务”“辅助研判”分析</w:t>
            </w:r>
            <w:r>
              <w:rPr>
                <w:rFonts w:hint="eastAsia" w:ascii="Times New Roman" w:hAnsi="Times New Roman" w:eastAsia="宋体" w:cs="Times New Roman"/>
                <w:color w:val="auto"/>
                <w:sz w:val="24"/>
                <w:szCs w:val="24"/>
                <w:lang w:val="en-US" w:eastAsia="zh-CN"/>
              </w:rPr>
              <w:t>：本项目涉及1个环境管控单元，即</w:t>
            </w:r>
            <w:r>
              <w:rPr>
                <w:rStyle w:val="27"/>
                <w:rFonts w:hint="default" w:ascii="Times New Roman" w:hAnsi="Times New Roman" w:eastAsia="宋体" w:cs="Times New Roman"/>
                <w:color w:val="auto"/>
                <w:kern w:val="2"/>
                <w:sz w:val="24"/>
                <w:szCs w:val="24"/>
                <w:lang w:val="en-US" w:eastAsia="zh-CN" w:bidi="ar-SA"/>
              </w:rPr>
              <w:t>宣汉县一般管控单元</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管控单元编号：</w:t>
            </w:r>
            <w:r>
              <w:rPr>
                <w:rStyle w:val="27"/>
                <w:rFonts w:hint="default" w:ascii="Times New Roman" w:hAnsi="Times New Roman" w:eastAsia="宋体" w:cs="Times New Roman"/>
                <w:color w:val="auto"/>
                <w:kern w:val="2"/>
                <w:sz w:val="24"/>
                <w:szCs w:val="24"/>
                <w:lang w:val="en-US" w:eastAsia="zh-CN" w:bidi="ar-SA"/>
              </w:rPr>
              <w:t>ZH51172230001</w:t>
            </w:r>
            <w:r>
              <w:rPr>
                <w:rFonts w:hint="default" w:ascii="Times New Roman" w:hAnsi="Times New Roman" w:eastAsia="宋体" w:cs="Times New Roman"/>
                <w:color w:val="auto"/>
                <w:sz w:val="24"/>
                <w:szCs w:val="24"/>
              </w:rPr>
              <w:t>），涉及</w:t>
            </w:r>
            <w:r>
              <w:rPr>
                <w:rFonts w:hint="eastAsia" w:ascii="Times New Roman" w:hAnsi="Times New Roman" w:eastAsia="宋体" w:cs="Times New Roman"/>
                <w:color w:val="auto"/>
                <w:sz w:val="24"/>
                <w:szCs w:val="24"/>
                <w:lang w:val="en-US" w:eastAsia="zh-CN"/>
              </w:rPr>
              <w:t>4个</w:t>
            </w:r>
            <w:r>
              <w:rPr>
                <w:rFonts w:hint="default" w:ascii="Times New Roman" w:hAnsi="Times New Roman" w:eastAsia="宋体" w:cs="Times New Roman"/>
                <w:color w:val="auto"/>
                <w:sz w:val="24"/>
                <w:szCs w:val="24"/>
              </w:rPr>
              <w:t>环境</w:t>
            </w:r>
            <w:r>
              <w:rPr>
                <w:rFonts w:hint="eastAsia" w:ascii="Times New Roman" w:hAnsi="Times New Roman" w:eastAsia="宋体" w:cs="Times New Roman"/>
                <w:color w:val="auto"/>
                <w:sz w:val="24"/>
                <w:szCs w:val="24"/>
                <w:lang w:val="en-US" w:eastAsia="zh-CN"/>
              </w:rPr>
              <w:t>要素</w:t>
            </w:r>
            <w:r>
              <w:rPr>
                <w:rFonts w:hint="default" w:ascii="Times New Roman" w:hAnsi="Times New Roman" w:eastAsia="宋体" w:cs="Times New Roman"/>
                <w:color w:val="auto"/>
                <w:sz w:val="24"/>
                <w:szCs w:val="24"/>
              </w:rPr>
              <w:t>管控</w:t>
            </w:r>
            <w:r>
              <w:rPr>
                <w:rFonts w:hint="eastAsia" w:ascii="Times New Roman" w:hAnsi="Times New Roman" w:eastAsia="宋体" w:cs="Times New Roman"/>
                <w:color w:val="auto"/>
                <w:sz w:val="24"/>
                <w:szCs w:val="24"/>
                <w:lang w:val="en-US" w:eastAsia="zh-CN"/>
              </w:rPr>
              <w:t>分区</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详</w:t>
            </w:r>
            <w:r>
              <w:rPr>
                <w:rFonts w:hint="default" w:ascii="Times New Roman" w:hAnsi="Times New Roman" w:eastAsia="宋体" w:cs="Times New Roman"/>
                <w:color w:val="auto"/>
                <w:sz w:val="24"/>
                <w:szCs w:val="24"/>
              </w:rPr>
              <w:t>见下表。</w:t>
            </w:r>
          </w:p>
          <w:p w14:paraId="2AEAAE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w:t>
            </w:r>
            <w:r>
              <w:rPr>
                <w:rFonts w:hint="default" w:ascii="Times New Roman" w:hAnsi="Times New Roman" w:eastAsia="黑体" w:cs="Times New Roman"/>
                <w:color w:val="auto"/>
                <w:szCs w:val="21"/>
                <w:lang w:val="en-US" w:eastAsia="zh-CN"/>
              </w:rPr>
              <w:t>5</w:t>
            </w:r>
            <w:r>
              <w:rPr>
                <w:rFonts w:hint="default" w:ascii="Times New Roman" w:hAnsi="Times New Roman" w:eastAsia="黑体" w:cs="Times New Roman"/>
                <w:color w:val="auto"/>
                <w:szCs w:val="21"/>
              </w:rPr>
              <w:t xml:space="preserve">  项目涉及</w:t>
            </w:r>
            <w:r>
              <w:rPr>
                <w:rFonts w:hint="default" w:ascii="Times New Roman" w:hAnsi="Times New Roman" w:eastAsia="黑体" w:cs="Times New Roman"/>
                <w:color w:val="auto"/>
                <w:szCs w:val="21"/>
                <w:lang w:val="en-US" w:eastAsia="zh-CN"/>
              </w:rPr>
              <w:t>生态</w:t>
            </w:r>
            <w:r>
              <w:rPr>
                <w:rFonts w:hint="default" w:ascii="Times New Roman" w:hAnsi="Times New Roman" w:eastAsia="黑体" w:cs="Times New Roman"/>
                <w:color w:val="auto"/>
                <w:szCs w:val="21"/>
              </w:rPr>
              <w:t>环境管控单元表</w:t>
            </w:r>
          </w:p>
          <w:tbl>
            <w:tblPr>
              <w:tblStyle w:val="26"/>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407"/>
              <w:gridCol w:w="2438"/>
              <w:gridCol w:w="1114"/>
              <w:gridCol w:w="2371"/>
            </w:tblGrid>
            <w:tr w14:paraId="1305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noWrap w:val="0"/>
                  <w:vAlign w:val="center"/>
                </w:tcPr>
                <w:p w14:paraId="0235F9C8">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336" w:type="pct"/>
                  <w:noWrap w:val="0"/>
                  <w:vAlign w:val="center"/>
                </w:tcPr>
                <w:p w14:paraId="551899E2">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涉及环境管控单元名称</w:t>
                  </w:r>
                </w:p>
              </w:tc>
              <w:tc>
                <w:tcPr>
                  <w:tcW w:w="1353" w:type="pct"/>
                  <w:noWrap w:val="0"/>
                  <w:vAlign w:val="center"/>
                </w:tcPr>
                <w:p w14:paraId="77C71B17">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涉及环境管控单元编码</w:t>
                  </w:r>
                </w:p>
              </w:tc>
              <w:tc>
                <w:tcPr>
                  <w:tcW w:w="618" w:type="pct"/>
                  <w:noWrap w:val="0"/>
                  <w:vAlign w:val="center"/>
                </w:tcPr>
                <w:p w14:paraId="066DAD37">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行政区划</w:t>
                  </w:r>
                </w:p>
              </w:tc>
              <w:tc>
                <w:tcPr>
                  <w:tcW w:w="1316" w:type="pct"/>
                  <w:noWrap w:val="0"/>
                  <w:vAlign w:val="center"/>
                </w:tcPr>
                <w:p w14:paraId="327949F3">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环境管控单元类型</w:t>
                  </w:r>
                </w:p>
              </w:tc>
            </w:tr>
            <w:tr w14:paraId="698D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noWrap w:val="0"/>
                  <w:vAlign w:val="center"/>
                </w:tcPr>
                <w:p w14:paraId="21F706AE">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36" w:type="pct"/>
                  <w:noWrap w:val="0"/>
                  <w:vAlign w:val="center"/>
                </w:tcPr>
                <w:p w14:paraId="40A64749">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Style w:val="27"/>
                      <w:rFonts w:hint="default" w:ascii="Times New Roman" w:hAnsi="Times New Roman" w:eastAsia="宋体" w:cs="Times New Roman"/>
                      <w:color w:val="auto"/>
                      <w:kern w:val="2"/>
                      <w:sz w:val="21"/>
                      <w:szCs w:val="21"/>
                      <w:lang w:val="en-US" w:eastAsia="zh-CN" w:bidi="ar-SA"/>
                    </w:rPr>
                    <w:t>宣汉县一般管控单元</w:t>
                  </w:r>
                </w:p>
              </w:tc>
              <w:tc>
                <w:tcPr>
                  <w:tcW w:w="1353" w:type="pct"/>
                  <w:noWrap w:val="0"/>
                  <w:vAlign w:val="center"/>
                </w:tcPr>
                <w:p w14:paraId="0D6B4AA7">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Style w:val="27"/>
                      <w:rFonts w:hint="default" w:ascii="Times New Roman" w:hAnsi="Times New Roman" w:eastAsia="宋体" w:cs="Times New Roman"/>
                      <w:color w:val="auto"/>
                      <w:kern w:val="2"/>
                      <w:sz w:val="21"/>
                      <w:szCs w:val="21"/>
                      <w:lang w:val="en-US" w:eastAsia="zh-CN" w:bidi="ar-SA"/>
                    </w:rPr>
                    <w:t>ZH51172230001</w:t>
                  </w:r>
                </w:p>
              </w:tc>
              <w:tc>
                <w:tcPr>
                  <w:tcW w:w="618" w:type="pct"/>
                  <w:noWrap w:val="0"/>
                  <w:vAlign w:val="top"/>
                </w:tcPr>
                <w:p w14:paraId="5BD4521B">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rPr>
                    <w:t>达州市</w:t>
                  </w:r>
                </w:p>
              </w:tc>
              <w:tc>
                <w:tcPr>
                  <w:tcW w:w="1316" w:type="pct"/>
                  <w:noWrap w:val="0"/>
                  <w:vAlign w:val="center"/>
                </w:tcPr>
                <w:p w14:paraId="1C8DEED0">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lang w:val="en-US" w:eastAsia="zh-CN"/>
                    </w:rPr>
                    <w:t>一般</w:t>
                  </w:r>
                  <w:r>
                    <w:rPr>
                      <w:rFonts w:hint="default" w:ascii="Times New Roman" w:hAnsi="Times New Roman" w:eastAsia="宋体" w:cs="Times New Roman"/>
                      <w:color w:val="auto"/>
                      <w:sz w:val="21"/>
                    </w:rPr>
                    <w:t>管控单元</w:t>
                  </w:r>
                </w:p>
              </w:tc>
            </w:tr>
          </w:tbl>
          <w:p w14:paraId="7BB6944A">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w:t>
            </w:r>
            <w:r>
              <w:rPr>
                <w:rFonts w:hint="default" w:ascii="Times New Roman" w:hAnsi="Times New Roman" w:eastAsia="黑体" w:cs="Times New Roman"/>
                <w:color w:val="auto"/>
                <w:szCs w:val="21"/>
                <w:lang w:val="en-US" w:eastAsia="zh-CN"/>
              </w:rPr>
              <w:t>6</w:t>
            </w:r>
            <w:r>
              <w:rPr>
                <w:rFonts w:hint="default" w:ascii="Times New Roman" w:hAnsi="Times New Roman" w:eastAsia="黑体" w:cs="Times New Roman"/>
                <w:color w:val="auto"/>
                <w:szCs w:val="21"/>
              </w:rPr>
              <w:t xml:space="preserve">  项目涉及的环境要素管控分区表</w:t>
            </w:r>
          </w:p>
          <w:tbl>
            <w:tblPr>
              <w:tblStyle w:val="26"/>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854"/>
              <w:gridCol w:w="1982"/>
              <w:gridCol w:w="933"/>
              <w:gridCol w:w="948"/>
              <w:gridCol w:w="2641"/>
            </w:tblGrid>
            <w:tr w14:paraId="0F2B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noWrap w:val="0"/>
                  <w:vAlign w:val="center"/>
                </w:tcPr>
                <w:p w14:paraId="00E6E76A">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26" w:type="pct"/>
                  <w:noWrap w:val="0"/>
                  <w:vAlign w:val="center"/>
                </w:tcPr>
                <w:p w14:paraId="2A930A7F">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涉及环境要素管控分区名称</w:t>
                  </w:r>
                </w:p>
              </w:tc>
              <w:tc>
                <w:tcPr>
                  <w:tcW w:w="1096" w:type="pct"/>
                  <w:noWrap w:val="0"/>
                  <w:vAlign w:val="center"/>
                </w:tcPr>
                <w:p w14:paraId="05475D9E">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涉及环境要素管控分区编码</w:t>
                  </w:r>
                </w:p>
              </w:tc>
              <w:tc>
                <w:tcPr>
                  <w:tcW w:w="516" w:type="pct"/>
                  <w:noWrap w:val="0"/>
                  <w:vAlign w:val="center"/>
                </w:tcPr>
                <w:p w14:paraId="6463DEE0">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行政区划</w:t>
                  </w:r>
                </w:p>
              </w:tc>
              <w:tc>
                <w:tcPr>
                  <w:tcW w:w="524" w:type="pct"/>
                  <w:noWrap w:val="0"/>
                  <w:vAlign w:val="center"/>
                </w:tcPr>
                <w:p w14:paraId="63872A7E">
                  <w:pPr>
                    <w:keepNext w:val="0"/>
                    <w:keepLines w:val="0"/>
                    <w:pageBreakBefore w:val="0"/>
                    <w:kinsoku/>
                    <w:wordWrap/>
                    <w:overflowPunct/>
                    <w:topLinePunct w:val="0"/>
                    <w:autoSpaceDE/>
                    <w:autoSpaceDN/>
                    <w:bidi w:val="0"/>
                    <w:adjustRightInd w:val="0"/>
                    <w:snapToGrid w:val="0"/>
                    <w:jc w:val="center"/>
                    <w:textAlignment w:val="baseline"/>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环境要素</w:t>
                  </w:r>
                  <w:r>
                    <w:rPr>
                      <w:rFonts w:hint="eastAsia" w:ascii="Times New Roman" w:hAnsi="Times New Roman" w:eastAsia="宋体" w:cs="Times New Roman"/>
                      <w:b/>
                      <w:bCs/>
                      <w:color w:val="auto"/>
                      <w:sz w:val="21"/>
                      <w:szCs w:val="21"/>
                      <w:lang w:val="en-US" w:eastAsia="zh-CN"/>
                    </w:rPr>
                    <w:t>类型</w:t>
                  </w:r>
                </w:p>
              </w:tc>
              <w:tc>
                <w:tcPr>
                  <w:tcW w:w="1461" w:type="pct"/>
                  <w:noWrap w:val="0"/>
                  <w:vAlign w:val="center"/>
                </w:tcPr>
                <w:p w14:paraId="1282C85F">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环境要素细类</w:t>
                  </w:r>
                </w:p>
              </w:tc>
            </w:tr>
            <w:tr w14:paraId="5B83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noWrap w:val="0"/>
                  <w:vAlign w:val="center"/>
                </w:tcPr>
                <w:p w14:paraId="7D4E261D">
                  <w:pPr>
                    <w:keepNext w:val="0"/>
                    <w:keepLines w:val="0"/>
                    <w:pageBreakBefore w:val="0"/>
                    <w:kinsoku/>
                    <w:wordWrap/>
                    <w:overflowPunct/>
                    <w:topLinePunct w:val="0"/>
                    <w:autoSpaceDE/>
                    <w:autoSpaceDN/>
                    <w:bidi w:val="0"/>
                    <w:adjustRightInd w:val="0"/>
                    <w:snapToGrid w:val="0"/>
                    <w:jc w:val="center"/>
                    <w:textAlignment w:val="baseline"/>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026" w:type="pct"/>
                  <w:shd w:val="clear" w:color="auto" w:fill="auto"/>
                  <w:noWrap w:val="0"/>
                  <w:vAlign w:val="center"/>
                </w:tcPr>
                <w:p w14:paraId="6DC636F9">
                  <w:pPr>
                    <w:pStyle w:val="3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宣汉县大气环境一般管控区</w:t>
                  </w:r>
                </w:p>
              </w:tc>
              <w:tc>
                <w:tcPr>
                  <w:tcW w:w="1096" w:type="pct"/>
                  <w:shd w:val="clear" w:color="auto" w:fill="auto"/>
                  <w:noWrap w:val="0"/>
                  <w:vAlign w:val="center"/>
                </w:tcPr>
                <w:p w14:paraId="08FD66BF">
                  <w:pPr>
                    <w:pStyle w:val="3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YS5117223310001</w:t>
                  </w:r>
                </w:p>
              </w:tc>
              <w:tc>
                <w:tcPr>
                  <w:tcW w:w="516" w:type="pct"/>
                  <w:noWrap w:val="0"/>
                  <w:vAlign w:val="top"/>
                </w:tcPr>
                <w:p w14:paraId="6DC89881">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rPr>
                    <w:t>达州市</w:t>
                  </w:r>
                </w:p>
              </w:tc>
              <w:tc>
                <w:tcPr>
                  <w:tcW w:w="524" w:type="pct"/>
                  <w:noWrap w:val="0"/>
                  <w:vAlign w:val="center"/>
                </w:tcPr>
                <w:p w14:paraId="446494F7">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大气</w:t>
                  </w:r>
                </w:p>
              </w:tc>
              <w:tc>
                <w:tcPr>
                  <w:tcW w:w="1461" w:type="pct"/>
                  <w:shd w:val="clear" w:color="auto" w:fill="auto"/>
                  <w:noWrap w:val="0"/>
                  <w:vAlign w:val="center"/>
                </w:tcPr>
                <w:p w14:paraId="4533102B">
                  <w:pPr>
                    <w:pStyle w:val="31"/>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大气环境一般管控区</w:t>
                  </w:r>
                </w:p>
              </w:tc>
            </w:tr>
            <w:tr w14:paraId="6EB6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noWrap w:val="0"/>
                  <w:vAlign w:val="center"/>
                </w:tcPr>
                <w:p w14:paraId="39D13955">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026" w:type="pct"/>
                  <w:shd w:val="clear" w:color="auto" w:fill="auto"/>
                  <w:noWrap w:val="0"/>
                  <w:vAlign w:val="center"/>
                </w:tcPr>
                <w:p w14:paraId="67CC881C">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宣汉县其他区域</w:t>
                  </w:r>
                </w:p>
              </w:tc>
              <w:tc>
                <w:tcPr>
                  <w:tcW w:w="1096" w:type="pct"/>
                  <w:shd w:val="clear" w:color="auto" w:fill="auto"/>
                  <w:noWrap w:val="0"/>
                  <w:vAlign w:val="center"/>
                </w:tcPr>
                <w:p w14:paraId="29C1D812">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YS5117223110001</w:t>
                  </w:r>
                </w:p>
              </w:tc>
              <w:tc>
                <w:tcPr>
                  <w:tcW w:w="516" w:type="pct"/>
                  <w:noWrap w:val="0"/>
                  <w:vAlign w:val="top"/>
                </w:tcPr>
                <w:p w14:paraId="736D2BA4">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rPr>
                    <w:t>达州市</w:t>
                  </w:r>
                </w:p>
              </w:tc>
              <w:tc>
                <w:tcPr>
                  <w:tcW w:w="524" w:type="pct"/>
                  <w:noWrap w:val="0"/>
                  <w:vAlign w:val="center"/>
                </w:tcPr>
                <w:p w14:paraId="59921246">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生态</w:t>
                  </w:r>
                </w:p>
              </w:tc>
              <w:tc>
                <w:tcPr>
                  <w:tcW w:w="1461" w:type="pct"/>
                  <w:shd w:val="clear" w:color="auto" w:fill="auto"/>
                  <w:noWrap w:val="0"/>
                  <w:vAlign w:val="center"/>
                </w:tcPr>
                <w:p w14:paraId="2CBB3D78">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一般管控区</w:t>
                  </w:r>
                </w:p>
              </w:tc>
            </w:tr>
            <w:tr w14:paraId="54FA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noWrap w:val="0"/>
                  <w:vAlign w:val="center"/>
                </w:tcPr>
                <w:p w14:paraId="17B6D9D2">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1026" w:type="pct"/>
                  <w:shd w:val="clear" w:color="auto" w:fill="auto"/>
                  <w:noWrap w:val="0"/>
                  <w:vAlign w:val="center"/>
                </w:tcPr>
                <w:p w14:paraId="1DACEC9F">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长滩河-宣汉县-控制单元</w:t>
                  </w:r>
                </w:p>
              </w:tc>
              <w:tc>
                <w:tcPr>
                  <w:tcW w:w="1096" w:type="pct"/>
                  <w:shd w:val="clear" w:color="auto" w:fill="auto"/>
                  <w:noWrap w:val="0"/>
                  <w:vAlign w:val="center"/>
                </w:tcPr>
                <w:p w14:paraId="60F94627">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YS5117223210001</w:t>
                  </w:r>
                </w:p>
              </w:tc>
              <w:tc>
                <w:tcPr>
                  <w:tcW w:w="516" w:type="pct"/>
                  <w:noWrap w:val="0"/>
                  <w:vAlign w:val="top"/>
                </w:tcPr>
                <w:p w14:paraId="0D9BBA17">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rPr>
                    <w:t>达州市</w:t>
                  </w:r>
                </w:p>
              </w:tc>
              <w:tc>
                <w:tcPr>
                  <w:tcW w:w="524" w:type="pct"/>
                  <w:noWrap w:val="0"/>
                  <w:vAlign w:val="center"/>
                </w:tcPr>
                <w:p w14:paraId="23C17C34">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水</w:t>
                  </w:r>
                </w:p>
              </w:tc>
              <w:tc>
                <w:tcPr>
                  <w:tcW w:w="1461" w:type="pct"/>
                  <w:shd w:val="clear" w:color="auto" w:fill="auto"/>
                  <w:noWrap w:val="0"/>
                  <w:vAlign w:val="center"/>
                </w:tcPr>
                <w:p w14:paraId="0303C08A">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水环境一般管控区</w:t>
                  </w:r>
                </w:p>
              </w:tc>
            </w:tr>
            <w:tr w14:paraId="0324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4" w:type="pct"/>
                  <w:noWrap w:val="0"/>
                  <w:vAlign w:val="center"/>
                </w:tcPr>
                <w:p w14:paraId="03A5D8F8">
                  <w:pPr>
                    <w:keepNext w:val="0"/>
                    <w:keepLines w:val="0"/>
                    <w:pageBreakBefore w:val="0"/>
                    <w:kinsoku/>
                    <w:wordWrap/>
                    <w:overflowPunct/>
                    <w:topLinePunct w:val="0"/>
                    <w:autoSpaceDE/>
                    <w:autoSpaceDN/>
                    <w:bidi w:val="0"/>
                    <w:adjustRightInd w:val="0"/>
                    <w:snapToGrid w:val="0"/>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1026" w:type="pct"/>
                  <w:noWrap w:val="0"/>
                  <w:vAlign w:val="center"/>
                </w:tcPr>
                <w:p w14:paraId="1CCC324B">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sz w:val="21"/>
                      <w:lang w:val="en-US" w:eastAsia="zh-CN"/>
                    </w:rPr>
                    <w:t>宣汉</w:t>
                  </w:r>
                  <w:r>
                    <w:rPr>
                      <w:rFonts w:hint="default" w:ascii="Times New Roman" w:hAnsi="Times New Roman" w:eastAsia="宋体" w:cs="Times New Roman"/>
                      <w:color w:val="auto"/>
                      <w:sz w:val="21"/>
                    </w:rPr>
                    <w:t>县自然资源</w:t>
                  </w:r>
                  <w:r>
                    <w:rPr>
                      <w:rFonts w:hint="eastAsia" w:ascii="Times New Roman" w:hAnsi="Times New Roman" w:eastAsia="宋体" w:cs="Times New Roman"/>
                      <w:color w:val="auto"/>
                      <w:sz w:val="21"/>
                      <w:lang w:val="en-US" w:eastAsia="zh-CN"/>
                    </w:rPr>
                    <w:t>一般</w:t>
                  </w:r>
                  <w:r>
                    <w:rPr>
                      <w:rFonts w:hint="default" w:ascii="Times New Roman" w:hAnsi="Times New Roman" w:eastAsia="宋体" w:cs="Times New Roman"/>
                      <w:color w:val="auto"/>
                      <w:sz w:val="21"/>
                    </w:rPr>
                    <w:t>管控区</w:t>
                  </w:r>
                </w:p>
              </w:tc>
              <w:tc>
                <w:tcPr>
                  <w:tcW w:w="1096" w:type="pct"/>
                  <w:noWrap w:val="0"/>
                  <w:vAlign w:val="center"/>
                </w:tcPr>
                <w:p w14:paraId="0B88E87D">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rPr>
                    <w:t>YS5117223510001</w:t>
                  </w:r>
                </w:p>
              </w:tc>
              <w:tc>
                <w:tcPr>
                  <w:tcW w:w="516" w:type="pct"/>
                  <w:noWrap w:val="0"/>
                  <w:vAlign w:val="top"/>
                </w:tcPr>
                <w:p w14:paraId="5B69CCEB">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rPr>
                    <w:t>达州市</w:t>
                  </w:r>
                </w:p>
              </w:tc>
              <w:tc>
                <w:tcPr>
                  <w:tcW w:w="524" w:type="pct"/>
                  <w:noWrap w:val="0"/>
                  <w:vAlign w:val="center"/>
                </w:tcPr>
                <w:p w14:paraId="1EDD7CBF">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自然资源</w:t>
                  </w:r>
                </w:p>
              </w:tc>
              <w:tc>
                <w:tcPr>
                  <w:tcW w:w="1461" w:type="pct"/>
                  <w:noWrap w:val="0"/>
                  <w:vAlign w:val="center"/>
                </w:tcPr>
                <w:p w14:paraId="21E020CB">
                  <w:pPr>
                    <w:pStyle w:val="31"/>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rPr>
                    <w:t>自然资源</w:t>
                  </w:r>
                  <w:r>
                    <w:rPr>
                      <w:rFonts w:hint="eastAsia" w:ascii="Times New Roman" w:hAnsi="Times New Roman" w:eastAsia="宋体" w:cs="Times New Roman"/>
                      <w:color w:val="auto"/>
                      <w:sz w:val="21"/>
                      <w:lang w:val="en-US" w:eastAsia="zh-CN"/>
                    </w:rPr>
                    <w:t>一般</w:t>
                  </w:r>
                  <w:r>
                    <w:rPr>
                      <w:rFonts w:hint="default" w:ascii="Times New Roman" w:hAnsi="Times New Roman" w:eastAsia="宋体" w:cs="Times New Roman"/>
                      <w:color w:val="auto"/>
                      <w:sz w:val="21"/>
                    </w:rPr>
                    <w:t>管控区</w:t>
                  </w:r>
                </w:p>
              </w:tc>
            </w:tr>
          </w:tbl>
          <w:p w14:paraId="0BBB61FE">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Autospacing="0" w:line="360" w:lineRule="auto"/>
              <w:ind w:right="0" w:rightChars="0"/>
              <w:jc w:val="center"/>
              <w:textAlignment w:val="auto"/>
            </w:pPr>
            <w:r>
              <w:drawing>
                <wp:inline distT="0" distB="0" distL="114300" distR="114300">
                  <wp:extent cx="4631690" cy="3837940"/>
                  <wp:effectExtent l="0" t="0" r="16510"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6"/>
                          <a:stretch>
                            <a:fillRect/>
                          </a:stretch>
                        </pic:blipFill>
                        <pic:spPr>
                          <a:xfrm>
                            <a:off x="0" y="0"/>
                            <a:ext cx="4631690" cy="3837940"/>
                          </a:xfrm>
                          <a:prstGeom prst="rect">
                            <a:avLst/>
                          </a:prstGeom>
                          <a:noFill/>
                          <a:ln>
                            <a:noFill/>
                          </a:ln>
                        </pic:spPr>
                      </pic:pic>
                    </a:graphicData>
                  </a:graphic>
                </wp:inline>
              </w:drawing>
            </w:r>
          </w:p>
          <w:p w14:paraId="2FC87E7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Times New Roman" w:hAnsi="Times New Roman" w:eastAsia="黑体" w:cs="Times New Roman"/>
                <w:lang w:eastAsia="zh-CN"/>
              </w:rPr>
            </w:pPr>
            <w:r>
              <w:rPr>
                <w:rFonts w:hint="default" w:ascii="Times New Roman" w:hAnsi="Times New Roman" w:eastAsia="黑体" w:cs="Times New Roman"/>
                <w:color w:val="auto"/>
                <w:szCs w:val="21"/>
              </w:rPr>
              <w:t>图1-</w:t>
            </w:r>
            <w:r>
              <w:rPr>
                <w:rFonts w:hint="eastAsia" w:ascii="Times New Roman" w:hAnsi="Times New Roman" w:eastAsia="黑体" w:cs="Times New Roman"/>
                <w:color w:val="auto"/>
                <w:szCs w:val="21"/>
                <w:lang w:val="en-US" w:eastAsia="zh-CN"/>
              </w:rPr>
              <w:t>2</w:t>
            </w:r>
            <w:r>
              <w:rPr>
                <w:rFonts w:hint="default" w:ascii="Times New Roman" w:hAnsi="Times New Roman" w:eastAsia="黑体" w:cs="Times New Roman"/>
                <w:color w:val="auto"/>
                <w:szCs w:val="21"/>
              </w:rPr>
              <w:t xml:space="preserve">  项目</w:t>
            </w:r>
            <w:r>
              <w:rPr>
                <w:rFonts w:hint="default" w:ascii="Times New Roman" w:hAnsi="Times New Roman" w:eastAsia="黑体" w:cs="Times New Roman"/>
                <w:color w:val="auto"/>
                <w:szCs w:val="21"/>
                <w:lang w:val="en-US" w:eastAsia="zh-CN"/>
              </w:rPr>
              <w:t>生态环境分区管控</w:t>
            </w:r>
            <w:r>
              <w:rPr>
                <w:rFonts w:hint="default" w:ascii="Times New Roman" w:hAnsi="Times New Roman" w:eastAsia="黑体" w:cs="Times New Roman"/>
                <w:color w:val="auto"/>
                <w:szCs w:val="21"/>
              </w:rPr>
              <w:t>符合性分析查询截图</w:t>
            </w:r>
            <w:r>
              <w:rPr>
                <w:rFonts w:hint="default" w:ascii="Times New Roman" w:hAnsi="Times New Roman" w:eastAsia="黑体" w:cs="Times New Roman"/>
                <w:color w:val="auto"/>
                <w:szCs w:val="21"/>
                <w:lang w:eastAsia="zh-CN"/>
              </w:rPr>
              <w:t>（</w:t>
            </w:r>
            <w:r>
              <w:rPr>
                <w:rFonts w:hint="eastAsia" w:ascii="Times New Roman" w:hAnsi="Times New Roman" w:eastAsia="黑体" w:cs="Times New Roman"/>
                <w:color w:val="auto"/>
                <w:szCs w:val="21"/>
                <w:lang w:val="en-US" w:eastAsia="zh-CN"/>
              </w:rPr>
              <w:t>马渡关</w:t>
            </w:r>
            <w:r>
              <w:rPr>
                <w:rFonts w:hint="default" w:ascii="Times New Roman" w:hAnsi="Times New Roman" w:eastAsia="黑体" w:cs="Times New Roman"/>
                <w:color w:val="auto"/>
                <w:szCs w:val="21"/>
                <w:lang w:val="en-US" w:eastAsia="zh-CN"/>
              </w:rPr>
              <w:t>水厂</w:t>
            </w:r>
            <w:r>
              <w:rPr>
                <w:rFonts w:hint="default" w:ascii="Times New Roman" w:hAnsi="Times New Roman" w:eastAsia="黑体" w:cs="Times New Roman"/>
                <w:color w:val="auto"/>
                <w:szCs w:val="21"/>
                <w:lang w:eastAsia="zh-CN"/>
              </w:rPr>
              <w:t>）</w:t>
            </w:r>
          </w:p>
          <w:p w14:paraId="591DD8A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pPr>
            <w:r>
              <w:drawing>
                <wp:inline distT="0" distB="0" distL="114300" distR="114300">
                  <wp:extent cx="4509135" cy="3759200"/>
                  <wp:effectExtent l="0" t="0" r="5715" b="1270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7"/>
                          <a:stretch>
                            <a:fillRect/>
                          </a:stretch>
                        </pic:blipFill>
                        <pic:spPr>
                          <a:xfrm>
                            <a:off x="0" y="0"/>
                            <a:ext cx="4509135" cy="3759200"/>
                          </a:xfrm>
                          <a:prstGeom prst="rect">
                            <a:avLst/>
                          </a:prstGeom>
                          <a:noFill/>
                          <a:ln>
                            <a:noFill/>
                          </a:ln>
                        </pic:spPr>
                      </pic:pic>
                    </a:graphicData>
                  </a:graphic>
                </wp:inline>
              </w:drawing>
            </w:r>
          </w:p>
          <w:p w14:paraId="79186D3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pPr>
            <w:r>
              <w:rPr>
                <w:rFonts w:hint="default" w:ascii="Times New Roman" w:hAnsi="Times New Roman" w:eastAsia="黑体" w:cs="Times New Roman"/>
                <w:color w:val="auto"/>
                <w:szCs w:val="21"/>
              </w:rPr>
              <w:t>图1-</w:t>
            </w:r>
            <w:r>
              <w:rPr>
                <w:rFonts w:hint="eastAsia" w:ascii="Times New Roman" w:hAnsi="Times New Roman" w:eastAsia="黑体" w:cs="Times New Roman"/>
                <w:color w:val="auto"/>
                <w:szCs w:val="21"/>
                <w:lang w:val="en-US" w:eastAsia="zh-CN"/>
              </w:rPr>
              <w:t>3</w:t>
            </w:r>
            <w:r>
              <w:rPr>
                <w:rFonts w:hint="default" w:ascii="Times New Roman" w:hAnsi="Times New Roman" w:eastAsia="黑体" w:cs="Times New Roman"/>
                <w:color w:val="auto"/>
                <w:szCs w:val="21"/>
              </w:rPr>
              <w:t xml:space="preserve">  项目</w:t>
            </w:r>
            <w:r>
              <w:rPr>
                <w:rFonts w:hint="default" w:ascii="Times New Roman" w:hAnsi="Times New Roman" w:eastAsia="黑体" w:cs="Times New Roman"/>
                <w:color w:val="auto"/>
                <w:szCs w:val="21"/>
                <w:lang w:val="en-US" w:eastAsia="zh-CN"/>
              </w:rPr>
              <w:t>生态环境分区管控</w:t>
            </w:r>
            <w:r>
              <w:rPr>
                <w:rFonts w:hint="default" w:ascii="Times New Roman" w:hAnsi="Times New Roman" w:eastAsia="黑体" w:cs="Times New Roman"/>
                <w:color w:val="auto"/>
                <w:szCs w:val="21"/>
              </w:rPr>
              <w:t>符合性分析查询截图</w:t>
            </w:r>
            <w:r>
              <w:rPr>
                <w:rFonts w:hint="default" w:ascii="Times New Roman" w:hAnsi="Times New Roman" w:eastAsia="黑体" w:cs="Times New Roman"/>
                <w:color w:val="auto"/>
                <w:szCs w:val="21"/>
                <w:lang w:eastAsia="zh-CN"/>
              </w:rPr>
              <w:t>（</w:t>
            </w:r>
            <w:r>
              <w:rPr>
                <w:rFonts w:hint="eastAsia" w:ascii="Times New Roman" w:hAnsi="Times New Roman" w:eastAsia="黑体" w:cs="Times New Roman"/>
                <w:color w:val="auto"/>
                <w:szCs w:val="21"/>
                <w:lang w:val="en-US" w:eastAsia="zh-CN"/>
              </w:rPr>
              <w:t>隘口</w:t>
            </w:r>
            <w:r>
              <w:rPr>
                <w:rFonts w:hint="default" w:ascii="Times New Roman" w:hAnsi="Times New Roman" w:eastAsia="黑体" w:cs="Times New Roman"/>
                <w:color w:val="auto"/>
                <w:szCs w:val="21"/>
                <w:lang w:val="en-US" w:eastAsia="zh-CN"/>
              </w:rPr>
              <w:t>水厂</w:t>
            </w:r>
            <w:r>
              <w:rPr>
                <w:rFonts w:hint="default" w:ascii="Times New Roman" w:hAnsi="Times New Roman" w:eastAsia="黑体" w:cs="Times New Roman"/>
                <w:color w:val="auto"/>
                <w:szCs w:val="21"/>
                <w:lang w:eastAsia="zh-CN"/>
              </w:rPr>
              <w:t>）</w:t>
            </w:r>
          </w:p>
          <w:p w14:paraId="29B5293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Times New Roman" w:hAnsi="Times New Roman" w:cs="Times New Roman"/>
                <w:color w:val="auto"/>
                <w:sz w:val="24"/>
                <w:szCs w:val="24"/>
                <w:highlight w:val="none"/>
                <w:lang w:val="en-US" w:eastAsia="zh-CN"/>
              </w:rPr>
            </w:pPr>
            <w:r>
              <w:drawing>
                <wp:inline distT="0" distB="0" distL="114300" distR="114300">
                  <wp:extent cx="5568315" cy="3224530"/>
                  <wp:effectExtent l="0" t="0" r="13335" b="1397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8"/>
                          <a:stretch>
                            <a:fillRect/>
                          </a:stretch>
                        </pic:blipFill>
                        <pic:spPr>
                          <a:xfrm>
                            <a:off x="0" y="0"/>
                            <a:ext cx="5568315" cy="3224530"/>
                          </a:xfrm>
                          <a:prstGeom prst="rect">
                            <a:avLst/>
                          </a:prstGeom>
                          <a:noFill/>
                          <a:ln>
                            <a:noFill/>
                          </a:ln>
                        </pic:spPr>
                      </pic:pic>
                    </a:graphicData>
                  </a:graphic>
                </wp:inline>
              </w:drawing>
            </w:r>
          </w:p>
          <w:p w14:paraId="68F166C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图1-</w:t>
            </w:r>
            <w:r>
              <w:rPr>
                <w:rFonts w:hint="eastAsia" w:ascii="Times New Roman" w:hAnsi="Times New Roman" w:eastAsia="黑体" w:cs="Times New Roman"/>
                <w:color w:val="auto"/>
                <w:sz w:val="21"/>
                <w:szCs w:val="21"/>
                <w:lang w:val="en-US" w:eastAsia="zh-CN"/>
              </w:rPr>
              <w:t>4</w:t>
            </w:r>
            <w:r>
              <w:rPr>
                <w:rFonts w:hint="default" w:ascii="Times New Roman" w:hAnsi="Times New Roman" w:eastAsia="黑体" w:cs="Times New Roman"/>
                <w:color w:val="auto"/>
                <w:sz w:val="21"/>
                <w:szCs w:val="21"/>
              </w:rPr>
              <w:t xml:space="preserve">  项目与</w:t>
            </w:r>
            <w:r>
              <w:rPr>
                <w:rFonts w:hint="default" w:ascii="Times New Roman" w:hAnsi="Times New Roman" w:eastAsia="黑体" w:cs="Times New Roman"/>
                <w:color w:val="auto"/>
                <w:sz w:val="21"/>
                <w:szCs w:val="21"/>
                <w:lang w:val="en-US" w:eastAsia="zh-CN"/>
              </w:rPr>
              <w:t>生态环境</w:t>
            </w:r>
            <w:r>
              <w:rPr>
                <w:rFonts w:hint="default" w:ascii="Times New Roman" w:hAnsi="Times New Roman" w:eastAsia="黑体" w:cs="Times New Roman"/>
                <w:color w:val="auto"/>
                <w:sz w:val="21"/>
                <w:szCs w:val="21"/>
              </w:rPr>
              <w:t>管控单元相对位置图</w:t>
            </w:r>
            <w:r>
              <w:rPr>
                <w:rFonts w:hint="default" w:ascii="Times New Roman" w:hAnsi="Times New Roman" w:eastAsia="黑体" w:cs="Times New Roman"/>
                <w:color w:val="auto"/>
                <w:szCs w:val="21"/>
                <w:lang w:eastAsia="zh-CN"/>
              </w:rPr>
              <w:t>（</w:t>
            </w:r>
            <w:r>
              <w:rPr>
                <w:rFonts w:hint="eastAsia" w:ascii="Times New Roman" w:hAnsi="Times New Roman" w:eastAsia="黑体" w:cs="Times New Roman"/>
                <w:color w:val="auto"/>
                <w:szCs w:val="21"/>
                <w:lang w:val="en-US" w:eastAsia="zh-CN"/>
              </w:rPr>
              <w:t>马渡关</w:t>
            </w:r>
            <w:r>
              <w:rPr>
                <w:rFonts w:hint="default" w:ascii="Times New Roman" w:hAnsi="Times New Roman" w:eastAsia="黑体" w:cs="Times New Roman"/>
                <w:color w:val="auto"/>
                <w:szCs w:val="21"/>
                <w:lang w:val="en-US" w:eastAsia="zh-CN"/>
              </w:rPr>
              <w:t>水厂</w:t>
            </w:r>
            <w:r>
              <w:rPr>
                <w:rFonts w:hint="eastAsia" w:ascii="Times New Roman" w:hAnsi="Times New Roman" w:eastAsia="黑体" w:cs="Times New Roman"/>
                <w:color w:val="auto"/>
                <w:szCs w:val="21"/>
                <w:lang w:val="en-US" w:eastAsia="zh-CN"/>
              </w:rPr>
              <w:t>，</w:t>
            </w:r>
            <w:r>
              <w:rPr>
                <w:rFonts w:hint="eastAsia" w:ascii="黑体" w:hAnsi="黑体" w:eastAsia="黑体" w:cs="黑体"/>
                <w:b w:val="0"/>
                <w:bCs/>
                <w:color w:val="auto"/>
                <w:sz w:val="21"/>
                <w:szCs w:val="21"/>
                <w:highlight w:val="none"/>
              </w:rPr>
              <w:t>图中</w:t>
            </w:r>
            <w:r>
              <w:rPr>
                <w:rFonts w:hint="eastAsia" w:ascii="黑体" w:hAnsi="黑体" w:eastAsia="黑体" w:cs="黑体"/>
                <w:b w:val="0"/>
                <w:bCs/>
                <w:color w:val="auto"/>
                <w:sz w:val="21"/>
                <w:szCs w:val="21"/>
                <w:highlight w:val="none"/>
                <w:lang w:val="en-US" w:eastAsia="zh-CN"/>
              </w:rPr>
              <w:t>①</w:t>
            </w:r>
            <w:r>
              <w:rPr>
                <w:rFonts w:hint="eastAsia" w:ascii="黑体" w:hAnsi="黑体" w:eastAsia="黑体" w:cs="黑体"/>
                <w:b w:val="0"/>
                <w:bCs/>
                <w:color w:val="auto"/>
                <w:sz w:val="21"/>
                <w:szCs w:val="21"/>
                <w:highlight w:val="none"/>
              </w:rPr>
              <w:t>表示项目位置</w:t>
            </w:r>
            <w:r>
              <w:rPr>
                <w:rFonts w:hint="default" w:ascii="Times New Roman" w:hAnsi="Times New Roman" w:eastAsia="黑体" w:cs="Times New Roman"/>
                <w:color w:val="auto"/>
                <w:szCs w:val="21"/>
                <w:lang w:eastAsia="zh-CN"/>
              </w:rPr>
              <w:t>）</w:t>
            </w:r>
          </w:p>
          <w:p w14:paraId="1E6EEF4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Times New Roman" w:hAnsi="Times New Roman" w:cs="Times New Roman"/>
                <w:color w:val="auto"/>
                <w:sz w:val="24"/>
                <w:szCs w:val="24"/>
                <w:highlight w:val="none"/>
                <w:lang w:val="en-US" w:eastAsia="zh-CN"/>
              </w:rPr>
            </w:pPr>
            <w:r>
              <w:drawing>
                <wp:inline distT="0" distB="0" distL="114300" distR="114300">
                  <wp:extent cx="5510530" cy="2978785"/>
                  <wp:effectExtent l="0" t="0" r="13970" b="1206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9"/>
                          <a:stretch>
                            <a:fillRect/>
                          </a:stretch>
                        </pic:blipFill>
                        <pic:spPr>
                          <a:xfrm>
                            <a:off x="0" y="0"/>
                            <a:ext cx="5510530" cy="2978785"/>
                          </a:xfrm>
                          <a:prstGeom prst="rect">
                            <a:avLst/>
                          </a:prstGeom>
                          <a:noFill/>
                          <a:ln>
                            <a:noFill/>
                          </a:ln>
                        </pic:spPr>
                      </pic:pic>
                    </a:graphicData>
                  </a:graphic>
                </wp:inline>
              </w:drawing>
            </w:r>
          </w:p>
          <w:p w14:paraId="4B02C9E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Times New Roman" w:hAnsi="Times New Roman" w:eastAsia="宋体" w:cs="Times New Roman"/>
                <w:b/>
                <w:bCs/>
                <w:color w:val="auto"/>
                <w:kern w:val="0"/>
                <w:sz w:val="24"/>
                <w:szCs w:val="24"/>
                <w:lang w:val="en-US" w:eastAsia="zh-CN" w:bidi="ar"/>
              </w:rPr>
            </w:pPr>
            <w:r>
              <w:rPr>
                <w:rFonts w:hint="default" w:ascii="Times New Roman" w:hAnsi="Times New Roman" w:eastAsia="黑体" w:cs="Times New Roman"/>
                <w:color w:val="auto"/>
                <w:sz w:val="21"/>
                <w:szCs w:val="21"/>
              </w:rPr>
              <w:t>图1-</w:t>
            </w:r>
            <w:r>
              <w:rPr>
                <w:rFonts w:hint="eastAsia" w:ascii="Times New Roman" w:hAnsi="Times New Roman" w:eastAsia="黑体" w:cs="Times New Roman"/>
                <w:color w:val="auto"/>
                <w:sz w:val="21"/>
                <w:szCs w:val="21"/>
                <w:lang w:val="en-US" w:eastAsia="zh-CN"/>
              </w:rPr>
              <w:t>5</w:t>
            </w:r>
            <w:r>
              <w:rPr>
                <w:rFonts w:hint="default" w:ascii="Times New Roman" w:hAnsi="Times New Roman" w:eastAsia="黑体" w:cs="Times New Roman"/>
                <w:color w:val="auto"/>
                <w:sz w:val="21"/>
                <w:szCs w:val="21"/>
              </w:rPr>
              <w:t xml:space="preserve">  项目与</w:t>
            </w:r>
            <w:r>
              <w:rPr>
                <w:rFonts w:hint="default" w:ascii="Times New Roman" w:hAnsi="Times New Roman" w:eastAsia="黑体" w:cs="Times New Roman"/>
                <w:color w:val="auto"/>
                <w:sz w:val="21"/>
                <w:szCs w:val="21"/>
                <w:lang w:val="en-US" w:eastAsia="zh-CN"/>
              </w:rPr>
              <w:t>生态环境</w:t>
            </w:r>
            <w:r>
              <w:rPr>
                <w:rFonts w:hint="default" w:ascii="Times New Roman" w:hAnsi="Times New Roman" w:eastAsia="黑体" w:cs="Times New Roman"/>
                <w:color w:val="auto"/>
                <w:sz w:val="21"/>
                <w:szCs w:val="21"/>
              </w:rPr>
              <w:t>管控单元相对位置图</w:t>
            </w:r>
            <w:r>
              <w:rPr>
                <w:rFonts w:hint="default" w:ascii="Times New Roman" w:hAnsi="Times New Roman" w:eastAsia="黑体" w:cs="Times New Roman"/>
                <w:color w:val="auto"/>
                <w:szCs w:val="21"/>
                <w:lang w:eastAsia="zh-CN"/>
              </w:rPr>
              <w:t>（</w:t>
            </w:r>
            <w:r>
              <w:rPr>
                <w:rFonts w:hint="eastAsia" w:ascii="Times New Roman" w:hAnsi="Times New Roman" w:eastAsia="黑体" w:cs="Times New Roman"/>
                <w:color w:val="auto"/>
                <w:szCs w:val="21"/>
                <w:lang w:val="en-US" w:eastAsia="zh-CN"/>
              </w:rPr>
              <w:t>隘口</w:t>
            </w:r>
            <w:r>
              <w:rPr>
                <w:rFonts w:hint="default" w:ascii="Times New Roman" w:hAnsi="Times New Roman" w:eastAsia="黑体" w:cs="Times New Roman"/>
                <w:color w:val="auto"/>
                <w:szCs w:val="21"/>
                <w:lang w:val="en-US" w:eastAsia="zh-CN"/>
              </w:rPr>
              <w:t>水厂</w:t>
            </w:r>
            <w:r>
              <w:rPr>
                <w:rFonts w:hint="eastAsia" w:ascii="黑体" w:hAnsi="黑体" w:eastAsia="黑体" w:cs="黑体"/>
                <w:b w:val="0"/>
                <w:bCs/>
                <w:color w:val="auto"/>
                <w:sz w:val="21"/>
                <w:szCs w:val="21"/>
                <w:highlight w:val="none"/>
              </w:rPr>
              <w:t>图中</w:t>
            </w:r>
            <w:r>
              <w:rPr>
                <w:rFonts w:hint="eastAsia" w:ascii="黑体" w:hAnsi="黑体" w:eastAsia="黑体" w:cs="黑体"/>
                <w:b w:val="0"/>
                <w:bCs/>
                <w:color w:val="auto"/>
                <w:sz w:val="21"/>
                <w:szCs w:val="21"/>
                <w:highlight w:val="none"/>
                <w:lang w:eastAsia="zh-CN"/>
              </w:rPr>
              <w:t>，</w:t>
            </w:r>
            <w:r>
              <w:rPr>
                <w:rFonts w:hint="eastAsia" w:ascii="黑体" w:hAnsi="黑体" w:eastAsia="黑体" w:cs="黑体"/>
                <w:b w:val="0"/>
                <w:bCs/>
                <w:color w:val="auto"/>
                <w:sz w:val="21"/>
                <w:szCs w:val="21"/>
                <w:highlight w:val="none"/>
              </w:rPr>
              <w:t>图中</w:t>
            </w:r>
            <w:r>
              <w:rPr>
                <w:rFonts w:hint="eastAsia" w:ascii="黑体" w:hAnsi="黑体" w:eastAsia="黑体" w:cs="黑体"/>
                <w:b w:val="0"/>
                <w:bCs/>
                <w:color w:val="auto"/>
                <w:sz w:val="21"/>
                <w:szCs w:val="21"/>
                <w:highlight w:val="none"/>
                <w:lang w:val="en-US" w:eastAsia="zh-CN"/>
              </w:rPr>
              <w:t>①</w:t>
            </w:r>
            <w:r>
              <w:rPr>
                <w:rFonts w:hint="eastAsia" w:ascii="黑体" w:hAnsi="黑体" w:eastAsia="黑体" w:cs="黑体"/>
                <w:b w:val="0"/>
                <w:bCs/>
                <w:color w:val="auto"/>
                <w:sz w:val="21"/>
                <w:szCs w:val="21"/>
                <w:highlight w:val="none"/>
              </w:rPr>
              <w:t>表示项目位置</w:t>
            </w:r>
            <w:r>
              <w:rPr>
                <w:rFonts w:hint="default" w:ascii="Times New Roman" w:hAnsi="Times New Roman" w:eastAsia="黑体" w:cs="Times New Roman"/>
                <w:color w:val="auto"/>
                <w:szCs w:val="21"/>
                <w:lang w:eastAsia="zh-CN"/>
              </w:rPr>
              <w:t>）</w:t>
            </w:r>
          </w:p>
          <w:p w14:paraId="799C7D39">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②</w:t>
            </w:r>
            <w:r>
              <w:rPr>
                <w:rFonts w:hint="eastAsia"/>
                <w:b/>
                <w:bCs/>
                <w:sz w:val="24"/>
                <w:szCs w:val="24"/>
                <w:lang w:val="en-US" w:eastAsia="zh-CN"/>
              </w:rPr>
              <w:t>生态环境分区管控</w:t>
            </w:r>
            <w:r>
              <w:rPr>
                <w:rFonts w:hint="eastAsia"/>
                <w:b/>
                <w:bCs/>
                <w:sz w:val="24"/>
                <w:szCs w:val="24"/>
              </w:rPr>
              <w:t>空间符合性分析</w:t>
            </w:r>
          </w:p>
          <w:p w14:paraId="627DF58A">
            <w:pPr>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根据达州市生态空间更新成果与《达州市2023年生态环境分区管控成果动态更新情况说明》，优化调整后的生态保护红线管控区分区数量共计34个，分区面积为1202.83km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，分区面积占比7.26%。达州市生态保护红线主要分布在大巴山和盆地区域，涉及大巴山生物多样性维护—水源涵养生态保护红线、盆中城市饮用水源—水土保持生态保护红线。达州市生态保护红线分布图见下图1-</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，达州市生态空间分布图见下图1-</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w:t>
            </w:r>
          </w:p>
          <w:p w14:paraId="783D71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color w:val="auto"/>
                <w:sz w:val="24"/>
                <w:szCs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1805305</wp:posOffset>
                      </wp:positionH>
                      <wp:positionV relativeFrom="paragraph">
                        <wp:posOffset>71120</wp:posOffset>
                      </wp:positionV>
                      <wp:extent cx="725170" cy="325120"/>
                      <wp:effectExtent l="7620" t="7620" r="10160" b="715010"/>
                      <wp:wrapNone/>
                      <wp:docPr id="33" name="矩形标注 33"/>
                      <wp:cNvGraphicFramePr/>
                      <a:graphic xmlns:a="http://schemas.openxmlformats.org/drawingml/2006/main">
                        <a:graphicData uri="http://schemas.microsoft.com/office/word/2010/wordprocessingShape">
                          <wps:wsp>
                            <wps:cNvSpPr/>
                            <wps:spPr>
                              <a:xfrm>
                                <a:off x="2773680" y="4458335"/>
                                <a:ext cx="725170" cy="325120"/>
                              </a:xfrm>
                              <a:prstGeom prst="wedgeRectCallout">
                                <a:avLst>
                                  <a:gd name="adj1" fmla="val 45694"/>
                                  <a:gd name="adj2" fmla="val 249380"/>
                                </a:avLst>
                              </a:prstGeom>
                              <a:noFill/>
                              <a:ln w="15875" cap="flat" cmpd="sng">
                                <a:solidFill>
                                  <a:srgbClr val="FF0000"/>
                                </a:solidFill>
                                <a:prstDash val="solid"/>
                                <a:miter/>
                                <a:headEnd type="none" w="med" len="med"/>
                                <a:tailEnd type="none" w="med" len="med"/>
                              </a:ln>
                              <a:effectLst/>
                            </wps:spPr>
                            <wps:txbx>
                              <w:txbxContent>
                                <w:p w14:paraId="3A0A7B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wps:txbx>
                            <wps:bodyPr upright="1"/>
                          </wps:wsp>
                        </a:graphicData>
                      </a:graphic>
                    </wp:anchor>
                  </w:drawing>
                </mc:Choice>
                <mc:Fallback>
                  <w:pict>
                    <v:shape id="_x0000_s1026" o:spid="_x0000_s1026" o:spt="61" type="#_x0000_t61" style="position:absolute;left:0pt;margin-left:142.15pt;margin-top:5.6pt;height:25.6pt;width:57.1pt;z-index:251661312;mso-width-relative:page;mso-height-relative:page;" filled="f" stroked="t" coordsize="21600,21600" o:gfxdata="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63sgP2wAAAAkBAAAPAAAA&#10;AAAAAAEAIAAAACIAAABkcnMvZG93bnJldi54bWxQSwECFAAUAAAACACHTuJAfAGttEsCAACABAAA&#10;DgAAAAAAAAABACAAAAAqAQAAZHJzL2Uyb0RvYy54bWxQSwUGAAAAAAYABgBZAQAA5wUAAAAA&#10;" adj="20670,64666">
                      <v:fill on="f" focussize="0,0"/>
                      <v:stroke weight="1.25pt" color="#FF0000" joinstyle="miter"/>
                      <v:imagedata o:title=""/>
                      <o:lock v:ext="edit" aspectratio="f"/>
                      <v:textbox>
                        <w:txbxContent>
                          <w:p w14:paraId="3A0A7B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v:textbox>
                    </v:shape>
                  </w:pict>
                </mc:Fallback>
              </mc:AlternateContent>
            </w:r>
            <w:r>
              <w:rPr>
                <w:color w:val="auto"/>
              </w:rPr>
              <w:drawing>
                <wp:inline distT="0" distB="0" distL="114300" distR="114300">
                  <wp:extent cx="3688715" cy="2516505"/>
                  <wp:effectExtent l="0" t="0" r="6985" b="1714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0"/>
                          <a:stretch>
                            <a:fillRect/>
                          </a:stretch>
                        </pic:blipFill>
                        <pic:spPr>
                          <a:xfrm>
                            <a:off x="0" y="0"/>
                            <a:ext cx="3688715" cy="2516505"/>
                          </a:xfrm>
                          <a:prstGeom prst="rect">
                            <a:avLst/>
                          </a:prstGeom>
                          <a:noFill/>
                          <a:ln>
                            <a:noFill/>
                          </a:ln>
                        </pic:spPr>
                      </pic:pic>
                    </a:graphicData>
                  </a:graphic>
                </wp:inline>
              </w:drawing>
            </w:r>
          </w:p>
          <w:p w14:paraId="38B29300">
            <w:pPr>
              <w:pStyle w:val="11"/>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jc w:val="center"/>
              <w:textAlignment w:val="auto"/>
              <w:rPr>
                <w:rFonts w:hint="default" w:ascii="Times New Roman" w:hAnsi="Times New Roman" w:eastAsia="黑体" w:cs="黑体"/>
                <w:color w:val="auto"/>
                <w:kern w:val="2"/>
                <w:sz w:val="21"/>
                <w:szCs w:val="21"/>
                <w:lang w:val="en-US" w:eastAsia="zh-CN" w:bidi="ar-SA"/>
              </w:rPr>
            </w:pPr>
            <w:r>
              <w:rPr>
                <w:rFonts w:hint="eastAsia" w:ascii="Times New Roman" w:hAnsi="Times New Roman" w:eastAsia="黑体" w:cs="黑体"/>
                <w:color w:val="auto"/>
                <w:kern w:val="2"/>
                <w:sz w:val="21"/>
                <w:szCs w:val="21"/>
                <w:lang w:val="en-US" w:eastAsia="zh-CN" w:bidi="ar-SA"/>
              </w:rPr>
              <w:t>图1-6  项目与达州市生态红线分布位置关系图</w:t>
            </w:r>
          </w:p>
          <w:p w14:paraId="723E8B4A">
            <w:pPr>
              <w:pStyle w:val="11"/>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jc w:val="center"/>
              <w:textAlignment w:val="auto"/>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1614805</wp:posOffset>
                      </wp:positionH>
                      <wp:positionV relativeFrom="paragraph">
                        <wp:posOffset>80010</wp:posOffset>
                      </wp:positionV>
                      <wp:extent cx="725170" cy="325120"/>
                      <wp:effectExtent l="7620" t="7620" r="10160" b="715010"/>
                      <wp:wrapNone/>
                      <wp:docPr id="32" name="矩形标注 32"/>
                      <wp:cNvGraphicFramePr/>
                      <a:graphic xmlns:a="http://schemas.openxmlformats.org/drawingml/2006/main">
                        <a:graphicData uri="http://schemas.microsoft.com/office/word/2010/wordprocessingShape">
                          <wps:wsp>
                            <wps:cNvSpPr/>
                            <wps:spPr>
                              <a:xfrm>
                                <a:off x="2773680" y="4458335"/>
                                <a:ext cx="725170" cy="325120"/>
                              </a:xfrm>
                              <a:prstGeom prst="wedgeRectCallout">
                                <a:avLst>
                                  <a:gd name="adj1" fmla="val 45694"/>
                                  <a:gd name="adj2" fmla="val 249380"/>
                                </a:avLst>
                              </a:prstGeom>
                              <a:noFill/>
                              <a:ln w="15875" cap="flat" cmpd="sng">
                                <a:solidFill>
                                  <a:srgbClr val="FF0000"/>
                                </a:solidFill>
                                <a:prstDash val="solid"/>
                                <a:miter/>
                                <a:headEnd type="none" w="med" len="med"/>
                                <a:tailEnd type="none" w="med" len="med"/>
                              </a:ln>
                              <a:effectLst/>
                            </wps:spPr>
                            <wps:txbx>
                              <w:txbxContent>
                                <w:p w14:paraId="6F58A1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wps:txbx>
                            <wps:bodyPr upright="1"/>
                          </wps:wsp>
                        </a:graphicData>
                      </a:graphic>
                    </wp:anchor>
                  </w:drawing>
                </mc:Choice>
                <mc:Fallback>
                  <w:pict>
                    <v:shape id="_x0000_s1026" o:spid="_x0000_s1026" o:spt="61" type="#_x0000_t61" style="position:absolute;left:0pt;margin-left:127.15pt;margin-top:6.3pt;height:25.6pt;width:57.1pt;z-index:251662336;mso-width-relative:page;mso-height-relative:page;" filled="f" stroked="t" coordsize="21600,21600" o:gfxdata="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fd2n2wAAAAkBAAAPAAAA&#10;AAAAAAEAIAAAACIAAABkcnMvZG93bnJldi54bWxQSwECFAAUAAAACACHTuJAFRsbp0sCAACABAAA&#10;DgAAAAAAAAABACAAAAAqAQAAZHJzL2Uyb0RvYy54bWxQSwUGAAAAAAYABgBZAQAA5wUAAAAA&#10;" adj="20670,64666">
                      <v:fill on="f" focussize="0,0"/>
                      <v:stroke weight="1.25pt" color="#FF0000" joinstyle="miter"/>
                      <v:imagedata o:title=""/>
                      <o:lock v:ext="edit" aspectratio="f"/>
                      <v:textbox>
                        <w:txbxContent>
                          <w:p w14:paraId="6F58A1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color w:val="FF0000"/>
                                <w:sz w:val="24"/>
                                <w:szCs w:val="24"/>
                                <w:lang w:val="en-US" w:eastAsia="zh-CN"/>
                              </w:rPr>
                            </w:pPr>
                            <w:r>
                              <w:rPr>
                                <w:rFonts w:hint="eastAsia"/>
                                <w:color w:val="FF0000"/>
                                <w:sz w:val="24"/>
                                <w:szCs w:val="24"/>
                                <w:lang w:val="en-US" w:eastAsia="zh-CN"/>
                              </w:rPr>
                              <w:t>本项目</w:t>
                            </w:r>
                          </w:p>
                        </w:txbxContent>
                      </v:textbox>
                    </v:shape>
                  </w:pict>
                </mc:Fallback>
              </mc:AlternateContent>
            </w:r>
            <w:r>
              <w:drawing>
                <wp:inline distT="0" distB="0" distL="114300" distR="114300">
                  <wp:extent cx="3763010" cy="2668905"/>
                  <wp:effectExtent l="0" t="0" r="8890" b="1714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1"/>
                          <a:stretch>
                            <a:fillRect/>
                          </a:stretch>
                        </pic:blipFill>
                        <pic:spPr>
                          <a:xfrm>
                            <a:off x="0" y="0"/>
                            <a:ext cx="3763010" cy="2668905"/>
                          </a:xfrm>
                          <a:prstGeom prst="rect">
                            <a:avLst/>
                          </a:prstGeom>
                          <a:noFill/>
                          <a:ln>
                            <a:noFill/>
                          </a:ln>
                        </pic:spPr>
                      </pic:pic>
                    </a:graphicData>
                  </a:graphic>
                </wp:inline>
              </w:drawing>
            </w:r>
          </w:p>
          <w:p w14:paraId="500B42E4">
            <w:pPr>
              <w:pStyle w:val="11"/>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jc w:val="center"/>
              <w:textAlignment w:val="auto"/>
              <w:rPr>
                <w:rFonts w:hint="default" w:ascii="Times New Roman" w:hAnsi="Times New Roman" w:eastAsia="黑体" w:cs="黑体"/>
                <w:color w:val="auto"/>
                <w:kern w:val="2"/>
                <w:sz w:val="21"/>
                <w:szCs w:val="21"/>
                <w:lang w:val="en-US" w:eastAsia="zh-CN" w:bidi="ar-SA"/>
              </w:rPr>
            </w:pPr>
            <w:r>
              <w:rPr>
                <w:rFonts w:hint="default" w:ascii="Times New Roman" w:hAnsi="Times New Roman" w:eastAsia="黑体" w:cs="黑体"/>
                <w:color w:val="auto"/>
                <w:kern w:val="2"/>
                <w:sz w:val="21"/>
                <w:szCs w:val="21"/>
                <w:lang w:val="en-US" w:eastAsia="zh-CN" w:bidi="ar-SA"/>
              </w:rPr>
              <w:t>图1-</w:t>
            </w:r>
            <w:r>
              <w:rPr>
                <w:rFonts w:hint="eastAsia" w:ascii="Times New Roman" w:hAnsi="Times New Roman" w:eastAsia="黑体" w:cs="黑体"/>
                <w:color w:val="auto"/>
                <w:kern w:val="2"/>
                <w:sz w:val="21"/>
                <w:szCs w:val="21"/>
                <w:lang w:val="en-US" w:eastAsia="zh-CN" w:bidi="ar-SA"/>
              </w:rPr>
              <w:t>7</w:t>
            </w:r>
            <w:r>
              <w:rPr>
                <w:rFonts w:hint="default" w:ascii="Times New Roman" w:hAnsi="Times New Roman" w:eastAsia="黑体" w:cs="黑体"/>
                <w:color w:val="auto"/>
                <w:kern w:val="2"/>
                <w:sz w:val="21"/>
                <w:szCs w:val="21"/>
                <w:lang w:val="en-US" w:eastAsia="zh-CN" w:bidi="ar-SA"/>
              </w:rPr>
              <w:t xml:space="preserve"> </w:t>
            </w:r>
            <w:r>
              <w:rPr>
                <w:rFonts w:hint="eastAsia" w:ascii="Times New Roman" w:hAnsi="Times New Roman" w:eastAsia="黑体" w:cs="黑体"/>
                <w:color w:val="auto"/>
                <w:kern w:val="2"/>
                <w:sz w:val="21"/>
                <w:szCs w:val="21"/>
                <w:lang w:val="en-US" w:eastAsia="zh-CN" w:bidi="ar-SA"/>
              </w:rPr>
              <w:t xml:space="preserve"> 项目与达州市生态空间的位置关系图</w:t>
            </w:r>
          </w:p>
          <w:p w14:paraId="29A6BA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Times New Roman" w:hAnsi="Times New Roman" w:eastAsia="宋体" w:cs="Times New Roman"/>
                <w:b w:val="0"/>
                <w:bCs w:val="0"/>
                <w:color w:val="auto"/>
                <w:sz w:val="24"/>
                <w:szCs w:val="24"/>
                <w:lang w:val="en-US" w:eastAsia="zh-CN"/>
              </w:rPr>
              <w:t>由上图可知，</w:t>
            </w:r>
            <w:r>
              <w:rPr>
                <w:rFonts w:hint="eastAsia" w:cs="Times New Roman"/>
                <w:b w:val="0"/>
                <w:bCs w:val="0"/>
                <w:color w:val="auto"/>
                <w:sz w:val="24"/>
                <w:szCs w:val="24"/>
                <w:lang w:val="en-US" w:eastAsia="zh-CN"/>
              </w:rPr>
              <w:t>本项目</w:t>
            </w:r>
            <w:r>
              <w:rPr>
                <w:rFonts w:hint="eastAsia"/>
                <w:b w:val="0"/>
                <w:bCs w:val="0"/>
                <w:sz w:val="24"/>
                <w:szCs w:val="24"/>
              </w:rPr>
              <w:t>不涉及达州市生态保护红线和一般生态空间。符合</w:t>
            </w:r>
            <w:r>
              <w:rPr>
                <w:rFonts w:hint="eastAsia" w:ascii="Times New Roman" w:hAnsi="Times New Roman"/>
                <w:b w:val="0"/>
                <w:bCs w:val="0"/>
                <w:sz w:val="24"/>
                <w:szCs w:val="24"/>
                <w:lang w:eastAsia="zh-CN"/>
              </w:rPr>
              <w:t>生态环境分区管控</w:t>
            </w:r>
            <w:r>
              <w:rPr>
                <w:rFonts w:hint="eastAsia"/>
                <w:b w:val="0"/>
                <w:bCs w:val="0"/>
                <w:sz w:val="24"/>
                <w:szCs w:val="24"/>
              </w:rPr>
              <w:t>的要求。</w:t>
            </w:r>
          </w:p>
          <w:p w14:paraId="4DC69CA3">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③</w:t>
            </w:r>
            <w:r>
              <w:rPr>
                <w:rFonts w:hint="default" w:ascii="Times New Roman" w:hAnsi="Times New Roman" w:eastAsia="宋体" w:cs="Times New Roman"/>
                <w:b/>
                <w:bCs/>
                <w:color w:val="auto"/>
                <w:sz w:val="24"/>
                <w:szCs w:val="24"/>
                <w:lang w:val="en-US" w:eastAsia="zh-CN"/>
              </w:rPr>
              <w:t>生态环境准入清单符合性分析</w:t>
            </w:r>
          </w:p>
          <w:p w14:paraId="2488C759">
            <w:pPr>
              <w:pStyle w:val="11"/>
              <w:keepNext w:val="0"/>
              <w:keepLines w:val="0"/>
              <w:pageBreakBefore w:val="0"/>
              <w:widowControl w:val="0"/>
              <w:kinsoku w:val="0"/>
              <w:wordWrap/>
              <w:overflowPunct w:val="0"/>
              <w:topLinePunct w:val="0"/>
              <w:autoSpaceDE/>
              <w:autoSpaceDN/>
              <w:bidi w:val="0"/>
              <w:adjustRightInd/>
              <w:snapToGrid w:val="0"/>
              <w:spacing w:before="0" w:after="0" w:line="360" w:lineRule="auto"/>
              <w:ind w:right="113" w:firstLine="480" w:firstLineChars="200"/>
              <w:jc w:val="both"/>
              <w:textAlignment w:val="auto"/>
              <w:rPr>
                <w:rFonts w:hint="default" w:ascii="Times New Roman" w:hAnsi="Times New Roman" w:eastAsia="黑体" w:cs="Times New Roman"/>
                <w:color w:val="auto"/>
                <w:szCs w:val="21"/>
              </w:rPr>
            </w:pPr>
            <w:r>
              <w:rPr>
                <w:rFonts w:hint="eastAsia" w:ascii="Times New Roman" w:hAnsi="Times New Roman" w:eastAsia="宋体" w:cs="Times New Roman"/>
                <w:color w:val="auto"/>
                <w:sz w:val="24"/>
                <w:szCs w:val="24"/>
                <w:lang w:val="en-US" w:eastAsia="zh-CN"/>
              </w:rPr>
              <w:t>本次评价拟结合辅助研判导出的《四川省生态环境分区管控查询报告书》，综合分析本项目与所属生态环境分区管控单元要求的符合性。符合性具体如下表。</w:t>
            </w:r>
          </w:p>
          <w:p w14:paraId="62EE5AF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rPr>
            </w:pPr>
          </w:p>
          <w:p w14:paraId="1A6A6A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rPr>
            </w:pPr>
          </w:p>
          <w:p w14:paraId="1BFF0B0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rPr>
            </w:pPr>
          </w:p>
          <w:p w14:paraId="40EECE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rPr>
            </w:pPr>
          </w:p>
          <w:p w14:paraId="0F2968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0"/>
                <w:sz w:val="24"/>
                <w:szCs w:val="24"/>
                <w:lang w:val="en-US" w:eastAsia="zh-CN" w:bidi="ar"/>
              </w:rPr>
            </w:pPr>
            <w:r>
              <w:rPr>
                <w:rFonts w:hint="default" w:ascii="Times New Roman" w:hAnsi="Times New Roman" w:eastAsia="黑体" w:cs="Times New Roman"/>
                <w:color w:val="auto"/>
                <w:szCs w:val="21"/>
              </w:rPr>
              <w:t>表</w:t>
            </w:r>
            <w:r>
              <w:rPr>
                <w:rFonts w:hint="default" w:ascii="Times New Roman" w:hAnsi="Times New Roman" w:eastAsia="黑体" w:cs="Times New Roman"/>
                <w:color w:val="auto"/>
                <w:szCs w:val="21"/>
                <w:lang w:val="en-US" w:eastAsia="zh-CN"/>
              </w:rPr>
              <w:t>1-</w:t>
            </w:r>
            <w:r>
              <w:rPr>
                <w:rFonts w:hint="eastAsia" w:ascii="Times New Roman" w:hAnsi="Times New Roman" w:eastAsia="黑体" w:cs="Times New Roman"/>
                <w:color w:val="auto"/>
                <w:szCs w:val="21"/>
                <w:lang w:val="en-US" w:eastAsia="zh-CN"/>
              </w:rPr>
              <w:t>7</w:t>
            </w:r>
            <w:r>
              <w:rPr>
                <w:rFonts w:hint="default" w:ascii="Times New Roman" w:hAnsi="Times New Roman" w:eastAsia="黑体" w:cs="Times New Roman"/>
                <w:color w:val="auto"/>
                <w:szCs w:val="21"/>
                <w:lang w:val="en-US" w:eastAsia="zh-CN"/>
              </w:rPr>
              <w:t xml:space="preserve">  生态环境</w:t>
            </w:r>
            <w:r>
              <w:rPr>
                <w:rFonts w:hint="default" w:ascii="Times New Roman" w:hAnsi="Times New Roman" w:eastAsia="黑体" w:cs="Times New Roman"/>
                <w:color w:val="auto"/>
                <w:szCs w:val="21"/>
              </w:rPr>
              <w:t>准入清单</w:t>
            </w:r>
          </w:p>
          <w:tbl>
            <w:tblPr>
              <w:tblStyle w:val="2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90"/>
              <w:gridCol w:w="495"/>
              <w:gridCol w:w="694"/>
              <w:gridCol w:w="4647"/>
              <w:gridCol w:w="1429"/>
              <w:gridCol w:w="446"/>
            </w:tblGrid>
            <w:tr w14:paraId="6EF0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blHeader/>
                <w:jc w:val="center"/>
              </w:trPr>
              <w:tc>
                <w:tcPr>
                  <w:tcW w:w="672" w:type="dxa"/>
                  <w:tcBorders>
                    <w:top w:val="single" w:color="auto" w:sz="4" w:space="0"/>
                    <w:left w:val="single" w:color="auto" w:sz="4" w:space="0"/>
                    <w:bottom w:val="single" w:color="auto" w:sz="4" w:space="0"/>
                    <w:right w:val="single" w:color="auto" w:sz="4" w:space="0"/>
                  </w:tcBorders>
                  <w:noWrap w:val="0"/>
                  <w:vAlign w:val="center"/>
                </w:tcPr>
                <w:p w14:paraId="729A80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环境管控单元编码</w:t>
                  </w:r>
                </w:p>
              </w:tc>
              <w:tc>
                <w:tcPr>
                  <w:tcW w:w="690" w:type="dxa"/>
                  <w:tcBorders>
                    <w:top w:val="single" w:color="auto" w:sz="4" w:space="0"/>
                    <w:left w:val="nil"/>
                    <w:bottom w:val="single" w:color="auto" w:sz="4" w:space="0"/>
                    <w:right w:val="single" w:color="auto" w:sz="4" w:space="0"/>
                  </w:tcBorders>
                  <w:noWrap w:val="0"/>
                  <w:vAlign w:val="center"/>
                </w:tcPr>
                <w:p w14:paraId="438A5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环境管控单元名称</w:t>
                  </w:r>
                </w:p>
              </w:tc>
              <w:tc>
                <w:tcPr>
                  <w:tcW w:w="495" w:type="dxa"/>
                  <w:tcBorders>
                    <w:top w:val="single" w:color="auto" w:sz="4" w:space="0"/>
                    <w:left w:val="nil"/>
                    <w:right w:val="single" w:color="auto" w:sz="4" w:space="0"/>
                  </w:tcBorders>
                  <w:noWrap w:val="0"/>
                  <w:vAlign w:val="center"/>
                </w:tcPr>
                <w:p w14:paraId="1882A2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pacing w:val="-8"/>
                      <w:sz w:val="21"/>
                      <w:szCs w:val="21"/>
                    </w:rPr>
                  </w:pPr>
                  <w:r>
                    <w:rPr>
                      <w:rFonts w:hint="default" w:ascii="Times New Roman" w:hAnsi="Times New Roman" w:eastAsia="宋体" w:cs="Times New Roman"/>
                      <w:b/>
                      <w:bCs/>
                      <w:color w:val="auto"/>
                      <w:kern w:val="0"/>
                      <w:sz w:val="21"/>
                      <w:szCs w:val="21"/>
                    </w:rPr>
                    <w:t>管控单元分类</w:t>
                  </w:r>
                </w:p>
              </w:tc>
              <w:tc>
                <w:tcPr>
                  <w:tcW w:w="694" w:type="dxa"/>
                  <w:tcBorders>
                    <w:top w:val="single" w:color="auto" w:sz="4" w:space="0"/>
                    <w:left w:val="nil"/>
                    <w:bottom w:val="single" w:color="auto" w:sz="4" w:space="0"/>
                    <w:right w:val="single" w:color="auto" w:sz="4" w:space="0"/>
                  </w:tcBorders>
                  <w:noWrap w:val="0"/>
                  <w:vAlign w:val="center"/>
                </w:tcPr>
                <w:p w14:paraId="422C08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4647" w:type="dxa"/>
                  <w:tcBorders>
                    <w:top w:val="single" w:color="auto" w:sz="4" w:space="0"/>
                    <w:left w:val="nil"/>
                    <w:bottom w:val="single" w:color="auto" w:sz="4" w:space="0"/>
                    <w:right w:val="single" w:color="auto" w:sz="4" w:space="0"/>
                  </w:tcBorders>
                  <w:noWrap w:val="0"/>
                  <w:vAlign w:val="center"/>
                </w:tcPr>
                <w:p w14:paraId="69C7A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管控要求</w:t>
                  </w:r>
                </w:p>
              </w:tc>
              <w:tc>
                <w:tcPr>
                  <w:tcW w:w="1429" w:type="dxa"/>
                  <w:tcBorders>
                    <w:top w:val="single" w:color="auto" w:sz="4" w:space="0"/>
                    <w:left w:val="nil"/>
                    <w:right w:val="single" w:color="auto" w:sz="4" w:space="0"/>
                  </w:tcBorders>
                  <w:noWrap w:val="0"/>
                  <w:vAlign w:val="center"/>
                </w:tcPr>
                <w:p w14:paraId="02C1BF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项目对应情况介绍</w:t>
                  </w:r>
                </w:p>
              </w:tc>
              <w:tc>
                <w:tcPr>
                  <w:tcW w:w="446" w:type="dxa"/>
                  <w:tcBorders>
                    <w:top w:val="single" w:color="auto" w:sz="4" w:space="0"/>
                    <w:left w:val="nil"/>
                    <w:bottom w:val="single" w:color="auto" w:sz="4" w:space="0"/>
                    <w:right w:val="single" w:color="auto" w:sz="4" w:space="0"/>
                  </w:tcBorders>
                  <w:noWrap w:val="0"/>
                  <w:vAlign w:val="center"/>
                </w:tcPr>
                <w:p w14:paraId="5D5072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符合性分析</w:t>
                  </w:r>
                </w:p>
              </w:tc>
            </w:tr>
            <w:tr w14:paraId="3F63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72" w:type="dxa"/>
                  <w:vMerge w:val="restart"/>
                  <w:tcBorders>
                    <w:top w:val="nil"/>
                    <w:left w:val="single" w:color="auto" w:sz="4" w:space="0"/>
                    <w:right w:val="single" w:color="auto" w:sz="4" w:space="0"/>
                  </w:tcBorders>
                  <w:noWrap w:val="0"/>
                  <w:vAlign w:val="center"/>
                </w:tcPr>
                <w:p w14:paraId="1DF155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p w14:paraId="19741C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Style w:val="27"/>
                      <w:rFonts w:hint="default" w:ascii="Times New Roman" w:hAnsi="Times New Roman" w:eastAsia="宋体" w:cs="Times New Roman"/>
                      <w:kern w:val="2"/>
                      <w:sz w:val="21"/>
                      <w:szCs w:val="21"/>
                      <w:lang w:val="en-US" w:eastAsia="zh-CN" w:bidi="ar-SA"/>
                    </w:rPr>
                    <w:t>ZH51172230001</w:t>
                  </w:r>
                </w:p>
              </w:tc>
              <w:tc>
                <w:tcPr>
                  <w:tcW w:w="690" w:type="dxa"/>
                  <w:vMerge w:val="restart"/>
                  <w:tcBorders>
                    <w:top w:val="nil"/>
                    <w:left w:val="nil"/>
                    <w:right w:val="single" w:color="auto" w:sz="4" w:space="0"/>
                  </w:tcBorders>
                  <w:noWrap w:val="0"/>
                  <w:vAlign w:val="center"/>
                </w:tcPr>
                <w:p w14:paraId="2650C6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Style w:val="27"/>
                      <w:rFonts w:hint="default" w:ascii="Times New Roman" w:hAnsi="Times New Roman" w:eastAsia="宋体" w:cs="Times New Roman"/>
                      <w:kern w:val="2"/>
                      <w:sz w:val="21"/>
                      <w:szCs w:val="21"/>
                      <w:lang w:val="en-US" w:eastAsia="zh-CN" w:bidi="ar-SA"/>
                    </w:rPr>
                    <w:t>宣汉县一般管控单元</w:t>
                  </w:r>
                </w:p>
              </w:tc>
              <w:tc>
                <w:tcPr>
                  <w:tcW w:w="495" w:type="dxa"/>
                  <w:vMerge w:val="restart"/>
                  <w:tcBorders>
                    <w:top w:val="nil"/>
                    <w:left w:val="nil"/>
                    <w:right w:val="single" w:color="auto" w:sz="4" w:space="0"/>
                  </w:tcBorders>
                  <w:noWrap w:val="0"/>
                  <w:vAlign w:val="center"/>
                </w:tcPr>
                <w:p w14:paraId="500E5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 xml:space="preserve">市州普适性清单 </w:t>
                  </w:r>
                </w:p>
              </w:tc>
              <w:tc>
                <w:tcPr>
                  <w:tcW w:w="694" w:type="dxa"/>
                  <w:tcBorders>
                    <w:top w:val="nil"/>
                    <w:left w:val="nil"/>
                    <w:bottom w:val="single" w:color="auto" w:sz="4" w:space="0"/>
                    <w:right w:val="single" w:color="auto" w:sz="4" w:space="0"/>
                  </w:tcBorders>
                  <w:noWrap w:val="0"/>
                  <w:vAlign w:val="center"/>
                </w:tcPr>
                <w:p w14:paraId="590AD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空间布局约束</w:t>
                  </w:r>
                </w:p>
              </w:tc>
              <w:tc>
                <w:tcPr>
                  <w:tcW w:w="4647" w:type="dxa"/>
                  <w:tcBorders>
                    <w:top w:val="single" w:color="auto" w:sz="4" w:space="0"/>
                    <w:left w:val="nil"/>
                    <w:right w:val="single" w:color="auto" w:sz="4" w:space="0"/>
                  </w:tcBorders>
                  <w:noWrap w:val="0"/>
                  <w:vAlign w:val="center"/>
                </w:tcPr>
                <w:p w14:paraId="499D0129">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禁止开发建设活动的要求：</w:t>
                  </w:r>
                </w:p>
                <w:p w14:paraId="67C20DA0">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-禁止在长江干支流1公里范围内新建、扩建化工园区和化工项目。</w:t>
                  </w:r>
                </w:p>
                <w:p w14:paraId="0AB82910">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-禁止在法律法规规定的禁采区内新建矿山；禁止土法采、选、冶严重污染环境的矿产资源。</w:t>
                  </w:r>
                </w:p>
                <w:p w14:paraId="0E5510DF">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-涉及永久基本农田的区域，除法律规定的重点建设项目选址确实无法避让外，其他任何建设不得占用。</w:t>
                  </w:r>
                </w:p>
                <w:p w14:paraId="17A2A854">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-禁止在长江流域河湖管理范围内倾倒、填埋、堆放、弃置、处理固体废物。</w:t>
                  </w:r>
                </w:p>
                <w:p w14:paraId="23CD8181">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-禁止在永久基本农田集中区域和其他需要特别保护的区域选址建设尾矿库、冶炼渣库、磷石膏库。</w:t>
                  </w:r>
                </w:p>
                <w:p w14:paraId="454F4F82">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-禁止在长江干流岸线三公里范围内和重要支流岸线一公里范围内新建、改建、扩建尾矿库、冶炼渣库、磷石膏库，以提升安全、生态环境保护水平为目的的改建除外。</w:t>
                  </w:r>
                </w:p>
                <w:p w14:paraId="560CEF91">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限制开发建设活动的要求：</w:t>
                  </w:r>
                </w:p>
                <w:p w14:paraId="462C8E7D">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-按照相关要求严控水泥新增产能。</w:t>
                  </w:r>
                </w:p>
                <w:p w14:paraId="6D5A88D6">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14:paraId="043D11DF">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按照相关要求严控水泥新增产能。</w:t>
                  </w:r>
                </w:p>
                <w:p w14:paraId="5C9B2473">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14:paraId="1008FF90">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14:paraId="2A0C6567">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14:paraId="286FC591">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不符合空间布局要求活动的退出要求：</w:t>
                  </w:r>
                </w:p>
                <w:p w14:paraId="1223C8F4">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针对现有水泥企业，强化污染治理和污染物减排，依法依规整治或搬迁。</w:t>
                  </w:r>
                </w:p>
                <w:p w14:paraId="54814E43">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全面取缔禁养区内规模化畜禽养殖场。</w:t>
                  </w:r>
                </w:p>
                <w:p w14:paraId="71DF325C">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2025年基本完成全域内“散乱污”企业整治工作。</w:t>
                  </w:r>
                </w:p>
                <w:p w14:paraId="0A44358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在全市范围深入开展集中整治“散乱污”工业企业，对不符合产业政策和规划布局的，一律责令停产、限期搬迁或关停；</w:t>
                  </w:r>
                </w:p>
                <w:p w14:paraId="51D1CEA8">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其他空间布局约束要求：</w:t>
                  </w:r>
                </w:p>
                <w:p w14:paraId="53FC0B46">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Fonts w:hint="default" w:ascii="Times New Roman" w:hAnsi="Times New Roman" w:eastAsia="宋体" w:cs="Times New Roman"/>
                      <w:b w:val="0"/>
                      <w:bCs/>
                      <w:color w:val="auto"/>
                      <w:sz w:val="21"/>
                      <w:szCs w:val="21"/>
                      <w:lang w:eastAsia="zh-CN"/>
                    </w:rPr>
                  </w:pPr>
                  <w:r>
                    <w:rPr>
                      <w:rStyle w:val="27"/>
                      <w:rFonts w:hint="default" w:ascii="Times New Roman" w:hAnsi="Times New Roman" w:eastAsia="宋体" w:cs="Times New Roman"/>
                      <w:color w:val="000000"/>
                      <w:kern w:val="0"/>
                      <w:sz w:val="21"/>
                      <w:szCs w:val="21"/>
                      <w:lang w:val="en-US" w:eastAsia="zh-CN" w:bidi="ar-SA"/>
                    </w:rPr>
                    <w:t>新建矿山全部达到绿色矿山建设要求，生产矿山加快改造升级，逐步达到要求。</w:t>
                  </w:r>
                </w:p>
              </w:tc>
              <w:tc>
                <w:tcPr>
                  <w:tcW w:w="1429" w:type="dxa"/>
                  <w:tcBorders>
                    <w:top w:val="single" w:color="auto" w:sz="4" w:space="0"/>
                    <w:left w:val="nil"/>
                    <w:right w:val="single" w:color="auto" w:sz="4" w:space="0"/>
                  </w:tcBorders>
                  <w:noWrap w:val="0"/>
                  <w:vAlign w:val="center"/>
                </w:tcPr>
                <w:p w14:paraId="5CF52EE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0"/>
                      <w:sz w:val="21"/>
                      <w:szCs w:val="21"/>
                      <w:lang w:val="en-US" w:eastAsia="zh-CN" w:bidi="ar"/>
                    </w:rPr>
                    <w:t>项目</w:t>
                  </w:r>
                  <w:r>
                    <w:rPr>
                      <w:rFonts w:hint="default" w:ascii="Times New Roman" w:hAnsi="Times New Roman" w:eastAsia="宋体" w:cs="Times New Roman"/>
                      <w:b w:val="0"/>
                      <w:bCs/>
                      <w:color w:val="auto"/>
                      <w:sz w:val="21"/>
                      <w:szCs w:val="21"/>
                    </w:rPr>
                    <w:t>，不属于禁止开发</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限制开发、</w:t>
                  </w:r>
                  <w:r>
                    <w:rPr>
                      <w:rFonts w:hint="default" w:ascii="Times New Roman" w:hAnsi="Times New Roman" w:eastAsia="宋体" w:cs="Times New Roman"/>
                      <w:b w:val="0"/>
                      <w:bCs/>
                      <w:color w:val="auto"/>
                      <w:sz w:val="21"/>
                      <w:szCs w:val="21"/>
                    </w:rPr>
                    <w:t>不符合空间布局要求等建设活动，符合要求。</w:t>
                  </w:r>
                </w:p>
              </w:tc>
              <w:tc>
                <w:tcPr>
                  <w:tcW w:w="446" w:type="dxa"/>
                  <w:tcBorders>
                    <w:top w:val="single" w:color="auto" w:sz="4" w:space="0"/>
                    <w:left w:val="nil"/>
                    <w:right w:val="single" w:color="auto" w:sz="4" w:space="0"/>
                  </w:tcBorders>
                  <w:noWrap w:val="0"/>
                  <w:vAlign w:val="center"/>
                </w:tcPr>
                <w:p w14:paraId="1C51C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1BB1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12F91E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2A979B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2F424E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p>
              </w:tc>
              <w:tc>
                <w:tcPr>
                  <w:tcW w:w="694" w:type="dxa"/>
                  <w:tcBorders>
                    <w:left w:val="nil"/>
                    <w:right w:val="single" w:color="auto" w:sz="4" w:space="0"/>
                  </w:tcBorders>
                  <w:noWrap w:val="0"/>
                  <w:vAlign w:val="center"/>
                </w:tcPr>
                <w:p w14:paraId="11D9D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污染物排放管控</w:t>
                  </w:r>
                </w:p>
              </w:tc>
              <w:tc>
                <w:tcPr>
                  <w:tcW w:w="4647" w:type="dxa"/>
                  <w:tcBorders>
                    <w:top w:val="single" w:color="auto" w:sz="4" w:space="0"/>
                    <w:left w:val="nil"/>
                    <w:right w:val="single" w:color="auto" w:sz="4" w:space="0"/>
                  </w:tcBorders>
                  <w:noWrap w:val="0"/>
                  <w:vAlign w:val="center"/>
                </w:tcPr>
                <w:p w14:paraId="196587CC">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允许排放量要求：</w:t>
                  </w:r>
                </w:p>
                <w:p w14:paraId="3A5FE1DA">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w:t>
                  </w:r>
                </w:p>
                <w:p w14:paraId="4BC296EC">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现有源提标升级改造：</w:t>
                  </w:r>
                </w:p>
                <w:p w14:paraId="1A1E566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加快现有乡镇污水处理设施升级改造，按要求达《城镇污水处理厂污染物排放标准》一级A标后排放。</w:t>
                  </w:r>
                </w:p>
                <w:p w14:paraId="22CCBEC4">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在矿产资源开发活动集中区域，废水执行重金属污染物排放特别限值。</w:t>
                  </w:r>
                </w:p>
                <w:p w14:paraId="4C30240E">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火电、水泥等行业按相关要求推进大气污染物超低排放和深度治理。</w:t>
                  </w:r>
                </w:p>
                <w:p w14:paraId="5091807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砖瓦行业实施脱硫、除尘升级改造，污染物排放达到《砖瓦工业大气污染物排放标准》相关要求。</w:t>
                  </w:r>
                </w:p>
                <w:p w14:paraId="4ABB1C7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其他污染物排放管控要求：</w:t>
                  </w:r>
                </w:p>
                <w:p w14:paraId="527E9777">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新增源等量或倍量替代</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14:paraId="608ED5D7">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污染物排放绩效水平准入要求:屠宰项目必须配套污水处理设施或进入城市污水管网。</w:t>
                  </w:r>
                </w:p>
                <w:p w14:paraId="47449AB5">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14:paraId="58978BC6">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-到2023年底，力争全市生活垃圾焚烧处理能力占比达60%以上，各县（市）生活垃圾无害化处理率保持95%以上，乡镇及行政村生活垃圾收转运处置体系基本实现全覆盖。</w:t>
                  </w:r>
                </w:p>
                <w:p w14:paraId="6712D16F">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-到2025年，农药包装废弃物回收率达80%；粮油绿色高质高效示范区、茶叶主产区和现代农业园区农药包装废弃物回收率100%。</w:t>
                  </w:r>
                </w:p>
                <w:p w14:paraId="0CA9BFD8">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-到2025年，全国主要农作物化肥、农药利用率达43%，测土配方施肥技术推广覆盖率保持在90%以上，控制农村面源污染，采取灌排分离等措施控制农田氮磷流失。</w:t>
                  </w:r>
                </w:p>
                <w:p w14:paraId="53DE3EA1">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7F05C002">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-到2025年，废旧农膜回收利用率达到85%以上。</w:t>
                  </w:r>
                </w:p>
                <w:p w14:paraId="5F351A78">
                  <w:pPr>
                    <w:pStyle w:val="55"/>
                    <w:spacing w:before="1" w:line="184" w:lineRule="auto"/>
                    <w:ind w:left="36"/>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-非金属矿行业绿色矿山建设要求：固体废物妥善处置率应达到100%；选矿废水重复利用率一般达到85%以上。</w:t>
                  </w:r>
                </w:p>
                <w:p w14:paraId="232F846E">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Fonts w:hint="default" w:ascii="Times New Roman" w:hAnsi="Times New Roman" w:eastAsia="宋体" w:cs="Times New Roman"/>
                      <w:b w:val="0"/>
                      <w:bCs/>
                      <w:color w:val="auto"/>
                      <w:sz w:val="21"/>
                      <w:szCs w:val="21"/>
                    </w:rPr>
                  </w:pP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石油和天然气开采行业绿色矿山建设要求：与原油伴生的溶解气综合利用率要求：中高渗油藏不低于90%；中低渗-特低渗油藏不低于70%。与甲烷气伴生资源的综合利用率：凝析油利用率不低于90%；含硫天然气有工业利用价值的硫化氢综合利用率应不低于95%。</w:t>
                  </w:r>
                </w:p>
              </w:tc>
              <w:tc>
                <w:tcPr>
                  <w:tcW w:w="1429" w:type="dxa"/>
                  <w:tcBorders>
                    <w:top w:val="single" w:color="auto" w:sz="4" w:space="0"/>
                    <w:left w:val="nil"/>
                    <w:right w:val="single" w:color="auto" w:sz="4" w:space="0"/>
                  </w:tcBorders>
                  <w:noWrap w:val="0"/>
                  <w:vAlign w:val="center"/>
                </w:tcPr>
                <w:p w14:paraId="41A3C7E1">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rPr>
                  </w:pPr>
                  <w:r>
                    <w:rPr>
                      <w:rStyle w:val="27"/>
                      <w:rFonts w:hint="default" w:ascii="Times New Roman" w:hAnsi="Times New Roman" w:eastAsia="宋体" w:cs="Times New Roman"/>
                      <w:color w:val="auto"/>
                      <w:kern w:val="2"/>
                      <w:sz w:val="21"/>
                      <w:szCs w:val="21"/>
                      <w:highlight w:val="none"/>
                      <w:lang w:val="en-US" w:eastAsia="zh-CN" w:bidi="ar-SA"/>
                    </w:rPr>
                    <w:t>本项目运营期生活污水经化粪池处理后用于农肥；</w:t>
                  </w:r>
                  <w:r>
                    <w:rPr>
                      <w:rFonts w:hint="default" w:ascii="Times New Roman" w:hAnsi="Times New Roman" w:cs="Times New Roman"/>
                      <w:color w:val="auto"/>
                      <w:sz w:val="21"/>
                      <w:szCs w:val="21"/>
                      <w:highlight w:val="none"/>
                      <w:vertAlign w:val="baseline"/>
                      <w:lang w:val="en-US" w:eastAsia="zh-CN"/>
                    </w:rPr>
                    <w:t>排泥水经沉淀后回用于厂区绿化；膜反冲洗水经排水池收集后全部返回供水厂净水设施处理</w:t>
                  </w:r>
                  <w:r>
                    <w:rPr>
                      <w:rStyle w:val="27"/>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0"/>
                      <w:sz w:val="21"/>
                      <w:szCs w:val="21"/>
                      <w:lang w:val="en-US" w:eastAsia="zh-CN" w:bidi="ar"/>
                    </w:rPr>
                    <w:t>固体废物资源化利用、无害化处置率达100%；生活垃圾无害化处理率达100%。施工扬尘</w:t>
                  </w:r>
                  <w:r>
                    <w:rPr>
                      <w:rStyle w:val="27"/>
                      <w:rFonts w:hint="default" w:ascii="Times New Roman" w:hAnsi="Times New Roman" w:eastAsia="宋体" w:cs="Times New Roman"/>
                      <w:color w:val="000000"/>
                      <w:kern w:val="0"/>
                      <w:sz w:val="21"/>
                      <w:szCs w:val="21"/>
                      <w:lang w:val="en-US" w:eastAsia="zh-CN" w:bidi="ar-SA"/>
                    </w:rPr>
                    <w:t>严格落实“六必须、六不准”管控要求。</w:t>
                  </w:r>
                </w:p>
                <w:p w14:paraId="2283D46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lang w:val="en-US" w:eastAsia="zh-CN"/>
                    </w:rPr>
                  </w:pPr>
                </w:p>
              </w:tc>
              <w:tc>
                <w:tcPr>
                  <w:tcW w:w="446" w:type="dxa"/>
                  <w:tcBorders>
                    <w:top w:val="single" w:color="auto" w:sz="4" w:space="0"/>
                    <w:left w:val="nil"/>
                    <w:right w:val="single" w:color="auto" w:sz="4" w:space="0"/>
                  </w:tcBorders>
                  <w:noWrap w:val="0"/>
                  <w:vAlign w:val="center"/>
                </w:tcPr>
                <w:p w14:paraId="7DE84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1F84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55AEC3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42F63C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65260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p>
              </w:tc>
              <w:tc>
                <w:tcPr>
                  <w:tcW w:w="694" w:type="dxa"/>
                  <w:tcBorders>
                    <w:top w:val="single" w:color="auto" w:sz="4" w:space="0"/>
                    <w:left w:val="nil"/>
                    <w:right w:val="single" w:color="auto" w:sz="4" w:space="0"/>
                  </w:tcBorders>
                  <w:noWrap w:val="0"/>
                  <w:vAlign w:val="center"/>
                </w:tcPr>
                <w:p w14:paraId="33BAA4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环境风险防控</w:t>
                  </w:r>
                </w:p>
              </w:tc>
              <w:tc>
                <w:tcPr>
                  <w:tcW w:w="4647" w:type="dxa"/>
                  <w:tcBorders>
                    <w:top w:val="single" w:color="auto" w:sz="4" w:space="0"/>
                    <w:left w:val="nil"/>
                    <w:right w:val="single" w:color="auto" w:sz="4" w:space="0"/>
                  </w:tcBorders>
                  <w:noWrap w:val="0"/>
                  <w:vAlign w:val="center"/>
                </w:tcPr>
                <w:p w14:paraId="56774652">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联防联控要求：</w:t>
                  </w:r>
                </w:p>
                <w:p w14:paraId="65A4DD4C">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6E957062">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其他环境风险防控要求：</w:t>
                  </w:r>
                </w:p>
                <w:p w14:paraId="1801E114">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企业环境风险防控要求:工业企业退出用地，须经评估、修复满足相应用地功能后，方可改变用途。</w:t>
                  </w:r>
                </w:p>
                <w:p w14:paraId="2658CA69">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14:paraId="18DA3948">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14:paraId="1B46D3FC">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规范排土场、渣场等整治。禁止处理不达标的污泥进入耕地。</w:t>
                  </w:r>
                </w:p>
                <w:p w14:paraId="19DCC1B5">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严格控制林地、草地、园地的农药使用量，禁止使用高毒、高残留农药。</w:t>
                  </w:r>
                </w:p>
                <w:p w14:paraId="550B1367">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Fonts w:hint="default" w:ascii="Times New Roman" w:hAnsi="Times New Roman" w:eastAsia="宋体" w:cs="Times New Roman"/>
                      <w:b w:val="0"/>
                      <w:bCs/>
                      <w:color w:val="auto"/>
                      <w:sz w:val="21"/>
                      <w:szCs w:val="21"/>
                    </w:rPr>
                  </w:pPr>
                  <w:r>
                    <w:rPr>
                      <w:rStyle w:val="27"/>
                      <w:rFonts w:hint="default" w:ascii="Times New Roman" w:hAnsi="Times New Roman" w:eastAsia="宋体" w:cs="Times New Roman"/>
                      <w:color w:val="000000"/>
                      <w:kern w:val="0"/>
                      <w:sz w:val="21"/>
                      <w:szCs w:val="21"/>
                      <w:lang w:val="en-US" w:eastAsia="zh-CN" w:bidi="ar-SA"/>
                    </w:rPr>
                    <w:t>到2030年，全市受污染耕地安全利用率达到95%以上，污染地块安全利用率达到95%以上。</w:t>
                  </w:r>
                </w:p>
              </w:tc>
              <w:tc>
                <w:tcPr>
                  <w:tcW w:w="1429" w:type="dxa"/>
                  <w:tcBorders>
                    <w:top w:val="single" w:color="auto" w:sz="4" w:space="0"/>
                    <w:left w:val="nil"/>
                    <w:right w:val="single" w:color="auto" w:sz="4" w:space="0"/>
                  </w:tcBorders>
                  <w:noWrap w:val="0"/>
                  <w:vAlign w:val="center"/>
                </w:tcPr>
                <w:p w14:paraId="22963052">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本项目不涉及</w:t>
                  </w:r>
                  <w:r>
                    <w:rPr>
                      <w:rStyle w:val="27"/>
                      <w:rFonts w:hint="default" w:ascii="Times New Roman" w:hAnsi="Times New Roman" w:eastAsia="宋体" w:cs="Times New Roman"/>
                      <w:color w:val="auto"/>
                      <w:kern w:val="0"/>
                      <w:sz w:val="21"/>
                      <w:szCs w:val="21"/>
                      <w:lang w:val="en-US" w:eastAsia="zh-CN" w:bidi="ar-SA"/>
                    </w:rPr>
                    <w:t>GB 8978-1996中第一类污染物、</w:t>
                  </w:r>
                  <w:r>
                    <w:rPr>
                      <w:rFonts w:hint="default" w:ascii="Times New Roman" w:hAnsi="Times New Roman" w:eastAsia="宋体" w:cs="Times New Roman"/>
                      <w:color w:val="auto"/>
                      <w:sz w:val="21"/>
                      <w:szCs w:val="21"/>
                    </w:rPr>
                    <w:t>《有毒有害大气污染物名录（2018年）》中的有毒有害物质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bidi="ar"/>
                    </w:rPr>
                    <w:t>污泥干化后送</w:t>
                  </w:r>
                  <w:r>
                    <w:rPr>
                      <w:rFonts w:hint="default" w:ascii="Times New Roman" w:hAnsi="Times New Roman" w:eastAsia="宋体" w:cs="Times New Roman"/>
                      <w:color w:val="auto"/>
                      <w:sz w:val="21"/>
                      <w:szCs w:val="21"/>
                    </w:rPr>
                    <w:t>宣汉海诺尔环保发电有限公司焚烧处理</w:t>
                  </w:r>
                  <w:r>
                    <w:rPr>
                      <w:rFonts w:hint="default" w:ascii="Times New Roman" w:hAnsi="Times New Roman" w:cs="Times New Roman"/>
                      <w:sz w:val="21"/>
                      <w:szCs w:val="21"/>
                      <w:lang w:eastAsia="zh-CN"/>
                    </w:rPr>
                    <w:t>。</w:t>
                  </w:r>
                </w:p>
              </w:tc>
              <w:tc>
                <w:tcPr>
                  <w:tcW w:w="446" w:type="dxa"/>
                  <w:tcBorders>
                    <w:top w:val="single" w:color="auto" w:sz="4" w:space="0"/>
                    <w:left w:val="nil"/>
                    <w:right w:val="single" w:color="auto" w:sz="4" w:space="0"/>
                  </w:tcBorders>
                  <w:noWrap w:val="0"/>
                  <w:vAlign w:val="center"/>
                </w:tcPr>
                <w:p w14:paraId="5243F9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45BC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40E808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1025F9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577E15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noWrap w:val="0"/>
                  <w:vAlign w:val="center"/>
                </w:tcPr>
                <w:p w14:paraId="30810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资源开发效率</w:t>
                  </w:r>
                </w:p>
              </w:tc>
              <w:tc>
                <w:tcPr>
                  <w:tcW w:w="4647" w:type="dxa"/>
                  <w:tcBorders>
                    <w:top w:val="single" w:color="auto" w:sz="4" w:space="0"/>
                    <w:left w:val="nil"/>
                    <w:bottom w:val="single" w:color="auto" w:sz="4" w:space="0"/>
                    <w:right w:val="single" w:color="auto" w:sz="4" w:space="0"/>
                  </w:tcBorders>
                  <w:noWrap w:val="0"/>
                  <w:vAlign w:val="center"/>
                </w:tcPr>
                <w:p w14:paraId="4E502954">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水资源利用总量要求：</w:t>
                  </w:r>
                </w:p>
                <w:p w14:paraId="30BEEFA1">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-到2025年，农田灌溉水有效利用系数达到0.57以上。</w:t>
                  </w:r>
                </w:p>
                <w:p w14:paraId="1B618345">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w:t>
                  </w:r>
                </w:p>
                <w:p w14:paraId="638774E5">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以省市下发指标为准</w:t>
                  </w:r>
                </w:p>
                <w:p w14:paraId="4F4FFAEE">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能源利用总量及效率要求：</w:t>
                  </w:r>
                </w:p>
                <w:p w14:paraId="4A338C1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推进清洁能源的推广使用，全面推进散煤清洁化整治；禁止新建每小时10蒸吨以下的燃煤锅炉及其他燃煤设施。</w:t>
                  </w:r>
                </w:p>
                <w:p w14:paraId="4ED123D0">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禁止焚烧秸秆和垃圾，到2025年底，秸秆综合利用率达到86%以上。</w:t>
                  </w:r>
                </w:p>
                <w:p w14:paraId="0BCF7962">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000000"/>
                      <w:kern w:val="0"/>
                      <w:sz w:val="21"/>
                      <w:szCs w:val="21"/>
                      <w:lang w:val="en-US" w:eastAsia="zh-CN" w:bidi="ar-SA"/>
                    </w:rPr>
                  </w:pPr>
                  <w:r>
                    <w:rPr>
                      <w:rStyle w:val="27"/>
                      <w:rFonts w:hint="default" w:ascii="Times New Roman" w:hAnsi="Times New Roman" w:eastAsia="宋体" w:cs="Times New Roman"/>
                      <w:b/>
                      <w:bCs/>
                      <w:color w:val="000000"/>
                      <w:kern w:val="0"/>
                      <w:sz w:val="21"/>
                      <w:szCs w:val="21"/>
                      <w:lang w:val="en-US" w:eastAsia="zh-CN" w:bidi="ar-SA"/>
                    </w:rPr>
                    <w:t>禁燃区要求：</w:t>
                  </w:r>
                </w:p>
                <w:p w14:paraId="2F425EB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0D4605BA">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-禁燃区内禁止销售、燃用高污染燃料；禁止新建、改建、扩建燃用高污染燃料的设施和设备。</w:t>
                  </w:r>
                </w:p>
                <w:p w14:paraId="0018CEA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-禁燃区内已建成的高污染燃料燃用设施由辖区人民政府制定限期改造计划，改用天然气、页岩气、液化石油气、电或其他清洁能源。</w:t>
                  </w:r>
                </w:p>
                <w:p w14:paraId="1F71AE3B">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b/>
                      <w:bCs/>
                      <w:color w:val="auto"/>
                      <w:kern w:val="0"/>
                      <w:sz w:val="21"/>
                      <w:szCs w:val="21"/>
                      <w:lang w:val="en-US" w:eastAsia="zh-CN" w:bidi="ar-SA"/>
                    </w:rPr>
                  </w:pPr>
                  <w:r>
                    <w:rPr>
                      <w:rStyle w:val="27"/>
                      <w:rFonts w:hint="default" w:ascii="Times New Roman" w:hAnsi="Times New Roman" w:eastAsia="宋体" w:cs="Times New Roman"/>
                      <w:b/>
                      <w:bCs/>
                      <w:color w:val="auto"/>
                      <w:kern w:val="0"/>
                      <w:sz w:val="21"/>
                      <w:szCs w:val="21"/>
                      <w:lang w:val="en-US" w:eastAsia="zh-CN" w:bidi="ar-SA"/>
                    </w:rPr>
                    <w:t>其他资源利用效率要求：</w:t>
                  </w:r>
                </w:p>
                <w:p w14:paraId="511EF08F">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Fonts w:hint="default" w:ascii="Times New Roman" w:hAnsi="Times New Roman" w:eastAsia="宋体" w:cs="Times New Roman"/>
                      <w:b w:val="0"/>
                      <w:bCs/>
                      <w:color w:val="auto"/>
                      <w:sz w:val="21"/>
                      <w:szCs w:val="21"/>
                      <w:lang w:eastAsia="zh-CN"/>
                    </w:rPr>
                  </w:pPr>
                  <w:r>
                    <w:rPr>
                      <w:rStyle w:val="27"/>
                      <w:rFonts w:hint="default" w:ascii="Times New Roman" w:hAnsi="Times New Roman" w:eastAsia="宋体" w:cs="Times New Roman"/>
                      <w:color w:val="auto"/>
                      <w:kern w:val="0"/>
                      <w:sz w:val="21"/>
                      <w:szCs w:val="21"/>
                      <w:lang w:val="en-US" w:eastAsia="zh-CN" w:bidi="ar-SA"/>
                    </w:rPr>
                    <w:t>/</w:t>
                  </w:r>
                </w:p>
              </w:tc>
              <w:tc>
                <w:tcPr>
                  <w:tcW w:w="1429" w:type="dxa"/>
                  <w:tcBorders>
                    <w:top w:val="single" w:color="auto" w:sz="4" w:space="0"/>
                    <w:left w:val="nil"/>
                    <w:bottom w:val="single" w:color="auto" w:sz="4" w:space="0"/>
                    <w:right w:val="single" w:color="auto" w:sz="4" w:space="0"/>
                  </w:tcBorders>
                  <w:noWrap w:val="0"/>
                  <w:vAlign w:val="center"/>
                </w:tcPr>
                <w:p w14:paraId="04CD2235">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color w:val="auto"/>
                      <w:sz w:val="21"/>
                      <w:szCs w:val="21"/>
                      <w:lang w:val="en-US" w:eastAsia="zh-CN"/>
                    </w:rPr>
                    <w:t>本项目主要能耗为电、水，不涉及燃煤锅炉以及</w:t>
                  </w:r>
                  <w:r>
                    <w:rPr>
                      <w:rFonts w:hint="default" w:ascii="Times New Roman" w:hAnsi="Times New Roman" w:eastAsia="宋体" w:cs="Times New Roman"/>
                      <w:color w:val="auto"/>
                      <w:sz w:val="21"/>
                      <w:szCs w:val="21"/>
                    </w:rPr>
                    <w:t>燃煤等高污染燃料</w:t>
                  </w:r>
                  <w:r>
                    <w:rPr>
                      <w:rFonts w:hint="default" w:ascii="Times New Roman" w:hAnsi="Times New Roman" w:eastAsia="宋体" w:cs="Times New Roman"/>
                      <w:color w:val="auto"/>
                      <w:sz w:val="21"/>
                      <w:szCs w:val="21"/>
                      <w:lang w:val="en-US" w:eastAsia="zh-CN"/>
                    </w:rPr>
                    <w:t>。</w:t>
                  </w:r>
                </w:p>
              </w:tc>
              <w:tc>
                <w:tcPr>
                  <w:tcW w:w="446" w:type="dxa"/>
                  <w:tcBorders>
                    <w:top w:val="single" w:color="auto" w:sz="4" w:space="0"/>
                    <w:left w:val="nil"/>
                    <w:bottom w:val="single" w:color="auto" w:sz="4" w:space="0"/>
                    <w:right w:val="single" w:color="auto" w:sz="4" w:space="0"/>
                  </w:tcBorders>
                  <w:noWrap w:val="0"/>
                  <w:vAlign w:val="center"/>
                </w:tcPr>
                <w:p w14:paraId="09C293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4F8F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0E703F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25E2B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restart"/>
                  <w:tcBorders>
                    <w:left w:val="nil"/>
                    <w:right w:val="single" w:color="auto" w:sz="4" w:space="0"/>
                  </w:tcBorders>
                  <w:noWrap w:val="0"/>
                  <w:vAlign w:val="center"/>
                </w:tcPr>
                <w:p w14:paraId="353DF5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县区普适性清单</w:t>
                  </w:r>
                </w:p>
              </w:tc>
              <w:tc>
                <w:tcPr>
                  <w:tcW w:w="694" w:type="dxa"/>
                  <w:tcBorders>
                    <w:top w:val="single" w:color="auto" w:sz="4" w:space="0"/>
                    <w:left w:val="nil"/>
                    <w:bottom w:val="single" w:color="auto" w:sz="4" w:space="0"/>
                    <w:right w:val="single" w:color="auto" w:sz="4" w:space="0"/>
                  </w:tcBorders>
                  <w:noWrap w:val="0"/>
                  <w:vAlign w:val="center"/>
                </w:tcPr>
                <w:p w14:paraId="66C078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空间布局约束</w:t>
                  </w:r>
                </w:p>
              </w:tc>
              <w:tc>
                <w:tcPr>
                  <w:tcW w:w="4647" w:type="dxa"/>
                  <w:tcBorders>
                    <w:top w:val="single" w:color="auto" w:sz="4" w:space="0"/>
                    <w:left w:val="nil"/>
                    <w:bottom w:val="single" w:color="auto" w:sz="4" w:space="0"/>
                    <w:right w:val="single" w:color="auto" w:sz="4" w:space="0"/>
                  </w:tcBorders>
                  <w:noWrap w:val="0"/>
                  <w:vAlign w:val="center"/>
                </w:tcPr>
                <w:p w14:paraId="476B1B52">
                  <w:pPr>
                    <w:pStyle w:val="55"/>
                    <w:spacing w:line="184" w:lineRule="auto"/>
                    <w:ind w:left="52"/>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禁止开发建设活动的要求: /</w:t>
                  </w:r>
                </w:p>
                <w:p w14:paraId="1FEE6F8D">
                  <w:pPr>
                    <w:pStyle w:val="55"/>
                    <w:spacing w:line="184" w:lineRule="auto"/>
                    <w:ind w:left="58"/>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限制开发建设活动的要求: /</w:t>
                  </w:r>
                </w:p>
                <w:p w14:paraId="6BD160A2">
                  <w:pPr>
                    <w:pStyle w:val="55"/>
                    <w:spacing w:before="1" w:line="184" w:lineRule="auto"/>
                    <w:ind w:left="49" w:right="73" w:firstLine="2"/>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允许开发建设活动的要求: 暂无</w:t>
                  </w:r>
                </w:p>
                <w:p w14:paraId="4B26DC3B">
                  <w:pPr>
                    <w:pStyle w:val="55"/>
                    <w:spacing w:before="5" w:line="184" w:lineRule="auto"/>
                    <w:ind w:left="46" w:right="73" w:firstLine="4"/>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不符合空间布局要求活动的退出要求: 优化天然气化工、硫化工、锂钾综合开发、冶金建材、新材料等产业布局，切实做好危险化学品生产、使用、贮运、废弃全过程的安全防范措施，妥善处理好锂钾综合开发产业副产物及“三废”的综合利用途径或处置去向。</w:t>
                  </w:r>
                </w:p>
                <w:p w14:paraId="41116DEE">
                  <w:pPr>
                    <w:pStyle w:val="55"/>
                    <w:spacing w:before="2" w:line="184" w:lineRule="auto"/>
                    <w:ind w:left="47" w:right="73" w:firstLine="1"/>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其他空间布局约束要求: 打好升级版污染防治攻坚战。持续优化调整产业布局，以PM</w:t>
                  </w:r>
                  <w:r>
                    <w:rPr>
                      <w:rStyle w:val="27"/>
                      <w:rFonts w:hint="default" w:ascii="Times New Roman" w:hAnsi="Times New Roman" w:eastAsia="宋体" w:cs="Times New Roman"/>
                      <w:color w:val="000000"/>
                      <w:kern w:val="0"/>
                      <w:sz w:val="21"/>
                      <w:szCs w:val="21"/>
                      <w:vertAlign w:val="subscript"/>
                      <w:lang w:val="en-US" w:eastAsia="zh-CN" w:bidi="ar-SA"/>
                    </w:rPr>
                    <w:t>2.5</w:t>
                  </w:r>
                  <w:r>
                    <w:rPr>
                      <w:rStyle w:val="27"/>
                      <w:rFonts w:hint="default" w:ascii="Times New Roman" w:hAnsi="Times New Roman" w:eastAsia="宋体" w:cs="Times New Roman"/>
                      <w:color w:val="000000"/>
                      <w:kern w:val="0"/>
                      <w:sz w:val="21"/>
                      <w:szCs w:val="21"/>
                      <w:lang w:val="en-US" w:eastAsia="zh-CN" w:bidi="ar-SA"/>
                    </w:rPr>
                    <w:t>和臭氧污染协同控制为重点，全面开展VOCs治理，实施移动源整治，持续推进空气质量精细化管理。引进项目应符合园区规划环评和区域产业准入清单要求。</w:t>
                  </w:r>
                </w:p>
              </w:tc>
              <w:tc>
                <w:tcPr>
                  <w:tcW w:w="1429" w:type="dxa"/>
                  <w:tcBorders>
                    <w:top w:val="single" w:color="auto" w:sz="4" w:space="0"/>
                    <w:left w:val="nil"/>
                    <w:bottom w:val="single" w:color="auto" w:sz="4" w:space="0"/>
                    <w:right w:val="single" w:color="auto" w:sz="4" w:space="0"/>
                  </w:tcBorders>
                  <w:noWrap w:val="0"/>
                  <w:vAlign w:val="center"/>
                </w:tcPr>
                <w:p w14:paraId="18E2ADE2">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color w:val="auto"/>
                      <w:sz w:val="21"/>
                      <w:szCs w:val="21"/>
                    </w:rPr>
                    <w:t>本项目</w:t>
                  </w:r>
                  <w:r>
                    <w:rPr>
                      <w:rFonts w:hint="default"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0"/>
                      <w:sz w:val="21"/>
                      <w:szCs w:val="21"/>
                      <w:lang w:val="en-US" w:eastAsia="zh-CN" w:bidi="ar"/>
                    </w:rPr>
                    <w:t>项目</w:t>
                  </w:r>
                  <w:r>
                    <w:rPr>
                      <w:rFonts w:hint="default" w:ascii="Times New Roman" w:hAnsi="Times New Roman" w:eastAsia="宋体" w:cs="Times New Roman"/>
                      <w:b w:val="0"/>
                      <w:bCs/>
                      <w:color w:val="auto"/>
                      <w:sz w:val="21"/>
                      <w:szCs w:val="21"/>
                    </w:rPr>
                    <w:t>，不属于禁止开发</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限制开发、</w:t>
                  </w:r>
                  <w:r>
                    <w:rPr>
                      <w:rFonts w:hint="default" w:ascii="Times New Roman" w:hAnsi="Times New Roman" w:eastAsia="宋体" w:cs="Times New Roman"/>
                      <w:b w:val="0"/>
                      <w:bCs/>
                      <w:color w:val="auto"/>
                      <w:sz w:val="21"/>
                      <w:szCs w:val="21"/>
                    </w:rPr>
                    <w:t>不符合空间布局要求等建设活动，符合要求。</w:t>
                  </w:r>
                </w:p>
              </w:tc>
              <w:tc>
                <w:tcPr>
                  <w:tcW w:w="446" w:type="dxa"/>
                  <w:tcBorders>
                    <w:top w:val="single" w:color="auto" w:sz="4" w:space="0"/>
                    <w:left w:val="nil"/>
                    <w:bottom w:val="single" w:color="auto" w:sz="4" w:space="0"/>
                    <w:right w:val="single" w:color="auto" w:sz="4" w:space="0"/>
                  </w:tcBorders>
                  <w:noWrap w:val="0"/>
                  <w:vAlign w:val="center"/>
                </w:tcPr>
                <w:p w14:paraId="69AF3E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符合</w:t>
                  </w:r>
                </w:p>
              </w:tc>
            </w:tr>
            <w:tr w14:paraId="62D5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65F92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47539D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283DE6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noWrap w:val="0"/>
                  <w:vAlign w:val="center"/>
                </w:tcPr>
                <w:p w14:paraId="41407A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tc>
              <w:tc>
                <w:tcPr>
                  <w:tcW w:w="4647" w:type="dxa"/>
                  <w:tcBorders>
                    <w:top w:val="single" w:color="auto" w:sz="4" w:space="0"/>
                    <w:left w:val="nil"/>
                    <w:bottom w:val="single" w:color="auto" w:sz="4" w:space="0"/>
                    <w:right w:val="single" w:color="auto" w:sz="4" w:space="0"/>
                  </w:tcBorders>
                  <w:noWrap w:val="0"/>
                  <w:vAlign w:val="center"/>
                </w:tcPr>
                <w:p w14:paraId="154D90DE">
                  <w:pPr>
                    <w:pStyle w:val="55"/>
                    <w:spacing w:before="3" w:line="184" w:lineRule="auto"/>
                    <w:ind w:left="46" w:right="73"/>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现有源提标升级改造: 加强小流域水环境保护，推动农村环保基础设施建设，全面推进农村环境综合整治、生活污水处理项目</w:t>
                  </w:r>
                </w:p>
                <w:p w14:paraId="2AC5DC4C">
                  <w:pPr>
                    <w:pStyle w:val="55"/>
                    <w:spacing w:before="1" w:line="184" w:lineRule="auto"/>
                    <w:ind w:left="46"/>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新增源等量或倍量替代: 暂无</w:t>
                  </w:r>
                </w:p>
                <w:p w14:paraId="6F10FE69">
                  <w:pPr>
                    <w:pStyle w:val="55"/>
                    <w:spacing w:line="184" w:lineRule="auto"/>
                    <w:ind w:left="46"/>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新增源排放标准限值: 暂无</w:t>
                  </w:r>
                </w:p>
                <w:p w14:paraId="2F2C8380">
                  <w:pPr>
                    <w:pStyle w:val="55"/>
                    <w:spacing w:before="1" w:line="184" w:lineRule="auto"/>
                    <w:ind w:left="59" w:right="73" w:hanging="9"/>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污染物排放绩效水平准入要求 : 暂无</w:t>
                  </w:r>
                </w:p>
                <w:p w14:paraId="0C4D2084">
                  <w:pPr>
                    <w:pStyle w:val="55"/>
                    <w:spacing w:before="4" w:line="184" w:lineRule="auto"/>
                    <w:ind w:left="48" w:right="73"/>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其他污染物排放管控要求: 大力开展沿河畜禽养殖污染整治</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大力推广生态种植，减少农药化肥使用量；普光气田开发污染防治和环境管理等方面要达国内先进水平。</w:t>
                  </w:r>
                </w:p>
              </w:tc>
              <w:tc>
                <w:tcPr>
                  <w:tcW w:w="1429" w:type="dxa"/>
                  <w:tcBorders>
                    <w:top w:val="single" w:color="auto" w:sz="4" w:space="0"/>
                    <w:left w:val="nil"/>
                    <w:bottom w:val="single" w:color="auto" w:sz="4" w:space="0"/>
                    <w:right w:val="single" w:color="auto" w:sz="4" w:space="0"/>
                  </w:tcBorders>
                  <w:noWrap w:val="0"/>
                  <w:vAlign w:val="center"/>
                </w:tcPr>
                <w:p w14:paraId="321D1373">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Style w:val="27"/>
                      <w:rFonts w:hint="default" w:ascii="Times New Roman" w:hAnsi="Times New Roman" w:eastAsia="宋体" w:cs="Times New Roman"/>
                      <w:color w:val="auto"/>
                      <w:kern w:val="2"/>
                      <w:sz w:val="21"/>
                      <w:szCs w:val="21"/>
                      <w:highlight w:val="none"/>
                      <w:lang w:val="en-US" w:eastAsia="zh-CN" w:bidi="ar-SA"/>
                    </w:rPr>
                    <w:t>本项目运营期生活污水经化粪池处理后用于农肥；</w:t>
                  </w:r>
                  <w:r>
                    <w:rPr>
                      <w:rFonts w:hint="default" w:ascii="Times New Roman" w:hAnsi="Times New Roman" w:cs="Times New Roman"/>
                      <w:color w:val="auto"/>
                      <w:sz w:val="21"/>
                      <w:szCs w:val="21"/>
                      <w:highlight w:val="none"/>
                      <w:vertAlign w:val="baseline"/>
                      <w:lang w:val="en-US" w:eastAsia="zh-CN"/>
                    </w:rPr>
                    <w:t>排泥水经沉淀后回用于厂区绿化；膜反冲洗水经排水池收集后全部返回供水厂净水设施处理</w:t>
                  </w:r>
                  <w:r>
                    <w:rPr>
                      <w:rStyle w:val="27"/>
                      <w:rFonts w:hint="default" w:ascii="Times New Roman" w:hAnsi="Times New Roman" w:eastAsia="宋体" w:cs="Times New Roman"/>
                      <w:color w:val="auto"/>
                      <w:kern w:val="2"/>
                      <w:sz w:val="21"/>
                      <w:szCs w:val="21"/>
                      <w:highlight w:val="none"/>
                      <w:lang w:val="en-US" w:eastAsia="zh-CN" w:bidi="ar-SA"/>
                    </w:rPr>
                    <w:t>。</w:t>
                  </w:r>
                </w:p>
              </w:tc>
              <w:tc>
                <w:tcPr>
                  <w:tcW w:w="446" w:type="dxa"/>
                  <w:tcBorders>
                    <w:top w:val="single" w:color="auto" w:sz="4" w:space="0"/>
                    <w:left w:val="nil"/>
                    <w:bottom w:val="single" w:color="auto" w:sz="4" w:space="0"/>
                    <w:right w:val="single" w:color="auto" w:sz="4" w:space="0"/>
                  </w:tcBorders>
                  <w:noWrap w:val="0"/>
                  <w:vAlign w:val="center"/>
                </w:tcPr>
                <w:p w14:paraId="4284E0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符合</w:t>
                  </w:r>
                </w:p>
              </w:tc>
            </w:tr>
            <w:tr w14:paraId="1D1C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34DABA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79B3A7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602FB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shd w:val="clear" w:color="auto" w:fill="auto"/>
                  <w:noWrap w:val="0"/>
                  <w:vAlign w:val="center"/>
                </w:tcPr>
                <w:p w14:paraId="1611D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环境风险防控</w:t>
                  </w:r>
                </w:p>
              </w:tc>
              <w:tc>
                <w:tcPr>
                  <w:tcW w:w="4647" w:type="dxa"/>
                  <w:tcBorders>
                    <w:top w:val="single" w:color="auto" w:sz="4" w:space="0"/>
                    <w:left w:val="nil"/>
                    <w:bottom w:val="single" w:color="auto" w:sz="4" w:space="0"/>
                    <w:right w:val="single" w:color="auto" w:sz="4" w:space="0"/>
                  </w:tcBorders>
                  <w:noWrap w:val="0"/>
                  <w:vAlign w:val="center"/>
                </w:tcPr>
                <w:p w14:paraId="50E3D5F4">
                  <w:pPr>
                    <w:pStyle w:val="55"/>
                    <w:spacing w:before="1" w:line="184" w:lineRule="auto"/>
                    <w:ind w:left="50" w:right="163" w:hanging="2"/>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严格管控类农用地管控要求:暂无</w:t>
                  </w:r>
                </w:p>
                <w:p w14:paraId="1BD5AE11">
                  <w:pPr>
                    <w:pStyle w:val="55"/>
                    <w:spacing w:before="1" w:line="184" w:lineRule="auto"/>
                    <w:ind w:left="51" w:right="163" w:hanging="2"/>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安全利用类农用地管控要求:暂无</w:t>
                  </w:r>
                </w:p>
                <w:p w14:paraId="09F3FAEC">
                  <w:pPr>
                    <w:pStyle w:val="55"/>
                    <w:spacing w:before="1" w:line="184" w:lineRule="auto"/>
                    <w:ind w:left="50"/>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污染地块管控要求: 暂无</w:t>
                  </w:r>
                </w:p>
                <w:p w14:paraId="05DE8DAA">
                  <w:pPr>
                    <w:pStyle w:val="55"/>
                    <w:spacing w:line="184" w:lineRule="auto"/>
                    <w:ind w:left="64"/>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园区环境风险防控要求: 暂无</w:t>
                  </w:r>
                </w:p>
                <w:p w14:paraId="0C8074BF">
                  <w:pPr>
                    <w:pStyle w:val="55"/>
                    <w:spacing w:before="1" w:line="184" w:lineRule="auto"/>
                    <w:ind w:left="48"/>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企业环境风险防控要求: 暂无</w:t>
                  </w:r>
                </w:p>
                <w:p w14:paraId="5400B793">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其他环境风险防控要求: /</w:t>
                  </w:r>
                </w:p>
              </w:tc>
              <w:tc>
                <w:tcPr>
                  <w:tcW w:w="1429" w:type="dxa"/>
                  <w:tcBorders>
                    <w:top w:val="single" w:color="auto" w:sz="4" w:space="0"/>
                    <w:left w:val="nil"/>
                    <w:bottom w:val="single" w:color="auto" w:sz="4" w:space="0"/>
                    <w:right w:val="single" w:color="auto" w:sz="4" w:space="0"/>
                  </w:tcBorders>
                  <w:noWrap w:val="0"/>
                  <w:vAlign w:val="center"/>
                </w:tcPr>
                <w:p w14:paraId="771A97EB">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46" w:type="dxa"/>
                  <w:tcBorders>
                    <w:top w:val="single" w:color="auto" w:sz="4" w:space="0"/>
                    <w:left w:val="nil"/>
                    <w:bottom w:val="single" w:color="auto" w:sz="4" w:space="0"/>
                    <w:right w:val="single" w:color="auto" w:sz="4" w:space="0"/>
                  </w:tcBorders>
                  <w:noWrap w:val="0"/>
                  <w:vAlign w:val="center"/>
                </w:tcPr>
                <w:p w14:paraId="3B8A1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6323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7CD289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383A1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4F43F8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shd w:val="clear" w:color="auto" w:fill="auto"/>
                  <w:noWrap w:val="0"/>
                  <w:vAlign w:val="center"/>
                </w:tcPr>
                <w:p w14:paraId="239F79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资源开发效率</w:t>
                  </w:r>
                </w:p>
              </w:tc>
              <w:tc>
                <w:tcPr>
                  <w:tcW w:w="4647" w:type="dxa"/>
                  <w:tcBorders>
                    <w:top w:val="single" w:color="auto" w:sz="4" w:space="0"/>
                    <w:left w:val="nil"/>
                    <w:bottom w:val="single" w:color="auto" w:sz="4" w:space="0"/>
                    <w:right w:val="single" w:color="auto" w:sz="4" w:space="0"/>
                  </w:tcBorders>
                  <w:noWrap w:val="0"/>
                  <w:vAlign w:val="center"/>
                </w:tcPr>
                <w:p w14:paraId="093318BD">
                  <w:pPr>
                    <w:pStyle w:val="55"/>
                    <w:spacing w:before="1" w:line="184" w:lineRule="auto"/>
                    <w:ind w:left="46"/>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水资源利用效率要求: /</w:t>
                  </w:r>
                </w:p>
                <w:p w14:paraId="27A2F72A">
                  <w:pPr>
                    <w:pStyle w:val="55"/>
                    <w:spacing w:line="184" w:lineRule="auto"/>
                    <w:ind w:left="48"/>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地下水开采要求: /</w:t>
                  </w:r>
                </w:p>
                <w:p w14:paraId="1CCB2EB1">
                  <w:pPr>
                    <w:pStyle w:val="55"/>
                    <w:spacing w:before="1" w:line="184" w:lineRule="auto"/>
                    <w:ind w:left="57"/>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能源利用效率要求: /</w:t>
                  </w:r>
                </w:p>
                <w:p w14:paraId="7D74A089">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其他资源利用效率要求: /</w:t>
                  </w:r>
                </w:p>
              </w:tc>
              <w:tc>
                <w:tcPr>
                  <w:tcW w:w="1429" w:type="dxa"/>
                  <w:tcBorders>
                    <w:top w:val="single" w:color="auto" w:sz="4" w:space="0"/>
                    <w:left w:val="nil"/>
                    <w:bottom w:val="single" w:color="auto" w:sz="4" w:space="0"/>
                    <w:right w:val="single" w:color="auto" w:sz="4" w:space="0"/>
                  </w:tcBorders>
                  <w:noWrap w:val="0"/>
                  <w:vAlign w:val="center"/>
                </w:tcPr>
                <w:p w14:paraId="70A0FAF9">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46" w:type="dxa"/>
                  <w:tcBorders>
                    <w:top w:val="single" w:color="auto" w:sz="4" w:space="0"/>
                    <w:left w:val="nil"/>
                    <w:bottom w:val="single" w:color="auto" w:sz="4" w:space="0"/>
                    <w:right w:val="single" w:color="auto" w:sz="4" w:space="0"/>
                  </w:tcBorders>
                  <w:noWrap w:val="0"/>
                  <w:vAlign w:val="center"/>
                </w:tcPr>
                <w:p w14:paraId="1A128C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63F2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40767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6098C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3F079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shd w:val="clear" w:color="auto" w:fill="auto"/>
                  <w:noWrap w:val="0"/>
                  <w:vAlign w:val="center"/>
                </w:tcPr>
                <w:p w14:paraId="6B387E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区域特点</w:t>
                  </w:r>
                </w:p>
              </w:tc>
              <w:tc>
                <w:tcPr>
                  <w:tcW w:w="4647" w:type="dxa"/>
                  <w:tcBorders>
                    <w:top w:val="single" w:color="auto" w:sz="4" w:space="0"/>
                    <w:left w:val="nil"/>
                    <w:bottom w:val="single" w:color="auto" w:sz="4" w:space="0"/>
                    <w:right w:val="single" w:color="auto" w:sz="4" w:space="0"/>
                  </w:tcBorders>
                  <w:shd w:val="clear" w:color="auto" w:fill="auto"/>
                  <w:noWrap w:val="0"/>
                  <w:vAlign w:val="center"/>
                </w:tcPr>
                <w:p w14:paraId="6CA0E340">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暂无</w:t>
                  </w:r>
                  <w:r>
                    <w:rPr>
                      <w:rStyle w:val="27"/>
                      <w:rFonts w:hint="eastAsia" w:ascii="Times New Roman" w:hAnsi="Times New Roman" w:eastAsia="宋体" w:cs="Times New Roman"/>
                      <w:color w:val="000000"/>
                      <w:kern w:val="0"/>
                      <w:sz w:val="21"/>
                      <w:szCs w:val="21"/>
                      <w:lang w:val="en-US" w:eastAsia="zh-CN" w:bidi="ar-SA"/>
                    </w:rPr>
                    <w:t>。</w:t>
                  </w:r>
                </w:p>
              </w:tc>
              <w:tc>
                <w:tcPr>
                  <w:tcW w:w="1429" w:type="dxa"/>
                  <w:tcBorders>
                    <w:top w:val="single" w:color="auto" w:sz="4" w:space="0"/>
                    <w:left w:val="nil"/>
                    <w:bottom w:val="single" w:color="auto" w:sz="4" w:space="0"/>
                    <w:right w:val="single" w:color="auto" w:sz="4" w:space="0"/>
                  </w:tcBorders>
                  <w:noWrap w:val="0"/>
                  <w:vAlign w:val="center"/>
                </w:tcPr>
                <w:p w14:paraId="537FF1BC">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46" w:type="dxa"/>
                  <w:tcBorders>
                    <w:top w:val="single" w:color="auto" w:sz="4" w:space="0"/>
                    <w:left w:val="nil"/>
                    <w:bottom w:val="single" w:color="auto" w:sz="4" w:space="0"/>
                    <w:right w:val="single" w:color="auto" w:sz="4" w:space="0"/>
                  </w:tcBorders>
                  <w:noWrap w:val="0"/>
                  <w:vAlign w:val="center"/>
                </w:tcPr>
                <w:p w14:paraId="689A9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w:t>
                  </w:r>
                </w:p>
              </w:tc>
            </w:tr>
            <w:tr w14:paraId="4BA0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57A183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4D38F0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5322F1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shd w:val="clear" w:color="auto" w:fill="auto"/>
                  <w:noWrap w:val="0"/>
                  <w:vAlign w:val="center"/>
                </w:tcPr>
                <w:p w14:paraId="488B70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发展定位与目标</w:t>
                  </w:r>
                </w:p>
              </w:tc>
              <w:tc>
                <w:tcPr>
                  <w:tcW w:w="4647" w:type="dxa"/>
                  <w:tcBorders>
                    <w:top w:val="single" w:color="auto" w:sz="4" w:space="0"/>
                    <w:left w:val="nil"/>
                    <w:bottom w:val="single" w:color="auto" w:sz="4" w:space="0"/>
                    <w:right w:val="single" w:color="auto" w:sz="4" w:space="0"/>
                  </w:tcBorders>
                  <w:shd w:val="clear" w:color="auto" w:fill="auto"/>
                  <w:noWrap w:val="0"/>
                  <w:vAlign w:val="center"/>
                </w:tcPr>
                <w:p w14:paraId="26D48B5A">
                  <w:pPr>
                    <w:pStyle w:val="55"/>
                    <w:spacing w:before="4" w:line="184" w:lineRule="auto"/>
                    <w:ind w:left="47" w:right="73" w:firstLine="8"/>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落实国家、省战略部署，落实达州万达开天然气锂钾综合利用集聚区对宣汉县的规划要求</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建成“全国新能源新材料综合利用示范区、全国知名旅游目的地、全国巴文化高地、国家农业现代化示范区”。</w:t>
                  </w:r>
                </w:p>
                <w:p w14:paraId="44486878">
                  <w:pPr>
                    <w:pStyle w:val="55"/>
                    <w:spacing w:before="4" w:line="184" w:lineRule="auto"/>
                    <w:ind w:left="50" w:right="73" w:firstLine="2"/>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到2025年，基本建成全国新能源新材料基地，初步形成川东北地区生态文明典范，基本建成农业现代化示范区，基本建成全域旅游示范县，全面建成高标准小康社会。到2035年</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全县生态文明建设、社会经济发展成效显著，建设成为国家新能源新材料基地，打造川陕渝鄂区域生态文明典范、国家农业现代化示范区与国家旅游知名目的地，全面建成繁荣美丽社会主义现代化新宣汉。</w:t>
                  </w:r>
                </w:p>
              </w:tc>
              <w:tc>
                <w:tcPr>
                  <w:tcW w:w="1429" w:type="dxa"/>
                  <w:tcBorders>
                    <w:top w:val="single" w:color="auto" w:sz="4" w:space="0"/>
                    <w:left w:val="nil"/>
                    <w:bottom w:val="single" w:color="auto" w:sz="4" w:space="0"/>
                    <w:right w:val="single" w:color="auto" w:sz="4" w:space="0"/>
                  </w:tcBorders>
                  <w:noWrap w:val="0"/>
                  <w:vAlign w:val="center"/>
                </w:tcPr>
                <w:p w14:paraId="7E931B38">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0"/>
                      <w:sz w:val="21"/>
                      <w:szCs w:val="21"/>
                      <w:lang w:val="en-US" w:eastAsia="zh-CN" w:bidi="ar"/>
                    </w:rPr>
                    <w:t>项目</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有利于</w:t>
                  </w:r>
                  <w:r>
                    <w:rPr>
                      <w:rFonts w:hint="default" w:ascii="Times New Roman" w:hAnsi="Times New Roman" w:cs="Times New Roman"/>
                      <w:color w:val="auto"/>
                      <w:sz w:val="21"/>
                      <w:szCs w:val="21"/>
                      <w:highlight w:val="none"/>
                      <w:vertAlign w:val="baseline"/>
                      <w:lang w:val="en-US" w:eastAsia="zh-CN"/>
                    </w:rPr>
                    <w:t>推进乡村水务一体化</w:t>
                  </w:r>
                  <w:r>
                    <w:rPr>
                      <w:rFonts w:hint="eastAsia" w:ascii="Times New Roman" w:hAnsi="Times New Roman" w:cs="Times New Roman"/>
                      <w:color w:val="auto"/>
                      <w:sz w:val="21"/>
                      <w:szCs w:val="21"/>
                      <w:highlight w:val="none"/>
                      <w:vertAlign w:val="baseline"/>
                      <w:lang w:val="en-US" w:eastAsia="zh-CN"/>
                    </w:rPr>
                    <w:t>建设</w:t>
                  </w:r>
                  <w:r>
                    <w:rPr>
                      <w:rFonts w:hint="default" w:ascii="Times New Roman" w:hAnsi="Times New Roman" w:cs="Times New Roman"/>
                      <w:color w:val="auto"/>
                      <w:sz w:val="21"/>
                      <w:szCs w:val="21"/>
                      <w:highlight w:val="none"/>
                      <w:vertAlign w:val="baseline"/>
                      <w:lang w:val="en-US" w:eastAsia="zh-CN"/>
                    </w:rPr>
                    <w:t>，提升农村自来水普及率，提高城乡供水质量，改善城乡生产、生活条件，增强国民身体素质</w:t>
                  </w:r>
                  <w:r>
                    <w:rPr>
                      <w:rFonts w:hint="default" w:ascii="Times New Roman" w:hAnsi="Times New Roman" w:cs="Times New Roman"/>
                      <w:color w:val="auto"/>
                      <w:sz w:val="24"/>
                      <w:szCs w:val="32"/>
                      <w:highlight w:val="none"/>
                      <w:vertAlign w:val="baseline"/>
                      <w:lang w:val="en-US" w:eastAsia="zh-CN"/>
                    </w:rPr>
                    <w:t>。</w:t>
                  </w:r>
                </w:p>
              </w:tc>
              <w:tc>
                <w:tcPr>
                  <w:tcW w:w="446" w:type="dxa"/>
                  <w:tcBorders>
                    <w:top w:val="single" w:color="auto" w:sz="4" w:space="0"/>
                    <w:left w:val="nil"/>
                    <w:bottom w:val="single" w:color="auto" w:sz="4" w:space="0"/>
                    <w:right w:val="single" w:color="auto" w:sz="4" w:space="0"/>
                  </w:tcBorders>
                  <w:noWrap w:val="0"/>
                  <w:vAlign w:val="center"/>
                </w:tcPr>
                <w:p w14:paraId="0CD08A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符合</w:t>
                  </w:r>
                </w:p>
              </w:tc>
            </w:tr>
            <w:tr w14:paraId="22F6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0862D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1C9F52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08C9FA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shd w:val="clear" w:color="auto" w:fill="auto"/>
                  <w:noWrap w:val="0"/>
                  <w:vAlign w:val="center"/>
                </w:tcPr>
                <w:p w14:paraId="0D1AD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区域突出生态环境问题</w:t>
                  </w:r>
                </w:p>
              </w:tc>
              <w:tc>
                <w:tcPr>
                  <w:tcW w:w="4647" w:type="dxa"/>
                  <w:tcBorders>
                    <w:top w:val="single" w:color="auto" w:sz="4" w:space="0"/>
                    <w:left w:val="nil"/>
                    <w:bottom w:val="single" w:color="auto" w:sz="4" w:space="0"/>
                    <w:right w:val="single" w:color="auto" w:sz="4" w:space="0"/>
                  </w:tcBorders>
                  <w:shd w:val="clear" w:color="auto" w:fill="auto"/>
                  <w:noWrap w:val="0"/>
                  <w:vAlign w:val="center"/>
                </w:tcPr>
                <w:p w14:paraId="6761A3FD">
                  <w:pPr>
                    <w:pStyle w:val="55"/>
                    <w:spacing w:before="1" w:line="184" w:lineRule="auto"/>
                    <w:ind w:left="55" w:right="163"/>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1、受上游来水水质影响，新宁河宣汉段水质不稳定；</w:t>
                  </w:r>
                </w:p>
                <w:p w14:paraId="618E4194">
                  <w:pPr>
                    <w:pStyle w:val="32"/>
                    <w:keepNext w:val="0"/>
                    <w:keepLines w:val="0"/>
                    <w:pageBreakBefore w:val="0"/>
                    <w:widowControl w:val="0"/>
                    <w:wordWrap/>
                    <w:topLinePunct w:val="0"/>
                    <w:autoSpaceDE/>
                    <w:autoSpaceDN/>
                    <w:bidi w:val="0"/>
                    <w:adjustRightInd/>
                    <w:spacing w:line="240" w:lineRule="auto"/>
                    <w:ind w:firstLine="0" w:firstLineChars="0"/>
                    <w:jc w:val="both"/>
                    <w:textAlignment w:val="auto"/>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2、受当前主要污染物总量减排政策影响，目前我县主要污染物排放总量指标无法满足我县锂钾产业开发、天然气下游产业开发、新材料产业开发等工业发展项目需要，在一定程度上阻碍了我县百强县创建</w:t>
                  </w:r>
                  <w:r>
                    <w:rPr>
                      <w:rStyle w:val="27"/>
                      <w:rFonts w:hint="eastAsia" w:ascii="Times New Roman" w:hAnsi="Times New Roman" w:eastAsia="宋体" w:cs="Times New Roman"/>
                      <w:color w:val="000000"/>
                      <w:kern w:val="0"/>
                      <w:sz w:val="21"/>
                      <w:szCs w:val="21"/>
                      <w:lang w:val="en-US" w:eastAsia="zh-CN" w:bidi="ar-SA"/>
                    </w:rPr>
                    <w:t>。</w:t>
                  </w:r>
                </w:p>
              </w:tc>
              <w:tc>
                <w:tcPr>
                  <w:tcW w:w="1429" w:type="dxa"/>
                  <w:tcBorders>
                    <w:top w:val="single" w:color="auto" w:sz="4" w:space="0"/>
                    <w:left w:val="nil"/>
                    <w:bottom w:val="single" w:color="auto" w:sz="4" w:space="0"/>
                    <w:right w:val="single" w:color="auto" w:sz="4" w:space="0"/>
                  </w:tcBorders>
                  <w:noWrap w:val="0"/>
                  <w:vAlign w:val="center"/>
                </w:tcPr>
                <w:p w14:paraId="022B9794">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0"/>
                      <w:sz w:val="21"/>
                      <w:szCs w:val="21"/>
                      <w:lang w:val="en-US" w:eastAsia="zh-CN" w:bidi="ar"/>
                    </w:rPr>
                    <w:t>项目</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生产废水不外排，污染影响较小。</w:t>
                  </w:r>
                </w:p>
              </w:tc>
              <w:tc>
                <w:tcPr>
                  <w:tcW w:w="446" w:type="dxa"/>
                  <w:tcBorders>
                    <w:top w:val="single" w:color="auto" w:sz="4" w:space="0"/>
                    <w:left w:val="nil"/>
                    <w:bottom w:val="single" w:color="auto" w:sz="4" w:space="0"/>
                    <w:right w:val="single" w:color="auto" w:sz="4" w:space="0"/>
                  </w:tcBorders>
                  <w:noWrap w:val="0"/>
                  <w:vAlign w:val="center"/>
                </w:tcPr>
                <w:p w14:paraId="13B1B1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符合</w:t>
                  </w:r>
                </w:p>
              </w:tc>
            </w:tr>
            <w:tr w14:paraId="1BDB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471CA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3DB2D3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571ED0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shd w:val="clear" w:color="auto" w:fill="auto"/>
                  <w:noWrap w:val="0"/>
                  <w:vAlign w:val="center"/>
                </w:tcPr>
                <w:p w14:paraId="661F2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总体管控要求</w:t>
                  </w:r>
                </w:p>
              </w:tc>
              <w:tc>
                <w:tcPr>
                  <w:tcW w:w="4647" w:type="dxa"/>
                  <w:tcBorders>
                    <w:top w:val="single" w:color="auto" w:sz="4" w:space="0"/>
                    <w:left w:val="nil"/>
                    <w:bottom w:val="single" w:color="auto" w:sz="4" w:space="0"/>
                    <w:right w:val="single" w:color="auto" w:sz="4" w:space="0"/>
                  </w:tcBorders>
                  <w:shd w:val="clear" w:color="auto" w:fill="auto"/>
                  <w:noWrap w:val="0"/>
                  <w:vAlign w:val="center"/>
                </w:tcPr>
                <w:p w14:paraId="399E8AEB">
                  <w:pPr>
                    <w:pStyle w:val="55"/>
                    <w:spacing w:before="4" w:line="184" w:lineRule="auto"/>
                    <w:ind w:left="46" w:right="73" w:firstLine="8"/>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1、优化天然气化工、硫化工</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锂钾综合开发、冶金建材、新材料等产业布局，切实做好危险化学品生产、使用、贮运 、废弃全过程的安全防范措施</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妥善处理好锂钾综合开发产业副产物及“三废”的综合利用途径或处置去向。</w:t>
                  </w:r>
                </w:p>
                <w:p w14:paraId="36F08DF2">
                  <w:pPr>
                    <w:pStyle w:val="55"/>
                    <w:spacing w:before="1" w:line="184" w:lineRule="auto"/>
                    <w:ind w:left="52" w:right="163" w:hanging="9"/>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2、打好升级版污染防治攻坚战。持续优化调整产业布局</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以PM</w:t>
                  </w:r>
                  <w:r>
                    <w:rPr>
                      <w:rStyle w:val="27"/>
                      <w:rFonts w:hint="default" w:ascii="Times New Roman" w:hAnsi="Times New Roman" w:eastAsia="宋体" w:cs="Times New Roman"/>
                      <w:color w:val="000000"/>
                      <w:kern w:val="0"/>
                      <w:sz w:val="21"/>
                      <w:szCs w:val="21"/>
                      <w:vertAlign w:val="subscript"/>
                      <w:lang w:val="en-US" w:eastAsia="zh-CN" w:bidi="ar-SA"/>
                    </w:rPr>
                    <w:t>2.5</w:t>
                  </w:r>
                  <w:r>
                    <w:rPr>
                      <w:rStyle w:val="27"/>
                      <w:rFonts w:hint="default" w:ascii="Times New Roman" w:hAnsi="Times New Roman" w:eastAsia="宋体" w:cs="Times New Roman"/>
                      <w:color w:val="000000"/>
                      <w:kern w:val="0"/>
                      <w:sz w:val="21"/>
                      <w:szCs w:val="21"/>
                      <w:lang w:val="en-US" w:eastAsia="zh-CN" w:bidi="ar-SA"/>
                    </w:rPr>
                    <w:t xml:space="preserve">和臭氧污染协同控制为重点，全面开展VOCS治理 </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实施移动源整治，持续推进空气质量精细化管理。引进项目应符合园区规划环评和区域产业准入清单要求。</w:t>
                  </w:r>
                </w:p>
                <w:p w14:paraId="369FEE71">
                  <w:pPr>
                    <w:pStyle w:val="55"/>
                    <w:spacing w:line="184" w:lineRule="auto"/>
                    <w:ind w:left="50"/>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污染物排放管控。</w:t>
                  </w:r>
                </w:p>
                <w:p w14:paraId="2E63E38D">
                  <w:pPr>
                    <w:pStyle w:val="55"/>
                    <w:spacing w:before="1" w:line="184" w:lineRule="auto"/>
                    <w:ind w:left="45"/>
                    <w:rPr>
                      <w:rStyle w:val="27"/>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3、加强小流域水环境保护</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 xml:space="preserve">推动农村环保基础设施建设 </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全面推进农村环境综合整治 、生活污水处理项目。</w:t>
                  </w:r>
                </w:p>
                <w:p w14:paraId="66C26605">
                  <w:pPr>
                    <w:pStyle w:val="55"/>
                    <w:spacing w:before="1" w:line="184" w:lineRule="auto"/>
                    <w:ind w:left="48" w:right="163" w:hanging="8"/>
                    <w:rPr>
                      <w:rFonts w:hint="default" w:ascii="Times New Roman" w:hAnsi="Times New Roman" w:eastAsia="宋体" w:cs="Times New Roman"/>
                      <w:color w:val="000000"/>
                      <w:kern w:val="0"/>
                      <w:sz w:val="21"/>
                      <w:szCs w:val="21"/>
                      <w:lang w:val="en-US" w:eastAsia="zh-CN" w:bidi="ar-SA"/>
                    </w:rPr>
                  </w:pPr>
                  <w:r>
                    <w:rPr>
                      <w:rStyle w:val="27"/>
                      <w:rFonts w:hint="default" w:ascii="Times New Roman" w:hAnsi="Times New Roman" w:eastAsia="宋体" w:cs="Times New Roman"/>
                      <w:color w:val="000000"/>
                      <w:kern w:val="0"/>
                      <w:sz w:val="21"/>
                      <w:szCs w:val="21"/>
                      <w:lang w:val="en-US" w:eastAsia="zh-CN" w:bidi="ar-SA"/>
                    </w:rPr>
                    <w:t>4、大力开展沿河畜禽养殖污染整治，大力推广生态种植</w:t>
                  </w:r>
                  <w:r>
                    <w:rPr>
                      <w:rStyle w:val="27"/>
                      <w:rFonts w:hint="eastAsia" w:ascii="Times New Roman" w:hAnsi="Times New Roman" w:eastAsia="宋体" w:cs="Times New Roman"/>
                      <w:color w:val="000000"/>
                      <w:kern w:val="0"/>
                      <w:sz w:val="21"/>
                      <w:szCs w:val="21"/>
                      <w:lang w:val="en-US" w:eastAsia="zh-CN" w:bidi="ar-SA"/>
                    </w:rPr>
                    <w:t>，</w:t>
                  </w:r>
                  <w:r>
                    <w:rPr>
                      <w:rStyle w:val="27"/>
                      <w:rFonts w:hint="default" w:ascii="Times New Roman" w:hAnsi="Times New Roman" w:eastAsia="宋体" w:cs="Times New Roman"/>
                      <w:color w:val="000000"/>
                      <w:kern w:val="0"/>
                      <w:sz w:val="21"/>
                      <w:szCs w:val="21"/>
                      <w:lang w:val="en-US" w:eastAsia="zh-CN" w:bidi="ar-SA"/>
                    </w:rPr>
                    <w:t>减少农药化肥使用量；普光气田开发污染防治和环境管理等方面要达国内先进水平。</w:t>
                  </w:r>
                </w:p>
              </w:tc>
              <w:tc>
                <w:tcPr>
                  <w:tcW w:w="1429" w:type="dxa"/>
                  <w:tcBorders>
                    <w:top w:val="single" w:color="auto" w:sz="4" w:space="0"/>
                    <w:left w:val="nil"/>
                    <w:bottom w:val="single" w:color="auto" w:sz="4" w:space="0"/>
                    <w:right w:val="single" w:color="auto" w:sz="4" w:space="0"/>
                  </w:tcBorders>
                  <w:noWrap w:val="0"/>
                  <w:vAlign w:val="center"/>
                </w:tcPr>
                <w:p w14:paraId="7F0E2527">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w:t>
                  </w:r>
                  <w:r>
                    <w:rPr>
                      <w:rFonts w:hint="default" w:ascii="Times New Roman" w:hAnsi="Times New Roman" w:eastAsia="宋体" w:cs="Times New Roman"/>
                      <w:color w:val="auto"/>
                      <w:sz w:val="21"/>
                      <w:szCs w:val="21"/>
                      <w:lang w:val="en-US" w:eastAsia="zh-CN"/>
                    </w:rPr>
                    <w:t>项目为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0"/>
                      <w:sz w:val="21"/>
                      <w:szCs w:val="21"/>
                      <w:lang w:val="en-US" w:eastAsia="zh-CN" w:bidi="ar"/>
                    </w:rPr>
                    <w:t>项目</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采取相应措施后，符合</w:t>
                  </w:r>
                  <w:r>
                    <w:rPr>
                      <w:rStyle w:val="27"/>
                      <w:rFonts w:hint="default" w:ascii="Times New Roman" w:hAnsi="Times New Roman" w:eastAsia="宋体" w:cs="Times New Roman"/>
                      <w:color w:val="000000"/>
                      <w:kern w:val="0"/>
                      <w:sz w:val="21"/>
                      <w:szCs w:val="21"/>
                      <w:lang w:val="en-US" w:eastAsia="zh-CN" w:bidi="ar-SA"/>
                    </w:rPr>
                    <w:t>污染物排放管控</w:t>
                  </w:r>
                  <w:r>
                    <w:rPr>
                      <w:rStyle w:val="27"/>
                      <w:rFonts w:hint="eastAsia" w:ascii="Times New Roman" w:hAnsi="Times New Roman" w:eastAsia="宋体" w:cs="Times New Roman"/>
                      <w:color w:val="000000"/>
                      <w:kern w:val="0"/>
                      <w:sz w:val="21"/>
                      <w:szCs w:val="21"/>
                      <w:lang w:val="en-US" w:eastAsia="zh-CN" w:bidi="ar-SA"/>
                    </w:rPr>
                    <w:t>。</w:t>
                  </w:r>
                </w:p>
              </w:tc>
              <w:tc>
                <w:tcPr>
                  <w:tcW w:w="446" w:type="dxa"/>
                  <w:tcBorders>
                    <w:top w:val="single" w:color="auto" w:sz="4" w:space="0"/>
                    <w:left w:val="nil"/>
                    <w:bottom w:val="single" w:color="auto" w:sz="4" w:space="0"/>
                    <w:right w:val="single" w:color="auto" w:sz="4" w:space="0"/>
                  </w:tcBorders>
                  <w:noWrap w:val="0"/>
                  <w:vAlign w:val="center"/>
                </w:tcPr>
                <w:p w14:paraId="7270BA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符合</w:t>
                  </w:r>
                </w:p>
              </w:tc>
            </w:tr>
            <w:tr w14:paraId="3835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29AA0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7A2933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p>
              </w:tc>
              <w:tc>
                <w:tcPr>
                  <w:tcW w:w="495" w:type="dxa"/>
                  <w:vMerge w:val="restart"/>
                  <w:tcBorders>
                    <w:left w:val="nil"/>
                    <w:right w:val="single" w:color="auto" w:sz="4" w:space="0"/>
                  </w:tcBorders>
                  <w:noWrap w:val="0"/>
                  <w:vAlign w:val="center"/>
                </w:tcPr>
                <w:p w14:paraId="0CFF4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单元特性管控要求</w:t>
                  </w:r>
                </w:p>
              </w:tc>
              <w:tc>
                <w:tcPr>
                  <w:tcW w:w="694" w:type="dxa"/>
                  <w:tcBorders>
                    <w:top w:val="single" w:color="auto" w:sz="4" w:space="0"/>
                    <w:left w:val="nil"/>
                    <w:bottom w:val="single" w:color="auto" w:sz="4" w:space="0"/>
                    <w:right w:val="single" w:color="auto" w:sz="4" w:space="0"/>
                  </w:tcBorders>
                  <w:noWrap w:val="0"/>
                  <w:vAlign w:val="center"/>
                </w:tcPr>
                <w:p w14:paraId="4A745D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color w:val="auto"/>
                      <w:sz w:val="21"/>
                      <w:szCs w:val="21"/>
                    </w:rPr>
                    <w:t>空间布局约束</w:t>
                  </w:r>
                </w:p>
              </w:tc>
              <w:tc>
                <w:tcPr>
                  <w:tcW w:w="4647" w:type="dxa"/>
                  <w:tcBorders>
                    <w:top w:val="single" w:color="auto" w:sz="4" w:space="0"/>
                    <w:left w:val="nil"/>
                    <w:bottom w:val="single" w:color="auto" w:sz="4" w:space="0"/>
                    <w:right w:val="single" w:color="auto" w:sz="4" w:space="0"/>
                  </w:tcBorders>
                  <w:noWrap w:val="0"/>
                  <w:vAlign w:val="center"/>
                </w:tcPr>
                <w:p w14:paraId="40B5CF78">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禁止开发建设活动的要求：</w:t>
                  </w:r>
                </w:p>
                <w:p w14:paraId="3F040D0F">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552BA416">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限制开发建设活动的要求：</w:t>
                  </w:r>
                </w:p>
                <w:p w14:paraId="0509E2E3">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对四川省主体功能区划中的农产品主产区，应限制进行大规模高强度工业化城镇化开发，严格控制有色金属冶炼、石油加工、化工、焦化、电镀、制革等产能，原则上不增加产能。</w:t>
                  </w:r>
                </w:p>
                <w:p w14:paraId="0E03C0A0">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其他同达州市一般管控单元总体准入要求。</w:t>
                  </w:r>
                </w:p>
                <w:p w14:paraId="6DC48538">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允许开发建设活动的要求：</w:t>
                  </w:r>
                </w:p>
                <w:p w14:paraId="2583EFB3">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14:paraId="6FA8BC78">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不符合空间布局要求活动的退出要求：</w:t>
                  </w:r>
                </w:p>
                <w:p w14:paraId="038DE786">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14:paraId="75015387">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-其他同达州市一般管控单元总体准入要求。</w:t>
                  </w:r>
                </w:p>
                <w:p w14:paraId="1BA628D6">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其他空间布局约束要求：</w:t>
                  </w:r>
                </w:p>
                <w:p w14:paraId="7DA77B7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429" w:type="dxa"/>
                  <w:tcBorders>
                    <w:top w:val="single" w:color="auto" w:sz="4" w:space="0"/>
                    <w:left w:val="nil"/>
                    <w:bottom w:val="single" w:color="auto" w:sz="4" w:space="0"/>
                    <w:right w:val="single" w:color="auto" w:sz="4" w:space="0"/>
                  </w:tcBorders>
                  <w:noWrap w:val="0"/>
                  <w:vAlign w:val="center"/>
                </w:tcPr>
                <w:p w14:paraId="604D322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本</w:t>
                  </w:r>
                  <w:r>
                    <w:rPr>
                      <w:rFonts w:hint="default" w:ascii="Times New Roman" w:hAnsi="Times New Roman" w:eastAsia="宋体" w:cs="Times New Roman"/>
                      <w:color w:val="auto"/>
                      <w:sz w:val="21"/>
                      <w:szCs w:val="21"/>
                    </w:rPr>
                    <w:t>项目符合普适性管控要求。</w:t>
                  </w:r>
                </w:p>
              </w:tc>
              <w:tc>
                <w:tcPr>
                  <w:tcW w:w="446" w:type="dxa"/>
                  <w:tcBorders>
                    <w:top w:val="single" w:color="auto" w:sz="4" w:space="0"/>
                    <w:left w:val="nil"/>
                    <w:bottom w:val="single" w:color="auto" w:sz="4" w:space="0"/>
                    <w:right w:val="single" w:color="auto" w:sz="4" w:space="0"/>
                  </w:tcBorders>
                  <w:noWrap w:val="0"/>
                  <w:vAlign w:val="center"/>
                </w:tcPr>
                <w:p w14:paraId="61FB18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29FC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214FB8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2B1C3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6E569E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noWrap w:val="0"/>
                  <w:vAlign w:val="center"/>
                </w:tcPr>
                <w:p w14:paraId="38339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color w:val="auto"/>
                      <w:sz w:val="21"/>
                      <w:szCs w:val="21"/>
                    </w:rPr>
                    <w:t>污染物排放管控</w:t>
                  </w:r>
                </w:p>
              </w:tc>
              <w:tc>
                <w:tcPr>
                  <w:tcW w:w="4647" w:type="dxa"/>
                  <w:tcBorders>
                    <w:top w:val="single" w:color="auto" w:sz="4" w:space="0"/>
                    <w:left w:val="nil"/>
                    <w:bottom w:val="single" w:color="auto" w:sz="4" w:space="0"/>
                    <w:right w:val="single" w:color="auto" w:sz="4" w:space="0"/>
                  </w:tcBorders>
                  <w:noWrap w:val="0"/>
                  <w:vAlign w:val="center"/>
                </w:tcPr>
                <w:p w14:paraId="43F7A8E6">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现有源提标升级改造：</w:t>
                  </w:r>
                </w:p>
                <w:p w14:paraId="22E51D23">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3ECE6574">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新增源等量或倍量替代：</w:t>
                  </w:r>
                </w:p>
                <w:p w14:paraId="55409A18">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4A0789BB">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新增源排放标准限值：</w:t>
                  </w:r>
                </w:p>
                <w:p w14:paraId="1E16B142">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17C01D3F">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污染物排放绩效水平准入要求：</w:t>
                  </w:r>
                </w:p>
                <w:p w14:paraId="3CF82AA4">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-大气环境布局敏感和弱扩散重点管控区内，现有大气污染重点企业，限期进行深度治理或关停并转。</w:t>
                  </w:r>
                </w:p>
                <w:p w14:paraId="54E3BFA7">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-其它同达州市一般管控单元总体准入要求。</w:t>
                  </w:r>
                </w:p>
                <w:p w14:paraId="35B6EFED">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color w:val="auto"/>
                      <w:kern w:val="2"/>
                      <w:sz w:val="21"/>
                      <w:szCs w:val="21"/>
                      <w:lang w:val="en-US" w:eastAsia="zh-CN" w:bidi="ar-SA"/>
                    </w:rPr>
                  </w:pPr>
                  <w:r>
                    <w:rPr>
                      <w:rStyle w:val="27"/>
                      <w:rFonts w:hint="default" w:ascii="Times New Roman" w:hAnsi="Times New Roman" w:eastAsia="宋体" w:cs="Times New Roman"/>
                      <w:b/>
                      <w:bCs/>
                      <w:color w:val="auto"/>
                      <w:kern w:val="2"/>
                      <w:sz w:val="21"/>
                      <w:szCs w:val="21"/>
                      <w:lang w:val="en-US" w:eastAsia="zh-CN" w:bidi="ar-SA"/>
                    </w:rPr>
                    <w:t>其他污染物排放管控要求：</w:t>
                  </w:r>
                </w:p>
                <w:p w14:paraId="5DC426E7">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kern w:val="2"/>
                      <w:sz w:val="21"/>
                      <w:szCs w:val="21"/>
                      <w:lang w:val="en-US" w:eastAsia="zh-CN" w:bidi="ar-SA"/>
                    </w:rPr>
                  </w:pPr>
                  <w:r>
                    <w:rPr>
                      <w:rStyle w:val="27"/>
                      <w:rFonts w:hint="default" w:ascii="Times New Roman" w:hAnsi="Times New Roman" w:eastAsia="宋体" w:cs="Times New Roman"/>
                      <w:color w:val="auto"/>
                      <w:kern w:val="2"/>
                      <w:sz w:val="21"/>
                      <w:szCs w:val="21"/>
                      <w:lang w:val="en-US" w:eastAsia="zh-CN" w:bidi="ar-SA"/>
                    </w:rPr>
                    <w:t>/</w:t>
                  </w:r>
                </w:p>
              </w:tc>
              <w:tc>
                <w:tcPr>
                  <w:tcW w:w="1429" w:type="dxa"/>
                  <w:tcBorders>
                    <w:top w:val="single" w:color="auto" w:sz="4" w:space="0"/>
                    <w:left w:val="nil"/>
                    <w:bottom w:val="single" w:color="auto" w:sz="4" w:space="0"/>
                    <w:right w:val="single" w:color="auto" w:sz="4" w:space="0"/>
                  </w:tcBorders>
                  <w:noWrap w:val="0"/>
                  <w:vAlign w:val="center"/>
                </w:tcPr>
                <w:p w14:paraId="6C8C1EF6">
                  <w:pPr>
                    <w:keepNext w:val="0"/>
                    <w:keepLines w:val="0"/>
                    <w:pageBreakBefore w:val="0"/>
                    <w:widowControl/>
                    <w:suppressLineNumbers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本</w:t>
                  </w:r>
                  <w:r>
                    <w:rPr>
                      <w:rFonts w:hint="default" w:ascii="Times New Roman" w:hAnsi="Times New Roman" w:eastAsia="宋体" w:cs="Times New Roman"/>
                      <w:color w:val="auto"/>
                      <w:sz w:val="21"/>
                      <w:szCs w:val="21"/>
                    </w:rPr>
                    <w:t>项目符合普适性管控要求。</w:t>
                  </w:r>
                </w:p>
              </w:tc>
              <w:tc>
                <w:tcPr>
                  <w:tcW w:w="446" w:type="dxa"/>
                  <w:tcBorders>
                    <w:top w:val="single" w:color="auto" w:sz="4" w:space="0"/>
                    <w:left w:val="nil"/>
                    <w:bottom w:val="single" w:color="auto" w:sz="4" w:space="0"/>
                    <w:right w:val="single" w:color="auto" w:sz="4" w:space="0"/>
                  </w:tcBorders>
                  <w:noWrap w:val="0"/>
                  <w:vAlign w:val="center"/>
                </w:tcPr>
                <w:p w14:paraId="4C6323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2D2F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1BFD3D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2D0C3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485B3E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noWrap w:val="0"/>
                  <w:vAlign w:val="center"/>
                </w:tcPr>
                <w:p w14:paraId="72B057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val="0"/>
                      <w:bCs/>
                      <w:color w:val="auto"/>
                      <w:sz w:val="21"/>
                      <w:szCs w:val="21"/>
                    </w:rPr>
                    <w:t>环境风险防控</w:t>
                  </w:r>
                </w:p>
              </w:tc>
              <w:tc>
                <w:tcPr>
                  <w:tcW w:w="4647" w:type="dxa"/>
                  <w:tcBorders>
                    <w:top w:val="single" w:color="auto" w:sz="4" w:space="0"/>
                    <w:left w:val="nil"/>
                    <w:bottom w:val="single" w:color="auto" w:sz="4" w:space="0"/>
                    <w:right w:val="single" w:color="auto" w:sz="4" w:space="0"/>
                  </w:tcBorders>
                  <w:noWrap w:val="0"/>
                  <w:vAlign w:val="center"/>
                </w:tcPr>
                <w:p w14:paraId="30C9F574">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严格管控类农用地管控要求：</w:t>
                  </w:r>
                </w:p>
                <w:p w14:paraId="02D09867">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27E1F8A0">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安全利用类农用地管控要求：</w:t>
                  </w:r>
                </w:p>
                <w:p w14:paraId="4CADA58F">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46260F18">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污染地块管控要求：</w:t>
                  </w:r>
                </w:p>
                <w:p w14:paraId="3E321678">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72960B1D">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园区环境风险防控要求：</w:t>
                  </w:r>
                </w:p>
                <w:p w14:paraId="4F06A6DC">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p w14:paraId="752951F0">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企业环境风险防控要求：</w:t>
                  </w:r>
                </w:p>
                <w:p w14:paraId="46710B27">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6516D581">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其他环境风险防控要求：</w:t>
                  </w:r>
                </w:p>
                <w:p w14:paraId="069DC329">
                  <w:pPr>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429" w:type="dxa"/>
                  <w:tcBorders>
                    <w:top w:val="single" w:color="auto" w:sz="4" w:space="0"/>
                    <w:left w:val="nil"/>
                    <w:bottom w:val="single" w:color="auto" w:sz="4" w:space="0"/>
                    <w:right w:val="single" w:color="auto" w:sz="4" w:space="0"/>
                  </w:tcBorders>
                  <w:noWrap w:val="0"/>
                  <w:vAlign w:val="center"/>
                </w:tcPr>
                <w:p w14:paraId="53C2AFC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本</w:t>
                  </w:r>
                  <w:r>
                    <w:rPr>
                      <w:rFonts w:hint="default" w:ascii="Times New Roman" w:hAnsi="Times New Roman" w:eastAsia="宋体" w:cs="Times New Roman"/>
                      <w:color w:val="auto"/>
                      <w:sz w:val="21"/>
                      <w:szCs w:val="21"/>
                    </w:rPr>
                    <w:t>项目符合普适性管控要求。</w:t>
                  </w:r>
                </w:p>
              </w:tc>
              <w:tc>
                <w:tcPr>
                  <w:tcW w:w="446" w:type="dxa"/>
                  <w:tcBorders>
                    <w:top w:val="single" w:color="auto" w:sz="4" w:space="0"/>
                    <w:left w:val="nil"/>
                    <w:bottom w:val="single" w:color="auto" w:sz="4" w:space="0"/>
                    <w:right w:val="single" w:color="auto" w:sz="4" w:space="0"/>
                  </w:tcBorders>
                  <w:noWrap w:val="0"/>
                  <w:vAlign w:val="center"/>
                </w:tcPr>
                <w:p w14:paraId="13804B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r w14:paraId="78A1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2" w:type="dxa"/>
                  <w:vMerge w:val="continue"/>
                  <w:tcBorders>
                    <w:left w:val="single" w:color="auto" w:sz="4" w:space="0"/>
                    <w:right w:val="single" w:color="auto" w:sz="4" w:space="0"/>
                  </w:tcBorders>
                  <w:noWrap w:val="0"/>
                  <w:vAlign w:val="center"/>
                </w:tcPr>
                <w:p w14:paraId="111E1F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0" w:type="dxa"/>
                  <w:vMerge w:val="continue"/>
                  <w:tcBorders>
                    <w:left w:val="nil"/>
                    <w:right w:val="single" w:color="auto" w:sz="4" w:space="0"/>
                  </w:tcBorders>
                  <w:noWrap w:val="0"/>
                  <w:vAlign w:val="center"/>
                </w:tcPr>
                <w:p w14:paraId="0CBDE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495" w:type="dxa"/>
                  <w:vMerge w:val="continue"/>
                  <w:tcBorders>
                    <w:left w:val="nil"/>
                    <w:right w:val="single" w:color="auto" w:sz="4" w:space="0"/>
                  </w:tcBorders>
                  <w:noWrap w:val="0"/>
                  <w:vAlign w:val="center"/>
                </w:tcPr>
                <w:p w14:paraId="1621DA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rPr>
                  </w:pPr>
                </w:p>
              </w:tc>
              <w:tc>
                <w:tcPr>
                  <w:tcW w:w="694" w:type="dxa"/>
                  <w:tcBorders>
                    <w:top w:val="single" w:color="auto" w:sz="4" w:space="0"/>
                    <w:left w:val="nil"/>
                    <w:bottom w:val="single" w:color="auto" w:sz="4" w:space="0"/>
                    <w:right w:val="single" w:color="auto" w:sz="4" w:space="0"/>
                  </w:tcBorders>
                  <w:noWrap w:val="0"/>
                  <w:vAlign w:val="center"/>
                </w:tcPr>
                <w:p w14:paraId="2B15A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资源开发效率</w:t>
                  </w:r>
                </w:p>
              </w:tc>
              <w:tc>
                <w:tcPr>
                  <w:tcW w:w="4647" w:type="dxa"/>
                  <w:tcBorders>
                    <w:top w:val="single" w:color="auto" w:sz="4" w:space="0"/>
                    <w:left w:val="nil"/>
                    <w:bottom w:val="single" w:color="auto" w:sz="4" w:space="0"/>
                    <w:right w:val="single" w:color="auto" w:sz="4" w:space="0"/>
                  </w:tcBorders>
                  <w:noWrap w:val="0"/>
                  <w:vAlign w:val="center"/>
                </w:tcPr>
                <w:p w14:paraId="4511FDFD">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水资源利用效率要求：</w:t>
                  </w:r>
                </w:p>
                <w:p w14:paraId="68306AC8">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40D501AE">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地下水开采要求：</w:t>
                  </w:r>
                </w:p>
                <w:p w14:paraId="180AD652">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1252CCBA">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能源利用效率要求：</w:t>
                  </w:r>
                </w:p>
                <w:p w14:paraId="68BA0364">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同达州市一般管控单元总体准入要求。</w:t>
                  </w:r>
                </w:p>
                <w:p w14:paraId="5BB2DFB4">
                  <w:pPr>
                    <w:pStyle w:val="32"/>
                    <w:keepNext w:val="0"/>
                    <w:keepLines w:val="0"/>
                    <w:pageBreakBefore w:val="0"/>
                    <w:widowControl/>
                    <w:shd w:val="clear" w:color="auto" w:fill="auto"/>
                    <w:wordWrap/>
                    <w:topLinePunct w:val="0"/>
                    <w:autoSpaceDE/>
                    <w:autoSpaceDN/>
                    <w:bidi w:val="0"/>
                    <w:adjustRightInd/>
                    <w:spacing w:line="240" w:lineRule="auto"/>
                    <w:ind w:firstLine="0" w:firstLineChars="0"/>
                    <w:jc w:val="left"/>
                    <w:textAlignment w:val="auto"/>
                    <w:rPr>
                      <w:rStyle w:val="27"/>
                      <w:rFonts w:hint="default" w:ascii="Times New Roman" w:hAnsi="Times New Roman" w:eastAsia="宋体" w:cs="Times New Roman"/>
                      <w:b/>
                      <w:bCs/>
                      <w:kern w:val="2"/>
                      <w:sz w:val="21"/>
                      <w:szCs w:val="21"/>
                      <w:lang w:val="en-US" w:eastAsia="zh-CN" w:bidi="ar-SA"/>
                    </w:rPr>
                  </w:pPr>
                  <w:r>
                    <w:rPr>
                      <w:rStyle w:val="27"/>
                      <w:rFonts w:hint="default" w:ascii="Times New Roman" w:hAnsi="Times New Roman" w:eastAsia="宋体" w:cs="Times New Roman"/>
                      <w:b/>
                      <w:bCs/>
                      <w:kern w:val="2"/>
                      <w:sz w:val="21"/>
                      <w:szCs w:val="21"/>
                      <w:lang w:val="en-US" w:eastAsia="zh-CN" w:bidi="ar-SA"/>
                    </w:rPr>
                    <w:t>其他资源利用效率要求：</w:t>
                  </w:r>
                </w:p>
                <w:p w14:paraId="7502768F">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kern w:val="2"/>
                      <w:sz w:val="21"/>
                      <w:szCs w:val="21"/>
                      <w:lang w:val="en-US" w:eastAsia="zh-CN" w:bidi="ar-SA"/>
                    </w:rPr>
                  </w:pPr>
                  <w:r>
                    <w:rPr>
                      <w:rStyle w:val="27"/>
                      <w:rFonts w:hint="default" w:ascii="Times New Roman" w:hAnsi="Times New Roman" w:eastAsia="宋体" w:cs="Times New Roman"/>
                      <w:kern w:val="2"/>
                      <w:sz w:val="21"/>
                      <w:szCs w:val="21"/>
                      <w:lang w:val="en-US" w:eastAsia="zh-CN" w:bidi="ar-SA"/>
                    </w:rPr>
                    <w:t>/</w:t>
                  </w:r>
                </w:p>
              </w:tc>
              <w:tc>
                <w:tcPr>
                  <w:tcW w:w="1429" w:type="dxa"/>
                  <w:tcBorders>
                    <w:top w:val="single" w:color="auto" w:sz="4" w:space="0"/>
                    <w:left w:val="nil"/>
                    <w:bottom w:val="single" w:color="auto" w:sz="4" w:space="0"/>
                    <w:right w:val="single" w:color="auto" w:sz="4" w:space="0"/>
                  </w:tcBorders>
                  <w:noWrap w:val="0"/>
                  <w:vAlign w:val="center"/>
                </w:tcPr>
                <w:p w14:paraId="7A5DA1C9">
                  <w:pPr>
                    <w:pStyle w:val="11"/>
                    <w:keepNext w:val="0"/>
                    <w:keepLines w:val="0"/>
                    <w:pageBreakBefore w:val="0"/>
                    <w:widowControl w:val="0"/>
                    <w:kinsoku w:val="0"/>
                    <w:wordWrap/>
                    <w:overflowPunct w:val="0"/>
                    <w:topLinePunct w:val="0"/>
                    <w:autoSpaceDE/>
                    <w:autoSpaceDN/>
                    <w:bidi w:val="0"/>
                    <w:adjustRightInd/>
                    <w:snapToGrid w:val="0"/>
                    <w:spacing w:before="0" w:after="0" w:line="240" w:lineRule="auto"/>
                    <w:ind w:right="0" w:rightChars="0"/>
                    <w:jc w:val="center"/>
                    <w:textAlignment w:val="auto"/>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sz w:val="21"/>
                      <w:szCs w:val="21"/>
                    </w:rPr>
                    <w:t>本</w:t>
                  </w:r>
                  <w:r>
                    <w:rPr>
                      <w:rFonts w:hint="default" w:ascii="Times New Roman" w:hAnsi="Times New Roman" w:eastAsia="宋体" w:cs="Times New Roman"/>
                      <w:color w:val="auto"/>
                      <w:sz w:val="21"/>
                      <w:szCs w:val="21"/>
                    </w:rPr>
                    <w:t>项目符合普适性管控要求。</w:t>
                  </w:r>
                </w:p>
              </w:tc>
              <w:tc>
                <w:tcPr>
                  <w:tcW w:w="446" w:type="dxa"/>
                  <w:tcBorders>
                    <w:top w:val="single" w:color="auto" w:sz="4" w:space="0"/>
                    <w:left w:val="nil"/>
                    <w:bottom w:val="single" w:color="auto" w:sz="4" w:space="0"/>
                    <w:right w:val="single" w:color="auto" w:sz="4" w:space="0"/>
                  </w:tcBorders>
                  <w:noWrap w:val="0"/>
                  <w:vAlign w:val="center"/>
                </w:tcPr>
                <w:p w14:paraId="07F4C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符合</w:t>
                  </w:r>
                </w:p>
              </w:tc>
            </w:tr>
          </w:tbl>
          <w:p w14:paraId="0CB9D3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w:t>
            </w:r>
            <w:r>
              <w:rPr>
                <w:rFonts w:hint="eastAsia" w:ascii="Times New Roman" w:hAnsi="Times New Roman" w:eastAsia="黑体" w:cs="Times New Roman"/>
                <w:color w:val="auto"/>
                <w:szCs w:val="21"/>
                <w:lang w:val="en-US" w:eastAsia="zh-CN"/>
              </w:rPr>
              <w:t>8</w:t>
            </w:r>
            <w:r>
              <w:rPr>
                <w:rFonts w:hint="default" w:ascii="Times New Roman" w:hAnsi="Times New Roman" w:eastAsia="黑体" w:cs="Times New Roman"/>
                <w:color w:val="auto"/>
                <w:szCs w:val="21"/>
              </w:rPr>
              <w:t xml:space="preserve">  达州市普适性要求及所属经济区要求</w:t>
            </w:r>
          </w:p>
          <w:tbl>
            <w:tblPr>
              <w:tblStyle w:val="25"/>
              <w:tblW w:w="492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6"/>
              <w:gridCol w:w="665"/>
              <w:gridCol w:w="5129"/>
              <w:gridCol w:w="1890"/>
              <w:gridCol w:w="673"/>
            </w:tblGrid>
            <w:tr w14:paraId="2DA0CF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noWrap w:val="0"/>
                  <w:vAlign w:val="center"/>
                </w:tcPr>
                <w:p w14:paraId="57F440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项目</w:t>
                  </w:r>
                </w:p>
              </w:tc>
              <w:tc>
                <w:tcPr>
                  <w:tcW w:w="665" w:type="dxa"/>
                  <w:noWrap w:val="0"/>
                  <w:vAlign w:val="center"/>
                </w:tcPr>
                <w:p w14:paraId="2E1693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管控类别</w:t>
                  </w:r>
                </w:p>
              </w:tc>
              <w:tc>
                <w:tcPr>
                  <w:tcW w:w="5129" w:type="dxa"/>
                  <w:noWrap w:val="0"/>
                  <w:vAlign w:val="center"/>
                </w:tcPr>
                <w:p w14:paraId="49430A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具体管控要求</w:t>
                  </w:r>
                </w:p>
              </w:tc>
              <w:tc>
                <w:tcPr>
                  <w:tcW w:w="1890" w:type="dxa"/>
                  <w:noWrap w:val="0"/>
                  <w:vAlign w:val="center"/>
                </w:tcPr>
                <w:p w14:paraId="7155B1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本项目情况</w:t>
                  </w:r>
                </w:p>
              </w:tc>
              <w:tc>
                <w:tcPr>
                  <w:tcW w:w="673" w:type="dxa"/>
                  <w:noWrap w:val="0"/>
                  <w:vAlign w:val="center"/>
                </w:tcPr>
                <w:p w14:paraId="22337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14:paraId="7D61BE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restart"/>
                  <w:noWrap w:val="0"/>
                  <w:vAlign w:val="center"/>
                </w:tcPr>
                <w:p w14:paraId="6128DF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 w:val="0"/>
                      <w:bCs w:val="0"/>
                      <w:spacing w:val="-4"/>
                      <w:sz w:val="21"/>
                      <w:szCs w:val="21"/>
                    </w:rPr>
                    <w:t>达州市普适性要求</w:t>
                  </w:r>
                </w:p>
              </w:tc>
              <w:tc>
                <w:tcPr>
                  <w:tcW w:w="665" w:type="dxa"/>
                  <w:noWrap w:val="0"/>
                  <w:vAlign w:val="center"/>
                </w:tcPr>
                <w:p w14:paraId="34072F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6"/>
                      <w:sz w:val="21"/>
                      <w:szCs w:val="21"/>
                    </w:rPr>
                    <w:t>区域特点</w:t>
                  </w:r>
                </w:p>
              </w:tc>
              <w:tc>
                <w:tcPr>
                  <w:tcW w:w="5129" w:type="dxa"/>
                  <w:noWrap w:val="0"/>
                  <w:vAlign w:val="center"/>
                </w:tcPr>
                <w:p w14:paraId="494560C5">
                  <w:pPr>
                    <w:pStyle w:val="5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spacing w:val="-5"/>
                      <w:sz w:val="21"/>
                      <w:szCs w:val="21"/>
                    </w:rPr>
                    <w:t>暂无</w:t>
                  </w:r>
                  <w:r>
                    <w:rPr>
                      <w:rFonts w:hint="eastAsia" w:ascii="Times New Roman" w:hAnsi="Times New Roman" w:eastAsia="宋体" w:cs="Times New Roman"/>
                      <w:spacing w:val="-5"/>
                      <w:sz w:val="21"/>
                      <w:szCs w:val="21"/>
                      <w:lang w:eastAsia="zh-CN"/>
                    </w:rPr>
                    <w:t>。</w:t>
                  </w:r>
                </w:p>
              </w:tc>
              <w:tc>
                <w:tcPr>
                  <w:tcW w:w="1890" w:type="dxa"/>
                  <w:noWrap w:val="0"/>
                  <w:vAlign w:val="center"/>
                </w:tcPr>
                <w:p w14:paraId="14249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73" w:type="dxa"/>
                  <w:noWrap w:val="0"/>
                  <w:vAlign w:val="center"/>
                </w:tcPr>
                <w:p w14:paraId="5AD7C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r w14:paraId="1E358D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79778D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34E73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发展定位与目标</w:t>
                  </w:r>
                </w:p>
              </w:tc>
              <w:tc>
                <w:tcPr>
                  <w:tcW w:w="5129" w:type="dxa"/>
                  <w:noWrap w:val="0"/>
                  <w:vAlign w:val="center"/>
                </w:tcPr>
                <w:p w14:paraId="2F4E995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1"/>
                      <w:sz w:val="21"/>
                      <w:szCs w:val="21"/>
                    </w:rPr>
                    <w:t>以习近平新时代中国特色社会主义思想为指导，全面贯彻党的二十</w:t>
                  </w:r>
                  <w:r>
                    <w:rPr>
                      <w:rFonts w:hint="default" w:ascii="Times New Roman" w:hAnsi="Times New Roman" w:eastAsia="宋体" w:cs="Times New Roman"/>
                      <w:spacing w:val="-2"/>
                      <w:sz w:val="21"/>
                      <w:szCs w:val="21"/>
                    </w:rPr>
                    <w:t>大精神，落实《中共中央</w:t>
                  </w:r>
                  <w:r>
                    <w:rPr>
                      <w:rFonts w:hint="default" w:ascii="Times New Roman" w:hAnsi="Times New Roman" w:eastAsia="宋体" w:cs="Times New Roman"/>
                      <w:spacing w:val="36"/>
                      <w:sz w:val="21"/>
                      <w:szCs w:val="21"/>
                    </w:rPr>
                    <w:t xml:space="preserve"> </w:t>
                  </w:r>
                  <w:r>
                    <w:rPr>
                      <w:rFonts w:hint="default" w:ascii="Times New Roman" w:hAnsi="Times New Roman" w:eastAsia="宋体" w:cs="Times New Roman"/>
                      <w:spacing w:val="-2"/>
                      <w:sz w:val="21"/>
                      <w:szCs w:val="21"/>
                    </w:rPr>
                    <w:t>国务院关于建立国土空</w:t>
                  </w:r>
                  <w:r>
                    <w:rPr>
                      <w:rFonts w:hint="default" w:ascii="Times New Roman" w:hAnsi="Times New Roman" w:eastAsia="宋体" w:cs="Times New Roman"/>
                      <w:sz w:val="21"/>
                      <w:szCs w:val="21"/>
                    </w:rPr>
                    <w:t>间规划体系并监督实施的若干意见》要求，贯彻习近平总书记对四川工作系列重</w:t>
                  </w:r>
                  <w:r>
                    <w:rPr>
                      <w:rFonts w:hint="default" w:ascii="Times New Roman" w:hAnsi="Times New Roman" w:eastAsia="宋体" w:cs="Times New Roman"/>
                      <w:spacing w:val="-1"/>
                      <w:sz w:val="21"/>
                      <w:szCs w:val="21"/>
                    </w:rPr>
                    <w:t>要指示精神，落实“四化同步、城乡</w:t>
                  </w:r>
                  <w:r>
                    <w:rPr>
                      <w:rFonts w:hint="default" w:ascii="Times New Roman" w:hAnsi="Times New Roman" w:eastAsia="宋体" w:cs="Times New Roman"/>
                      <w:sz w:val="21"/>
                      <w:szCs w:val="21"/>
                    </w:rPr>
                    <w:t>融合、五区共兴”战略部署，深化落实中共四川省委十二届二次全会对达州市提</w:t>
                  </w:r>
                  <w:r>
                    <w:rPr>
                      <w:rFonts w:hint="default" w:ascii="Times New Roman" w:hAnsi="Times New Roman" w:eastAsia="宋体" w:cs="Times New Roman"/>
                      <w:spacing w:val="-1"/>
                      <w:sz w:val="21"/>
                      <w:szCs w:val="21"/>
                    </w:rPr>
                    <w:t>出的“万达开天然气锂钾综合利用集</w:t>
                  </w:r>
                  <w:r>
                    <w:rPr>
                      <w:rFonts w:hint="default" w:ascii="Times New Roman" w:hAnsi="Times New Roman" w:eastAsia="宋体" w:cs="Times New Roman"/>
                      <w:sz w:val="21"/>
                      <w:szCs w:val="21"/>
                    </w:rPr>
                    <w:t>聚区，东出北上国际陆港枢纽，组团培育川东北省域经济副中心”战略定位，深</w:t>
                  </w:r>
                  <w:r>
                    <w:rPr>
                      <w:rFonts w:hint="default" w:ascii="Times New Roman" w:hAnsi="Times New Roman" w:eastAsia="宋体" w:cs="Times New Roman"/>
                      <w:spacing w:val="-1"/>
                      <w:sz w:val="21"/>
                      <w:szCs w:val="21"/>
                    </w:rPr>
                    <w:t>度融入成渝地区双城经济圈、协同推</w:t>
                  </w:r>
                  <w:r>
                    <w:rPr>
                      <w:rFonts w:hint="default" w:ascii="Times New Roman" w:hAnsi="Times New Roman" w:eastAsia="宋体" w:cs="Times New Roman"/>
                      <w:sz w:val="21"/>
                      <w:szCs w:val="21"/>
                    </w:rPr>
                    <w:t>进川渝万达开地区统筹发展，贯彻达州第五次党代会及五届二次、三次、四次、</w:t>
                  </w:r>
                  <w:r>
                    <w:rPr>
                      <w:rFonts w:hint="default" w:ascii="Times New Roman" w:hAnsi="Times New Roman" w:eastAsia="宋体" w:cs="Times New Roman"/>
                      <w:spacing w:val="-1"/>
                      <w:sz w:val="21"/>
                      <w:szCs w:val="21"/>
                    </w:rPr>
                    <w:t>五次全会精神，坚持“四化同步、城</w:t>
                  </w:r>
                  <w:r>
                    <w:rPr>
                      <w:rFonts w:hint="default" w:ascii="Times New Roman" w:hAnsi="Times New Roman" w:eastAsia="宋体" w:cs="Times New Roman"/>
                      <w:sz w:val="21"/>
                      <w:szCs w:val="21"/>
                    </w:rPr>
                    <w:t>乡融合、双园驱动、一核两翼”，坚持新发展理念，坚持以人民为中心，坚持一</w:t>
                  </w:r>
                  <w:r>
                    <w:rPr>
                      <w:rFonts w:hint="default" w:ascii="Times New Roman" w:hAnsi="Times New Roman" w:eastAsia="宋体" w:cs="Times New Roman"/>
                      <w:spacing w:val="-1"/>
                      <w:sz w:val="21"/>
                      <w:szCs w:val="21"/>
                    </w:rPr>
                    <w:t>切从实际出发，按照高质量发展要求</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pacing w:val="1"/>
                      <w:sz w:val="21"/>
                      <w:szCs w:val="21"/>
                    </w:rPr>
                    <w:t>体现综合性、战略性、协调性、基础性和约束性，实现达州市国土空间开发保护更高质量、更有效率、更加公平、</w:t>
                  </w:r>
                  <w:r>
                    <w:rPr>
                      <w:rFonts w:hint="default" w:ascii="Times New Roman" w:hAnsi="Times New Roman" w:eastAsia="宋体" w:cs="Times New Roman"/>
                      <w:spacing w:val="-7"/>
                      <w:sz w:val="21"/>
                      <w:szCs w:val="21"/>
                    </w:rPr>
                    <w:t>更可持续。</w:t>
                  </w:r>
                </w:p>
              </w:tc>
              <w:tc>
                <w:tcPr>
                  <w:tcW w:w="1890" w:type="dxa"/>
                  <w:noWrap w:val="0"/>
                  <w:vAlign w:val="center"/>
                </w:tcPr>
                <w:p w14:paraId="304B6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2"/>
                      <w:sz w:val="21"/>
                      <w:szCs w:val="21"/>
                      <w:vertAlign w:val="baseline"/>
                      <w:lang w:val="en-US" w:eastAsia="zh-CN" w:bidi="ar-SA"/>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eastAsia" w:ascii="Times New Roman" w:hAnsi="Times New Roman" w:eastAsia="宋体" w:cs="Times New Roman"/>
                      <w:color w:val="auto"/>
                      <w:kern w:val="2"/>
                      <w:sz w:val="21"/>
                      <w:szCs w:val="21"/>
                      <w:vertAlign w:val="baseline"/>
                      <w:lang w:val="en-US" w:eastAsia="zh-CN" w:bidi="ar-SA"/>
                    </w:rPr>
                    <w:t>符合</w:t>
                  </w:r>
                  <w:r>
                    <w:rPr>
                      <w:rFonts w:hint="default" w:ascii="Times New Roman" w:hAnsi="Times New Roman" w:eastAsia="宋体" w:cs="Times New Roman"/>
                      <w:spacing w:val="1"/>
                      <w:sz w:val="21"/>
                      <w:szCs w:val="21"/>
                    </w:rPr>
                    <w:t>国土空间</w:t>
                  </w:r>
                  <w:r>
                    <w:rPr>
                      <w:rFonts w:hint="eastAsia" w:ascii="Times New Roman" w:hAnsi="Times New Roman" w:eastAsia="宋体" w:cs="Times New Roman"/>
                      <w:spacing w:val="1"/>
                      <w:sz w:val="21"/>
                      <w:szCs w:val="21"/>
                      <w:lang w:val="en-US" w:eastAsia="zh-CN"/>
                    </w:rPr>
                    <w:t>规划，</w:t>
                  </w:r>
                  <w:r>
                    <w:rPr>
                      <w:rFonts w:hint="eastAsia" w:ascii="Times New Roman" w:hAnsi="Times New Roman" w:eastAsia="宋体" w:cs="Times New Roman"/>
                      <w:color w:val="auto"/>
                      <w:sz w:val="21"/>
                      <w:szCs w:val="21"/>
                      <w:lang w:val="en-US" w:eastAsia="zh-CN"/>
                    </w:rPr>
                    <w:t>有利于</w:t>
                  </w:r>
                  <w:r>
                    <w:rPr>
                      <w:rFonts w:hint="default" w:ascii="Times New Roman" w:hAnsi="Times New Roman" w:cs="Times New Roman"/>
                      <w:color w:val="auto"/>
                      <w:sz w:val="21"/>
                      <w:szCs w:val="21"/>
                      <w:highlight w:val="none"/>
                      <w:vertAlign w:val="baseline"/>
                      <w:lang w:val="en-US" w:eastAsia="zh-CN"/>
                    </w:rPr>
                    <w:t>推进乡村水务一体化</w:t>
                  </w:r>
                  <w:r>
                    <w:rPr>
                      <w:rFonts w:hint="eastAsia" w:ascii="Times New Roman" w:hAnsi="Times New Roman" w:cs="Times New Roman"/>
                      <w:color w:val="auto"/>
                      <w:sz w:val="21"/>
                      <w:szCs w:val="21"/>
                      <w:highlight w:val="none"/>
                      <w:vertAlign w:val="baseline"/>
                      <w:lang w:val="en-US" w:eastAsia="zh-CN"/>
                    </w:rPr>
                    <w:t>建设</w:t>
                  </w:r>
                  <w:r>
                    <w:rPr>
                      <w:rFonts w:hint="default" w:ascii="Times New Roman" w:hAnsi="Times New Roman" w:cs="Times New Roman"/>
                      <w:color w:val="auto"/>
                      <w:sz w:val="21"/>
                      <w:szCs w:val="21"/>
                      <w:highlight w:val="none"/>
                      <w:vertAlign w:val="baseline"/>
                      <w:lang w:val="en-US" w:eastAsia="zh-CN"/>
                    </w:rPr>
                    <w:t>，提升农村自来水普及率，提高城乡供水质量，改善城乡生产、生活条件，增强国民身体素质</w:t>
                  </w:r>
                  <w:r>
                    <w:rPr>
                      <w:rFonts w:hint="default" w:ascii="Times New Roman" w:hAnsi="Times New Roman" w:cs="Times New Roman"/>
                      <w:color w:val="auto"/>
                      <w:sz w:val="24"/>
                      <w:szCs w:val="32"/>
                      <w:highlight w:val="none"/>
                      <w:vertAlign w:val="baseline"/>
                      <w:lang w:val="en-US" w:eastAsia="zh-CN"/>
                    </w:rPr>
                    <w:t>。</w:t>
                  </w:r>
                </w:p>
              </w:tc>
              <w:tc>
                <w:tcPr>
                  <w:tcW w:w="673" w:type="dxa"/>
                  <w:noWrap w:val="0"/>
                  <w:vAlign w:val="center"/>
                </w:tcPr>
                <w:p w14:paraId="0DD193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4FACE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04C761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4D9A8A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区域突出生态环境问题</w:t>
                  </w:r>
                </w:p>
              </w:tc>
              <w:tc>
                <w:tcPr>
                  <w:tcW w:w="5129" w:type="dxa"/>
                  <w:noWrap w:val="0"/>
                  <w:vAlign w:val="center"/>
                </w:tcPr>
                <w:p w14:paraId="291912BD">
                  <w:pPr>
                    <w:pStyle w:val="55"/>
                    <w:keepNext w:val="0"/>
                    <w:keepLines w:val="0"/>
                    <w:pageBreakBefore w:val="0"/>
                    <w:widowControl w:val="0"/>
                    <w:kinsoku/>
                    <w:wordWrap/>
                    <w:overflowPunct/>
                    <w:topLinePunct w:val="0"/>
                    <w:autoSpaceDE/>
                    <w:autoSpaceDN/>
                    <w:bidi w:val="0"/>
                    <w:adjustRightInd/>
                    <w:snapToGrid/>
                    <w:spacing w:before="1" w:line="240" w:lineRule="auto"/>
                    <w:ind w:left="108" w:right="255" w:firstLine="6"/>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1、水环境方面：由于污水处理设施运行不正常、农村面源污染</w:t>
                  </w:r>
                  <w:r>
                    <w:rPr>
                      <w:rFonts w:hint="default" w:ascii="Times New Roman" w:hAnsi="Times New Roman" w:eastAsia="宋体" w:cs="Times New Roman"/>
                      <w:spacing w:val="-1"/>
                      <w:sz w:val="21"/>
                      <w:szCs w:val="21"/>
                    </w:rPr>
                    <w:t>、市县城市污水直排、溢流等问题导致中小流域水质较差，其中通川区魏家河、双龙河，大竹县平滩河、东柳河、石桥河水质还处于Ⅳ类到劣Ⅴ类之间。</w:t>
                  </w:r>
                </w:p>
                <w:p w14:paraId="78E47CB8">
                  <w:pPr>
                    <w:pStyle w:val="55"/>
                    <w:keepNext w:val="0"/>
                    <w:keepLines w:val="0"/>
                    <w:pageBreakBefore w:val="0"/>
                    <w:widowControl w:val="0"/>
                    <w:kinsoku/>
                    <w:wordWrap/>
                    <w:overflowPunct/>
                    <w:topLinePunct w:val="0"/>
                    <w:autoSpaceDE/>
                    <w:autoSpaceDN/>
                    <w:bidi w:val="0"/>
                    <w:adjustRightInd/>
                    <w:snapToGrid/>
                    <w:spacing w:before="2" w:line="240" w:lineRule="auto"/>
                    <w:ind w:left="106" w:right="155" w:hanging="2"/>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z w:val="21"/>
                      <w:szCs w:val="21"/>
                    </w:rPr>
                    <w:t>2、大气环境方面：一是达州主城区四面环山，导致污染物聚集和累积速度快，扩散慢；二</w:t>
                  </w:r>
                  <w:r>
                    <w:rPr>
                      <w:rFonts w:hint="default" w:ascii="Times New Roman" w:hAnsi="Times New Roman" w:eastAsia="宋体" w:cs="Times New Roman"/>
                      <w:spacing w:val="-1"/>
                      <w:sz w:val="21"/>
                      <w:szCs w:val="21"/>
                    </w:rPr>
                    <w:t>是钢铁、火电、化工等重</w:t>
                  </w:r>
                  <w:r>
                    <w:rPr>
                      <w:rFonts w:hint="default" w:ascii="Times New Roman" w:hAnsi="Times New Roman" w:eastAsia="宋体" w:cs="Times New Roman"/>
                      <w:sz w:val="21"/>
                      <w:szCs w:val="21"/>
                    </w:rPr>
                    <w:t>化工业围城严重，主城区及周边工业废气排放和燃煤消耗总量居高不下；三是城市精细</w:t>
                  </w:r>
                  <w:r>
                    <w:rPr>
                      <w:rFonts w:hint="default" w:ascii="Times New Roman" w:hAnsi="Times New Roman" w:eastAsia="宋体" w:cs="Times New Roman"/>
                      <w:spacing w:val="-1"/>
                      <w:sz w:val="21"/>
                      <w:szCs w:val="21"/>
                    </w:rPr>
                    <w:t>化管理不到位。建筑工地、道路扬尘、柴油货车、餐饮油烟等污染管理不精细，面</w:t>
                  </w:r>
                  <w:r>
                    <w:rPr>
                      <w:rFonts w:hint="default" w:ascii="Times New Roman" w:hAnsi="Times New Roman" w:eastAsia="宋体" w:cs="Times New Roman"/>
                      <w:spacing w:val="-2"/>
                      <w:sz w:val="21"/>
                      <w:szCs w:val="21"/>
                    </w:rPr>
                    <w:t>源污染量大面宽。</w:t>
                  </w:r>
                </w:p>
              </w:tc>
              <w:tc>
                <w:tcPr>
                  <w:tcW w:w="1890" w:type="dxa"/>
                  <w:noWrap w:val="0"/>
                  <w:vAlign w:val="center"/>
                </w:tcPr>
                <w:p w14:paraId="22906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本项目生产废水全部回用，不外排。本项目</w:t>
                  </w:r>
                  <w:r>
                    <w:rPr>
                      <w:rFonts w:hint="default" w:ascii="Times New Roman" w:hAnsi="Times New Roman" w:cs="Times New Roman"/>
                      <w:color w:val="auto"/>
                      <w:kern w:val="2"/>
                      <w:sz w:val="21"/>
                      <w:szCs w:val="21"/>
                      <w:highlight w:val="none"/>
                      <w:lang w:val="en-US" w:eastAsia="zh-CN" w:bidi="ar-SA"/>
                    </w:rPr>
                    <w:t>不涉及废气排放。不会加重区域生态环境问题</w:t>
                  </w:r>
                  <w:r>
                    <w:rPr>
                      <w:rFonts w:hint="eastAsia" w:ascii="Times New Roman" w:hAnsi="Times New Roman" w:cs="Times New Roman"/>
                      <w:color w:val="auto"/>
                      <w:kern w:val="2"/>
                      <w:sz w:val="21"/>
                      <w:szCs w:val="21"/>
                      <w:highlight w:val="none"/>
                      <w:lang w:val="en-US" w:eastAsia="zh-CN" w:bidi="ar-SA"/>
                    </w:rPr>
                    <w:t>。</w:t>
                  </w:r>
                </w:p>
              </w:tc>
              <w:tc>
                <w:tcPr>
                  <w:tcW w:w="673" w:type="dxa"/>
                  <w:noWrap w:val="0"/>
                  <w:vAlign w:val="center"/>
                </w:tcPr>
                <w:p w14:paraId="14C52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AE7DC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3FF21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53B0F7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总体管控要求</w:t>
                  </w:r>
                </w:p>
              </w:tc>
              <w:tc>
                <w:tcPr>
                  <w:tcW w:w="5129" w:type="dxa"/>
                  <w:noWrap w:val="0"/>
                  <w:vAlign w:val="center"/>
                </w:tcPr>
                <w:p w14:paraId="76CF43C5">
                  <w:pPr>
                    <w:pStyle w:val="55"/>
                    <w:keepNext w:val="0"/>
                    <w:keepLines w:val="0"/>
                    <w:pageBreakBefore w:val="0"/>
                    <w:widowControl w:val="0"/>
                    <w:kinsoku/>
                    <w:wordWrap/>
                    <w:overflowPunct/>
                    <w:topLinePunct w:val="0"/>
                    <w:autoSpaceDE/>
                    <w:autoSpaceDN/>
                    <w:bidi w:val="0"/>
                    <w:adjustRightInd/>
                    <w:snapToGrid/>
                    <w:spacing w:line="240" w:lineRule="auto"/>
                    <w:ind w:left="116"/>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1、长江干支流岸线1km范围内，不得新建、扩建化工园区和化工项目。</w:t>
                  </w:r>
                </w:p>
                <w:p w14:paraId="3D8A49C4">
                  <w:pPr>
                    <w:pStyle w:val="55"/>
                    <w:keepNext w:val="0"/>
                    <w:keepLines w:val="0"/>
                    <w:pageBreakBefore w:val="0"/>
                    <w:widowControl w:val="0"/>
                    <w:kinsoku/>
                    <w:wordWrap/>
                    <w:overflowPunct/>
                    <w:topLinePunct w:val="0"/>
                    <w:autoSpaceDE/>
                    <w:autoSpaceDN/>
                    <w:bidi w:val="0"/>
                    <w:adjustRightInd/>
                    <w:snapToGrid/>
                    <w:spacing w:before="1" w:line="240" w:lineRule="auto"/>
                    <w:ind w:left="104"/>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2、严控产业转移环境准入。</w:t>
                  </w:r>
                </w:p>
                <w:p w14:paraId="0C8D4732">
                  <w:pPr>
                    <w:pStyle w:val="55"/>
                    <w:keepNext w:val="0"/>
                    <w:keepLines w:val="0"/>
                    <w:pageBreakBefore w:val="0"/>
                    <w:widowControl w:val="0"/>
                    <w:kinsoku/>
                    <w:wordWrap/>
                    <w:overflowPunct/>
                    <w:topLinePunct w:val="0"/>
                    <w:autoSpaceDE/>
                    <w:autoSpaceDN/>
                    <w:bidi w:val="0"/>
                    <w:adjustRightInd/>
                    <w:snapToGrid/>
                    <w:spacing w:before="1" w:line="240" w:lineRule="auto"/>
                    <w:ind w:left="105"/>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3、引进项目应符合园区规划环评和区域产业准入清单要求。</w:t>
                  </w:r>
                </w:p>
                <w:p w14:paraId="16346CBA">
                  <w:pPr>
                    <w:pStyle w:val="55"/>
                    <w:keepNext w:val="0"/>
                    <w:keepLines w:val="0"/>
                    <w:pageBreakBefore w:val="0"/>
                    <w:widowControl w:val="0"/>
                    <w:kinsoku/>
                    <w:wordWrap/>
                    <w:overflowPunct/>
                    <w:topLinePunct w:val="0"/>
                    <w:autoSpaceDE/>
                    <w:autoSpaceDN/>
                    <w:bidi w:val="0"/>
                    <w:adjustRightInd/>
                    <w:snapToGrid/>
                    <w:spacing w:before="1" w:line="240" w:lineRule="auto"/>
                    <w:ind w:left="108" w:right="255" w:hanging="7"/>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4、造纸等产业污染治理和环境管理应达到国内先进水平。优化制浆造纸产业布局，提升行业清洁</w:t>
                  </w:r>
                  <w:r>
                    <w:rPr>
                      <w:rFonts w:hint="default" w:ascii="Times New Roman" w:hAnsi="Times New Roman" w:eastAsia="宋体" w:cs="Times New Roman"/>
                      <w:spacing w:val="-1"/>
                      <w:sz w:val="21"/>
                      <w:szCs w:val="21"/>
                    </w:rPr>
                    <w:t>生产水平，推动制</w:t>
                  </w:r>
                  <w:r>
                    <w:rPr>
                      <w:rFonts w:hint="default" w:ascii="Times New Roman" w:hAnsi="Times New Roman" w:eastAsia="宋体" w:cs="Times New Roman"/>
                      <w:spacing w:val="-3"/>
                      <w:sz w:val="21"/>
                      <w:szCs w:val="21"/>
                    </w:rPr>
                    <w:t>浆造纸工业向节能、环保、绿色方向发展。</w:t>
                  </w:r>
                </w:p>
                <w:p w14:paraId="031E27E9">
                  <w:pPr>
                    <w:pStyle w:val="55"/>
                    <w:keepNext w:val="0"/>
                    <w:keepLines w:val="0"/>
                    <w:pageBreakBefore w:val="0"/>
                    <w:widowControl w:val="0"/>
                    <w:kinsoku/>
                    <w:wordWrap/>
                    <w:overflowPunct/>
                    <w:topLinePunct w:val="0"/>
                    <w:autoSpaceDE/>
                    <w:autoSpaceDN/>
                    <w:bidi w:val="0"/>
                    <w:adjustRightInd/>
                    <w:snapToGrid/>
                    <w:spacing w:before="1" w:line="240" w:lineRule="auto"/>
                    <w:ind w:left="118" w:right="255" w:hanging="13"/>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5、深化成都平原、川南、川东北地区大气污染联防联控工作机制，加强川渝地区联防</w:t>
                  </w:r>
                  <w:r>
                    <w:rPr>
                      <w:rFonts w:hint="default" w:ascii="Times New Roman" w:hAnsi="Times New Roman" w:eastAsia="宋体" w:cs="Times New Roman"/>
                      <w:spacing w:val="-1"/>
                      <w:sz w:val="21"/>
                      <w:szCs w:val="21"/>
                    </w:rPr>
                    <w:t>联控。强化重污染天气区域应</w:t>
                  </w:r>
                  <w:r>
                    <w:rPr>
                      <w:rFonts w:hint="default" w:ascii="Times New Roman" w:hAnsi="Times New Roman" w:eastAsia="宋体" w:cs="Times New Roman"/>
                      <w:spacing w:val="-3"/>
                      <w:sz w:val="21"/>
                      <w:szCs w:val="21"/>
                    </w:rPr>
                    <w:t>急联动机制，深化区域重污染天气联合应对。</w:t>
                  </w:r>
                </w:p>
                <w:p w14:paraId="1D0DB0A7">
                  <w:pPr>
                    <w:pStyle w:val="55"/>
                    <w:keepNext w:val="0"/>
                    <w:keepLines w:val="0"/>
                    <w:pageBreakBefore w:val="0"/>
                    <w:widowControl w:val="0"/>
                    <w:kinsoku/>
                    <w:wordWrap/>
                    <w:overflowPunct/>
                    <w:topLinePunct w:val="0"/>
                    <w:autoSpaceDE/>
                    <w:autoSpaceDN/>
                    <w:bidi w:val="0"/>
                    <w:adjustRightInd/>
                    <w:snapToGrid/>
                    <w:spacing w:before="2" w:line="240" w:lineRule="auto"/>
                    <w:ind w:left="109" w:right="255" w:hanging="6"/>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z w:val="21"/>
                      <w:szCs w:val="21"/>
                    </w:rPr>
                    <w:t>6、钢铁行业项目新建应参考达州市“三线一单”生态环境分区管控中钢铁行业资源环境绩效</w:t>
                  </w:r>
                  <w:r>
                    <w:rPr>
                      <w:rFonts w:hint="default" w:ascii="Times New Roman" w:hAnsi="Times New Roman" w:eastAsia="宋体" w:cs="Times New Roman"/>
                      <w:spacing w:val="-1"/>
                      <w:sz w:val="21"/>
                      <w:szCs w:val="21"/>
                    </w:rPr>
                    <w:t>准入门槛；达钢等高污染企业限期退城入园；普光气田开发污染防治和环境管理等方面要达国</w:t>
                  </w:r>
                  <w:r>
                    <w:rPr>
                      <w:rFonts w:hint="default" w:ascii="Times New Roman" w:hAnsi="Times New Roman" w:eastAsia="宋体" w:cs="Times New Roman"/>
                      <w:spacing w:val="-2"/>
                      <w:sz w:val="21"/>
                      <w:szCs w:val="21"/>
                    </w:rPr>
                    <w:t>内先进水平。</w:t>
                  </w:r>
                </w:p>
              </w:tc>
              <w:tc>
                <w:tcPr>
                  <w:tcW w:w="1890" w:type="dxa"/>
                  <w:noWrap w:val="0"/>
                  <w:vAlign w:val="center"/>
                </w:tcPr>
                <w:p w14:paraId="779061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2"/>
                      <w:sz w:val="21"/>
                      <w:szCs w:val="21"/>
                      <w:vertAlign w:val="baseline"/>
                      <w:lang w:val="en-US" w:eastAsia="zh-CN" w:bidi="ar-SA"/>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eastAsia" w:ascii="Times New Roman" w:hAnsi="Times New Roman" w:eastAsia="宋体" w:cs="Times New Roman"/>
                      <w:color w:val="auto"/>
                      <w:kern w:val="2"/>
                      <w:sz w:val="21"/>
                      <w:szCs w:val="21"/>
                      <w:vertAlign w:val="baseline"/>
                      <w:lang w:val="en-US" w:eastAsia="zh-CN" w:bidi="ar-SA"/>
                    </w:rPr>
                    <w:t>不属于</w:t>
                  </w:r>
                  <w:r>
                    <w:rPr>
                      <w:rFonts w:hint="default" w:ascii="Times New Roman" w:hAnsi="Times New Roman" w:eastAsia="宋体" w:cs="Times New Roman"/>
                      <w:spacing w:val="-2"/>
                      <w:sz w:val="21"/>
                      <w:szCs w:val="21"/>
                    </w:rPr>
                    <w:t>化工</w:t>
                  </w:r>
                  <w:r>
                    <w:rPr>
                      <w:rFonts w:hint="eastAsia" w:ascii="Times New Roman" w:hAnsi="Times New Roman" w:eastAsia="宋体" w:cs="Times New Roman"/>
                      <w:spacing w:val="-2"/>
                      <w:sz w:val="21"/>
                      <w:szCs w:val="21"/>
                      <w:lang w:eastAsia="zh-CN"/>
                    </w:rPr>
                    <w:t>、</w:t>
                  </w:r>
                  <w:r>
                    <w:rPr>
                      <w:rFonts w:hint="default" w:ascii="Times New Roman" w:hAnsi="Times New Roman" w:eastAsia="宋体" w:cs="Times New Roman"/>
                      <w:sz w:val="21"/>
                      <w:szCs w:val="21"/>
                    </w:rPr>
                    <w:t>造纸</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钢铁</w:t>
                  </w:r>
                  <w:r>
                    <w:rPr>
                      <w:rFonts w:hint="eastAsia" w:ascii="Times New Roman" w:hAnsi="Times New Roman" w:eastAsia="宋体" w:cs="Times New Roman"/>
                      <w:sz w:val="21"/>
                      <w:szCs w:val="21"/>
                      <w:lang w:val="en-US" w:eastAsia="zh-CN"/>
                    </w:rPr>
                    <w:t>等行业，符合</w:t>
                  </w:r>
                  <w:r>
                    <w:rPr>
                      <w:rFonts w:hint="default" w:ascii="Times New Roman" w:hAnsi="Times New Roman" w:eastAsia="宋体" w:cs="Times New Roman"/>
                      <w:spacing w:val="-3"/>
                      <w:sz w:val="21"/>
                      <w:szCs w:val="21"/>
                    </w:rPr>
                    <w:t>产业环境准入</w:t>
                  </w:r>
                  <w:r>
                    <w:rPr>
                      <w:rFonts w:hint="eastAsia" w:ascii="Times New Roman" w:hAnsi="Times New Roman" w:eastAsia="宋体" w:cs="Times New Roman"/>
                      <w:spacing w:val="-3"/>
                      <w:sz w:val="21"/>
                      <w:szCs w:val="21"/>
                      <w:lang w:val="en-US" w:eastAsia="zh-CN"/>
                    </w:rPr>
                    <w:t>清单。</w:t>
                  </w:r>
                </w:p>
              </w:tc>
              <w:tc>
                <w:tcPr>
                  <w:tcW w:w="673" w:type="dxa"/>
                  <w:noWrap w:val="0"/>
                  <w:vAlign w:val="center"/>
                </w:tcPr>
                <w:p w14:paraId="70362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41A8F7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66959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2E3DFA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4"/>
                      <w:sz w:val="21"/>
                      <w:szCs w:val="21"/>
                    </w:rPr>
                    <w:t>空间布局约束</w:t>
                  </w:r>
                </w:p>
              </w:tc>
              <w:tc>
                <w:tcPr>
                  <w:tcW w:w="5129" w:type="dxa"/>
                  <w:noWrap w:val="0"/>
                  <w:vAlign w:val="center"/>
                </w:tcPr>
                <w:p w14:paraId="208C652D">
                  <w:pPr>
                    <w:pStyle w:val="55"/>
                    <w:keepNext w:val="0"/>
                    <w:keepLines w:val="0"/>
                    <w:pageBreakBefore w:val="0"/>
                    <w:widowControl w:val="0"/>
                    <w:kinsoku/>
                    <w:wordWrap/>
                    <w:overflowPunct/>
                    <w:topLinePunct w:val="0"/>
                    <w:autoSpaceDE/>
                    <w:autoSpaceDN/>
                    <w:bidi w:val="0"/>
                    <w:adjustRightInd/>
                    <w:snapToGrid/>
                    <w:spacing w:before="2" w:line="240" w:lineRule="auto"/>
                    <w:ind w:left="107" w:right="155" w:firstLine="12"/>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生态保护红线：</w:t>
                  </w:r>
                  <w:r>
                    <w:rPr>
                      <w:rFonts w:hint="default" w:ascii="Times New Roman" w:hAnsi="Times New Roman" w:eastAsia="宋体" w:cs="Times New Roman"/>
                      <w:sz w:val="21"/>
                      <w:szCs w:val="21"/>
                    </w:rPr>
                    <w:t>生态保护红线内自然保护地核心保护区外</w:t>
                  </w:r>
                  <w:r>
                    <w:rPr>
                      <w:rFonts w:hint="default" w:ascii="Times New Roman" w:hAnsi="Times New Roman" w:eastAsia="宋体" w:cs="Times New Roman"/>
                      <w:spacing w:val="-1"/>
                      <w:sz w:val="21"/>
                      <w:szCs w:val="21"/>
                    </w:rPr>
                    <w:t>，禁止开发性、生产性建设活动，在符合法律法规的前提下</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pacing w:val="1"/>
                      <w:sz w:val="21"/>
                      <w:szCs w:val="21"/>
                    </w:rPr>
                    <w:t>仅允许《关于加强生态保护红线管理的通知（试行）》（自然资发</w:t>
                  </w:r>
                  <w:r>
                    <w:rPr>
                      <w:rFonts w:hint="eastAsia" w:ascii="Times New Roman" w:hAnsi="Times New Roman" w:eastAsia="宋体" w:cs="Times New Roman"/>
                      <w:spacing w:val="1"/>
                      <w:sz w:val="21"/>
                      <w:szCs w:val="21"/>
                      <w:lang w:eastAsia="zh-CN"/>
                    </w:rPr>
                    <w:t>〔2022〕</w:t>
                  </w:r>
                  <w:r>
                    <w:rPr>
                      <w:rFonts w:hint="default" w:ascii="Times New Roman" w:hAnsi="Times New Roman" w:eastAsia="宋体" w:cs="Times New Roman"/>
                      <w:spacing w:val="1"/>
                      <w:sz w:val="21"/>
                      <w:szCs w:val="21"/>
                    </w:rPr>
                    <w:t>142号）中规定的十类对生态功能不造成</w:t>
                  </w:r>
                  <w:r>
                    <w:rPr>
                      <w:rFonts w:hint="default" w:ascii="Times New Roman" w:hAnsi="Times New Roman" w:eastAsia="宋体" w:cs="Times New Roman"/>
                      <w:spacing w:val="-1"/>
                      <w:sz w:val="21"/>
                      <w:szCs w:val="21"/>
                    </w:rPr>
                    <w:t>破坏的有限人为活动。生态保护红线内自然保护区、风景名胜区、饮用水水源保护区等区域，依照法律法规执行。</w:t>
                  </w:r>
                </w:p>
                <w:p w14:paraId="1920541D">
                  <w:pPr>
                    <w:pStyle w:val="55"/>
                    <w:keepNext w:val="0"/>
                    <w:keepLines w:val="0"/>
                    <w:pageBreakBefore w:val="0"/>
                    <w:widowControl w:val="0"/>
                    <w:kinsoku/>
                    <w:wordWrap/>
                    <w:overflowPunct/>
                    <w:topLinePunct w:val="0"/>
                    <w:autoSpaceDE/>
                    <w:autoSpaceDN/>
                    <w:bidi w:val="0"/>
                    <w:adjustRightInd/>
                    <w:snapToGrid/>
                    <w:spacing w:before="3" w:line="240" w:lineRule="auto"/>
                    <w:ind w:left="110" w:right="155" w:firstLine="35"/>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自然保护区：</w:t>
                  </w:r>
                  <w:r>
                    <w:rPr>
                      <w:rFonts w:hint="default" w:ascii="Times New Roman" w:hAnsi="Times New Roman" w:eastAsia="宋体" w:cs="Times New Roman"/>
                      <w:spacing w:val="-1"/>
                      <w:sz w:val="21"/>
                      <w:szCs w:val="21"/>
                    </w:rPr>
                    <w:t>禁止任何人进入自然保护区的核心区。因科学研究的需要，必须进入核心区从事科学研究观测、调查活</w:t>
                  </w:r>
                  <w:r>
                    <w:rPr>
                      <w:rFonts w:hint="default" w:ascii="Times New Roman" w:hAnsi="Times New Roman" w:eastAsia="宋体" w:cs="Times New Roman"/>
                      <w:sz w:val="21"/>
                      <w:szCs w:val="21"/>
                    </w:rPr>
                    <w:t>动的，应当事先向自然保护区管理机构提交申请和活动计划，并经省级以上人</w:t>
                  </w:r>
                  <w:r>
                    <w:rPr>
                      <w:rFonts w:hint="default" w:ascii="Times New Roman" w:hAnsi="Times New Roman" w:eastAsia="宋体" w:cs="Times New Roman"/>
                      <w:spacing w:val="-1"/>
                      <w:sz w:val="21"/>
                      <w:szCs w:val="21"/>
                    </w:rPr>
                    <w:t>民政府有关自然保护区行政主管部门批</w:t>
                  </w:r>
                  <w:r>
                    <w:rPr>
                      <w:rFonts w:hint="default" w:ascii="Times New Roman" w:hAnsi="Times New Roman" w:eastAsia="宋体" w:cs="Times New Roman"/>
                      <w:sz w:val="21"/>
                      <w:szCs w:val="21"/>
                    </w:rPr>
                    <w:t>准；其中，进入国家级自然保护区核心区的，必须经国务院有关自然保护区行</w:t>
                  </w:r>
                  <w:r>
                    <w:rPr>
                      <w:rFonts w:hint="default" w:ascii="Times New Roman" w:hAnsi="Times New Roman" w:eastAsia="宋体" w:cs="Times New Roman"/>
                      <w:spacing w:val="-1"/>
                      <w:sz w:val="21"/>
                      <w:szCs w:val="21"/>
                    </w:rPr>
                    <w:t>政主管部门批准。自然保护区核心区内原有居民确有必要迁出的，由自然保护区所在地的县级以上地方人民政府制定方案，予以妥善安置。</w:t>
                  </w:r>
                </w:p>
                <w:p w14:paraId="1C9C8AA2">
                  <w:pPr>
                    <w:pStyle w:val="55"/>
                    <w:keepNext w:val="0"/>
                    <w:keepLines w:val="0"/>
                    <w:pageBreakBefore w:val="0"/>
                    <w:widowControl w:val="0"/>
                    <w:kinsoku/>
                    <w:wordWrap/>
                    <w:overflowPunct/>
                    <w:topLinePunct w:val="0"/>
                    <w:autoSpaceDE/>
                    <w:autoSpaceDN/>
                    <w:bidi w:val="0"/>
                    <w:adjustRightInd/>
                    <w:snapToGrid/>
                    <w:spacing w:before="2" w:line="240" w:lineRule="auto"/>
                    <w:ind w:left="108" w:right="155" w:firstLine="5"/>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禁止在自然保护区的缓冲区开展旅游和生产经营活动。因教学科学研的</w:t>
                  </w:r>
                  <w:r>
                    <w:rPr>
                      <w:rFonts w:hint="default" w:ascii="Times New Roman" w:hAnsi="Times New Roman" w:eastAsia="宋体" w:cs="Times New Roman"/>
                      <w:spacing w:val="-1"/>
                      <w:sz w:val="21"/>
                      <w:szCs w:val="21"/>
                    </w:rPr>
                    <w:t>目的，需要进入自然保护区的缓冲区从事非破</w:t>
                  </w:r>
                  <w:r>
                    <w:rPr>
                      <w:rFonts w:hint="default" w:ascii="Times New Roman" w:hAnsi="Times New Roman" w:eastAsia="宋体" w:cs="Times New Roman"/>
                      <w:sz w:val="21"/>
                      <w:szCs w:val="21"/>
                    </w:rPr>
                    <w:t>坏性的科学研究、教学实习和标本采集活动的，应当事先向自然保护区管理机构提</w:t>
                  </w:r>
                  <w:r>
                    <w:rPr>
                      <w:rFonts w:hint="default" w:ascii="Times New Roman" w:hAnsi="Times New Roman" w:eastAsia="宋体" w:cs="Times New Roman"/>
                      <w:spacing w:val="-1"/>
                      <w:sz w:val="21"/>
                      <w:szCs w:val="21"/>
                    </w:rPr>
                    <w:t>交申请和活动计划，经自然保护区</w:t>
                  </w:r>
                  <w:r>
                    <w:rPr>
                      <w:rFonts w:hint="default" w:ascii="Times New Roman" w:hAnsi="Times New Roman" w:eastAsia="宋体" w:cs="Times New Roman"/>
                      <w:spacing w:val="-5"/>
                      <w:sz w:val="21"/>
                      <w:szCs w:val="21"/>
                    </w:rPr>
                    <w:t>管理机构批准。</w:t>
                  </w:r>
                </w:p>
                <w:p w14:paraId="33575C96">
                  <w:pPr>
                    <w:pStyle w:val="55"/>
                    <w:keepNext w:val="0"/>
                    <w:keepLines w:val="0"/>
                    <w:pageBreakBefore w:val="0"/>
                    <w:widowControl w:val="0"/>
                    <w:kinsoku/>
                    <w:wordWrap/>
                    <w:overflowPunct/>
                    <w:topLinePunct w:val="0"/>
                    <w:autoSpaceDE/>
                    <w:autoSpaceDN/>
                    <w:bidi w:val="0"/>
                    <w:adjustRightInd/>
                    <w:snapToGrid/>
                    <w:spacing w:before="1" w:line="240" w:lineRule="auto"/>
                    <w:ind w:left="107" w:right="155" w:firstLine="2"/>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在自然保护区的实验区内开展参观、旅游活动的，由自然保护区管理机构编制方</w:t>
                  </w:r>
                  <w:r>
                    <w:rPr>
                      <w:rFonts w:hint="default" w:ascii="Times New Roman" w:hAnsi="Times New Roman" w:eastAsia="宋体" w:cs="Times New Roman"/>
                      <w:spacing w:val="-1"/>
                      <w:sz w:val="21"/>
                      <w:szCs w:val="21"/>
                    </w:rPr>
                    <w:t>案，方案应当符合自然保护区管理目</w:t>
                  </w:r>
                  <w:r>
                    <w:rPr>
                      <w:rFonts w:hint="default" w:ascii="Times New Roman" w:hAnsi="Times New Roman" w:eastAsia="宋体" w:cs="Times New Roman"/>
                      <w:spacing w:val="-2"/>
                      <w:sz w:val="21"/>
                      <w:szCs w:val="21"/>
                    </w:rPr>
                    <w:t>标。严禁开设与自然保护区保护方向不一致的参观、旅游项目。</w:t>
                  </w:r>
                </w:p>
                <w:p w14:paraId="692EC082">
                  <w:pPr>
                    <w:pStyle w:val="55"/>
                    <w:keepNext w:val="0"/>
                    <w:keepLines w:val="0"/>
                    <w:pageBreakBefore w:val="0"/>
                    <w:widowControl w:val="0"/>
                    <w:kinsoku/>
                    <w:wordWrap/>
                    <w:overflowPunct/>
                    <w:topLinePunct w:val="0"/>
                    <w:autoSpaceDE/>
                    <w:autoSpaceDN/>
                    <w:bidi w:val="0"/>
                    <w:adjustRightInd/>
                    <w:snapToGrid/>
                    <w:spacing w:before="4" w:line="240" w:lineRule="auto"/>
                    <w:ind w:left="112" w:right="155" w:firstLine="1"/>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禁止在自然保护区内进行砍伐、放牧、狩猎、捕捞、采药、开垦、烧荒</w:t>
                  </w:r>
                  <w:r>
                    <w:rPr>
                      <w:rFonts w:hint="default" w:ascii="Times New Roman" w:hAnsi="Times New Roman" w:eastAsia="宋体" w:cs="Times New Roman"/>
                      <w:spacing w:val="-1"/>
                      <w:sz w:val="21"/>
                      <w:szCs w:val="21"/>
                    </w:rPr>
                    <w:t>、开矿、采石、挖沙等活动（法律、行政法规</w:t>
                  </w:r>
                  <w:r>
                    <w:rPr>
                      <w:rFonts w:hint="default" w:ascii="Times New Roman" w:hAnsi="Times New Roman" w:eastAsia="宋体" w:cs="Times New Roman"/>
                      <w:sz w:val="21"/>
                      <w:szCs w:val="21"/>
                    </w:rPr>
                    <w:t>另有规定除外）。在自然保护区的核心区和缓冲区内，禁止建设任何生产</w:t>
                  </w:r>
                  <w:r>
                    <w:rPr>
                      <w:rFonts w:hint="default" w:ascii="Times New Roman" w:hAnsi="Times New Roman" w:eastAsia="宋体" w:cs="Times New Roman"/>
                      <w:spacing w:val="-1"/>
                      <w:sz w:val="21"/>
                      <w:szCs w:val="21"/>
                    </w:rPr>
                    <w:t>设施。在自然保护区的实验区内，不得建设</w:t>
                  </w:r>
                  <w:r>
                    <w:rPr>
                      <w:rFonts w:hint="default" w:ascii="Times New Roman" w:hAnsi="Times New Roman" w:eastAsia="宋体" w:cs="Times New Roman"/>
                      <w:sz w:val="21"/>
                      <w:szCs w:val="21"/>
                    </w:rPr>
                    <w:t>污染环境、破坏资源或者景观的生产设施；建设其他项目，其污染物排放</w:t>
                  </w:r>
                  <w:r>
                    <w:rPr>
                      <w:rFonts w:hint="default" w:ascii="Times New Roman" w:hAnsi="Times New Roman" w:eastAsia="宋体" w:cs="Times New Roman"/>
                      <w:spacing w:val="-1"/>
                      <w:sz w:val="21"/>
                      <w:szCs w:val="21"/>
                    </w:rPr>
                    <w:t>不得超过国家和地方规定的污染物排放标准</w:t>
                  </w:r>
                  <w:r>
                    <w:rPr>
                      <w:rFonts w:hint="default" w:ascii="Times New Roman" w:hAnsi="Times New Roman" w:eastAsia="宋体" w:cs="Times New Roman"/>
                      <w:sz w:val="21"/>
                      <w:szCs w:val="21"/>
                    </w:rPr>
                    <w:t>。</w:t>
                  </w:r>
                </w:p>
                <w:p w14:paraId="1B279E75">
                  <w:pPr>
                    <w:pStyle w:val="55"/>
                    <w:keepNext w:val="0"/>
                    <w:keepLines w:val="0"/>
                    <w:pageBreakBefore w:val="0"/>
                    <w:widowControl w:val="0"/>
                    <w:kinsoku/>
                    <w:wordWrap/>
                    <w:overflowPunct/>
                    <w:topLinePunct w:val="0"/>
                    <w:autoSpaceDE/>
                    <w:autoSpaceDN/>
                    <w:bidi w:val="0"/>
                    <w:adjustRightInd/>
                    <w:snapToGrid/>
                    <w:spacing w:before="1" w:line="240" w:lineRule="auto"/>
                    <w:ind w:left="145"/>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自然保护区的内部未分区的，依照本条例有关核心</w:t>
                  </w:r>
                  <w:r>
                    <w:rPr>
                      <w:rFonts w:hint="default" w:ascii="Times New Roman" w:hAnsi="Times New Roman" w:eastAsia="宋体" w:cs="Times New Roman"/>
                      <w:spacing w:val="-3"/>
                      <w:sz w:val="21"/>
                      <w:szCs w:val="21"/>
                    </w:rPr>
                    <w:t>区和缓冲区的规定管理。</w:t>
                  </w:r>
                </w:p>
                <w:p w14:paraId="2FA7BF40">
                  <w:pPr>
                    <w:pStyle w:val="55"/>
                    <w:keepNext w:val="0"/>
                    <w:keepLines w:val="0"/>
                    <w:pageBreakBefore w:val="0"/>
                    <w:widowControl w:val="0"/>
                    <w:kinsoku/>
                    <w:wordWrap/>
                    <w:overflowPunct/>
                    <w:topLinePunct w:val="0"/>
                    <w:autoSpaceDE/>
                    <w:autoSpaceDN/>
                    <w:bidi w:val="0"/>
                    <w:adjustRightInd/>
                    <w:snapToGrid/>
                    <w:spacing w:before="10" w:line="240" w:lineRule="auto"/>
                    <w:ind w:left="107" w:right="155" w:firstLine="2"/>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b/>
                      <w:bCs/>
                      <w:sz w:val="21"/>
                      <w:szCs w:val="21"/>
                    </w:rPr>
                    <w:t>风景名胜区：</w:t>
                  </w:r>
                  <w:r>
                    <w:rPr>
                      <w:rFonts w:hint="default" w:ascii="Times New Roman" w:hAnsi="Times New Roman" w:eastAsia="宋体" w:cs="Times New Roman"/>
                      <w:sz w:val="21"/>
                      <w:szCs w:val="21"/>
                    </w:rPr>
                    <w:t>禁止开山、采石、开矿、开荒、修坟立碑等破坏景观、植被和地形</w:t>
                  </w:r>
                  <w:r>
                    <w:rPr>
                      <w:rFonts w:hint="default" w:ascii="Times New Roman" w:hAnsi="Times New Roman" w:eastAsia="宋体" w:cs="Times New Roman"/>
                      <w:spacing w:val="-1"/>
                      <w:sz w:val="21"/>
                      <w:szCs w:val="21"/>
                    </w:rPr>
                    <w:t>地貌的活动；禁止违反风景名胜区规</w:t>
                  </w:r>
                  <w:r>
                    <w:rPr>
                      <w:rFonts w:hint="default" w:ascii="Times New Roman" w:hAnsi="Times New Roman" w:eastAsia="宋体" w:cs="Times New Roman"/>
                      <w:sz w:val="21"/>
                      <w:szCs w:val="21"/>
                    </w:rPr>
                    <w:t>划，在风景名胜区内设立各类开发区和在核心景区内建设宾馆、招待所、培训中心、</w:t>
                  </w:r>
                  <w:r>
                    <w:rPr>
                      <w:rFonts w:hint="default" w:ascii="Times New Roman" w:hAnsi="Times New Roman" w:eastAsia="宋体" w:cs="Times New Roman"/>
                      <w:spacing w:val="-1"/>
                      <w:sz w:val="21"/>
                      <w:szCs w:val="21"/>
                    </w:rPr>
                    <w:t>疗养院以及与风景名胜资源保护</w:t>
                  </w:r>
                  <w:r>
                    <w:rPr>
                      <w:rFonts w:hint="default" w:ascii="Times New Roman" w:hAnsi="Times New Roman" w:eastAsia="宋体" w:cs="Times New Roman"/>
                      <w:sz w:val="21"/>
                      <w:szCs w:val="21"/>
                    </w:rPr>
                    <w:t>无关的其他建筑物；已经建设的，应当按照风景名胜区规划，逐步迁出；禁止风景名</w:t>
                  </w:r>
                  <w:r>
                    <w:rPr>
                      <w:rFonts w:hint="default" w:ascii="Times New Roman" w:hAnsi="Times New Roman" w:eastAsia="宋体" w:cs="Times New Roman"/>
                      <w:spacing w:val="-1"/>
                      <w:sz w:val="21"/>
                      <w:szCs w:val="21"/>
                    </w:rPr>
                    <w:t>胜区内修建储存或者输送爆炸性</w:t>
                  </w:r>
                  <w:r>
                    <w:rPr>
                      <w:rFonts w:hint="default" w:ascii="Times New Roman" w:hAnsi="Times New Roman" w:eastAsia="宋体" w:cs="Times New Roman"/>
                      <w:sz w:val="21"/>
                      <w:szCs w:val="21"/>
                    </w:rPr>
                    <w:t xml:space="preserve"> 、易燃性、放射性、毒害性、腐蚀性物品等危险品的设施，或</w:t>
                  </w:r>
                  <w:r>
                    <w:rPr>
                      <w:rFonts w:hint="default" w:ascii="Times New Roman" w:hAnsi="Times New Roman" w:eastAsia="宋体" w:cs="Times New Roman"/>
                      <w:spacing w:val="-1"/>
                      <w:sz w:val="21"/>
                      <w:szCs w:val="21"/>
                    </w:rPr>
                    <w:t>者其他破坏景观、污染环境、妨碍游览和危害风景名胜</w:t>
                  </w:r>
                  <w:r>
                    <w:rPr>
                      <w:rFonts w:hint="default" w:ascii="Times New Roman" w:hAnsi="Times New Roman" w:eastAsia="宋体" w:cs="Times New Roman"/>
                      <w:sz w:val="21"/>
                      <w:szCs w:val="21"/>
                    </w:rPr>
                    <w:t>区生态、公共安全的建筑物和构筑物。在风景名胜区及其外围保护地带内，不得设立</w:t>
                  </w:r>
                  <w:r>
                    <w:rPr>
                      <w:rFonts w:hint="default" w:ascii="Times New Roman" w:hAnsi="Times New Roman" w:eastAsia="宋体" w:cs="Times New Roman"/>
                      <w:spacing w:val="-1"/>
                      <w:sz w:val="21"/>
                      <w:szCs w:val="21"/>
                    </w:rPr>
                    <w:t>开发区、度假区，不得建设破坏</w:t>
                  </w:r>
                  <w:r>
                    <w:rPr>
                      <w:rFonts w:hint="default" w:ascii="Times New Roman" w:hAnsi="Times New Roman" w:eastAsia="宋体" w:cs="Times New Roman"/>
                      <w:sz w:val="21"/>
                      <w:szCs w:val="21"/>
                    </w:rPr>
                    <w:t>景观、污染环境的工矿企业和其他项目、设施。在游人集中的游览区和自然环境保留</w:t>
                  </w:r>
                  <w:r>
                    <w:rPr>
                      <w:rFonts w:hint="default" w:ascii="Times New Roman" w:hAnsi="Times New Roman" w:eastAsia="宋体" w:cs="Times New Roman"/>
                      <w:spacing w:val="-1"/>
                      <w:sz w:val="21"/>
                      <w:szCs w:val="21"/>
                    </w:rPr>
                    <w:t>地内，不得建设旅馆、招待所、</w:t>
                  </w:r>
                  <w:r>
                    <w:rPr>
                      <w:rFonts w:hint="default" w:ascii="Times New Roman" w:hAnsi="Times New Roman" w:eastAsia="宋体" w:cs="Times New Roman"/>
                      <w:sz w:val="21"/>
                      <w:szCs w:val="21"/>
                    </w:rPr>
                    <w:t>休疗养机构、生活区以及其他影响观瞻或污染环境的工程设施。在重要景点上，除必</w:t>
                  </w:r>
                  <w:r>
                    <w:rPr>
                      <w:rFonts w:hint="default" w:ascii="Times New Roman" w:hAnsi="Times New Roman" w:eastAsia="宋体" w:cs="Times New Roman"/>
                      <w:spacing w:val="-1"/>
                      <w:sz w:val="21"/>
                      <w:szCs w:val="21"/>
                    </w:rPr>
                    <w:t>需的保护设施外，不得兴建其他</w:t>
                  </w:r>
                  <w:r>
                    <w:rPr>
                      <w:rFonts w:hint="default" w:ascii="Times New Roman" w:hAnsi="Times New Roman" w:eastAsia="宋体" w:cs="Times New Roman"/>
                      <w:sz w:val="21"/>
                      <w:szCs w:val="21"/>
                    </w:rPr>
                    <w:t>工程设施。禁止超过风景名胜区总体规划确定的容量接待游客。世界自然遗产地：禁</w:t>
                  </w:r>
                  <w:r>
                    <w:rPr>
                      <w:rFonts w:hint="default" w:ascii="Times New Roman" w:hAnsi="Times New Roman" w:eastAsia="宋体" w:cs="Times New Roman"/>
                      <w:spacing w:val="-1"/>
                      <w:sz w:val="21"/>
                      <w:szCs w:val="21"/>
                    </w:rPr>
                    <w:t>止在世界遗产保护范围内实施以</w:t>
                  </w:r>
                  <w:r>
                    <w:rPr>
                      <w:rFonts w:hint="default" w:ascii="Times New Roman" w:hAnsi="Times New Roman" w:eastAsia="宋体" w:cs="Times New Roman"/>
                      <w:sz w:val="21"/>
                      <w:szCs w:val="21"/>
                    </w:rPr>
                    <w:t>下行为：建设污染环境、破坏生态和造成水土流失的设施；在世界遗产核心保护区、</w:t>
                  </w:r>
                  <w:r>
                    <w:rPr>
                      <w:rFonts w:hint="default" w:ascii="Times New Roman" w:hAnsi="Times New Roman" w:eastAsia="宋体" w:cs="Times New Roman"/>
                      <w:spacing w:val="-1"/>
                      <w:sz w:val="21"/>
                      <w:szCs w:val="21"/>
                    </w:rPr>
                    <w:t>保护区范围内进行开山、采石、</w:t>
                  </w:r>
                  <w:r>
                    <w:rPr>
                      <w:rFonts w:hint="default" w:ascii="Times New Roman" w:hAnsi="Times New Roman" w:eastAsia="宋体" w:cs="Times New Roman"/>
                      <w:sz w:val="21"/>
                      <w:szCs w:val="21"/>
                    </w:rPr>
                    <w:t>垦荒、开矿、取土等破坏地表、地貌的活动；在世界遗产核心保护区、保护区范围内</w:t>
                  </w:r>
                  <w:r>
                    <w:rPr>
                      <w:rFonts w:hint="default" w:ascii="Times New Roman" w:hAnsi="Times New Roman" w:eastAsia="宋体" w:cs="Times New Roman"/>
                      <w:spacing w:val="-1"/>
                      <w:sz w:val="21"/>
                      <w:szCs w:val="21"/>
                    </w:rPr>
                    <w:t>修建储存爆炸性、易燃性、放射</w:t>
                  </w:r>
                  <w:r>
                    <w:rPr>
                      <w:rFonts w:hint="default" w:ascii="Times New Roman" w:hAnsi="Times New Roman" w:eastAsia="宋体" w:cs="Times New Roman"/>
                      <w:sz w:val="21"/>
                      <w:szCs w:val="21"/>
                    </w:rPr>
                    <w:t>性、毒害性、腐蚀性等物品设施；在世界遗产核心保护区、保护区设立各类开发区、</w:t>
                  </w:r>
                  <w:r>
                    <w:rPr>
                      <w:rFonts w:hint="default" w:ascii="Times New Roman" w:hAnsi="Times New Roman" w:eastAsia="宋体" w:cs="Times New Roman"/>
                      <w:spacing w:val="-1"/>
                      <w:sz w:val="21"/>
                      <w:szCs w:val="21"/>
                    </w:rPr>
                    <w:t>度假区；在世界遗产核心保护区</w:t>
                  </w:r>
                  <w:r>
                    <w:rPr>
                      <w:rFonts w:hint="default" w:ascii="Times New Roman" w:hAnsi="Times New Roman" w:eastAsia="宋体" w:cs="Times New Roman"/>
                      <w:sz w:val="21"/>
                      <w:szCs w:val="21"/>
                    </w:rPr>
                    <w:t>建设宾馆、招待所、疗养院及各类培训中心等建筑物、构筑物和其他设施；在世界遗</w:t>
                  </w:r>
                  <w:r>
                    <w:rPr>
                      <w:rFonts w:hint="default" w:ascii="Times New Roman" w:hAnsi="Times New Roman" w:eastAsia="宋体" w:cs="Times New Roman"/>
                      <w:spacing w:val="-1"/>
                      <w:sz w:val="21"/>
                      <w:szCs w:val="21"/>
                    </w:rPr>
                    <w:t>产保护区、缓冲区未经省人民政</w:t>
                  </w:r>
                  <w:r>
                    <w:rPr>
                      <w:rFonts w:hint="default" w:ascii="Times New Roman" w:hAnsi="Times New Roman" w:eastAsia="宋体" w:cs="Times New Roman"/>
                      <w:sz w:val="21"/>
                      <w:szCs w:val="21"/>
                    </w:rPr>
                    <w:t>府世界遗产行政主管部门审核进行建设；其他损害或者破坏世界遗产真实性和完整性</w:t>
                  </w:r>
                  <w:r>
                    <w:rPr>
                      <w:rFonts w:hint="default" w:ascii="Times New Roman" w:hAnsi="Times New Roman" w:eastAsia="宋体" w:cs="Times New Roman"/>
                      <w:spacing w:val="-1"/>
                      <w:sz w:val="21"/>
                      <w:szCs w:val="21"/>
                    </w:rPr>
                    <w:t>的行为。</w:t>
                  </w:r>
                </w:p>
                <w:p w14:paraId="28FA0E5D">
                  <w:pPr>
                    <w:pStyle w:val="55"/>
                    <w:keepNext w:val="0"/>
                    <w:keepLines w:val="0"/>
                    <w:pageBreakBefore w:val="0"/>
                    <w:widowControl w:val="0"/>
                    <w:kinsoku/>
                    <w:wordWrap/>
                    <w:overflowPunct/>
                    <w:topLinePunct w:val="0"/>
                    <w:autoSpaceDE/>
                    <w:autoSpaceDN/>
                    <w:bidi w:val="0"/>
                    <w:adjustRightInd/>
                    <w:snapToGrid/>
                    <w:spacing w:before="10" w:line="240" w:lineRule="auto"/>
                    <w:ind w:left="107" w:right="155" w:firstLine="2"/>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饮用水水源保护区：</w:t>
                  </w:r>
                  <w:r>
                    <w:rPr>
                      <w:rFonts w:hint="default" w:ascii="Times New Roman" w:hAnsi="Times New Roman" w:eastAsia="宋体" w:cs="Times New Roman"/>
                      <w:spacing w:val="-1"/>
                      <w:sz w:val="21"/>
                      <w:szCs w:val="21"/>
                    </w:rPr>
                    <w:t>禁</w:t>
                  </w:r>
                  <w:r>
                    <w:rPr>
                      <w:rFonts w:hint="default" w:ascii="Times New Roman" w:hAnsi="Times New Roman" w:eastAsia="宋体" w:cs="Times New Roman"/>
                      <w:spacing w:val="-2"/>
                      <w:sz w:val="21"/>
                      <w:szCs w:val="21"/>
                    </w:rPr>
                    <w:t>止在饮用水水源保护区内，禁止设置排污口。</w:t>
                  </w:r>
                </w:p>
                <w:p w14:paraId="6B911F59">
                  <w:pPr>
                    <w:pStyle w:val="55"/>
                    <w:keepNext w:val="0"/>
                    <w:keepLines w:val="0"/>
                    <w:pageBreakBefore w:val="0"/>
                    <w:widowControl w:val="0"/>
                    <w:kinsoku/>
                    <w:wordWrap/>
                    <w:overflowPunct/>
                    <w:topLinePunct w:val="0"/>
                    <w:autoSpaceDE/>
                    <w:autoSpaceDN/>
                    <w:bidi w:val="0"/>
                    <w:adjustRightInd/>
                    <w:snapToGrid/>
                    <w:spacing w:before="1" w:line="240" w:lineRule="auto"/>
                    <w:ind w:left="107" w:right="155" w:firstLine="6"/>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禁止在饮用水水源一级保护区内新建、改建、扩建与供水设施和保护水</w:t>
                  </w:r>
                  <w:r>
                    <w:rPr>
                      <w:rFonts w:hint="default" w:ascii="Times New Roman" w:hAnsi="Times New Roman" w:eastAsia="宋体" w:cs="Times New Roman"/>
                      <w:spacing w:val="-1"/>
                      <w:sz w:val="21"/>
                      <w:szCs w:val="21"/>
                    </w:rPr>
                    <w:t>源无关的建设项目；已建成的与供水设施和保护水源无关的建设项目，由县级以上人民政</w:t>
                  </w:r>
                  <w:r>
                    <w:rPr>
                      <w:rFonts w:hint="default" w:ascii="Times New Roman" w:hAnsi="Times New Roman" w:eastAsia="宋体" w:cs="Times New Roman"/>
                      <w:spacing w:val="-2"/>
                      <w:sz w:val="21"/>
                      <w:szCs w:val="21"/>
                    </w:rPr>
                    <w:t>府责令拆除或者关闭。</w:t>
                  </w:r>
                </w:p>
                <w:p w14:paraId="68F75F3C">
                  <w:pPr>
                    <w:pStyle w:val="55"/>
                    <w:keepNext w:val="0"/>
                    <w:keepLines w:val="0"/>
                    <w:pageBreakBefore w:val="0"/>
                    <w:widowControl w:val="0"/>
                    <w:kinsoku/>
                    <w:wordWrap/>
                    <w:overflowPunct/>
                    <w:topLinePunct w:val="0"/>
                    <w:autoSpaceDE/>
                    <w:autoSpaceDN/>
                    <w:bidi w:val="0"/>
                    <w:adjustRightInd/>
                    <w:snapToGrid/>
                    <w:spacing w:before="1" w:line="240" w:lineRule="auto"/>
                    <w:ind w:left="113"/>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禁止在饮用水水源一级保护区内从事网箱养殖、旅游、游泳、垂钓或者其他可能污染饮用水水体的活动。</w:t>
                  </w:r>
                </w:p>
                <w:p w14:paraId="51BFD8F4">
                  <w:pPr>
                    <w:pStyle w:val="55"/>
                    <w:keepNext w:val="0"/>
                    <w:keepLines w:val="0"/>
                    <w:pageBreakBefore w:val="0"/>
                    <w:widowControl w:val="0"/>
                    <w:kinsoku/>
                    <w:wordWrap/>
                    <w:overflowPunct/>
                    <w:topLinePunct w:val="0"/>
                    <w:autoSpaceDE/>
                    <w:autoSpaceDN/>
                    <w:bidi w:val="0"/>
                    <w:adjustRightInd/>
                    <w:snapToGrid/>
                    <w:spacing w:before="2" w:line="240" w:lineRule="auto"/>
                    <w:ind w:left="127" w:right="155" w:hanging="14"/>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禁止在饮用水水源二级保护区内新建、改建、扩建排放污染物的建设项</w:t>
                  </w:r>
                  <w:r>
                    <w:rPr>
                      <w:rFonts w:hint="default" w:ascii="Times New Roman" w:hAnsi="Times New Roman" w:eastAsia="宋体" w:cs="Times New Roman"/>
                      <w:spacing w:val="-1"/>
                      <w:sz w:val="21"/>
                      <w:szCs w:val="21"/>
                    </w:rPr>
                    <w:t>目；已建成的排放污染物的建设项目，由县级以上人民政府责令拆除或者关闭。禁止在饮用水水源准保护区内新建、扩建对水体污染严重的建设项目；改建建设项</w:t>
                  </w:r>
                  <w:r>
                    <w:rPr>
                      <w:rFonts w:hint="default" w:ascii="Times New Roman" w:hAnsi="Times New Roman" w:eastAsia="宋体" w:cs="Times New Roman"/>
                      <w:spacing w:val="-6"/>
                      <w:sz w:val="21"/>
                      <w:szCs w:val="21"/>
                    </w:rPr>
                    <w:t>目，不得增加排污量。</w:t>
                  </w:r>
                </w:p>
                <w:p w14:paraId="5B0DCCA3">
                  <w:pPr>
                    <w:pStyle w:val="55"/>
                    <w:keepNext w:val="0"/>
                    <w:keepLines w:val="0"/>
                    <w:pageBreakBefore w:val="0"/>
                    <w:widowControl w:val="0"/>
                    <w:kinsoku/>
                    <w:wordWrap/>
                    <w:overflowPunct/>
                    <w:topLinePunct w:val="0"/>
                    <w:autoSpaceDE/>
                    <w:autoSpaceDN/>
                    <w:bidi w:val="0"/>
                    <w:adjustRightInd/>
                    <w:snapToGrid/>
                    <w:spacing w:before="2" w:line="240" w:lineRule="auto"/>
                    <w:ind w:left="108" w:right="155"/>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地表水饮用水水源一级保护区内禁止新建、改建、扩建与供水设施和保护水源无</w:t>
                  </w:r>
                  <w:r>
                    <w:rPr>
                      <w:rFonts w:hint="default" w:ascii="Times New Roman" w:hAnsi="Times New Roman" w:eastAsia="宋体" w:cs="Times New Roman"/>
                      <w:spacing w:val="-1"/>
                      <w:sz w:val="21"/>
                      <w:szCs w:val="21"/>
                    </w:rPr>
                    <w:t>关的建设项目；已建成的与供水设施</w:t>
                  </w:r>
                  <w:r>
                    <w:rPr>
                      <w:rFonts w:hint="default" w:ascii="Times New Roman" w:hAnsi="Times New Roman" w:eastAsia="宋体" w:cs="Times New Roman"/>
                      <w:sz w:val="21"/>
                      <w:szCs w:val="21"/>
                    </w:rPr>
                    <w:t>和保护水源无关的建设项目，由县级以上地方人民政府责令拆除或者关闭；二级保</w:t>
                  </w:r>
                  <w:r>
                    <w:rPr>
                      <w:rFonts w:hint="default" w:ascii="Times New Roman" w:hAnsi="Times New Roman" w:eastAsia="宋体" w:cs="Times New Roman"/>
                      <w:spacing w:val="-1"/>
                      <w:sz w:val="21"/>
                      <w:szCs w:val="21"/>
                    </w:rPr>
                    <w:t>护区内，禁止新建、改建、扩建排</w:t>
                  </w:r>
                  <w:r>
                    <w:rPr>
                      <w:rFonts w:hint="default" w:ascii="Times New Roman" w:hAnsi="Times New Roman" w:eastAsia="宋体" w:cs="Times New Roman"/>
                      <w:sz w:val="21"/>
                      <w:szCs w:val="21"/>
                    </w:rPr>
                    <w:t>放污染物的建设项目；已建成的排放污染物的建设项目，由县级以上地方人民政府</w:t>
                  </w:r>
                  <w:r>
                    <w:rPr>
                      <w:rFonts w:hint="default" w:ascii="Times New Roman" w:hAnsi="Times New Roman" w:eastAsia="宋体" w:cs="Times New Roman"/>
                      <w:spacing w:val="-1"/>
                      <w:sz w:val="21"/>
                      <w:szCs w:val="21"/>
                    </w:rPr>
                    <w:t>责令拆除或者关闭；准保护区内</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禁止新建、扩建对水体污染严重的建设项目；改建建设项目，不得增加排污量。</w:t>
                  </w:r>
                </w:p>
                <w:p w14:paraId="6FDEC944">
                  <w:pPr>
                    <w:pStyle w:val="55"/>
                    <w:keepNext w:val="0"/>
                    <w:keepLines w:val="0"/>
                    <w:pageBreakBefore w:val="0"/>
                    <w:widowControl w:val="0"/>
                    <w:kinsoku/>
                    <w:wordWrap/>
                    <w:overflowPunct/>
                    <w:topLinePunct w:val="0"/>
                    <w:autoSpaceDE/>
                    <w:autoSpaceDN/>
                    <w:bidi w:val="0"/>
                    <w:adjustRightInd/>
                    <w:snapToGrid/>
                    <w:spacing w:line="240" w:lineRule="auto"/>
                    <w:ind w:left="108" w:right="153"/>
                    <w:jc w:val="both"/>
                    <w:textAlignment w:val="auto"/>
                    <w:rPr>
                      <w:rFonts w:hint="default" w:ascii="Times New Roman" w:hAnsi="Times New Roman" w:eastAsia="宋体" w:cs="Times New Roman"/>
                      <w:spacing w:val="-3"/>
                      <w:sz w:val="21"/>
                      <w:szCs w:val="21"/>
                    </w:rPr>
                  </w:pPr>
                  <w:r>
                    <w:rPr>
                      <w:rFonts w:hint="default" w:ascii="Times New Roman" w:hAnsi="Times New Roman" w:eastAsia="宋体" w:cs="Times New Roman"/>
                      <w:b/>
                      <w:bCs/>
                      <w:sz w:val="21"/>
                      <w:szCs w:val="21"/>
                    </w:rPr>
                    <w:t>森林公园</w:t>
                  </w:r>
                  <w:r>
                    <w:rPr>
                      <w:rFonts w:hint="default" w:ascii="Times New Roman" w:hAnsi="Times New Roman" w:eastAsia="宋体" w:cs="Times New Roman"/>
                      <w:b/>
                      <w:bCs/>
                      <w:spacing w:val="-1"/>
                      <w:sz w:val="21"/>
                      <w:szCs w:val="21"/>
                    </w:rPr>
                    <w:t>：</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1）禁止擅自在国家级森林自然公园内从事采矿、房地产、开发区</w:t>
                  </w:r>
                  <w:r>
                    <w:rPr>
                      <w:rFonts w:hint="default" w:ascii="Times New Roman" w:hAnsi="Times New Roman" w:eastAsia="宋体" w:cs="Times New Roman"/>
                      <w:spacing w:val="-1"/>
                      <w:sz w:val="21"/>
                      <w:szCs w:val="21"/>
                    </w:rPr>
                    <w:t>、高尔夫球场、风力光伏电场等不符</w:t>
                  </w:r>
                  <w:r>
                    <w:rPr>
                      <w:rFonts w:hint="default" w:ascii="Times New Roman" w:hAnsi="Times New Roman" w:eastAsia="宋体" w:cs="Times New Roman"/>
                      <w:sz w:val="21"/>
                      <w:szCs w:val="21"/>
                    </w:rPr>
                    <w:t>合管控要求的开发活动。（2）禁止违规侵占国家级森林自然公园，排放不符合水</w:t>
                  </w:r>
                  <w:r>
                    <w:rPr>
                      <w:rFonts w:hint="default" w:ascii="Times New Roman" w:hAnsi="Times New Roman" w:eastAsia="宋体" w:cs="Times New Roman"/>
                      <w:spacing w:val="-1"/>
                      <w:sz w:val="21"/>
                      <w:szCs w:val="21"/>
                    </w:rPr>
                    <w:t>污染物排放标准的工业废水、生活</w:t>
                  </w:r>
                  <w:r>
                    <w:rPr>
                      <w:rFonts w:hint="default" w:ascii="Times New Roman" w:hAnsi="Times New Roman" w:eastAsia="宋体" w:cs="Times New Roman"/>
                      <w:sz w:val="21"/>
                      <w:szCs w:val="21"/>
                    </w:rPr>
                    <w:t>污水及其他的废水、污水，倾倒、堆放、丢弃、遗撒固体废物等污染生态环境的行</w:t>
                  </w:r>
                  <w:r>
                    <w:rPr>
                      <w:rFonts w:hint="default" w:ascii="Times New Roman" w:hAnsi="Times New Roman" w:eastAsia="宋体" w:cs="Times New Roman"/>
                      <w:spacing w:val="-1"/>
                      <w:sz w:val="21"/>
                      <w:szCs w:val="21"/>
                    </w:rPr>
                    <w:t>为。（3）国家级森林自然公园按</w:t>
                  </w:r>
                  <w:r>
                    <w:rPr>
                      <w:rFonts w:hint="default" w:ascii="Times New Roman" w:hAnsi="Times New Roman" w:eastAsia="宋体" w:cs="Times New Roman"/>
                      <w:sz w:val="21"/>
                      <w:szCs w:val="21"/>
                    </w:rPr>
                    <w:t>照一般控制区管理。（4）国家级森林自然公园范围内除国家重大项目外，仅允许</w:t>
                  </w:r>
                  <w:r>
                    <w:rPr>
                      <w:rFonts w:hint="default" w:ascii="Times New Roman" w:hAnsi="Times New Roman" w:eastAsia="宋体" w:cs="Times New Roman"/>
                      <w:spacing w:val="-1"/>
                      <w:sz w:val="21"/>
                      <w:szCs w:val="21"/>
                    </w:rPr>
                    <w:t>对生态功能不造成破坏的有限人为</w:t>
                  </w:r>
                  <w:r>
                    <w:rPr>
                      <w:rFonts w:hint="default" w:ascii="Times New Roman" w:hAnsi="Times New Roman" w:eastAsia="宋体" w:cs="Times New Roman"/>
                      <w:sz w:val="21"/>
                      <w:szCs w:val="21"/>
                    </w:rPr>
                    <w:t>活动：①自然公园内居民和其他合法权益主体依法依规开展的生产生活及设施建设</w:t>
                  </w:r>
                  <w:r>
                    <w:rPr>
                      <w:rFonts w:hint="default" w:ascii="Times New Roman" w:hAnsi="Times New Roman" w:eastAsia="宋体" w:cs="Times New Roman"/>
                      <w:spacing w:val="-1"/>
                      <w:sz w:val="21"/>
                      <w:szCs w:val="21"/>
                    </w:rPr>
                    <w:t>。②符合自然公园保护管理要求的</w:t>
                  </w:r>
                  <w:r>
                    <w:rPr>
                      <w:rFonts w:hint="default" w:ascii="Times New Roman" w:hAnsi="Times New Roman" w:eastAsia="宋体" w:cs="Times New Roman"/>
                      <w:sz w:val="21"/>
                      <w:szCs w:val="21"/>
                    </w:rPr>
                    <w:t>文化、体育活动和必要的配套设施建设。③符合生态保护红线管控要求的其他活动</w:t>
                  </w:r>
                  <w:r>
                    <w:rPr>
                      <w:rFonts w:hint="default" w:ascii="Times New Roman" w:hAnsi="Times New Roman" w:eastAsia="宋体" w:cs="Times New Roman"/>
                      <w:spacing w:val="-1"/>
                      <w:sz w:val="21"/>
                      <w:szCs w:val="21"/>
                    </w:rPr>
                    <w:t>和设施建设。④法律法规</w:t>
                  </w:r>
                  <w:bookmarkStart w:id="3" w:name="_GoBack"/>
                  <w:bookmarkEnd w:id="3"/>
                  <w:r>
                    <w:rPr>
                      <w:rFonts w:hint="default" w:ascii="Times New Roman" w:hAnsi="Times New Roman" w:eastAsia="宋体" w:cs="Times New Roman"/>
                      <w:spacing w:val="-1"/>
                      <w:sz w:val="21"/>
                      <w:szCs w:val="21"/>
                    </w:rPr>
                    <w:t>和国家政</w:t>
                  </w:r>
                  <w:r>
                    <w:rPr>
                      <w:rFonts w:hint="default" w:ascii="Times New Roman" w:hAnsi="Times New Roman" w:eastAsia="宋体" w:cs="Times New Roman"/>
                      <w:spacing w:val="-3"/>
                      <w:sz w:val="21"/>
                      <w:szCs w:val="21"/>
                    </w:rPr>
                    <w:t>策允许在自然公园内开展的其他活动。</w:t>
                  </w:r>
                </w:p>
                <w:p w14:paraId="5E129667">
                  <w:pPr>
                    <w:pStyle w:val="55"/>
                    <w:keepNext w:val="0"/>
                    <w:keepLines w:val="0"/>
                    <w:pageBreakBefore w:val="0"/>
                    <w:widowControl w:val="0"/>
                    <w:kinsoku/>
                    <w:wordWrap/>
                    <w:overflowPunct/>
                    <w:topLinePunct w:val="0"/>
                    <w:autoSpaceDE/>
                    <w:autoSpaceDN/>
                    <w:bidi w:val="0"/>
                    <w:adjustRightInd/>
                    <w:snapToGrid/>
                    <w:spacing w:line="240" w:lineRule="auto"/>
                    <w:ind w:left="108" w:right="153"/>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地质公园：</w:t>
                  </w:r>
                  <w:r>
                    <w:rPr>
                      <w:rFonts w:hint="default" w:ascii="Times New Roman" w:hAnsi="Times New Roman" w:eastAsia="宋体" w:cs="Times New Roman"/>
                      <w:sz w:val="21"/>
                      <w:szCs w:val="21"/>
                    </w:rPr>
                    <w:t>禁止在保护区内及可能对地质遗迹造成影响的一定范围内进行采石、</w:t>
                  </w:r>
                  <w:r>
                    <w:rPr>
                      <w:rFonts w:hint="default" w:ascii="Times New Roman" w:hAnsi="Times New Roman" w:eastAsia="宋体" w:cs="Times New Roman"/>
                      <w:spacing w:val="-1"/>
                      <w:sz w:val="21"/>
                      <w:szCs w:val="21"/>
                    </w:rPr>
                    <w:t>取土、开矿、放牧、砍伐以及其它对</w:t>
                  </w:r>
                  <w:r>
                    <w:rPr>
                      <w:rFonts w:hint="default" w:ascii="Times New Roman" w:hAnsi="Times New Roman" w:eastAsia="宋体" w:cs="Times New Roman"/>
                      <w:sz w:val="21"/>
                      <w:szCs w:val="21"/>
                    </w:rPr>
                    <w:t>保护对象有损害的活动。未经管理机构批准，禁止在保护区范围内采集标本和化</w:t>
                  </w:r>
                  <w:r>
                    <w:rPr>
                      <w:rFonts w:hint="default" w:ascii="Times New Roman" w:hAnsi="Times New Roman" w:eastAsia="宋体" w:cs="Times New Roman"/>
                      <w:spacing w:val="-1"/>
                      <w:sz w:val="21"/>
                      <w:szCs w:val="21"/>
                    </w:rPr>
                    <w:t>石。禁止在保护区内修建与地质遗迹</w:t>
                  </w:r>
                  <w:r>
                    <w:rPr>
                      <w:rFonts w:hint="default" w:ascii="Times New Roman" w:hAnsi="Times New Roman" w:eastAsia="宋体" w:cs="Times New Roman"/>
                      <w:sz w:val="21"/>
                      <w:szCs w:val="21"/>
                    </w:rPr>
                    <w:t>保护无关的厂房或其他建筑设施。</w:t>
                  </w:r>
                </w:p>
                <w:p w14:paraId="0E6A2750">
                  <w:pPr>
                    <w:pStyle w:val="55"/>
                    <w:keepNext w:val="0"/>
                    <w:keepLines w:val="0"/>
                    <w:pageBreakBefore w:val="0"/>
                    <w:widowControl w:val="0"/>
                    <w:kinsoku/>
                    <w:wordWrap/>
                    <w:overflowPunct/>
                    <w:topLinePunct w:val="0"/>
                    <w:autoSpaceDE/>
                    <w:autoSpaceDN/>
                    <w:bidi w:val="0"/>
                    <w:adjustRightInd/>
                    <w:snapToGrid/>
                    <w:spacing w:line="240" w:lineRule="auto"/>
                    <w:ind w:left="108" w:right="153"/>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基本农田：</w:t>
                  </w:r>
                  <w:r>
                    <w:rPr>
                      <w:rFonts w:hint="default" w:ascii="Times New Roman" w:hAnsi="Times New Roman" w:eastAsia="宋体" w:cs="Times New Roman"/>
                      <w:sz w:val="21"/>
                      <w:szCs w:val="21"/>
                    </w:rPr>
                    <w:t>-永久基本农田，实行严格保护，</w:t>
                  </w:r>
                  <w:r>
                    <w:rPr>
                      <w:rFonts w:hint="default" w:ascii="Times New Roman" w:hAnsi="Times New Roman" w:eastAsia="宋体" w:cs="Times New Roman"/>
                      <w:spacing w:val="-1"/>
                      <w:sz w:val="21"/>
                      <w:szCs w:val="21"/>
                    </w:rPr>
                    <w:t>除法律规定的重点建设项目选址确实</w:t>
                  </w:r>
                  <w:r>
                    <w:rPr>
                      <w:rFonts w:hint="default" w:ascii="Times New Roman" w:hAnsi="Times New Roman" w:eastAsia="宋体" w:cs="Times New Roman"/>
                      <w:spacing w:val="-3"/>
                      <w:sz w:val="21"/>
                      <w:szCs w:val="21"/>
                    </w:rPr>
                    <w:t>无法避让外，其他任何建设不得占用。</w:t>
                  </w:r>
                </w:p>
                <w:p w14:paraId="50886A0A">
                  <w:pPr>
                    <w:pStyle w:val="55"/>
                    <w:keepNext w:val="0"/>
                    <w:keepLines w:val="0"/>
                    <w:pageBreakBefore w:val="0"/>
                    <w:widowControl w:val="0"/>
                    <w:kinsoku/>
                    <w:wordWrap/>
                    <w:overflowPunct/>
                    <w:topLinePunct w:val="0"/>
                    <w:autoSpaceDE/>
                    <w:autoSpaceDN/>
                    <w:bidi w:val="0"/>
                    <w:adjustRightInd/>
                    <w:snapToGrid/>
                    <w:spacing w:line="240" w:lineRule="auto"/>
                    <w:ind w:left="10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-在永久基本农田集中区域，不得新建可能造成土壤污染的建设项目；已经建成的，应当限期关闭拆除。</w:t>
                  </w:r>
                </w:p>
                <w:p w14:paraId="386455BA">
                  <w:pPr>
                    <w:pStyle w:val="55"/>
                    <w:keepNext w:val="0"/>
                    <w:keepLines w:val="0"/>
                    <w:pageBreakBefore w:val="0"/>
                    <w:widowControl w:val="0"/>
                    <w:kinsoku/>
                    <w:wordWrap/>
                    <w:overflowPunct/>
                    <w:topLinePunct w:val="0"/>
                    <w:autoSpaceDE/>
                    <w:autoSpaceDN/>
                    <w:bidi w:val="0"/>
                    <w:adjustRightInd/>
                    <w:snapToGrid/>
                    <w:spacing w:before="2" w:line="240" w:lineRule="auto"/>
                    <w:ind w:left="108" w:right="170" w:hanging="8"/>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-基本农田保护区经依法划定后，任何单位和个人不得改变或者占用。禁止任何单位和个人在基本农</w:t>
                  </w:r>
                  <w:r>
                    <w:rPr>
                      <w:rFonts w:hint="default" w:ascii="Times New Roman" w:hAnsi="Times New Roman" w:eastAsia="宋体" w:cs="Times New Roman"/>
                      <w:spacing w:val="-1"/>
                      <w:sz w:val="21"/>
                      <w:szCs w:val="21"/>
                    </w:rPr>
                    <w:t>田保护区内建窑</w:t>
                  </w:r>
                  <w:r>
                    <w:rPr>
                      <w:rFonts w:hint="default" w:ascii="Times New Roman" w:hAnsi="Times New Roman" w:eastAsia="宋体" w:cs="Times New Roman"/>
                      <w:sz w:val="21"/>
                      <w:szCs w:val="21"/>
                    </w:rPr>
                    <w:t xml:space="preserve">  、建房、建坟、挖砂、采石、采矿、取土、堆</w:t>
                  </w:r>
                  <w:r>
                    <w:rPr>
                      <w:rFonts w:hint="default" w:ascii="Times New Roman" w:hAnsi="Times New Roman" w:eastAsia="宋体" w:cs="Times New Roman"/>
                      <w:spacing w:val="-1"/>
                      <w:sz w:val="21"/>
                      <w:szCs w:val="21"/>
                    </w:rPr>
                    <w:t>放固体废弃物或者进行其他破坏基本农田的活动。禁止占用基本农田发</w:t>
                  </w:r>
                  <w:r>
                    <w:rPr>
                      <w:rFonts w:hint="default" w:ascii="Times New Roman" w:hAnsi="Times New Roman" w:eastAsia="宋体" w:cs="Times New Roman"/>
                      <w:spacing w:val="-4"/>
                      <w:sz w:val="21"/>
                      <w:szCs w:val="21"/>
                    </w:rPr>
                    <w:t>展林果业和挖塘养鱼。</w:t>
                  </w:r>
                </w:p>
                <w:p w14:paraId="5192A6B7">
                  <w:pPr>
                    <w:pStyle w:val="55"/>
                    <w:keepNext w:val="0"/>
                    <w:keepLines w:val="0"/>
                    <w:pageBreakBefore w:val="0"/>
                    <w:widowControl w:val="0"/>
                    <w:kinsoku/>
                    <w:wordWrap/>
                    <w:overflowPunct/>
                    <w:topLinePunct w:val="0"/>
                    <w:autoSpaceDE/>
                    <w:autoSpaceDN/>
                    <w:bidi w:val="0"/>
                    <w:adjustRightInd/>
                    <w:snapToGrid/>
                    <w:spacing w:before="2" w:line="240" w:lineRule="auto"/>
                    <w:ind w:left="107" w:right="155"/>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水产种质资源保护区：</w:t>
                  </w:r>
                  <w:r>
                    <w:rPr>
                      <w:rFonts w:hint="default" w:ascii="Times New Roman" w:hAnsi="Times New Roman" w:eastAsia="宋体" w:cs="Times New Roman"/>
                      <w:sz w:val="21"/>
                      <w:szCs w:val="21"/>
                    </w:rPr>
                    <w:t>禁止在水产种质资源保护区内从事围河（湖）造田、造地工程</w:t>
                  </w:r>
                  <w:r>
                    <w:rPr>
                      <w:rFonts w:hint="default" w:ascii="Times New Roman" w:hAnsi="Times New Roman" w:eastAsia="宋体" w:cs="Times New Roman"/>
                      <w:spacing w:val="-1"/>
                      <w:sz w:val="21"/>
                      <w:szCs w:val="21"/>
                    </w:rPr>
                    <w:t>。禁止在水产种质资源保护区内</w:t>
                  </w:r>
                  <w:r>
                    <w:rPr>
                      <w:rFonts w:hint="default" w:ascii="Times New Roman" w:hAnsi="Times New Roman" w:eastAsia="宋体" w:cs="Times New Roman"/>
                      <w:sz w:val="21"/>
                      <w:szCs w:val="21"/>
                    </w:rPr>
                    <w:t>新建排污口。在水产种质资源保护区附近新建、改建、扩建排污口，应当保证保护区</w:t>
                  </w:r>
                  <w:r>
                    <w:rPr>
                      <w:rFonts w:hint="default" w:ascii="Times New Roman" w:hAnsi="Times New Roman" w:eastAsia="宋体" w:cs="Times New Roman"/>
                      <w:spacing w:val="-1"/>
                      <w:sz w:val="21"/>
                      <w:szCs w:val="21"/>
                    </w:rPr>
                    <w:t>水体不受污染。四川省境内水产</w:t>
                  </w:r>
                  <w:r>
                    <w:rPr>
                      <w:rFonts w:hint="default" w:ascii="Times New Roman" w:hAnsi="Times New Roman" w:eastAsia="宋体" w:cs="Times New Roman"/>
                      <w:sz w:val="21"/>
                      <w:szCs w:val="21"/>
                    </w:rPr>
                    <w:t>种质资源保护区实行全年禁渔。禁止在水产种质资源保护区内从事捕捞、垂钓、挖砂</w:t>
                  </w:r>
                  <w:r>
                    <w:rPr>
                      <w:rFonts w:hint="default" w:ascii="Times New Roman" w:hAnsi="Times New Roman" w:eastAsia="宋体" w:cs="Times New Roman"/>
                      <w:spacing w:val="-1"/>
                      <w:sz w:val="21"/>
                      <w:szCs w:val="21"/>
                    </w:rPr>
                    <w:t>采石以及其他可能对保护区内生</w:t>
                  </w:r>
                  <w:r>
                    <w:rPr>
                      <w:rFonts w:hint="default" w:ascii="Times New Roman" w:hAnsi="Times New Roman" w:eastAsia="宋体" w:cs="Times New Roman"/>
                      <w:spacing w:val="-3"/>
                      <w:sz w:val="21"/>
                      <w:szCs w:val="21"/>
                    </w:rPr>
                    <w:t>物资源和生态环境造成损害的活动。</w:t>
                  </w:r>
                </w:p>
                <w:p w14:paraId="7C45B906">
                  <w:pPr>
                    <w:pStyle w:val="55"/>
                    <w:keepNext w:val="0"/>
                    <w:keepLines w:val="0"/>
                    <w:pageBreakBefore w:val="0"/>
                    <w:widowControl w:val="0"/>
                    <w:kinsoku/>
                    <w:wordWrap/>
                    <w:overflowPunct/>
                    <w:topLinePunct w:val="0"/>
                    <w:autoSpaceDE/>
                    <w:autoSpaceDN/>
                    <w:bidi w:val="0"/>
                    <w:adjustRightInd/>
                    <w:snapToGrid/>
                    <w:spacing w:before="1" w:line="240" w:lineRule="auto"/>
                    <w:ind w:left="107" w:right="255" w:firstLine="12"/>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生物多样性维护-生态功能区：严格执行《全国主体功</w:t>
                  </w:r>
                  <w:r>
                    <w:rPr>
                      <w:rFonts w:hint="default" w:ascii="Times New Roman" w:hAnsi="Times New Roman" w:eastAsia="宋体" w:cs="Times New Roman"/>
                      <w:spacing w:val="-1"/>
                      <w:sz w:val="21"/>
                      <w:szCs w:val="21"/>
                    </w:rPr>
                    <w:t>能区规划</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全国生态功能区划（修编）</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关于贯彻实</w:t>
                  </w:r>
                  <w:r>
                    <w:rPr>
                      <w:rFonts w:hint="default" w:ascii="Times New Roman" w:hAnsi="Times New Roman" w:eastAsia="宋体" w:cs="Times New Roman"/>
                      <w:spacing w:val="-2"/>
                      <w:sz w:val="21"/>
                      <w:szCs w:val="21"/>
                    </w:rPr>
                    <w:t>施国家主体功能区环境政策的若干意见》等中相关要求，主要要求如下：</w:t>
                  </w:r>
                </w:p>
                <w:p w14:paraId="73138846">
                  <w:pPr>
                    <w:pStyle w:val="55"/>
                    <w:keepNext w:val="0"/>
                    <w:keepLines w:val="0"/>
                    <w:pageBreakBefore w:val="0"/>
                    <w:widowControl w:val="0"/>
                    <w:kinsoku/>
                    <w:wordWrap/>
                    <w:overflowPunct/>
                    <w:topLinePunct w:val="0"/>
                    <w:autoSpaceDE/>
                    <w:autoSpaceDN/>
                    <w:bidi w:val="0"/>
                    <w:adjustRightInd/>
                    <w:snapToGrid/>
                    <w:spacing w:before="1" w:line="240" w:lineRule="auto"/>
                    <w:ind w:left="108" w:right="155" w:firstLine="92"/>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-禁止对野生动植物进行滥捕滥采，保持并恢复野生动植物物种和种群的平衡，实现野生动植物资源</w:t>
                  </w:r>
                  <w:r>
                    <w:rPr>
                      <w:rFonts w:hint="default" w:ascii="Times New Roman" w:hAnsi="Times New Roman" w:eastAsia="宋体" w:cs="Times New Roman"/>
                      <w:spacing w:val="-1"/>
                      <w:sz w:val="21"/>
                      <w:szCs w:val="21"/>
                    </w:rPr>
                    <w:t>的良性循环和永</w:t>
                  </w:r>
                  <w:r>
                    <w:rPr>
                      <w:rFonts w:hint="default" w:ascii="Times New Roman" w:hAnsi="Times New Roman" w:eastAsia="宋体" w:cs="Times New Roman"/>
                      <w:spacing w:val="-8"/>
                      <w:sz w:val="21"/>
                      <w:szCs w:val="21"/>
                    </w:rPr>
                    <w:t>续利用。</w:t>
                  </w:r>
                </w:p>
                <w:p w14:paraId="023AF1E4">
                  <w:pPr>
                    <w:pStyle w:val="55"/>
                    <w:keepNext w:val="0"/>
                    <w:keepLines w:val="0"/>
                    <w:pageBreakBefore w:val="0"/>
                    <w:widowControl w:val="0"/>
                    <w:kinsoku/>
                    <w:wordWrap/>
                    <w:overflowPunct/>
                    <w:topLinePunct w:val="0"/>
                    <w:autoSpaceDE/>
                    <w:autoSpaceDN/>
                    <w:bidi w:val="0"/>
                    <w:adjustRightInd/>
                    <w:snapToGrid/>
                    <w:spacing w:before="1" w:line="240" w:lineRule="auto"/>
                    <w:ind w:left="10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-禁止对野生动植物进行滥捕、乱采、乱猎；</w:t>
                  </w:r>
                </w:p>
                <w:p w14:paraId="5CCC8273">
                  <w:pPr>
                    <w:pStyle w:val="55"/>
                    <w:keepNext w:val="0"/>
                    <w:keepLines w:val="0"/>
                    <w:pageBreakBefore w:val="0"/>
                    <w:widowControl w:val="0"/>
                    <w:kinsoku/>
                    <w:wordWrap/>
                    <w:overflowPunct/>
                    <w:topLinePunct w:val="0"/>
                    <w:autoSpaceDE/>
                    <w:autoSpaceDN/>
                    <w:bidi w:val="0"/>
                    <w:adjustRightInd/>
                    <w:snapToGrid/>
                    <w:spacing w:before="1" w:line="240" w:lineRule="auto"/>
                    <w:ind w:left="107" w:right="255" w:hanging="7"/>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-保护自然生态系统与重要物种栖息地，限制或禁止各种损害栖息地的经济社会活动和生产方式，如</w:t>
                  </w:r>
                  <w:r>
                    <w:rPr>
                      <w:rFonts w:hint="default" w:ascii="Times New Roman" w:hAnsi="Times New Roman" w:eastAsia="宋体" w:cs="Times New Roman"/>
                      <w:spacing w:val="-1"/>
                      <w:sz w:val="21"/>
                      <w:szCs w:val="21"/>
                    </w:rPr>
                    <w:t>无序采矿、毁林</w:t>
                  </w:r>
                  <w:r>
                    <w:rPr>
                      <w:rFonts w:hint="default" w:ascii="Times New Roman" w:hAnsi="Times New Roman" w:eastAsia="宋体" w:cs="Times New Roman"/>
                      <w:spacing w:val="-2"/>
                      <w:sz w:val="21"/>
                      <w:szCs w:val="21"/>
                    </w:rPr>
                    <w:t>开荒、湿地和草地开垦、道路建设等，防止生态建设导致栖息环境的改变；</w:t>
                  </w:r>
                </w:p>
                <w:p w14:paraId="47C89DD3">
                  <w:pPr>
                    <w:pStyle w:val="55"/>
                    <w:keepNext w:val="0"/>
                    <w:keepLines w:val="0"/>
                    <w:pageBreakBefore w:val="0"/>
                    <w:widowControl w:val="0"/>
                    <w:kinsoku/>
                    <w:wordWrap/>
                    <w:overflowPunct/>
                    <w:topLinePunct w:val="0"/>
                    <w:autoSpaceDE/>
                    <w:autoSpaceDN/>
                    <w:bidi w:val="0"/>
                    <w:adjustRightInd/>
                    <w:snapToGrid/>
                    <w:spacing w:before="1" w:line="240" w:lineRule="auto"/>
                    <w:ind w:left="1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-加强对外来物种入侵的控制，禁止在生物多样性维护功能区引进外来物种禁止毁林开荒、烧山开</w:t>
                  </w:r>
                  <w:r>
                    <w:rPr>
                      <w:rFonts w:hint="default" w:ascii="Times New Roman" w:hAnsi="Times New Roman" w:eastAsia="宋体" w:cs="Times New Roman"/>
                      <w:spacing w:val="-1"/>
                      <w:sz w:val="21"/>
                      <w:szCs w:val="21"/>
                    </w:rPr>
                    <w:t>荒和陡坡地开垦</w:t>
                  </w:r>
                  <w:r>
                    <w:rPr>
                      <w:rFonts w:hint="eastAsia" w:ascii="Times New Roman" w:hAnsi="Times New Roman" w:eastAsia="宋体" w:cs="Times New Roman"/>
                      <w:spacing w:val="-1"/>
                      <w:sz w:val="21"/>
                      <w:szCs w:val="21"/>
                      <w:lang w:eastAsia="zh-CN"/>
                    </w:rPr>
                    <w:t>，</w:t>
                  </w:r>
                  <w:r>
                    <w:rPr>
                      <w:rFonts w:hint="default" w:ascii="Times New Roman" w:hAnsi="Times New Roman" w:eastAsia="宋体" w:cs="Times New Roman"/>
                      <w:spacing w:val="1"/>
                      <w:sz w:val="21"/>
                      <w:szCs w:val="21"/>
                    </w:rPr>
                    <w:t>合理开发自然资源，保护和恢复自然生态系</w:t>
                  </w:r>
                  <w:r>
                    <w:rPr>
                      <w:rFonts w:hint="default" w:ascii="Times New Roman" w:hAnsi="Times New Roman" w:eastAsia="宋体" w:cs="Times New Roman"/>
                      <w:sz w:val="21"/>
                      <w:szCs w:val="21"/>
                    </w:rPr>
                    <w:t>统，增强区域水土保持能力</w:t>
                  </w:r>
                  <w:r>
                    <w:rPr>
                      <w:rFonts w:hint="default" w:ascii="Times New Roman" w:hAnsi="Times New Roman" w:eastAsia="宋体" w:cs="Times New Roman"/>
                      <w:spacing w:val="51"/>
                      <w:sz w:val="21"/>
                      <w:szCs w:val="21"/>
                    </w:rPr>
                    <w:t xml:space="preserve"> </w:t>
                  </w:r>
                  <w:r>
                    <w:rPr>
                      <w:rFonts w:hint="default" w:ascii="Times New Roman" w:hAnsi="Times New Roman" w:eastAsia="宋体" w:cs="Times New Roman"/>
                      <w:sz w:val="21"/>
                      <w:szCs w:val="21"/>
                    </w:rPr>
                    <w:t>禁止生物多样性维护生态功能区的大规模水电开发和林纸一体化产业发展。水源涵养-生态功能区：严格保护具有水源涵养功</w:t>
                  </w:r>
                  <w:r>
                    <w:rPr>
                      <w:rFonts w:hint="default" w:ascii="Times New Roman" w:hAnsi="Times New Roman" w:eastAsia="宋体" w:cs="Times New Roman"/>
                      <w:spacing w:val="-1"/>
                      <w:sz w:val="21"/>
                      <w:szCs w:val="21"/>
                    </w:rPr>
                    <w:t>能的自然植被，禁止过度放牧、</w:t>
                  </w:r>
                  <w:r>
                    <w:rPr>
                      <w:rFonts w:hint="default" w:ascii="Times New Roman" w:hAnsi="Times New Roman" w:eastAsia="宋体" w:cs="Times New Roman"/>
                      <w:spacing w:val="-3"/>
                      <w:sz w:val="21"/>
                      <w:szCs w:val="21"/>
                    </w:rPr>
                    <w:t>无序采矿、毁林开荒、开垦草原等行为。</w:t>
                  </w:r>
                </w:p>
                <w:p w14:paraId="270E65FA">
                  <w:pPr>
                    <w:pStyle w:val="55"/>
                    <w:keepNext w:val="0"/>
                    <w:keepLines w:val="0"/>
                    <w:pageBreakBefore w:val="0"/>
                    <w:widowControl w:val="0"/>
                    <w:kinsoku/>
                    <w:wordWrap/>
                    <w:overflowPunct/>
                    <w:topLinePunct w:val="0"/>
                    <w:autoSpaceDE/>
                    <w:autoSpaceDN/>
                    <w:bidi w:val="0"/>
                    <w:adjustRightInd/>
                    <w:snapToGrid/>
                    <w:spacing w:before="1" w:line="240" w:lineRule="auto"/>
                    <w:ind w:left="112" w:right="255" w:hanging="12"/>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-严格保护具有重要水源涵养功能的自然植被，限制或禁止各种损害生态系统水源涵养功能的经济社</w:t>
                  </w:r>
                  <w:r>
                    <w:rPr>
                      <w:rFonts w:hint="default" w:ascii="Times New Roman" w:hAnsi="Times New Roman" w:eastAsia="宋体" w:cs="Times New Roman"/>
                      <w:spacing w:val="-1"/>
                      <w:sz w:val="21"/>
                      <w:szCs w:val="21"/>
                    </w:rPr>
                    <w:t>会活动和生产方</w:t>
                  </w:r>
                  <w:r>
                    <w:rPr>
                      <w:rFonts w:hint="default" w:ascii="Times New Roman" w:hAnsi="Times New Roman" w:eastAsia="宋体" w:cs="Times New Roman"/>
                      <w:spacing w:val="-2"/>
                      <w:sz w:val="21"/>
                      <w:szCs w:val="21"/>
                    </w:rPr>
                    <w:t>式，如无序采矿、毁林开荒、湿地和草地开垦、过度放牧、道路建设等；</w:t>
                  </w:r>
                </w:p>
                <w:p w14:paraId="1C970AB3">
                  <w:pPr>
                    <w:pStyle w:val="55"/>
                    <w:keepNext w:val="0"/>
                    <w:keepLines w:val="0"/>
                    <w:pageBreakBefore w:val="0"/>
                    <w:widowControl w:val="0"/>
                    <w:kinsoku/>
                    <w:wordWrap/>
                    <w:overflowPunct/>
                    <w:topLinePunct w:val="0"/>
                    <w:autoSpaceDE/>
                    <w:autoSpaceDN/>
                    <w:bidi w:val="0"/>
                    <w:adjustRightInd/>
                    <w:snapToGrid/>
                    <w:spacing w:before="2" w:line="240" w:lineRule="auto"/>
                    <w:ind w:left="109" w:right="155"/>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z w:val="21"/>
                      <w:szCs w:val="21"/>
                    </w:rPr>
                    <w:t>控制水污染，减轻水污染负荷，禁止导致水体污染的产业发展，开展生态清洁小</w:t>
                  </w:r>
                  <w:r>
                    <w:rPr>
                      <w:rFonts w:hint="default" w:ascii="Times New Roman" w:hAnsi="Times New Roman" w:eastAsia="宋体" w:cs="Times New Roman"/>
                      <w:spacing w:val="-1"/>
                      <w:sz w:val="21"/>
                      <w:szCs w:val="21"/>
                    </w:rPr>
                    <w:t>流域的建设。禁止高水资源消耗产业</w:t>
                  </w:r>
                  <w:r>
                    <w:rPr>
                      <w:rFonts w:hint="default" w:ascii="Times New Roman" w:hAnsi="Times New Roman" w:eastAsia="宋体" w:cs="Times New Roman"/>
                      <w:spacing w:val="-2"/>
                      <w:sz w:val="21"/>
                      <w:szCs w:val="21"/>
                    </w:rPr>
                    <w:t>布局。</w:t>
                  </w:r>
                </w:p>
                <w:p w14:paraId="30C2E16B">
                  <w:pPr>
                    <w:pStyle w:val="55"/>
                    <w:keepNext w:val="0"/>
                    <w:keepLines w:val="0"/>
                    <w:pageBreakBefore w:val="0"/>
                    <w:widowControl w:val="0"/>
                    <w:kinsoku/>
                    <w:wordWrap/>
                    <w:overflowPunct/>
                    <w:topLinePunct w:val="0"/>
                    <w:autoSpaceDE/>
                    <w:autoSpaceDN/>
                    <w:bidi w:val="0"/>
                    <w:adjustRightInd/>
                    <w:snapToGrid/>
                    <w:spacing w:before="2" w:line="240" w:lineRule="auto"/>
                    <w:ind w:left="109" w:right="155"/>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2"/>
                      <w:sz w:val="21"/>
                      <w:szCs w:val="21"/>
                    </w:rPr>
                    <w:t>水土保持-生态功能区</w:t>
                  </w:r>
                  <w:r>
                    <w:rPr>
                      <w:rFonts w:hint="default" w:ascii="Times New Roman" w:hAnsi="Times New Roman" w:eastAsia="宋体" w:cs="Times New Roman"/>
                      <w:spacing w:val="-2"/>
                      <w:sz w:val="21"/>
                      <w:szCs w:val="21"/>
                    </w:rPr>
                    <w:t>：严禁陡坡垦殖和过度放牧。</w:t>
                  </w:r>
                </w:p>
                <w:p w14:paraId="63460864">
                  <w:pPr>
                    <w:pStyle w:val="55"/>
                    <w:keepNext w:val="0"/>
                    <w:keepLines w:val="0"/>
                    <w:pageBreakBefore w:val="0"/>
                    <w:widowControl w:val="0"/>
                    <w:kinsoku/>
                    <w:wordWrap/>
                    <w:overflowPunct/>
                    <w:topLinePunct w:val="0"/>
                    <w:autoSpaceDE/>
                    <w:autoSpaceDN/>
                    <w:bidi w:val="0"/>
                    <w:adjustRightInd/>
                    <w:snapToGrid/>
                    <w:spacing w:line="240" w:lineRule="auto"/>
                    <w:ind w:left="10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-禁止毁林开荒、烧山开荒和陡坡地开垦。</w:t>
                  </w:r>
                </w:p>
                <w:p w14:paraId="7472C1C9">
                  <w:pPr>
                    <w:pStyle w:val="55"/>
                    <w:keepNext w:val="0"/>
                    <w:keepLines w:val="0"/>
                    <w:pageBreakBefore w:val="0"/>
                    <w:widowControl w:val="0"/>
                    <w:kinsoku/>
                    <w:wordWrap/>
                    <w:overflowPunct/>
                    <w:topLinePunct w:val="0"/>
                    <w:autoSpaceDE/>
                    <w:autoSpaceDN/>
                    <w:bidi w:val="0"/>
                    <w:adjustRightInd/>
                    <w:snapToGrid/>
                    <w:spacing w:before="1" w:line="240" w:lineRule="auto"/>
                    <w:ind w:left="10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-禁止在二十五度以上陡坡地开垦种植农作物。</w:t>
                  </w:r>
                </w:p>
                <w:p w14:paraId="2A54A7C1">
                  <w:pPr>
                    <w:pStyle w:val="55"/>
                    <w:keepNext w:val="0"/>
                    <w:keepLines w:val="0"/>
                    <w:pageBreakBefore w:val="0"/>
                    <w:widowControl w:val="0"/>
                    <w:kinsoku/>
                    <w:wordWrap/>
                    <w:overflowPunct/>
                    <w:topLinePunct w:val="0"/>
                    <w:autoSpaceDE/>
                    <w:autoSpaceDN/>
                    <w:bidi w:val="0"/>
                    <w:adjustRightInd/>
                    <w:snapToGrid/>
                    <w:spacing w:before="1" w:line="240" w:lineRule="auto"/>
                    <w:ind w:left="109" w:right="155" w:firstLine="3"/>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禁止在崩塌、滑坡危险区和泥石流易发区从事取土、挖砂、采石等可能</w:t>
                  </w:r>
                  <w:r>
                    <w:rPr>
                      <w:rFonts w:hint="default" w:ascii="Times New Roman" w:hAnsi="Times New Roman" w:eastAsia="宋体" w:cs="Times New Roman"/>
                      <w:spacing w:val="-1"/>
                      <w:sz w:val="21"/>
                      <w:szCs w:val="21"/>
                    </w:rPr>
                    <w:t>造成水土流失的活动。禁止毁林、毁草开垦和采集发菜。禁止在水土流失重点预防区和重点治理区铲草皮、挖树兜或者滥挖虫草、甘草、麻黄等。</w:t>
                  </w:r>
                </w:p>
                <w:p w14:paraId="1A2DE86A">
                  <w:pPr>
                    <w:pStyle w:val="55"/>
                    <w:keepNext w:val="0"/>
                    <w:keepLines w:val="0"/>
                    <w:pageBreakBefore w:val="0"/>
                    <w:widowControl w:val="0"/>
                    <w:kinsoku/>
                    <w:wordWrap/>
                    <w:overflowPunct/>
                    <w:topLinePunct w:val="0"/>
                    <w:autoSpaceDE/>
                    <w:autoSpaceDN/>
                    <w:bidi w:val="0"/>
                    <w:adjustRightInd/>
                    <w:snapToGrid/>
                    <w:spacing w:before="1" w:line="240" w:lineRule="auto"/>
                    <w:ind w:left="113"/>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禁止在生态保护红线区域、永久基本农田集中区域和其他需要特别保护</w:t>
                  </w:r>
                  <w:r>
                    <w:rPr>
                      <w:rFonts w:hint="default" w:ascii="Times New Roman" w:hAnsi="Times New Roman" w:eastAsia="宋体" w:cs="Times New Roman"/>
                      <w:spacing w:val="-1"/>
                      <w:sz w:val="21"/>
                      <w:szCs w:val="21"/>
                    </w:rPr>
                    <w:t>的区域内选址建设尾矿库、冶炼渣库磷石膏库</w:t>
                  </w:r>
                  <w:r>
                    <w:rPr>
                      <w:rFonts w:hint="default" w:ascii="Times New Roman" w:hAnsi="Times New Roman" w:eastAsia="宋体" w:cs="Times New Roman"/>
                      <w:sz w:val="21"/>
                      <w:szCs w:val="21"/>
                    </w:rPr>
                    <w:t>。</w:t>
                  </w:r>
                </w:p>
                <w:p w14:paraId="2883CEC6">
                  <w:pPr>
                    <w:pStyle w:val="55"/>
                    <w:keepNext w:val="0"/>
                    <w:keepLines w:val="0"/>
                    <w:pageBreakBefore w:val="0"/>
                    <w:widowControl w:val="0"/>
                    <w:kinsoku/>
                    <w:wordWrap/>
                    <w:overflowPunct/>
                    <w:topLinePunct w:val="0"/>
                    <w:autoSpaceDE/>
                    <w:autoSpaceDN/>
                    <w:bidi w:val="0"/>
                    <w:adjustRightInd/>
                    <w:snapToGrid/>
                    <w:spacing w:line="240" w:lineRule="auto"/>
                    <w:ind w:left="107" w:right="155" w:firstLine="20"/>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以上自然保护地为截至2023年6月的自然保护地整合优化预案数据，最终名称、范围等以国家正式批复为准。</w:t>
                  </w:r>
                </w:p>
                <w:p w14:paraId="4112CAE1">
                  <w:pPr>
                    <w:pStyle w:val="55"/>
                    <w:keepNext w:val="0"/>
                    <w:keepLines w:val="0"/>
                    <w:pageBreakBefore w:val="0"/>
                    <w:widowControl w:val="0"/>
                    <w:kinsoku/>
                    <w:wordWrap/>
                    <w:overflowPunct/>
                    <w:topLinePunct w:val="0"/>
                    <w:autoSpaceDE/>
                    <w:autoSpaceDN/>
                    <w:bidi w:val="0"/>
                    <w:adjustRightInd/>
                    <w:snapToGrid/>
                    <w:spacing w:line="240" w:lineRule="auto"/>
                    <w:ind w:left="107" w:right="155" w:firstLine="20"/>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pacing w:val="-1"/>
                      <w:sz w:val="21"/>
                      <w:szCs w:val="21"/>
                    </w:rPr>
                    <w:t>自然保</w:t>
                  </w:r>
                  <w:r>
                    <w:rPr>
                      <w:rFonts w:hint="default" w:ascii="Times New Roman" w:hAnsi="Times New Roman" w:eastAsia="宋体" w:cs="Times New Roman"/>
                      <w:b/>
                      <w:bCs/>
                      <w:sz w:val="21"/>
                      <w:szCs w:val="21"/>
                    </w:rPr>
                    <w:t>护区：</w:t>
                  </w:r>
                  <w:r>
                    <w:rPr>
                      <w:rFonts w:hint="default" w:ascii="Times New Roman" w:hAnsi="Times New Roman" w:eastAsia="宋体" w:cs="Times New Roman"/>
                      <w:sz w:val="21"/>
                      <w:szCs w:val="21"/>
                    </w:rPr>
                    <w:t>严格限制在长江流域自然保护地水域实施航道整治工程；确需整治的，应当经</w:t>
                  </w:r>
                  <w:r>
                    <w:rPr>
                      <w:rFonts w:hint="default" w:ascii="Times New Roman" w:hAnsi="Times New Roman" w:eastAsia="宋体" w:cs="Times New Roman"/>
                      <w:spacing w:val="-1"/>
                      <w:sz w:val="21"/>
                      <w:szCs w:val="21"/>
                    </w:rPr>
                    <w:t>科学论证，并依法办理相关手续</w:t>
                  </w:r>
                  <w:r>
                    <w:rPr>
                      <w:rFonts w:hint="default" w:ascii="Times New Roman" w:hAnsi="Times New Roman" w:eastAsia="宋体" w:cs="Times New Roman"/>
                      <w:sz w:val="21"/>
                      <w:szCs w:val="21"/>
                    </w:rPr>
                    <w:t>。</w:t>
                  </w:r>
                </w:p>
                <w:p w14:paraId="3B07E685">
                  <w:pPr>
                    <w:pStyle w:val="55"/>
                    <w:keepNext w:val="0"/>
                    <w:keepLines w:val="0"/>
                    <w:pageBreakBefore w:val="0"/>
                    <w:widowControl w:val="0"/>
                    <w:kinsoku/>
                    <w:wordWrap/>
                    <w:overflowPunct/>
                    <w:topLinePunct w:val="0"/>
                    <w:autoSpaceDE/>
                    <w:autoSpaceDN/>
                    <w:bidi w:val="0"/>
                    <w:adjustRightInd/>
                    <w:snapToGrid/>
                    <w:spacing w:before="2" w:line="240" w:lineRule="auto"/>
                    <w:ind w:left="107" w:right="155" w:firstLine="2"/>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在自然保护区的实验区内开展参观、旅游活动的，由自然保护区管理机构编制方</w:t>
                  </w:r>
                  <w:r>
                    <w:rPr>
                      <w:rFonts w:hint="default" w:ascii="Times New Roman" w:hAnsi="Times New Roman" w:eastAsia="宋体" w:cs="Times New Roman"/>
                      <w:spacing w:val="-1"/>
                      <w:sz w:val="21"/>
                      <w:szCs w:val="21"/>
                    </w:rPr>
                    <w:t>案，方案应当符合自然保护区管理目</w:t>
                  </w:r>
                  <w:r>
                    <w:rPr>
                      <w:rFonts w:hint="default" w:ascii="Times New Roman" w:hAnsi="Times New Roman" w:eastAsia="宋体" w:cs="Times New Roman"/>
                      <w:spacing w:val="-2"/>
                      <w:sz w:val="21"/>
                      <w:szCs w:val="21"/>
                    </w:rPr>
                    <w:t>标。严禁开设与自然保护区保护方向不一致的参观、旅游项目。</w:t>
                  </w:r>
                </w:p>
                <w:p w14:paraId="43F4D583">
                  <w:pPr>
                    <w:pStyle w:val="55"/>
                    <w:keepNext w:val="0"/>
                    <w:keepLines w:val="0"/>
                    <w:pageBreakBefore w:val="0"/>
                    <w:widowControl w:val="0"/>
                    <w:kinsoku/>
                    <w:wordWrap/>
                    <w:overflowPunct/>
                    <w:topLinePunct w:val="0"/>
                    <w:autoSpaceDE/>
                    <w:autoSpaceDN/>
                    <w:bidi w:val="0"/>
                    <w:adjustRightInd/>
                    <w:snapToGrid/>
                    <w:spacing w:before="6" w:line="240" w:lineRule="auto"/>
                    <w:ind w:left="108" w:right="155" w:firstLine="2"/>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湿地公园</w:t>
                  </w:r>
                  <w:r>
                    <w:rPr>
                      <w:rFonts w:hint="default" w:ascii="Times New Roman" w:hAnsi="Times New Roman" w:eastAsia="宋体" w:cs="Times New Roman"/>
                      <w:b/>
                      <w:bCs/>
                      <w:spacing w:val="-1"/>
                      <w:sz w:val="21"/>
                      <w:szCs w:val="21"/>
                    </w:rPr>
                    <w:t>：</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1）在湿地范围内从事旅游、种植、畜牧、水产养殖、航运等利用</w:t>
                  </w:r>
                  <w:r>
                    <w:rPr>
                      <w:rFonts w:hint="default" w:ascii="Times New Roman" w:hAnsi="Times New Roman" w:eastAsia="宋体" w:cs="Times New Roman"/>
                      <w:spacing w:val="-1"/>
                      <w:sz w:val="21"/>
                      <w:szCs w:val="21"/>
                    </w:rPr>
                    <w:t>活动，应当避免改变湿地的自然状况</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,并采取措施减轻对湿地生态功能的不利影响</w:t>
                  </w:r>
                  <w:r>
                    <w:rPr>
                      <w:rFonts w:hint="default" w:ascii="Times New Roman" w:hAnsi="Times New Roman" w:eastAsia="宋体" w:cs="Times New Roman"/>
                      <w:spacing w:val="1"/>
                      <w:sz w:val="21"/>
                      <w:szCs w:val="21"/>
                    </w:rPr>
                    <w:t>。（2）地方各级人民政府应当严格控制河流源头和蓄滞洪区、水土流</w:t>
                  </w:r>
                  <w:r>
                    <w:rPr>
                      <w:rFonts w:hint="default" w:ascii="Times New Roman" w:hAnsi="Times New Roman" w:eastAsia="宋体" w:cs="Times New Roman"/>
                      <w:sz w:val="21"/>
                      <w:szCs w:val="21"/>
                    </w:rPr>
                    <w:t>失严重区等区域的湿地开发利用活动，减轻对湿地及其生物多样性的不利影响。（</w:t>
                  </w:r>
                  <w:r>
                    <w:rPr>
                      <w:rFonts w:hint="default" w:ascii="Times New Roman" w:hAnsi="Times New Roman" w:eastAsia="宋体" w:cs="Times New Roman"/>
                      <w:spacing w:val="-1"/>
                      <w:sz w:val="21"/>
                      <w:szCs w:val="21"/>
                    </w:rPr>
                    <w:t>3）地方各级人民政府对省级重要</w:t>
                  </w:r>
                  <w:r>
                    <w:rPr>
                      <w:rFonts w:hint="default" w:ascii="Times New Roman" w:hAnsi="Times New Roman" w:eastAsia="宋体" w:cs="Times New Roman"/>
                      <w:sz w:val="21"/>
                      <w:szCs w:val="21"/>
                    </w:rPr>
                    <w:t>湿地和一般湿地利用活动进行分类指导，鼓励单位和个人开展符合湿地保护要求的</w:t>
                  </w:r>
                  <w:r>
                    <w:rPr>
                      <w:rFonts w:hint="default" w:ascii="Times New Roman" w:hAnsi="Times New Roman" w:eastAsia="宋体" w:cs="Times New Roman"/>
                      <w:spacing w:val="-1"/>
                      <w:sz w:val="21"/>
                      <w:szCs w:val="21"/>
                    </w:rPr>
                    <w:t>生态旅游、生态农业、生态教育、</w:t>
                  </w:r>
                  <w:r>
                    <w:rPr>
                      <w:rFonts w:hint="default" w:ascii="Times New Roman" w:hAnsi="Times New Roman" w:eastAsia="宋体" w:cs="Times New Roman"/>
                      <w:sz w:val="21"/>
                      <w:szCs w:val="21"/>
                    </w:rPr>
                    <w:t>自然体验等活动，适度控制种植养殖等湿地利用规模。（4）国家级湿地自然公园按</w:t>
                  </w:r>
                  <w:r>
                    <w:rPr>
                      <w:rFonts w:hint="default" w:ascii="Times New Roman" w:hAnsi="Times New Roman" w:eastAsia="宋体" w:cs="Times New Roman"/>
                      <w:spacing w:val="-1"/>
                      <w:sz w:val="21"/>
                      <w:szCs w:val="21"/>
                    </w:rPr>
                    <w:t>照一般控制区管理。（5）国家级</w:t>
                  </w:r>
                  <w:r>
                    <w:rPr>
                      <w:rFonts w:hint="default" w:ascii="Times New Roman" w:hAnsi="Times New Roman" w:eastAsia="宋体" w:cs="Times New Roman"/>
                      <w:sz w:val="21"/>
                      <w:szCs w:val="21"/>
                    </w:rPr>
                    <w:t>湿地自然公园范围内除国家重大项目外，仅允许对生态功能不造成破坏的有限人为</w:t>
                  </w:r>
                  <w:r>
                    <w:rPr>
                      <w:rFonts w:hint="default" w:ascii="Times New Roman" w:hAnsi="Times New Roman" w:eastAsia="宋体" w:cs="Times New Roman"/>
                      <w:spacing w:val="-1"/>
                      <w:sz w:val="21"/>
                      <w:szCs w:val="21"/>
                    </w:rPr>
                    <w:t>活动：①自然公园内居民和其他合</w:t>
                  </w:r>
                  <w:r>
                    <w:rPr>
                      <w:rFonts w:hint="default" w:ascii="Times New Roman" w:hAnsi="Times New Roman" w:eastAsia="宋体" w:cs="Times New Roman"/>
                      <w:sz w:val="21"/>
                      <w:szCs w:val="21"/>
                    </w:rPr>
                    <w:t>法权益主体依法依规开展的生产生活及设施建设。②符合自然公园保护管理要求的</w:t>
                  </w:r>
                  <w:r>
                    <w:rPr>
                      <w:rFonts w:hint="default" w:ascii="Times New Roman" w:hAnsi="Times New Roman" w:eastAsia="宋体" w:cs="Times New Roman"/>
                      <w:spacing w:val="-1"/>
                      <w:sz w:val="21"/>
                      <w:szCs w:val="21"/>
                    </w:rPr>
                    <w:t>文化、体育活动和必要的配套设施</w:t>
                  </w:r>
                  <w:r>
                    <w:rPr>
                      <w:rFonts w:hint="default" w:ascii="Times New Roman" w:hAnsi="Times New Roman" w:eastAsia="宋体" w:cs="Times New Roman"/>
                      <w:sz w:val="21"/>
                      <w:szCs w:val="21"/>
                    </w:rPr>
                    <w:t>建设。③符合生态保护红线管控要求的其他活动和设施建设。④法律法规和国家政</w:t>
                  </w:r>
                  <w:r>
                    <w:rPr>
                      <w:rFonts w:hint="default" w:ascii="Times New Roman" w:hAnsi="Times New Roman" w:eastAsia="宋体" w:cs="Times New Roman"/>
                      <w:spacing w:val="-1"/>
                      <w:sz w:val="21"/>
                      <w:szCs w:val="21"/>
                    </w:rPr>
                    <w:t>策允许在自然公园内开展的其他活</w:t>
                  </w:r>
                  <w:r>
                    <w:rPr>
                      <w:rFonts w:hint="default" w:ascii="Times New Roman" w:hAnsi="Times New Roman" w:eastAsia="宋体" w:cs="Times New Roman"/>
                      <w:spacing w:val="-10"/>
                      <w:sz w:val="21"/>
                      <w:szCs w:val="21"/>
                    </w:rPr>
                    <w:t>动。</w:t>
                  </w:r>
                </w:p>
                <w:p w14:paraId="402F285B">
                  <w:pPr>
                    <w:pStyle w:val="55"/>
                    <w:keepNext w:val="0"/>
                    <w:keepLines w:val="0"/>
                    <w:pageBreakBefore w:val="0"/>
                    <w:widowControl w:val="0"/>
                    <w:kinsoku/>
                    <w:wordWrap/>
                    <w:overflowPunct/>
                    <w:topLinePunct w:val="0"/>
                    <w:autoSpaceDE/>
                    <w:autoSpaceDN/>
                    <w:bidi w:val="0"/>
                    <w:adjustRightInd/>
                    <w:snapToGrid/>
                    <w:spacing w:before="2" w:line="240" w:lineRule="auto"/>
                    <w:ind w:left="105" w:right="155" w:firstLine="1"/>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饮用水水源保护区：</w:t>
                  </w:r>
                  <w:r>
                    <w:rPr>
                      <w:rFonts w:hint="default" w:ascii="Times New Roman" w:hAnsi="Times New Roman" w:eastAsia="宋体" w:cs="Times New Roman"/>
                      <w:sz w:val="21"/>
                      <w:szCs w:val="21"/>
                    </w:rPr>
                    <w:t>禁止在饮用水水源准保护区内新建、扩建对水体污染严重的建设</w:t>
                  </w:r>
                  <w:r>
                    <w:rPr>
                      <w:rFonts w:hint="default" w:ascii="Times New Roman" w:hAnsi="Times New Roman" w:eastAsia="宋体" w:cs="Times New Roman"/>
                      <w:spacing w:val="-1"/>
                      <w:sz w:val="21"/>
                      <w:szCs w:val="21"/>
                    </w:rPr>
                    <w:t>项目；改建建设项目，不得增加</w:t>
                  </w:r>
                  <w:r>
                    <w:rPr>
                      <w:rFonts w:hint="default" w:ascii="Times New Roman" w:hAnsi="Times New Roman" w:eastAsia="宋体" w:cs="Times New Roman"/>
                      <w:sz w:val="21"/>
                      <w:szCs w:val="21"/>
                    </w:rPr>
                    <w:t>排污量。基本农田：国家重大战略资源勘查、生态保护修复和环境治理、重大基础设施、</w:t>
                  </w:r>
                  <w:r>
                    <w:rPr>
                      <w:rFonts w:hint="default" w:ascii="Times New Roman" w:hAnsi="Times New Roman" w:eastAsia="宋体" w:cs="Times New Roman"/>
                      <w:spacing w:val="-1"/>
                      <w:sz w:val="21"/>
                      <w:szCs w:val="21"/>
                    </w:rPr>
                    <w:t>军事国防以及农牧民基本生</w:t>
                  </w:r>
                  <w:r>
                    <w:rPr>
                      <w:rFonts w:hint="default" w:ascii="Times New Roman" w:hAnsi="Times New Roman" w:eastAsia="宋体" w:cs="Times New Roman"/>
                      <w:sz w:val="21"/>
                      <w:szCs w:val="21"/>
                    </w:rPr>
                    <w:t>产生活等必要的民生项目（包括深度贫困地区、集中连片特困地区、国家扶贫开发工作重</w:t>
                  </w:r>
                  <w:r>
                    <w:rPr>
                      <w:rFonts w:hint="default" w:ascii="Times New Roman" w:hAnsi="Times New Roman" w:eastAsia="宋体" w:cs="Times New Roman"/>
                      <w:spacing w:val="-1"/>
                      <w:sz w:val="21"/>
                      <w:szCs w:val="21"/>
                    </w:rPr>
                    <w:t>点县省级以下基础设施、易地扶贫搬迁、民生发展等建设项目</w:t>
                  </w:r>
                  <w:r>
                    <w:rPr>
                      <w:rFonts w:hint="default" w:ascii="Times New Roman" w:hAnsi="Times New Roman" w:eastAsia="宋体" w:cs="Times New Roman"/>
                      <w:spacing w:val="4"/>
                      <w:sz w:val="21"/>
                      <w:szCs w:val="21"/>
                    </w:rPr>
                    <w:t>），</w:t>
                  </w:r>
                  <w:r>
                    <w:rPr>
                      <w:rFonts w:hint="default" w:ascii="Times New Roman" w:hAnsi="Times New Roman" w:eastAsia="宋体" w:cs="Times New Roman"/>
                      <w:spacing w:val="-1"/>
                      <w:sz w:val="21"/>
                      <w:szCs w:val="21"/>
                    </w:rPr>
                    <w:t>选址确实难以避让永久基本农田的，按程序严格论证后依法依规报批。</w:t>
                  </w:r>
                </w:p>
                <w:p w14:paraId="722BD23A">
                  <w:pPr>
                    <w:pStyle w:val="55"/>
                    <w:keepNext w:val="0"/>
                    <w:keepLines w:val="0"/>
                    <w:pageBreakBefore w:val="0"/>
                    <w:widowControl w:val="0"/>
                    <w:kinsoku/>
                    <w:wordWrap/>
                    <w:overflowPunct/>
                    <w:topLinePunct w:val="0"/>
                    <w:autoSpaceDE/>
                    <w:autoSpaceDN/>
                    <w:bidi w:val="0"/>
                    <w:adjustRightInd/>
                    <w:snapToGrid/>
                    <w:spacing w:before="2" w:line="240" w:lineRule="auto"/>
                    <w:ind w:left="107" w:right="155"/>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水产种质资源保护区：严格限制在长江流域生态保护红线、自然保护地、水生生物重</w:t>
                  </w:r>
                  <w:r>
                    <w:rPr>
                      <w:rFonts w:hint="default" w:ascii="Times New Roman" w:hAnsi="Times New Roman" w:eastAsia="宋体" w:cs="Times New Roman"/>
                      <w:spacing w:val="-1"/>
                      <w:sz w:val="21"/>
                      <w:szCs w:val="21"/>
                    </w:rPr>
                    <w:t>要栖息地水域实施航道整治工程</w:t>
                  </w:r>
                  <w:r>
                    <w:rPr>
                      <w:rFonts w:hint="default" w:ascii="Times New Roman" w:hAnsi="Times New Roman" w:eastAsia="宋体" w:cs="Times New Roman"/>
                      <w:sz w:val="21"/>
                      <w:szCs w:val="21"/>
                    </w:rPr>
                    <w:t xml:space="preserve"> ；确需整治的，应当经科学论证，并依法办理相关手续。生物多样性维护-生态功</w:t>
                  </w:r>
                  <w:r>
                    <w:rPr>
                      <w:rFonts w:hint="default" w:ascii="Times New Roman" w:hAnsi="Times New Roman" w:eastAsia="宋体" w:cs="Times New Roman"/>
                      <w:spacing w:val="-1"/>
                      <w:sz w:val="21"/>
                      <w:szCs w:val="21"/>
                    </w:rPr>
                    <w:t>能区：减少林木采伐，恢复山地植</w:t>
                  </w:r>
                  <w:r>
                    <w:rPr>
                      <w:rFonts w:hint="default" w:ascii="Times New Roman" w:hAnsi="Times New Roman" w:eastAsia="宋体" w:cs="Times New Roman"/>
                      <w:spacing w:val="-4"/>
                      <w:sz w:val="21"/>
                      <w:szCs w:val="21"/>
                    </w:rPr>
                    <w:t>被，保护野生物种。</w:t>
                  </w:r>
                </w:p>
                <w:p w14:paraId="2D15CF5C">
                  <w:pPr>
                    <w:pStyle w:val="55"/>
                    <w:keepNext w:val="0"/>
                    <w:keepLines w:val="0"/>
                    <w:pageBreakBefore w:val="0"/>
                    <w:widowControl w:val="0"/>
                    <w:kinsoku/>
                    <w:wordWrap/>
                    <w:overflowPunct/>
                    <w:topLinePunct w:val="0"/>
                    <w:autoSpaceDE/>
                    <w:autoSpaceDN/>
                    <w:bidi w:val="0"/>
                    <w:adjustRightInd/>
                    <w:snapToGrid/>
                    <w:spacing w:before="3" w:line="240" w:lineRule="auto"/>
                    <w:ind w:left="107" w:right="155"/>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水源涵养-生态功能区：</w:t>
                  </w:r>
                  <w:r>
                    <w:rPr>
                      <w:rFonts w:hint="default" w:ascii="Times New Roman" w:hAnsi="Times New Roman" w:eastAsia="宋体" w:cs="Times New Roman"/>
                      <w:sz w:val="21"/>
                      <w:szCs w:val="21"/>
                    </w:rPr>
                    <w:t>严格限制在水源涵养区大规模人工造林。严格控制载畜量，</w:t>
                  </w:r>
                  <w:r>
                    <w:rPr>
                      <w:rFonts w:hint="default" w:ascii="Times New Roman" w:hAnsi="Times New Roman" w:eastAsia="宋体" w:cs="Times New Roman"/>
                      <w:spacing w:val="-1"/>
                      <w:sz w:val="21"/>
                      <w:szCs w:val="21"/>
                    </w:rPr>
                    <w:t>实行以草定畜，在农牧交错区提</w:t>
                  </w:r>
                  <w:r>
                    <w:rPr>
                      <w:rFonts w:hint="default" w:ascii="Times New Roman" w:hAnsi="Times New Roman" w:eastAsia="宋体" w:cs="Times New Roman"/>
                      <w:sz w:val="21"/>
                      <w:szCs w:val="21"/>
                    </w:rPr>
                    <w:t>倡农牧结合，发展生态产业，培育替代产业，减轻区内畜牧-提高水源涵养能力。</w:t>
                  </w:r>
                  <w:r>
                    <w:rPr>
                      <w:rFonts w:hint="default" w:ascii="Times New Roman" w:hAnsi="Times New Roman" w:eastAsia="宋体" w:cs="Times New Roman"/>
                      <w:spacing w:val="-1"/>
                      <w:sz w:val="21"/>
                      <w:szCs w:val="21"/>
                    </w:rPr>
                    <w:t>在水源涵养生态功能保护区内，结</w:t>
                  </w:r>
                  <w:r>
                    <w:rPr>
                      <w:rFonts w:hint="default" w:ascii="Times New Roman" w:hAnsi="Times New Roman" w:eastAsia="宋体" w:cs="Times New Roman"/>
                      <w:sz w:val="21"/>
                      <w:szCs w:val="21"/>
                    </w:rPr>
                    <w:t>合已有的生态保护和建设重大工程，加强森林、草地和湿地的管护和恢复，严格监</w:t>
                  </w:r>
                  <w:r>
                    <w:rPr>
                      <w:rFonts w:hint="default" w:ascii="Times New Roman" w:hAnsi="Times New Roman" w:eastAsia="宋体" w:cs="Times New Roman"/>
                      <w:spacing w:val="-1"/>
                      <w:sz w:val="21"/>
                      <w:szCs w:val="21"/>
                    </w:rPr>
                    <w:t>管矿产、水资源开发，严肃查处毁林、毁草、破坏湿地等行为，合理开发水电，提高区域水源涵养生态功能。业对水源和生态系统的压力。</w:t>
                  </w:r>
                </w:p>
                <w:p w14:paraId="6B97235B">
                  <w:pPr>
                    <w:pStyle w:val="55"/>
                    <w:keepNext w:val="0"/>
                    <w:keepLines w:val="0"/>
                    <w:pageBreakBefore w:val="0"/>
                    <w:widowControl w:val="0"/>
                    <w:kinsoku/>
                    <w:wordWrap/>
                    <w:overflowPunct/>
                    <w:topLinePunct w:val="0"/>
                    <w:autoSpaceDE/>
                    <w:autoSpaceDN/>
                    <w:bidi w:val="0"/>
                    <w:adjustRightInd/>
                    <w:snapToGrid/>
                    <w:spacing w:before="2" w:line="240" w:lineRule="auto"/>
                    <w:ind w:left="109" w:right="155" w:hanging="2"/>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水土保持-生态功能区：</w:t>
                  </w:r>
                  <w:r>
                    <w:rPr>
                      <w:rFonts w:hint="default" w:ascii="Times New Roman" w:hAnsi="Times New Roman" w:eastAsia="宋体" w:cs="Times New Roman"/>
                      <w:sz w:val="21"/>
                      <w:szCs w:val="21"/>
                    </w:rPr>
                    <w:t>限制陡坡垦殖和超载过牧；加强小流域综合治理，实行封山</w:t>
                  </w:r>
                  <w:r>
                    <w:rPr>
                      <w:rFonts w:hint="default" w:ascii="Times New Roman" w:hAnsi="Times New Roman" w:eastAsia="宋体" w:cs="Times New Roman"/>
                      <w:spacing w:val="-1"/>
                      <w:sz w:val="21"/>
                      <w:szCs w:val="21"/>
                    </w:rPr>
                    <w:t>禁牧，恢复退化植被。加强对能</w:t>
                  </w:r>
                  <w:r>
                    <w:rPr>
                      <w:rFonts w:hint="default" w:ascii="Times New Roman" w:hAnsi="Times New Roman" w:eastAsia="宋体" w:cs="Times New Roman"/>
                      <w:sz w:val="21"/>
                      <w:szCs w:val="21"/>
                    </w:rPr>
                    <w:t>源和矿产资源开发及建设项目的监管，加大矿山环境整治修复力度，最大限度地</w:t>
                  </w:r>
                  <w:r>
                    <w:rPr>
                      <w:rFonts w:hint="default" w:ascii="Times New Roman" w:hAnsi="Times New Roman" w:eastAsia="宋体" w:cs="Times New Roman"/>
                      <w:spacing w:val="-1"/>
                      <w:sz w:val="21"/>
                      <w:szCs w:val="21"/>
                    </w:rPr>
                    <w:t>减少人为因素造成新的水土流失。拓宽农民增收渠道，解决农民长远生计，巩固水土流失治理、退耕还林、退牧还</w:t>
                  </w:r>
                  <w:r>
                    <w:rPr>
                      <w:rFonts w:hint="default" w:ascii="Times New Roman" w:hAnsi="Times New Roman" w:eastAsia="宋体" w:cs="Times New Roman"/>
                      <w:spacing w:val="-2"/>
                      <w:sz w:val="21"/>
                      <w:szCs w:val="21"/>
                    </w:rPr>
                    <w:t>草成果。</w:t>
                  </w:r>
                </w:p>
                <w:p w14:paraId="1D22FD7F">
                  <w:pPr>
                    <w:pStyle w:val="55"/>
                    <w:keepNext w:val="0"/>
                    <w:keepLines w:val="0"/>
                    <w:pageBreakBefore w:val="0"/>
                    <w:widowControl w:val="0"/>
                    <w:kinsoku/>
                    <w:wordWrap/>
                    <w:overflowPunct/>
                    <w:topLinePunct w:val="0"/>
                    <w:autoSpaceDE/>
                    <w:autoSpaceDN/>
                    <w:bidi w:val="0"/>
                    <w:adjustRightInd/>
                    <w:snapToGrid/>
                    <w:spacing w:before="1" w:line="240" w:lineRule="auto"/>
                    <w:ind w:left="10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-调整产业结构，加速城镇化和新农村建设的进程，加快农业人口的转移，降低人口对生态系统的压力。</w:t>
                  </w:r>
                </w:p>
                <w:p w14:paraId="18A54C45">
                  <w:pPr>
                    <w:pStyle w:val="55"/>
                    <w:keepNext w:val="0"/>
                    <w:keepLines w:val="0"/>
                    <w:pageBreakBefore w:val="0"/>
                    <w:widowControl w:val="0"/>
                    <w:kinsoku/>
                    <w:wordWrap/>
                    <w:overflowPunct/>
                    <w:topLinePunct w:val="0"/>
                    <w:autoSpaceDE/>
                    <w:autoSpaceDN/>
                    <w:bidi w:val="0"/>
                    <w:adjustRightInd/>
                    <w:snapToGrid/>
                    <w:spacing w:line="240" w:lineRule="auto"/>
                    <w:ind w:left="10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-严格资源开发和建设项目的生态监管，控制新的人为水</w:t>
                  </w:r>
                  <w:r>
                    <w:rPr>
                      <w:rFonts w:hint="default" w:ascii="Times New Roman" w:hAnsi="Times New Roman" w:eastAsia="宋体" w:cs="Times New Roman"/>
                      <w:spacing w:val="-2"/>
                      <w:sz w:val="21"/>
                      <w:szCs w:val="21"/>
                    </w:rPr>
                    <w:t>土流失。</w:t>
                  </w:r>
                </w:p>
                <w:p w14:paraId="48A1807A">
                  <w:pPr>
                    <w:pStyle w:val="55"/>
                    <w:keepNext w:val="0"/>
                    <w:keepLines w:val="0"/>
                    <w:pageBreakBefore w:val="0"/>
                    <w:widowControl w:val="0"/>
                    <w:kinsoku/>
                    <w:wordWrap/>
                    <w:overflowPunct/>
                    <w:topLinePunct w:val="0"/>
                    <w:autoSpaceDE/>
                    <w:autoSpaceDN/>
                    <w:bidi w:val="0"/>
                    <w:adjustRightInd/>
                    <w:snapToGrid/>
                    <w:spacing w:before="2" w:line="240" w:lineRule="auto"/>
                    <w:ind w:left="117" w:right="255" w:hanging="17"/>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-水土流失严重、生态脆弱的地区，应当限制或者禁止可能造成水土流失的生产建设活动，严格保护</w:t>
                  </w:r>
                  <w:r>
                    <w:rPr>
                      <w:rFonts w:hint="default" w:ascii="Times New Roman" w:hAnsi="Times New Roman" w:eastAsia="宋体" w:cs="Times New Roman"/>
                      <w:spacing w:val="-1"/>
                      <w:sz w:val="21"/>
                      <w:szCs w:val="21"/>
                    </w:rPr>
                    <w:t>植物、沙壳、结</w:t>
                  </w:r>
                  <w:r>
                    <w:rPr>
                      <w:rFonts w:hint="default" w:ascii="Times New Roman" w:hAnsi="Times New Roman" w:eastAsia="宋体" w:cs="Times New Roman"/>
                      <w:spacing w:val="-7"/>
                      <w:sz w:val="21"/>
                      <w:szCs w:val="21"/>
                    </w:rPr>
                    <w:t>皮、地衣等。</w:t>
                  </w:r>
                </w:p>
                <w:p w14:paraId="290EA0D0">
                  <w:pPr>
                    <w:pStyle w:val="55"/>
                    <w:keepNext w:val="0"/>
                    <w:keepLines w:val="0"/>
                    <w:pageBreakBefore w:val="0"/>
                    <w:widowControl w:val="0"/>
                    <w:kinsoku/>
                    <w:wordWrap/>
                    <w:overflowPunct/>
                    <w:topLinePunct w:val="0"/>
                    <w:autoSpaceDE/>
                    <w:autoSpaceDN/>
                    <w:bidi w:val="0"/>
                    <w:adjustRightInd/>
                    <w:snapToGrid/>
                    <w:spacing w:before="1" w:line="240" w:lineRule="auto"/>
                    <w:ind w:left="112" w:right="255" w:hanging="12"/>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-生产建设项目选址、选线应当避让水土流失重点预防区和重点治理区；无法避让的，应当提高防治</w:t>
                  </w:r>
                  <w:r>
                    <w:rPr>
                      <w:rFonts w:hint="default" w:ascii="Times New Roman" w:hAnsi="Times New Roman" w:eastAsia="宋体" w:cs="Times New Roman"/>
                      <w:spacing w:val="-1"/>
                      <w:sz w:val="21"/>
                      <w:szCs w:val="21"/>
                    </w:rPr>
                    <w:t>标准，优化施工</w:t>
                  </w:r>
                  <w:r>
                    <w:rPr>
                      <w:rFonts w:hint="default" w:ascii="Times New Roman" w:hAnsi="Times New Roman" w:eastAsia="宋体" w:cs="Times New Roman"/>
                      <w:spacing w:val="-2"/>
                      <w:sz w:val="21"/>
                      <w:szCs w:val="21"/>
                    </w:rPr>
                    <w:t>工艺，减少地表扰动和植被损坏范围，有效控制可能造成的水土流失。</w:t>
                  </w:r>
                </w:p>
                <w:p w14:paraId="110039C5">
                  <w:pPr>
                    <w:pStyle w:val="55"/>
                    <w:keepNext w:val="0"/>
                    <w:keepLines w:val="0"/>
                    <w:pageBreakBefore w:val="0"/>
                    <w:widowControl w:val="0"/>
                    <w:kinsoku/>
                    <w:wordWrap/>
                    <w:overflowPunct/>
                    <w:topLinePunct w:val="0"/>
                    <w:autoSpaceDE/>
                    <w:autoSpaceDN/>
                    <w:bidi w:val="0"/>
                    <w:adjustRightInd/>
                    <w:snapToGrid/>
                    <w:spacing w:before="1" w:line="240" w:lineRule="auto"/>
                    <w:ind w:left="108" w:right="255" w:firstLine="20"/>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以上自然保护地为截至2023年6月的自然保护地整合优化预案数据，最终名称、范围等以国家正式批复为准。已有矿业权与生态保护红线、自然保护地等禁止或限制开发区域重叠的，要按相关要求主动退出或避让。</w:t>
                  </w:r>
                </w:p>
                <w:p w14:paraId="61F5047F">
                  <w:pPr>
                    <w:pStyle w:val="55"/>
                    <w:keepNext w:val="0"/>
                    <w:keepLines w:val="0"/>
                    <w:pageBreakBefore w:val="0"/>
                    <w:widowControl w:val="0"/>
                    <w:kinsoku/>
                    <w:wordWrap/>
                    <w:overflowPunct/>
                    <w:topLinePunct w:val="0"/>
                    <w:autoSpaceDE/>
                    <w:autoSpaceDN/>
                    <w:bidi w:val="0"/>
                    <w:adjustRightInd/>
                    <w:snapToGrid/>
                    <w:spacing w:before="1" w:line="240" w:lineRule="auto"/>
                    <w:ind w:left="109"/>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对不符合相关保护区法律法规和规划的项目，应限期整改或关闭。对已造成的污染或损害，应限期治理。</w:t>
                  </w:r>
                </w:p>
                <w:p w14:paraId="3387EA1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以上自然保护地为截至2023年6月的自然保护地整合优化预案数据，最终名称、范围等以国家正式批复为准。</w:t>
                  </w:r>
                </w:p>
                <w:p w14:paraId="5340AF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b/>
                      <w:bCs/>
                      <w:spacing w:val="-1"/>
                      <w:sz w:val="21"/>
                      <w:szCs w:val="21"/>
                    </w:rPr>
                    <w:t>允许开</w:t>
                  </w:r>
                  <w:r>
                    <w:rPr>
                      <w:rFonts w:hint="default" w:ascii="Times New Roman" w:hAnsi="Times New Roman" w:eastAsia="宋体" w:cs="Times New Roman"/>
                      <w:b/>
                      <w:bCs/>
                      <w:sz w:val="21"/>
                      <w:szCs w:val="21"/>
                    </w:rPr>
                    <w:t>发建设活动要求：</w:t>
                  </w:r>
                  <w:r>
                    <w:rPr>
                      <w:rFonts w:hint="default" w:ascii="Times New Roman" w:hAnsi="Times New Roman" w:eastAsia="宋体" w:cs="Times New Roman"/>
                      <w:sz w:val="21"/>
                      <w:szCs w:val="21"/>
                    </w:rPr>
                    <w:t>水产种质资源保护区：①在水产种质资源保护区内从事修建水利</w:t>
                  </w:r>
                  <w:r>
                    <w:rPr>
                      <w:rFonts w:hint="default" w:ascii="Times New Roman" w:hAnsi="Times New Roman" w:eastAsia="宋体" w:cs="Times New Roman"/>
                      <w:spacing w:val="-1"/>
                      <w:sz w:val="21"/>
                      <w:szCs w:val="21"/>
                    </w:rPr>
                    <w:t>工程、疏浚航道、建闸筑坝、勘探</w:t>
                  </w:r>
                  <w:r>
                    <w:rPr>
                      <w:rFonts w:hint="default" w:ascii="Times New Roman" w:hAnsi="Times New Roman" w:eastAsia="宋体" w:cs="Times New Roman"/>
                      <w:sz w:val="21"/>
                      <w:szCs w:val="21"/>
                    </w:rPr>
                    <w:t>和开采矿产资源、港口建设等工程建设的，或者在水产种质资源保护区内从事可能</w:t>
                  </w:r>
                  <w:r>
                    <w:rPr>
                      <w:rFonts w:hint="default" w:ascii="Times New Roman" w:hAnsi="Times New Roman" w:eastAsia="宋体" w:cs="Times New Roman"/>
                      <w:spacing w:val="-1"/>
                      <w:sz w:val="21"/>
                      <w:szCs w:val="21"/>
                    </w:rPr>
                    <w:t>损害保护区功能的工程建设活动的</w:t>
                  </w:r>
                  <w:r>
                    <w:rPr>
                      <w:rFonts w:hint="default" w:ascii="Times New Roman" w:hAnsi="Times New Roman" w:eastAsia="宋体" w:cs="Times New Roman"/>
                      <w:sz w:val="21"/>
                      <w:szCs w:val="21"/>
                    </w:rPr>
                    <w:t xml:space="preserve"> </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pacing w:val="1"/>
                      <w:sz w:val="21"/>
                      <w:szCs w:val="21"/>
                    </w:rPr>
                    <w:t>应当按照国家有关规定编制建设项目对水产种质资源保护区的影响专题论证报告，并将其纳入环境影响评价报告书</w:t>
                  </w:r>
                  <w:r>
                    <w:rPr>
                      <w:rFonts w:hint="default" w:ascii="Times New Roman" w:hAnsi="Times New Roman" w:eastAsia="宋体" w:cs="Times New Roman"/>
                      <w:spacing w:val="2"/>
                      <w:sz w:val="21"/>
                      <w:szCs w:val="21"/>
                    </w:rPr>
                    <w:t xml:space="preserve"> </w:t>
                  </w:r>
                  <w:r>
                    <w:rPr>
                      <w:rFonts w:hint="default" w:ascii="Times New Roman" w:hAnsi="Times New Roman" w:eastAsia="宋体" w:cs="Times New Roman"/>
                      <w:spacing w:val="-1"/>
                      <w:sz w:val="21"/>
                      <w:szCs w:val="21"/>
                    </w:rPr>
                    <w:t>。②开展珍稀特有鱼类人工繁育研究及增殖放流，分别在达州境内的土溪口水库、固军水库、鲜家湾水库建设鱼类增殖放流站一座，并依托已建的四川诺水河珍稀水生动物国家级自然保护区救护中心开展增殖放流。</w:t>
                  </w:r>
                </w:p>
                <w:p w14:paraId="524F4E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spacing w:val="-1"/>
                      <w:sz w:val="21"/>
                      <w:szCs w:val="21"/>
                    </w:rPr>
                  </w:pPr>
                  <w:r>
                    <w:rPr>
                      <w:rFonts w:hint="default" w:ascii="Times New Roman" w:hAnsi="Times New Roman" w:eastAsia="宋体" w:cs="Times New Roman"/>
                      <w:spacing w:val="-1"/>
                      <w:sz w:val="21"/>
                      <w:szCs w:val="21"/>
                    </w:rPr>
                    <w:t>以上自然保护地为截至2023年6月的自然保护地整合优化预案数据，最终名称、范围等</w:t>
                  </w:r>
                  <w:r>
                    <w:rPr>
                      <w:rFonts w:hint="default" w:ascii="Times New Roman" w:hAnsi="Times New Roman" w:eastAsia="宋体" w:cs="Times New Roman"/>
                      <w:spacing w:val="-2"/>
                      <w:sz w:val="21"/>
                      <w:szCs w:val="21"/>
                    </w:rPr>
                    <w:t>以国家正式批复为准。</w:t>
                  </w:r>
                </w:p>
              </w:tc>
              <w:tc>
                <w:tcPr>
                  <w:tcW w:w="1890" w:type="dxa"/>
                  <w:noWrap w:val="0"/>
                  <w:vAlign w:val="center"/>
                </w:tcPr>
                <w:p w14:paraId="4C08AD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b w:val="0"/>
                      <w:bCs w:val="0"/>
                      <w:color w:val="auto"/>
                      <w:kern w:val="0"/>
                      <w:sz w:val="21"/>
                      <w:szCs w:val="21"/>
                    </w:rPr>
                    <w:t>位于万源市</w:t>
                  </w:r>
                  <w:r>
                    <w:rPr>
                      <w:rFonts w:hint="eastAsia" w:ascii="Times New Roman" w:hAnsi="Times New Roman" w:eastAsia="宋体" w:cs="Times New Roman"/>
                      <w:b w:val="0"/>
                      <w:bCs w:val="0"/>
                      <w:color w:val="auto"/>
                      <w:kern w:val="0"/>
                      <w:sz w:val="21"/>
                      <w:szCs w:val="21"/>
                      <w:lang w:val="en-US" w:eastAsia="zh-CN"/>
                    </w:rPr>
                    <w:t>宣汉县马渡关</w:t>
                  </w:r>
                  <w:r>
                    <w:rPr>
                      <w:rFonts w:hint="default" w:ascii="Times New Roman" w:hAnsi="Times New Roman" w:eastAsia="宋体" w:cs="Times New Roman"/>
                      <w:b w:val="0"/>
                      <w:bCs w:val="0"/>
                      <w:color w:val="auto"/>
                      <w:kern w:val="0"/>
                      <w:sz w:val="21"/>
                      <w:szCs w:val="21"/>
                    </w:rPr>
                    <w:t>镇，不在生态保护红线范围，不在自然保护区、风景名胜区、饮用水源保护区、森林公园、地质公园、</w:t>
                  </w:r>
                  <w:r>
                    <w:rPr>
                      <w:rFonts w:hint="default" w:ascii="Times New Roman" w:hAnsi="Times New Roman" w:eastAsia="宋体" w:cs="Times New Roman"/>
                      <w:b w:val="0"/>
                      <w:bCs w:val="0"/>
                      <w:sz w:val="21"/>
                      <w:szCs w:val="21"/>
                    </w:rPr>
                    <w:t>湿地公园</w:t>
                  </w:r>
                  <w:r>
                    <w:rPr>
                      <w:rFonts w:hint="eastAsia"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color w:val="auto"/>
                      <w:kern w:val="0"/>
                      <w:sz w:val="21"/>
                      <w:szCs w:val="21"/>
                    </w:rPr>
                    <w:t>基本农田、水产种</w:t>
                  </w:r>
                  <w:r>
                    <w:rPr>
                      <w:rFonts w:hint="default" w:ascii="Times New Roman" w:hAnsi="Times New Roman" w:eastAsia="宋体" w:cs="Times New Roman"/>
                      <w:color w:val="auto"/>
                      <w:kern w:val="0"/>
                      <w:sz w:val="21"/>
                      <w:szCs w:val="21"/>
                    </w:rPr>
                    <w:t>质资源保护区、水源涵养-生态功能区、水土保持-生态功能区等禁止或限制开发建设活动的区域。</w:t>
                  </w:r>
                </w:p>
              </w:tc>
              <w:tc>
                <w:tcPr>
                  <w:tcW w:w="673" w:type="dxa"/>
                  <w:noWrap w:val="0"/>
                  <w:vAlign w:val="center"/>
                </w:tcPr>
                <w:p w14:paraId="2DA8F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62AA2C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140610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288D6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污染物排放管控</w:t>
                  </w:r>
                </w:p>
              </w:tc>
              <w:tc>
                <w:tcPr>
                  <w:tcW w:w="5129" w:type="dxa"/>
                  <w:noWrap w:val="0"/>
                  <w:vAlign w:val="center"/>
                </w:tcPr>
                <w:p w14:paraId="00016B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z w:val="21"/>
                      <w:szCs w:val="21"/>
                    </w:rPr>
                    <w:t>强化区域联防联控，严格落实《关于建立跨省流域上下游突发水污染事件联防</w:t>
                  </w:r>
                  <w:r>
                    <w:rPr>
                      <w:rFonts w:hint="default" w:ascii="Times New Roman" w:hAnsi="Times New Roman" w:eastAsia="宋体" w:cs="Times New Roman"/>
                      <w:spacing w:val="-1"/>
                      <w:sz w:val="21"/>
                      <w:szCs w:val="21"/>
                    </w:rPr>
                    <w:t>联控机制的指导意见》；定期召开区</w:t>
                  </w:r>
                  <w:r>
                    <w:rPr>
                      <w:rFonts w:hint="default" w:ascii="Times New Roman" w:hAnsi="Times New Roman" w:eastAsia="宋体" w:cs="Times New Roman"/>
                      <w:sz w:val="21"/>
                      <w:szCs w:val="21"/>
                    </w:rPr>
                    <w:t>域大气环境形式分析会，强化信息共享和联动合作，实行环境规划，标准，环评，执</w:t>
                  </w:r>
                  <w:r>
                    <w:rPr>
                      <w:rFonts w:hint="default" w:ascii="Times New Roman" w:hAnsi="Times New Roman" w:eastAsia="宋体" w:cs="Times New Roman"/>
                      <w:spacing w:val="-1"/>
                      <w:sz w:val="21"/>
                      <w:szCs w:val="21"/>
                    </w:rPr>
                    <w:t>法，信息公开“六统一”，协力推进大气污染源头防控，加强川东北区域大气污染防治合作。</w:t>
                  </w:r>
                </w:p>
              </w:tc>
              <w:tc>
                <w:tcPr>
                  <w:tcW w:w="1890" w:type="dxa"/>
                  <w:noWrap w:val="0"/>
                  <w:vAlign w:val="center"/>
                </w:tcPr>
                <w:p w14:paraId="1388E0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本项目生产废水全部回用，不外排。本项目</w:t>
                  </w:r>
                  <w:r>
                    <w:rPr>
                      <w:rFonts w:hint="default" w:ascii="Times New Roman" w:hAnsi="Times New Roman" w:cs="Times New Roman"/>
                      <w:color w:val="auto"/>
                      <w:kern w:val="2"/>
                      <w:sz w:val="21"/>
                      <w:szCs w:val="21"/>
                      <w:highlight w:val="none"/>
                      <w:lang w:val="en-US" w:eastAsia="zh-CN" w:bidi="ar-SA"/>
                    </w:rPr>
                    <w:t>不涉及废气排放。</w:t>
                  </w:r>
                  <w:r>
                    <w:rPr>
                      <w:rFonts w:hint="eastAsia" w:ascii="Times New Roman" w:hAnsi="Times New Roman" w:cs="Times New Roman"/>
                      <w:color w:val="auto"/>
                      <w:kern w:val="2"/>
                      <w:sz w:val="21"/>
                      <w:szCs w:val="21"/>
                      <w:highlight w:val="none"/>
                      <w:lang w:val="en-US" w:eastAsia="zh-CN" w:bidi="ar-SA"/>
                    </w:rPr>
                    <w:t>采取措施后，污染可控。</w:t>
                  </w:r>
                </w:p>
              </w:tc>
              <w:tc>
                <w:tcPr>
                  <w:tcW w:w="673" w:type="dxa"/>
                  <w:noWrap w:val="0"/>
                  <w:vAlign w:val="center"/>
                </w:tcPr>
                <w:p w14:paraId="07A015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1074DB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1F8DF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1C0D30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2"/>
                      <w:sz w:val="21"/>
                      <w:szCs w:val="21"/>
                    </w:rPr>
                    <w:t>环境风险防控</w:t>
                  </w:r>
                </w:p>
              </w:tc>
              <w:tc>
                <w:tcPr>
                  <w:tcW w:w="5129" w:type="dxa"/>
                  <w:noWrap w:val="0"/>
                  <w:vAlign w:val="center"/>
                </w:tcPr>
                <w:p w14:paraId="1AB4751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spacing w:val="-4"/>
                      <w:sz w:val="21"/>
                      <w:szCs w:val="21"/>
                    </w:rPr>
                    <w:t>以省市下发指标为准</w:t>
                  </w:r>
                  <w:r>
                    <w:rPr>
                      <w:rFonts w:hint="eastAsia" w:ascii="Times New Roman" w:hAnsi="Times New Roman" w:eastAsia="宋体" w:cs="Times New Roman"/>
                      <w:spacing w:val="-4"/>
                      <w:sz w:val="21"/>
                      <w:szCs w:val="21"/>
                      <w:lang w:eastAsia="zh-CN"/>
                    </w:rPr>
                    <w:t>。</w:t>
                  </w:r>
                </w:p>
              </w:tc>
              <w:tc>
                <w:tcPr>
                  <w:tcW w:w="1890" w:type="dxa"/>
                  <w:noWrap w:val="0"/>
                  <w:vAlign w:val="center"/>
                </w:tcPr>
                <w:p w14:paraId="4DEDB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2"/>
                      <w:sz w:val="21"/>
                      <w:szCs w:val="21"/>
                      <w:vertAlign w:val="baseline"/>
                      <w:lang w:val="en-US" w:eastAsia="zh-CN" w:bidi="ar-SA"/>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eastAsia" w:ascii="Times New Roman" w:hAnsi="Times New Roman" w:eastAsia="宋体" w:cs="Times New Roman"/>
                      <w:color w:val="auto"/>
                      <w:kern w:val="2"/>
                      <w:sz w:val="21"/>
                      <w:szCs w:val="21"/>
                      <w:vertAlign w:val="baseline"/>
                      <w:lang w:val="en-US" w:eastAsia="zh-CN" w:bidi="ar-SA"/>
                    </w:rPr>
                    <w:t>环境风险可控。</w:t>
                  </w:r>
                </w:p>
              </w:tc>
              <w:tc>
                <w:tcPr>
                  <w:tcW w:w="673" w:type="dxa"/>
                  <w:noWrap w:val="0"/>
                  <w:vAlign w:val="center"/>
                </w:tcPr>
                <w:p w14:paraId="18334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254823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5B0856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7AC3F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资源利用率要求</w:t>
                  </w:r>
                </w:p>
              </w:tc>
              <w:tc>
                <w:tcPr>
                  <w:tcW w:w="5129" w:type="dxa"/>
                  <w:noWrap w:val="0"/>
                  <w:vAlign w:val="center"/>
                </w:tcPr>
                <w:p w14:paraId="51D524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1890" w:type="dxa"/>
                  <w:noWrap w:val="0"/>
                  <w:vAlign w:val="center"/>
                </w:tcPr>
                <w:p w14:paraId="3DB67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673" w:type="dxa"/>
                  <w:noWrap w:val="0"/>
                  <w:vAlign w:val="center"/>
                </w:tcPr>
                <w:p w14:paraId="68C6DC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r>
            <w:tr w14:paraId="0D060C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restart"/>
                  <w:noWrap w:val="0"/>
                  <w:vAlign w:val="center"/>
                </w:tcPr>
                <w:p w14:paraId="7EE9A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spacing w:val="-2"/>
                      <w:sz w:val="21"/>
                      <w:szCs w:val="21"/>
                    </w:rPr>
                    <w:t>所属经济区要</w:t>
                  </w:r>
                  <w:r>
                    <w:rPr>
                      <w:rFonts w:hint="default" w:ascii="Times New Roman" w:hAnsi="Times New Roman" w:eastAsia="宋体" w:cs="Times New Roman"/>
                      <w:spacing w:val="-2"/>
                      <w:sz w:val="21"/>
                      <w:szCs w:val="21"/>
                      <w:lang w:val="en-US" w:eastAsia="zh-CN"/>
                    </w:rPr>
                    <w:t>求</w:t>
                  </w:r>
                  <w:r>
                    <w:rPr>
                      <w:rFonts w:hint="default" w:ascii="Times New Roman" w:hAnsi="Times New Roman" w:eastAsia="宋体" w:cs="Times New Roman"/>
                      <w:spacing w:val="-2"/>
                      <w:sz w:val="21"/>
                      <w:szCs w:val="21"/>
                      <w:lang w:eastAsia="zh-CN"/>
                    </w:rPr>
                    <w:t>（</w:t>
                  </w:r>
                  <w:r>
                    <w:rPr>
                      <w:rFonts w:hint="default" w:ascii="Times New Roman" w:hAnsi="Times New Roman" w:eastAsia="宋体" w:cs="Times New Roman"/>
                      <w:spacing w:val="-2"/>
                      <w:sz w:val="21"/>
                      <w:szCs w:val="21"/>
                    </w:rPr>
                    <w:t>川东北经济区</w:t>
                  </w:r>
                  <w:r>
                    <w:rPr>
                      <w:rFonts w:hint="default" w:ascii="Times New Roman" w:hAnsi="Times New Roman" w:eastAsia="宋体" w:cs="Times New Roman"/>
                      <w:spacing w:val="-2"/>
                      <w:sz w:val="21"/>
                      <w:szCs w:val="21"/>
                      <w:lang w:eastAsia="zh-CN"/>
                    </w:rPr>
                    <w:t>）</w:t>
                  </w:r>
                </w:p>
              </w:tc>
              <w:tc>
                <w:tcPr>
                  <w:tcW w:w="665" w:type="dxa"/>
                  <w:noWrap w:val="0"/>
                  <w:vAlign w:val="center"/>
                </w:tcPr>
                <w:p w14:paraId="16B93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6"/>
                      <w:sz w:val="21"/>
                      <w:szCs w:val="21"/>
                    </w:rPr>
                    <w:t>区域特点</w:t>
                  </w:r>
                </w:p>
              </w:tc>
              <w:tc>
                <w:tcPr>
                  <w:tcW w:w="5129" w:type="dxa"/>
                  <w:noWrap w:val="0"/>
                  <w:vAlign w:val="center"/>
                </w:tcPr>
                <w:p w14:paraId="753A03C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1"/>
                      <w:sz w:val="21"/>
                      <w:szCs w:val="21"/>
                    </w:rPr>
                    <w:t>南充、达州、广安、广元、巴中5市内大部分区域属于省级层面重点开发区，是一般管控单元的集中分布区域。该区域发展定位为东向北向出</w:t>
                  </w:r>
                  <w:r>
                    <w:rPr>
                      <w:rFonts w:hint="default" w:ascii="Times New Roman" w:hAnsi="Times New Roman" w:eastAsia="宋体" w:cs="Times New Roman"/>
                      <w:spacing w:val="-2"/>
                      <w:sz w:val="21"/>
                      <w:szCs w:val="21"/>
                    </w:rPr>
                    <w:t>川综合交通枢纽和川渝陕甘结合部区域经济中心。</w:t>
                  </w:r>
                </w:p>
              </w:tc>
              <w:tc>
                <w:tcPr>
                  <w:tcW w:w="1890" w:type="dxa"/>
                  <w:noWrap w:val="0"/>
                  <w:vAlign w:val="center"/>
                </w:tcPr>
                <w:p w14:paraId="68C7A8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2"/>
                      <w:sz w:val="21"/>
                      <w:szCs w:val="21"/>
                      <w:vertAlign w:val="baseline"/>
                      <w:lang w:val="en-US" w:eastAsia="zh-CN" w:bidi="ar-SA"/>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eastAsia" w:ascii="Times New Roman" w:hAnsi="Times New Roman" w:eastAsia="宋体" w:cs="Times New Roman"/>
                      <w:color w:val="auto"/>
                      <w:kern w:val="2"/>
                      <w:sz w:val="21"/>
                      <w:szCs w:val="21"/>
                      <w:vertAlign w:val="baseline"/>
                      <w:lang w:val="en-US" w:eastAsia="zh-CN" w:bidi="ar-SA"/>
                    </w:rPr>
                    <w:t>符合</w:t>
                  </w:r>
                  <w:r>
                    <w:rPr>
                      <w:rFonts w:hint="default" w:ascii="Times New Roman" w:hAnsi="Times New Roman" w:eastAsia="宋体" w:cs="Times New Roman"/>
                      <w:spacing w:val="-1"/>
                      <w:sz w:val="21"/>
                      <w:szCs w:val="21"/>
                    </w:rPr>
                    <w:t>一般管控单元</w:t>
                  </w:r>
                  <w:r>
                    <w:rPr>
                      <w:rFonts w:hint="eastAsia" w:ascii="Times New Roman" w:hAnsi="Times New Roman" w:eastAsia="宋体" w:cs="Times New Roman"/>
                      <w:spacing w:val="-1"/>
                      <w:sz w:val="21"/>
                      <w:szCs w:val="21"/>
                      <w:lang w:val="en-US" w:eastAsia="zh-CN"/>
                    </w:rPr>
                    <w:t>要求。</w:t>
                  </w:r>
                </w:p>
              </w:tc>
              <w:tc>
                <w:tcPr>
                  <w:tcW w:w="673" w:type="dxa"/>
                  <w:noWrap w:val="0"/>
                  <w:vAlign w:val="center"/>
                </w:tcPr>
                <w:p w14:paraId="1C13C2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4D4DCA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50721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781A1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发展定位与目标</w:t>
                  </w:r>
                </w:p>
              </w:tc>
              <w:tc>
                <w:tcPr>
                  <w:tcW w:w="5129" w:type="dxa"/>
                  <w:noWrap w:val="0"/>
                  <w:vAlign w:val="center"/>
                </w:tcPr>
                <w:p w14:paraId="1D111DF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1"/>
                      <w:sz w:val="21"/>
                      <w:szCs w:val="21"/>
                    </w:rPr>
                    <w:t>围绕做强支撑更有力的次级增长极，对省域经济副中心、区域</w:t>
                  </w:r>
                  <w:r>
                    <w:rPr>
                      <w:rFonts w:hint="default" w:ascii="Times New Roman" w:hAnsi="Times New Roman" w:eastAsia="宋体" w:cs="Times New Roman"/>
                      <w:spacing w:val="-2"/>
                      <w:sz w:val="21"/>
                      <w:szCs w:val="21"/>
                    </w:rPr>
                    <w:t>中心城市</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、其他市（州）以及国省新区、各类高新区经开区提出明确要求</w:t>
                  </w:r>
                  <w:r>
                    <w:rPr>
                      <w:rFonts w:hint="default" w:ascii="Times New Roman" w:hAnsi="Times New Roman" w:eastAsia="宋体" w:cs="Times New Roman"/>
                      <w:spacing w:val="-2"/>
                      <w:sz w:val="21"/>
                      <w:szCs w:val="21"/>
                    </w:rPr>
                    <w:t>；围绕</w:t>
                  </w:r>
                  <w:r>
                    <w:rPr>
                      <w:rFonts w:hint="default" w:ascii="Times New Roman" w:hAnsi="Times New Roman" w:eastAsia="宋体" w:cs="Times New Roman"/>
                      <w:spacing w:val="-1"/>
                      <w:sz w:val="21"/>
                      <w:szCs w:val="21"/>
                    </w:rPr>
                    <w:t>推动欠发达地区跨越发展，提出加快补齐发展短板，巩固拓展脱贫攻坚成果，增强脱贫群众内生发展动力，形成先发带后发、先富帮后富的区域发展新格局。同时大力推动成渝地区双城经济圈建设，进一步加强与重庆方面全方位协作，强化双核联动、双圈互动，突出成渝主轴、南北两翼，合力打造带动全国高质量发展的重要</w:t>
                  </w:r>
                  <w:r>
                    <w:rPr>
                      <w:rFonts w:hint="default" w:ascii="Times New Roman" w:hAnsi="Times New Roman" w:eastAsia="宋体" w:cs="Times New Roman"/>
                      <w:spacing w:val="-2"/>
                      <w:sz w:val="21"/>
                      <w:szCs w:val="21"/>
                    </w:rPr>
                    <w:t>增长极和新的动力源。</w:t>
                  </w:r>
                </w:p>
              </w:tc>
              <w:tc>
                <w:tcPr>
                  <w:tcW w:w="1890" w:type="dxa"/>
                  <w:noWrap w:val="0"/>
                  <w:vAlign w:val="center"/>
                </w:tcPr>
                <w:p w14:paraId="1C406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本项目</w:t>
                  </w:r>
                  <w:r>
                    <w:rPr>
                      <w:rFonts w:hint="default" w:ascii="Times New Roman" w:hAnsi="Times New Roman" w:eastAsia="宋体" w:cs="Times New Roman"/>
                      <w:color w:val="auto"/>
                      <w:kern w:val="2"/>
                      <w:sz w:val="21"/>
                      <w:szCs w:val="21"/>
                      <w:vertAlign w:val="baseline"/>
                      <w:lang w:val="en-US" w:eastAsia="zh-CN" w:bidi="ar-SA"/>
                    </w:rPr>
                    <w:t>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color w:val="auto"/>
                      <w:kern w:val="2"/>
                      <w:sz w:val="21"/>
                      <w:szCs w:val="21"/>
                      <w:vertAlign w:val="baseline"/>
                      <w:lang w:val="en-US" w:eastAsia="zh-CN" w:bidi="ar-SA"/>
                    </w:rPr>
                    <w:t>项目，</w:t>
                  </w:r>
                  <w:r>
                    <w:rPr>
                      <w:rFonts w:hint="eastAsia" w:ascii="Times New Roman" w:hAnsi="Times New Roman" w:eastAsia="宋体" w:cs="Times New Roman"/>
                      <w:color w:val="auto"/>
                      <w:sz w:val="21"/>
                      <w:szCs w:val="21"/>
                      <w:lang w:val="en-US" w:eastAsia="zh-CN"/>
                    </w:rPr>
                    <w:t>有利于</w:t>
                  </w:r>
                  <w:r>
                    <w:rPr>
                      <w:rFonts w:hint="default" w:ascii="Times New Roman" w:hAnsi="Times New Roman" w:cs="Times New Roman"/>
                      <w:color w:val="auto"/>
                      <w:sz w:val="21"/>
                      <w:szCs w:val="21"/>
                      <w:highlight w:val="none"/>
                      <w:vertAlign w:val="baseline"/>
                      <w:lang w:val="en-US" w:eastAsia="zh-CN"/>
                    </w:rPr>
                    <w:t>推进乡村水务一体化</w:t>
                  </w:r>
                  <w:r>
                    <w:rPr>
                      <w:rFonts w:hint="eastAsia" w:ascii="Times New Roman" w:hAnsi="Times New Roman" w:cs="Times New Roman"/>
                      <w:color w:val="auto"/>
                      <w:sz w:val="21"/>
                      <w:szCs w:val="21"/>
                      <w:highlight w:val="none"/>
                      <w:vertAlign w:val="baseline"/>
                      <w:lang w:val="en-US" w:eastAsia="zh-CN"/>
                    </w:rPr>
                    <w:t>建设</w:t>
                  </w:r>
                  <w:r>
                    <w:rPr>
                      <w:rFonts w:hint="default" w:ascii="Times New Roman" w:hAnsi="Times New Roman" w:cs="Times New Roman"/>
                      <w:color w:val="auto"/>
                      <w:sz w:val="21"/>
                      <w:szCs w:val="21"/>
                      <w:highlight w:val="none"/>
                      <w:vertAlign w:val="baseline"/>
                      <w:lang w:val="en-US" w:eastAsia="zh-CN"/>
                    </w:rPr>
                    <w:t>，改善城乡生产、生活条件</w:t>
                  </w:r>
                  <w:r>
                    <w:rPr>
                      <w:rFonts w:hint="default" w:ascii="Times New Roman" w:hAnsi="Times New Roman" w:cs="Times New Roman"/>
                      <w:color w:val="auto"/>
                      <w:sz w:val="24"/>
                      <w:szCs w:val="32"/>
                      <w:highlight w:val="none"/>
                      <w:vertAlign w:val="baseline"/>
                      <w:lang w:val="en-US" w:eastAsia="zh-CN"/>
                    </w:rPr>
                    <w:t>。</w:t>
                  </w:r>
                </w:p>
              </w:tc>
              <w:tc>
                <w:tcPr>
                  <w:tcW w:w="673" w:type="dxa"/>
                  <w:noWrap w:val="0"/>
                  <w:vAlign w:val="center"/>
                </w:tcPr>
                <w:p w14:paraId="551B8D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1890E3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2754F9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1BDB43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区域突出生态环境问题</w:t>
                  </w:r>
                </w:p>
              </w:tc>
              <w:tc>
                <w:tcPr>
                  <w:tcW w:w="5129" w:type="dxa"/>
                  <w:noWrap w:val="0"/>
                  <w:vAlign w:val="center"/>
                </w:tcPr>
                <w:p w14:paraId="3DCD0C5D">
                  <w:pPr>
                    <w:pStyle w:val="55"/>
                    <w:keepNext w:val="0"/>
                    <w:keepLines w:val="0"/>
                    <w:pageBreakBefore w:val="0"/>
                    <w:widowControl w:val="0"/>
                    <w:kinsoku/>
                    <w:wordWrap/>
                    <w:overflowPunct/>
                    <w:topLinePunct w:val="0"/>
                    <w:autoSpaceDE/>
                    <w:autoSpaceDN/>
                    <w:bidi w:val="0"/>
                    <w:adjustRightInd/>
                    <w:snapToGrid/>
                    <w:spacing w:before="124" w:line="240" w:lineRule="auto"/>
                    <w:ind w:left="107" w:right="179" w:firstLine="8"/>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1、小流域污染问题突出，嘉陵江及渠江部分支流部分河段水环境承载力不足，乡镇污水基础设施建设滞后；出川断面多，水质要求高，保护</w:t>
                  </w:r>
                  <w:r>
                    <w:rPr>
                      <w:rFonts w:hint="default" w:ascii="Times New Roman" w:hAnsi="Times New Roman" w:eastAsia="宋体" w:cs="Times New Roman"/>
                      <w:spacing w:val="-8"/>
                      <w:sz w:val="21"/>
                      <w:szCs w:val="21"/>
                    </w:rPr>
                    <w:t>压力大。</w:t>
                  </w:r>
                </w:p>
                <w:p w14:paraId="7C2263D7">
                  <w:pPr>
                    <w:pStyle w:val="55"/>
                    <w:keepNext w:val="0"/>
                    <w:keepLines w:val="0"/>
                    <w:pageBreakBefore w:val="0"/>
                    <w:widowControl w:val="0"/>
                    <w:kinsoku/>
                    <w:wordWrap/>
                    <w:overflowPunct/>
                    <w:topLinePunct w:val="0"/>
                    <w:autoSpaceDE/>
                    <w:autoSpaceDN/>
                    <w:bidi w:val="0"/>
                    <w:adjustRightInd/>
                    <w:snapToGrid/>
                    <w:spacing w:line="240" w:lineRule="auto"/>
                    <w:ind w:left="104"/>
                    <w:textAlignment w:val="auto"/>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2、区域嘉陵江流域存在输入性水环境风险问题。</w:t>
                  </w:r>
                </w:p>
                <w:p w14:paraId="071AAC7F">
                  <w:pPr>
                    <w:pStyle w:val="55"/>
                    <w:keepNext w:val="0"/>
                    <w:keepLines w:val="0"/>
                    <w:pageBreakBefore w:val="0"/>
                    <w:widowControl w:val="0"/>
                    <w:kinsoku/>
                    <w:wordWrap/>
                    <w:overflowPunct/>
                    <w:topLinePunct w:val="0"/>
                    <w:autoSpaceDE/>
                    <w:autoSpaceDN/>
                    <w:bidi w:val="0"/>
                    <w:adjustRightInd/>
                    <w:snapToGrid/>
                    <w:spacing w:line="240" w:lineRule="auto"/>
                    <w:ind w:left="104"/>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3"/>
                      <w:sz w:val="21"/>
                      <w:szCs w:val="21"/>
                    </w:rPr>
                    <w:t>3、达州、广安大气污染问题须重视。</w:t>
                  </w:r>
                </w:p>
              </w:tc>
              <w:tc>
                <w:tcPr>
                  <w:tcW w:w="1890" w:type="dxa"/>
                  <w:noWrap w:val="0"/>
                  <w:vAlign w:val="center"/>
                </w:tcPr>
                <w:p w14:paraId="51BA44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本项目生产废水全部回用，不外排。本项目</w:t>
                  </w:r>
                  <w:r>
                    <w:rPr>
                      <w:rFonts w:hint="default" w:ascii="Times New Roman" w:hAnsi="Times New Roman" w:cs="Times New Roman"/>
                      <w:color w:val="auto"/>
                      <w:kern w:val="2"/>
                      <w:sz w:val="21"/>
                      <w:szCs w:val="21"/>
                      <w:highlight w:val="none"/>
                      <w:lang w:val="en-US" w:eastAsia="zh-CN" w:bidi="ar-SA"/>
                    </w:rPr>
                    <w:t>不涉及废气排放。不会加重区域生态环境问题</w:t>
                  </w:r>
                  <w:r>
                    <w:rPr>
                      <w:rFonts w:hint="eastAsia" w:ascii="Times New Roman" w:hAnsi="Times New Roman" w:cs="Times New Roman"/>
                      <w:color w:val="auto"/>
                      <w:kern w:val="2"/>
                      <w:sz w:val="21"/>
                      <w:szCs w:val="21"/>
                      <w:highlight w:val="none"/>
                      <w:lang w:val="en-US" w:eastAsia="zh-CN" w:bidi="ar-SA"/>
                    </w:rPr>
                    <w:t>。</w:t>
                  </w:r>
                </w:p>
              </w:tc>
              <w:tc>
                <w:tcPr>
                  <w:tcW w:w="673" w:type="dxa"/>
                  <w:noWrap w:val="0"/>
                  <w:vAlign w:val="center"/>
                </w:tcPr>
                <w:p w14:paraId="0A11FE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r w14:paraId="0F7161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6" w:type="dxa"/>
                  <w:vMerge w:val="continue"/>
                  <w:noWrap w:val="0"/>
                  <w:vAlign w:val="center"/>
                </w:tcPr>
                <w:p w14:paraId="26835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c>
                <w:tcPr>
                  <w:tcW w:w="665" w:type="dxa"/>
                  <w:noWrap w:val="0"/>
                  <w:vAlign w:val="center"/>
                </w:tcPr>
                <w:p w14:paraId="278D8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4"/>
                      <w:sz w:val="21"/>
                      <w:szCs w:val="21"/>
                    </w:rPr>
                    <w:t>总体管控要求</w:t>
                  </w:r>
                </w:p>
              </w:tc>
              <w:tc>
                <w:tcPr>
                  <w:tcW w:w="5129" w:type="dxa"/>
                  <w:noWrap w:val="0"/>
                  <w:vAlign w:val="center"/>
                </w:tcPr>
                <w:p w14:paraId="4B494124">
                  <w:pPr>
                    <w:pStyle w:val="55"/>
                    <w:keepNext w:val="0"/>
                    <w:keepLines w:val="0"/>
                    <w:pageBreakBefore w:val="0"/>
                    <w:widowControl w:val="0"/>
                    <w:kinsoku/>
                    <w:wordWrap/>
                    <w:overflowPunct/>
                    <w:topLinePunct w:val="0"/>
                    <w:autoSpaceDE/>
                    <w:autoSpaceDN/>
                    <w:bidi w:val="0"/>
                    <w:adjustRightInd/>
                    <w:snapToGrid/>
                    <w:spacing w:before="125" w:line="240" w:lineRule="auto"/>
                    <w:ind w:left="107" w:right="279" w:firstLine="9"/>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1、控制农村面源污染，提高污水收集处理率，加快乡镇污水处理基础</w:t>
                  </w:r>
                  <w:r>
                    <w:rPr>
                      <w:rFonts w:hint="default" w:ascii="Times New Roman" w:hAnsi="Times New Roman" w:eastAsia="宋体" w:cs="Times New Roman"/>
                      <w:spacing w:val="-7"/>
                      <w:sz w:val="21"/>
                      <w:szCs w:val="21"/>
                    </w:rPr>
                    <w:t>设施建设。</w:t>
                  </w:r>
                </w:p>
                <w:p w14:paraId="78401BCC">
                  <w:pPr>
                    <w:pStyle w:val="55"/>
                    <w:keepNext w:val="0"/>
                    <w:keepLines w:val="0"/>
                    <w:pageBreakBefore w:val="0"/>
                    <w:widowControl w:val="0"/>
                    <w:kinsoku/>
                    <w:wordWrap/>
                    <w:overflowPunct/>
                    <w:topLinePunct w:val="0"/>
                    <w:autoSpaceDE/>
                    <w:autoSpaceDN/>
                    <w:bidi w:val="0"/>
                    <w:adjustRightInd/>
                    <w:snapToGrid/>
                    <w:spacing w:line="240" w:lineRule="auto"/>
                    <w:ind w:left="104"/>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2、建设流域水环境风险联防联控体系。</w:t>
                  </w:r>
                </w:p>
                <w:p w14:paraId="3CFB8F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spacing w:val="-4"/>
                      <w:sz w:val="21"/>
                      <w:szCs w:val="21"/>
                    </w:rPr>
                    <w:t>提高大气污染治理水平。</w:t>
                  </w:r>
                </w:p>
              </w:tc>
              <w:tc>
                <w:tcPr>
                  <w:tcW w:w="1890" w:type="dxa"/>
                  <w:noWrap w:val="0"/>
                  <w:vAlign w:val="center"/>
                </w:tcPr>
                <w:p w14:paraId="74C2DF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rPr>
                  </w:pPr>
                  <w:r>
                    <w:rPr>
                      <w:rFonts w:hint="eastAsia" w:ascii="Times New Roman" w:hAnsi="Times New Roman" w:cs="Times New Roman"/>
                      <w:color w:val="auto"/>
                      <w:sz w:val="21"/>
                      <w:szCs w:val="21"/>
                      <w:highlight w:val="none"/>
                      <w:lang w:val="en-US" w:eastAsia="zh-CN"/>
                    </w:rPr>
                    <w:t>本</w:t>
                  </w:r>
                  <w:r>
                    <w:rPr>
                      <w:rFonts w:hint="default" w:ascii="Times New Roman" w:hAnsi="Times New Roman" w:cs="Times New Roman"/>
                      <w:color w:val="auto"/>
                      <w:sz w:val="21"/>
                      <w:szCs w:val="21"/>
                      <w:highlight w:val="none"/>
                      <w:lang w:val="en-US" w:eastAsia="zh-CN"/>
                    </w:rPr>
                    <w:t>项目生活污水经化粪池处理后用于农肥</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不外排</w:t>
                  </w:r>
                  <w:r>
                    <w:rPr>
                      <w:rFonts w:hint="default" w:ascii="Times New Roman" w:hAnsi="Times New Roman" w:cs="Times New Roman"/>
                      <w:color w:val="auto"/>
                      <w:sz w:val="21"/>
                      <w:szCs w:val="21"/>
                      <w:highlight w:val="none"/>
                      <w:lang w:eastAsia="zh-CN"/>
                    </w:rPr>
                    <w:t>；</w:t>
                  </w:r>
                  <w:r>
                    <w:rPr>
                      <w:rFonts w:hint="eastAsia" w:ascii="Times New Roman" w:hAnsi="Times New Roman" w:eastAsia="宋体" w:cs="Times New Roman"/>
                      <w:color w:val="auto"/>
                      <w:kern w:val="0"/>
                      <w:sz w:val="21"/>
                      <w:szCs w:val="21"/>
                      <w:lang w:val="en-US" w:eastAsia="zh-CN"/>
                    </w:rPr>
                    <w:t>本项目生产废水全部回用，不外排。本项目</w:t>
                  </w:r>
                  <w:r>
                    <w:rPr>
                      <w:rFonts w:hint="default" w:ascii="Times New Roman" w:hAnsi="Times New Roman" w:cs="Times New Roman"/>
                      <w:color w:val="auto"/>
                      <w:kern w:val="2"/>
                      <w:sz w:val="21"/>
                      <w:szCs w:val="21"/>
                      <w:highlight w:val="none"/>
                      <w:lang w:val="en-US" w:eastAsia="zh-CN" w:bidi="ar-SA"/>
                    </w:rPr>
                    <w:t>不涉及废气排放。</w:t>
                  </w:r>
                </w:p>
              </w:tc>
              <w:tc>
                <w:tcPr>
                  <w:tcW w:w="673" w:type="dxa"/>
                  <w:noWrap w:val="0"/>
                  <w:vAlign w:val="center"/>
                </w:tcPr>
                <w:p w14:paraId="2F6AA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符合</w:t>
                  </w:r>
                </w:p>
              </w:tc>
            </w:tr>
          </w:tbl>
          <w:p w14:paraId="33259210">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left"/>
              <w:textAlignment w:val="auto"/>
              <w:rPr>
                <w:b w:val="0"/>
                <w:bCs w:val="0"/>
                <w:color w:val="auto"/>
                <w:sz w:val="24"/>
                <w:szCs w:val="24"/>
              </w:rPr>
            </w:pPr>
            <w:r>
              <w:rPr>
                <w:rFonts w:hint="eastAsia" w:ascii="宋体" w:hAnsi="宋体" w:eastAsia="宋体" w:cs="宋体"/>
                <w:b w:val="0"/>
                <w:bCs w:val="0"/>
                <w:color w:val="auto"/>
                <w:sz w:val="24"/>
                <w:szCs w:val="24"/>
              </w:rPr>
              <w:t>综上，本项目符合</w:t>
            </w:r>
            <w:r>
              <w:rPr>
                <w:rFonts w:hint="eastAsia" w:ascii="宋体" w:hAnsi="宋体" w:eastAsia="宋体" w:cs="宋体"/>
                <w:b w:val="0"/>
                <w:bCs w:val="0"/>
                <w:color w:val="auto"/>
                <w:sz w:val="24"/>
                <w:szCs w:val="24"/>
                <w:lang w:eastAsia="zh-CN"/>
              </w:rPr>
              <w:t>“</w:t>
            </w:r>
            <w:r>
              <w:rPr>
                <w:rFonts w:hint="eastAsia" w:ascii="Times New Roman" w:hAnsi="Times New Roman" w:eastAsia="宋体" w:cs="Times New Roman"/>
                <w:color w:val="auto"/>
                <w:sz w:val="24"/>
                <w:szCs w:val="24"/>
                <w:lang w:val="en-US" w:eastAsia="zh-CN"/>
              </w:rPr>
              <w:t>生态环境准入清单</w:t>
            </w:r>
            <w:r>
              <w:rPr>
                <w:rFonts w:hint="eastAsia" w:ascii="宋体" w:hAnsi="宋体" w:eastAsia="宋体" w:cs="宋体"/>
                <w:b w:val="0"/>
                <w:bCs w:val="0"/>
                <w:color w:val="auto"/>
                <w:sz w:val="24"/>
                <w:szCs w:val="24"/>
              </w:rPr>
              <w:t>”相关要求</w:t>
            </w:r>
            <w:r>
              <w:rPr>
                <w:rFonts w:hint="eastAsia" w:ascii="宋体" w:hAnsi="宋体" w:eastAsia="宋体" w:cs="宋体"/>
                <w:b w:val="0"/>
                <w:bCs w:val="0"/>
                <w:color w:val="auto"/>
                <w:sz w:val="24"/>
                <w:szCs w:val="24"/>
                <w:lang w:eastAsia="zh-CN"/>
              </w:rPr>
              <w:t>。</w:t>
            </w:r>
          </w:p>
          <w:p w14:paraId="73E20803">
            <w:pPr>
              <w:keepNext w:val="0"/>
              <w:keepLines w:val="0"/>
              <w:pageBreakBefore w:val="0"/>
              <w:widowControl w:val="0"/>
              <w:kinsoku/>
              <w:wordWrap/>
              <w:overflowPunct/>
              <w:topLinePunct w:val="0"/>
              <w:bidi w:val="0"/>
              <w:spacing w:line="360" w:lineRule="auto"/>
              <w:ind w:left="0" w:leftChars="0" w:right="0" w:firstLine="482" w:firstLineChars="200"/>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val="0"/>
                <w:color w:val="auto"/>
                <w:kern w:val="0"/>
                <w:sz w:val="24"/>
              </w:rPr>
              <w:t>与《中华人民共和国长江保护法》</w:t>
            </w:r>
            <w:r>
              <w:rPr>
                <w:rFonts w:hint="default" w:ascii="Times New Roman" w:hAnsi="Times New Roman" w:cs="Times New Roman"/>
                <w:b/>
                <w:bCs w:val="0"/>
                <w:color w:val="auto"/>
                <w:kern w:val="0"/>
                <w:sz w:val="24"/>
                <w:lang w:val="en-US" w:eastAsia="zh-CN"/>
              </w:rPr>
              <w:t>的</w:t>
            </w:r>
            <w:r>
              <w:rPr>
                <w:rFonts w:hint="default" w:ascii="Times New Roman" w:hAnsi="Times New Roman" w:cs="Times New Roman"/>
                <w:b/>
                <w:bCs w:val="0"/>
                <w:color w:val="auto"/>
                <w:kern w:val="0"/>
                <w:sz w:val="24"/>
              </w:rPr>
              <w:t>符合性</w:t>
            </w:r>
            <w:r>
              <w:rPr>
                <w:rFonts w:hint="default" w:ascii="Times New Roman" w:hAnsi="Times New Roman" w:cs="Times New Roman"/>
                <w:b/>
                <w:bCs w:val="0"/>
                <w:color w:val="auto"/>
                <w:kern w:val="0"/>
                <w:sz w:val="24"/>
                <w:lang w:val="en-US" w:eastAsia="zh-CN"/>
              </w:rPr>
              <w:t>分析</w:t>
            </w:r>
          </w:p>
          <w:p w14:paraId="6F8A12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黑体" w:cs="Times New Roman"/>
                <w:color w:val="auto"/>
                <w:szCs w:val="21"/>
              </w:rPr>
            </w:pPr>
            <w:r>
              <w:rPr>
                <w:rFonts w:hint="default" w:ascii="Times New Roman" w:hAnsi="Times New Roman" w:cs="Times New Roman"/>
                <w:bCs/>
                <w:color w:val="auto"/>
                <w:kern w:val="0"/>
                <w:sz w:val="24"/>
              </w:rPr>
              <w:t>本项目与《中华人民共和国长江保护法》（2020年12月26日）对比分析详见</w:t>
            </w:r>
            <w:r>
              <w:rPr>
                <w:rFonts w:hint="default" w:ascii="Times New Roman" w:hAnsi="Times New Roman" w:cs="Times New Roman"/>
                <w:bCs/>
                <w:color w:val="auto"/>
                <w:kern w:val="0"/>
                <w:sz w:val="24"/>
                <w:lang w:val="en-US" w:eastAsia="zh-CN"/>
              </w:rPr>
              <w:t>下</w:t>
            </w:r>
            <w:r>
              <w:rPr>
                <w:rFonts w:hint="default" w:ascii="Times New Roman" w:hAnsi="Times New Roman" w:cs="Times New Roman"/>
                <w:bCs/>
                <w:color w:val="auto"/>
                <w:kern w:val="0"/>
                <w:sz w:val="24"/>
              </w:rPr>
              <w:t>表。</w:t>
            </w:r>
          </w:p>
          <w:p w14:paraId="7DD58DD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表1-</w:t>
            </w:r>
            <w:r>
              <w:rPr>
                <w:rFonts w:hint="eastAsia" w:ascii="Times New Roman" w:hAnsi="Times New Roman" w:eastAsia="黑体" w:cs="Times New Roman"/>
                <w:color w:val="auto"/>
                <w:szCs w:val="21"/>
                <w:lang w:val="en-US" w:eastAsia="zh-CN"/>
              </w:rPr>
              <w:t>9</w:t>
            </w:r>
            <w:r>
              <w:rPr>
                <w:rFonts w:hint="default" w:ascii="Times New Roman" w:hAnsi="Times New Roman" w:eastAsia="黑体" w:cs="Times New Roman"/>
                <w:color w:val="auto"/>
                <w:szCs w:val="21"/>
              </w:rPr>
              <w:t xml:space="preserve">  与《中华人民共和国长江保护法》对比分析表</w:t>
            </w:r>
          </w:p>
          <w:tbl>
            <w:tblPr>
              <w:tblStyle w:val="25"/>
              <w:tblW w:w="4923"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6"/>
              <w:gridCol w:w="4648"/>
              <w:gridCol w:w="2822"/>
              <w:gridCol w:w="892"/>
            </w:tblGrid>
            <w:tr w14:paraId="6A8E6E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dxa"/>
                  <w:noWrap w:val="0"/>
                  <w:vAlign w:val="center"/>
                </w:tcPr>
                <w:p w14:paraId="5622414C">
                  <w:pPr>
                    <w:keepNext w:val="0"/>
                    <w:keepLines w:val="0"/>
                    <w:pageBreakBefore w:val="0"/>
                    <w:topLinePunct w:val="0"/>
                    <w:bidi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序号</w:t>
                  </w:r>
                </w:p>
              </w:tc>
              <w:tc>
                <w:tcPr>
                  <w:tcW w:w="4634" w:type="dxa"/>
                  <w:noWrap w:val="0"/>
                  <w:vAlign w:val="center"/>
                </w:tcPr>
                <w:p w14:paraId="5A300E09">
                  <w:pPr>
                    <w:keepNext w:val="0"/>
                    <w:keepLines w:val="0"/>
                    <w:pageBreakBefore w:val="0"/>
                    <w:topLinePunct w:val="0"/>
                    <w:bidi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相关要求</w:t>
                  </w:r>
                </w:p>
              </w:tc>
              <w:tc>
                <w:tcPr>
                  <w:tcW w:w="2813" w:type="dxa"/>
                  <w:noWrap w:val="0"/>
                  <w:vAlign w:val="center"/>
                </w:tcPr>
                <w:p w14:paraId="1C32ADA1">
                  <w:pPr>
                    <w:keepNext w:val="0"/>
                    <w:keepLines w:val="0"/>
                    <w:pageBreakBefore w:val="0"/>
                    <w:topLinePunct w:val="0"/>
                    <w:bidi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本工程内容</w:t>
                  </w:r>
                </w:p>
              </w:tc>
              <w:tc>
                <w:tcPr>
                  <w:tcW w:w="889" w:type="dxa"/>
                  <w:noWrap w:val="0"/>
                  <w:vAlign w:val="center"/>
                </w:tcPr>
                <w:p w14:paraId="4F3D74D1">
                  <w:pPr>
                    <w:keepNext w:val="0"/>
                    <w:keepLines w:val="0"/>
                    <w:pageBreakBefore w:val="0"/>
                    <w:topLinePunct w:val="0"/>
                    <w:bidi w:val="0"/>
                    <w:spacing w:line="240" w:lineRule="auto"/>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符合性</w:t>
                  </w:r>
                </w:p>
              </w:tc>
            </w:tr>
            <w:tr w14:paraId="731067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dxa"/>
                  <w:noWrap w:val="0"/>
                  <w:vAlign w:val="center"/>
                </w:tcPr>
                <w:p w14:paraId="5C8258BA">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规划与管控</w:t>
                  </w:r>
                </w:p>
              </w:tc>
              <w:tc>
                <w:tcPr>
                  <w:tcW w:w="4634" w:type="dxa"/>
                  <w:noWrap w:val="0"/>
                  <w:vAlign w:val="center"/>
                </w:tcPr>
                <w:p w14:paraId="636D063F">
                  <w:pPr>
                    <w:keepNext w:val="0"/>
                    <w:keepLines w:val="0"/>
                    <w:pageBreakBefore w:val="0"/>
                    <w:topLinePunct w:val="0"/>
                    <w:bidi w:val="0"/>
                    <w:spacing w:line="24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禁止在长江干支流岸线—公里范围内新建﹑扩建化工园区和化工项目。</w:t>
                  </w:r>
                </w:p>
                <w:p w14:paraId="3BFEEA01">
                  <w:pPr>
                    <w:keepNext w:val="0"/>
                    <w:keepLines w:val="0"/>
                    <w:pageBreakBefore w:val="0"/>
                    <w:topLinePunct w:val="0"/>
                    <w:bidi w:val="0"/>
                    <w:spacing w:line="24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禁止在长江干流岸线三公里范围内和重要支流岸线―公里范围内新建、改建、扩建尾矿库﹔但是以提升安全、生态环境保护水平为目的的改建除外。</w:t>
                  </w:r>
                </w:p>
              </w:tc>
              <w:tc>
                <w:tcPr>
                  <w:tcW w:w="2813" w:type="dxa"/>
                  <w:noWrap w:val="0"/>
                  <w:vAlign w:val="center"/>
                </w:tcPr>
                <w:p w14:paraId="6A210BBA">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本项目</w:t>
                  </w:r>
                  <w:r>
                    <w:rPr>
                      <w:rFonts w:hint="default" w:ascii="Times New Roman" w:hAnsi="Times New Roman" w:cs="Times New Roman"/>
                      <w:color w:val="auto"/>
                      <w:kern w:val="0"/>
                      <w:sz w:val="21"/>
                      <w:szCs w:val="21"/>
                      <w:lang w:val="en-US" w:eastAsia="zh-CN"/>
                    </w:rPr>
                    <w:t>不属于化工、尾矿库</w:t>
                  </w:r>
                </w:p>
              </w:tc>
              <w:tc>
                <w:tcPr>
                  <w:tcW w:w="889" w:type="dxa"/>
                  <w:noWrap w:val="0"/>
                  <w:vAlign w:val="center"/>
                </w:tcPr>
                <w:p w14:paraId="1CC5293A">
                  <w:pPr>
                    <w:keepNext w:val="0"/>
                    <w:keepLines w:val="0"/>
                    <w:pageBreakBefore w:val="0"/>
                    <w:topLinePunct w:val="0"/>
                    <w:bidi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490A8B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dxa"/>
                  <w:noWrap w:val="0"/>
                  <w:vAlign w:val="center"/>
                </w:tcPr>
                <w:p w14:paraId="4943E7AA">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资源与保护</w:t>
                  </w:r>
                </w:p>
              </w:tc>
              <w:tc>
                <w:tcPr>
                  <w:tcW w:w="4634" w:type="dxa"/>
                  <w:noWrap w:val="0"/>
                  <w:vAlign w:val="center"/>
                </w:tcPr>
                <w:p w14:paraId="27D7C353">
                  <w:pPr>
                    <w:keepNext w:val="0"/>
                    <w:keepLines w:val="0"/>
                    <w:pageBreakBefore w:val="0"/>
                    <w:topLinePunct w:val="0"/>
                    <w:bidi w:val="0"/>
                    <w:spacing w:line="24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长江流域省级人民政府组织划定饮用水水源保护</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加强饮用水水源保护</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保障饮用水安全。</w:t>
                  </w:r>
                </w:p>
              </w:tc>
              <w:tc>
                <w:tcPr>
                  <w:tcW w:w="2813" w:type="dxa"/>
                  <w:noWrap w:val="0"/>
                  <w:vAlign w:val="center"/>
                </w:tcPr>
                <w:p w14:paraId="3D0DDBCB">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sz w:val="21"/>
                      <w:szCs w:val="21"/>
                      <w:highlight w:val="none"/>
                      <w:vertAlign w:val="baseline"/>
                      <w:lang w:val="en-US" w:eastAsia="zh-CN"/>
                    </w:rPr>
                    <w:t>本</w:t>
                  </w:r>
                  <w:r>
                    <w:rPr>
                      <w:rFonts w:hint="default" w:ascii="Times New Roman" w:hAnsi="Times New Roman" w:cs="Times New Roman"/>
                      <w:color w:val="auto"/>
                      <w:sz w:val="21"/>
                      <w:szCs w:val="21"/>
                      <w:highlight w:val="none"/>
                      <w:vertAlign w:val="baseline"/>
                      <w:lang w:val="en-US" w:eastAsia="zh-CN"/>
                    </w:rPr>
                    <w:t>项目属于供水设施建设项目，不属于禁止建设项目</w:t>
                  </w:r>
                </w:p>
              </w:tc>
              <w:tc>
                <w:tcPr>
                  <w:tcW w:w="889" w:type="dxa"/>
                  <w:noWrap w:val="0"/>
                  <w:vAlign w:val="center"/>
                </w:tcPr>
                <w:p w14:paraId="53F57B8C">
                  <w:pPr>
                    <w:keepNext w:val="0"/>
                    <w:keepLines w:val="0"/>
                    <w:pageBreakBefore w:val="0"/>
                    <w:topLinePunct w:val="0"/>
                    <w:bidi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5DB53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dxa"/>
                  <w:noWrap w:val="0"/>
                  <w:vAlign w:val="center"/>
                </w:tcPr>
                <w:p w14:paraId="42B03244">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水污染防治</w:t>
                  </w:r>
                </w:p>
              </w:tc>
              <w:tc>
                <w:tcPr>
                  <w:tcW w:w="4634" w:type="dxa"/>
                  <w:noWrap w:val="0"/>
                  <w:vAlign w:val="center"/>
                </w:tcPr>
                <w:p w14:paraId="15CFB711">
                  <w:pPr>
                    <w:keepNext w:val="0"/>
                    <w:keepLines w:val="0"/>
                    <w:pageBreakBefore w:val="0"/>
                    <w:topLinePunct w:val="0"/>
                    <w:bidi w:val="0"/>
                    <w:spacing w:line="24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磷矿开采加工、磷肥和含磷农药制造等企业，应当按照排污许可要求</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采取有效措施控制总磷排放浓度和排放</w:t>
                  </w:r>
                  <w:r>
                    <w:rPr>
                      <w:rFonts w:hint="default" w:ascii="Times New Roman" w:hAnsi="Times New Roman" w:cs="Times New Roman"/>
                      <w:color w:val="auto"/>
                      <w:kern w:val="0"/>
                      <w:sz w:val="21"/>
                      <w:szCs w:val="21"/>
                      <w:lang w:eastAsia="zh-CN"/>
                    </w:rPr>
                    <w:t>总量</w:t>
                  </w:r>
                  <w:r>
                    <w:rPr>
                      <w:rFonts w:hint="default" w:ascii="Times New Roman" w:hAnsi="Times New Roman" w:cs="Times New Roman"/>
                      <w:color w:val="auto"/>
                      <w:kern w:val="0"/>
                      <w:sz w:val="21"/>
                      <w:szCs w:val="21"/>
                    </w:rPr>
                    <w:t>﹔对排污口和周边环境进行总磷监测，依法</w:t>
                  </w:r>
                  <w:r>
                    <w:rPr>
                      <w:rFonts w:hint="default" w:ascii="Times New Roman" w:hAnsi="Times New Roman" w:cs="Times New Roman"/>
                      <w:color w:val="auto"/>
                      <w:kern w:val="0"/>
                      <w:sz w:val="21"/>
                      <w:szCs w:val="21"/>
                      <w:lang w:eastAsia="zh-CN"/>
                    </w:rPr>
                    <w:t>公开监督</w:t>
                  </w:r>
                  <w:r>
                    <w:rPr>
                      <w:rFonts w:hint="default" w:ascii="Times New Roman" w:hAnsi="Times New Roman" w:cs="Times New Roman"/>
                      <w:color w:val="auto"/>
                      <w:kern w:val="0"/>
                      <w:sz w:val="21"/>
                      <w:szCs w:val="21"/>
                    </w:rPr>
                    <w:t>信息。</w:t>
                  </w:r>
                </w:p>
              </w:tc>
              <w:tc>
                <w:tcPr>
                  <w:tcW w:w="2813" w:type="dxa"/>
                  <w:noWrap w:val="0"/>
                  <w:vAlign w:val="center"/>
                </w:tcPr>
                <w:p w14:paraId="13C000BB">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本项目不</w:t>
                  </w:r>
                  <w:r>
                    <w:rPr>
                      <w:rFonts w:hint="default" w:ascii="Times New Roman" w:hAnsi="Times New Roman" w:cs="Times New Roman"/>
                      <w:color w:val="auto"/>
                      <w:kern w:val="0"/>
                      <w:sz w:val="21"/>
                      <w:szCs w:val="21"/>
                      <w:lang w:val="en-US" w:eastAsia="zh-CN"/>
                    </w:rPr>
                    <w:t>属于</w:t>
                  </w:r>
                  <w:r>
                    <w:rPr>
                      <w:rFonts w:hint="default" w:ascii="Times New Roman" w:hAnsi="Times New Roman" w:cs="Times New Roman"/>
                      <w:color w:val="auto"/>
                      <w:kern w:val="0"/>
                      <w:sz w:val="21"/>
                      <w:szCs w:val="21"/>
                    </w:rPr>
                    <w:t>磷矿开采加工、磷肥和含磷农药制造等企业</w:t>
                  </w:r>
                </w:p>
              </w:tc>
              <w:tc>
                <w:tcPr>
                  <w:tcW w:w="889" w:type="dxa"/>
                  <w:noWrap w:val="0"/>
                  <w:vAlign w:val="center"/>
                </w:tcPr>
                <w:p w14:paraId="33692701">
                  <w:pPr>
                    <w:keepNext w:val="0"/>
                    <w:keepLines w:val="0"/>
                    <w:pageBreakBefore w:val="0"/>
                    <w:topLinePunct w:val="0"/>
                    <w:bidi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0ADBF1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dxa"/>
                  <w:noWrap w:val="0"/>
                  <w:vAlign w:val="center"/>
                </w:tcPr>
                <w:p w14:paraId="5A1DFB18">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生态环境修复</w:t>
                  </w:r>
                </w:p>
              </w:tc>
              <w:tc>
                <w:tcPr>
                  <w:tcW w:w="4634" w:type="dxa"/>
                  <w:noWrap w:val="0"/>
                  <w:vAlign w:val="center"/>
                </w:tcPr>
                <w:p w14:paraId="12D0FF2A">
                  <w:pPr>
                    <w:keepNext w:val="0"/>
                    <w:keepLines w:val="0"/>
                    <w:pageBreakBefore w:val="0"/>
                    <w:topLinePunct w:val="0"/>
                    <w:bidi w:val="0"/>
                    <w:spacing w:line="24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禁止违法利用、占用长江流域河湖岸线。</w:t>
                  </w:r>
                </w:p>
                <w:p w14:paraId="3D99E353">
                  <w:pPr>
                    <w:keepNext w:val="0"/>
                    <w:keepLines w:val="0"/>
                    <w:pageBreakBefore w:val="0"/>
                    <w:topLinePunct w:val="0"/>
                    <w:bidi w:val="0"/>
                    <w:spacing w:line="24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禁止在长江流域水土流失严重、生态脆弱的区域开展可能造成水土流失的生产建设活动。确因国家发展战略和国计民生需要建设的，应当经科学论证，并依法办理审批手续。</w:t>
                  </w:r>
                </w:p>
              </w:tc>
              <w:tc>
                <w:tcPr>
                  <w:tcW w:w="2813" w:type="dxa"/>
                  <w:noWrap w:val="0"/>
                  <w:vAlign w:val="center"/>
                </w:tcPr>
                <w:p w14:paraId="543033E0">
                  <w:pPr>
                    <w:keepNext w:val="0"/>
                    <w:keepLines w:val="0"/>
                    <w:pageBreakBefore w:val="0"/>
                    <w:topLinePunct w:val="0"/>
                    <w:bidi w:val="0"/>
                    <w:spacing w:line="240" w:lineRule="auto"/>
                    <w:jc w:val="center"/>
                    <w:textAlignment w:val="auto"/>
                    <w:rPr>
                      <w:rFonts w:hint="default" w:ascii="Times New Roman" w:hAnsi="Times New Roman" w:cs="Times New Roman"/>
                      <w:color w:val="auto"/>
                      <w:kern w:val="0"/>
                      <w:sz w:val="21"/>
                      <w:szCs w:val="21"/>
                      <w:lang w:val="en-US"/>
                    </w:rPr>
                  </w:pPr>
                  <w:r>
                    <w:rPr>
                      <w:rFonts w:hint="default" w:ascii="Times New Roman" w:hAnsi="Times New Roman" w:cs="Times New Roman"/>
                      <w:color w:val="auto"/>
                      <w:kern w:val="0"/>
                      <w:sz w:val="21"/>
                      <w:szCs w:val="21"/>
                    </w:rPr>
                    <w:t>本项目</w:t>
                  </w:r>
                  <w:r>
                    <w:rPr>
                      <w:rFonts w:hint="default" w:ascii="Times New Roman" w:hAnsi="Times New Roman" w:eastAsia="宋体" w:cs="Times New Roman"/>
                      <w:color w:val="auto"/>
                      <w:kern w:val="0"/>
                      <w:sz w:val="21"/>
                      <w:szCs w:val="21"/>
                      <w:lang w:val="en-US" w:eastAsia="zh-CN" w:bidi="ar"/>
                    </w:rPr>
                    <w:t>不涉及</w:t>
                  </w:r>
                  <w:r>
                    <w:rPr>
                      <w:rFonts w:hint="default" w:ascii="Times New Roman" w:hAnsi="Times New Roman" w:cs="Times New Roman"/>
                      <w:color w:val="auto"/>
                      <w:kern w:val="0"/>
                      <w:sz w:val="21"/>
                      <w:szCs w:val="21"/>
                    </w:rPr>
                    <w:t>长江流域河湖岸线</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长江流域水土流失严重、生态脆弱的区域</w:t>
                  </w:r>
                </w:p>
              </w:tc>
              <w:tc>
                <w:tcPr>
                  <w:tcW w:w="889" w:type="dxa"/>
                  <w:noWrap w:val="0"/>
                  <w:vAlign w:val="center"/>
                </w:tcPr>
                <w:p w14:paraId="605B1574">
                  <w:pPr>
                    <w:keepNext w:val="0"/>
                    <w:keepLines w:val="0"/>
                    <w:pageBreakBefore w:val="0"/>
                    <w:topLinePunct w:val="0"/>
                    <w:bidi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14:paraId="7D8CFE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644" w:type="dxa"/>
                  <w:noWrap w:val="0"/>
                  <w:vAlign w:val="center"/>
                </w:tcPr>
                <w:p w14:paraId="21ED2B49">
                  <w:pPr>
                    <w:keepNext w:val="0"/>
                    <w:keepLines w:val="0"/>
                    <w:pageBreakBefore w:val="0"/>
                    <w:topLinePunct w:val="0"/>
                    <w:bidi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绿色发展</w:t>
                  </w:r>
                </w:p>
              </w:tc>
              <w:tc>
                <w:tcPr>
                  <w:tcW w:w="4634" w:type="dxa"/>
                  <w:noWrap w:val="0"/>
                  <w:vAlign w:val="center"/>
                </w:tcPr>
                <w:p w14:paraId="32BFB599">
                  <w:pPr>
                    <w:keepNext w:val="0"/>
                    <w:keepLines w:val="0"/>
                    <w:pageBreakBefore w:val="0"/>
                    <w:topLinePunct w:val="0"/>
                    <w:bidi w:val="0"/>
                    <w:spacing w:line="240" w:lineRule="auto"/>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长江流域县级以上地方人民政府应当推动钢铁、石油、化工、有色金属、建材、船舶等产业升级改造</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提升技术装备水平﹔推动造纸、制革、电镀、印染、有色金属、农药、氮肥、焦化、原料药制造等企业实施清洁化改造。企业应当通过技术创新减少资源消耗和污染物排放。</w:t>
                  </w:r>
                </w:p>
              </w:tc>
              <w:tc>
                <w:tcPr>
                  <w:tcW w:w="2813" w:type="dxa"/>
                  <w:noWrap w:val="0"/>
                  <w:vAlign w:val="center"/>
                </w:tcPr>
                <w:p w14:paraId="687C9A47">
                  <w:pPr>
                    <w:keepNext w:val="0"/>
                    <w:keepLines w:val="0"/>
                    <w:pageBreakBefore w:val="0"/>
                    <w:topLinePunct w:val="0"/>
                    <w:bidi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本项目运营期各污染物通过有效措施治理后可实现达标排放</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kern w:val="0"/>
                      <w:sz w:val="21"/>
                      <w:szCs w:val="21"/>
                    </w:rPr>
                    <w:t>对环境影响较小</w:t>
                  </w:r>
                </w:p>
              </w:tc>
              <w:tc>
                <w:tcPr>
                  <w:tcW w:w="889" w:type="dxa"/>
                  <w:noWrap w:val="0"/>
                  <w:vAlign w:val="center"/>
                </w:tcPr>
                <w:p w14:paraId="5C8F85CF">
                  <w:pPr>
                    <w:keepNext w:val="0"/>
                    <w:keepLines w:val="0"/>
                    <w:pageBreakBefore w:val="0"/>
                    <w:topLinePunct w:val="0"/>
                    <w:bidi w:val="0"/>
                    <w:spacing w:line="240" w:lineRule="auto"/>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bl>
          <w:p w14:paraId="5B149E04">
            <w:pPr>
              <w:keepNext w:val="0"/>
              <w:keepLines w:val="0"/>
              <w:pageBreakBefore w:val="0"/>
              <w:widowControl/>
              <w:kinsoku/>
              <w:wordWrap/>
              <w:overflowPunct/>
              <w:topLinePunct w:val="0"/>
              <w:autoSpaceDE/>
              <w:autoSpaceDN/>
              <w:bidi w:val="0"/>
              <w:adjustRightInd w:val="0"/>
              <w:snapToGrid w:val="0"/>
              <w:spacing w:before="120" w:beforeLines="50" w:line="360" w:lineRule="auto"/>
              <w:ind w:firstLine="480" w:firstLineChars="200"/>
              <w:jc w:val="left"/>
              <w:textAlignment w:val="auto"/>
              <w:rPr>
                <w:rFonts w:hint="default" w:ascii="Times New Roman" w:hAnsi="Times New Roman" w:cs="Times New Roman"/>
                <w:b/>
                <w:bCs/>
                <w:color w:val="auto"/>
                <w:sz w:val="24"/>
              </w:rPr>
            </w:pPr>
            <w:r>
              <w:rPr>
                <w:rFonts w:hint="default" w:ascii="Times New Roman" w:hAnsi="Times New Roman" w:cs="Times New Roman"/>
                <w:color w:val="auto"/>
                <w:sz w:val="24"/>
              </w:rPr>
              <w:t>由上表可知，本项目符合</w:t>
            </w:r>
            <w:r>
              <w:rPr>
                <w:rFonts w:hint="default" w:ascii="Times New Roman" w:hAnsi="Times New Roman" w:cs="Times New Roman"/>
                <w:bCs/>
                <w:color w:val="auto"/>
                <w:kern w:val="0"/>
                <w:sz w:val="24"/>
              </w:rPr>
              <w:t>《中华人民共和国长江保护法》（2020年12月26日）</w:t>
            </w:r>
            <w:r>
              <w:rPr>
                <w:rFonts w:hint="default" w:ascii="Times New Roman" w:hAnsi="Times New Roman" w:cs="Times New Roman"/>
                <w:color w:val="auto"/>
                <w:sz w:val="24"/>
                <w:szCs w:val="24"/>
                <w:highlight w:val="none"/>
              </w:rPr>
              <w:t>的相应要求</w:t>
            </w:r>
            <w:r>
              <w:rPr>
                <w:rFonts w:hint="default" w:ascii="Times New Roman" w:hAnsi="Times New Roman" w:cs="Times New Roman"/>
                <w:color w:val="auto"/>
                <w:sz w:val="24"/>
              </w:rPr>
              <w:t>。</w:t>
            </w:r>
          </w:p>
          <w:p w14:paraId="2FF7B502">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firstLine="482" w:firstLineChars="200"/>
              <w:jc w:val="left"/>
              <w:textAlignment w:val="auto"/>
              <w:rPr>
                <w:rFonts w:hint="default" w:ascii="Times New Roman" w:hAnsi="Times New Roman" w:cs="Times New Roman"/>
                <w:b/>
                <w:color w:val="auto"/>
                <w:sz w:val="24"/>
                <w:szCs w:val="24"/>
                <w:highlight w:val="none"/>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w:t>
            </w:r>
            <w:r>
              <w:rPr>
                <w:rFonts w:hint="default" w:ascii="Times New Roman" w:hAnsi="Times New Roman" w:cs="Times New Roman"/>
                <w:b/>
                <w:bCs/>
                <w:color w:val="auto"/>
                <w:sz w:val="24"/>
                <w:szCs w:val="24"/>
                <w:highlight w:val="none"/>
                <w:lang w:val="en-US" w:eastAsia="zh-CN"/>
              </w:rPr>
              <w:t>与</w:t>
            </w:r>
            <w:r>
              <w:rPr>
                <w:rFonts w:hint="default" w:ascii="Times New Roman" w:hAnsi="Times New Roman" w:cs="Times New Roman"/>
                <w:b/>
                <w:color w:val="auto"/>
                <w:sz w:val="24"/>
                <w:szCs w:val="24"/>
                <w:highlight w:val="none"/>
                <w:lang w:val="en-US" w:eastAsia="zh-CN"/>
              </w:rPr>
              <w:t>《四川省、重庆市长江经济带发展负面清单实施细则（试行，2022年版）》（川长江办〔2022〕17 号）的符合性分析</w:t>
            </w:r>
          </w:p>
          <w:p w14:paraId="32DD945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项目与</w:t>
            </w:r>
            <w:r>
              <w:rPr>
                <w:rFonts w:hint="default" w:ascii="Times New Roman" w:hAnsi="Times New Roman" w:cs="Times New Roman"/>
                <w:color w:val="auto"/>
                <w:sz w:val="24"/>
                <w:szCs w:val="24"/>
              </w:rPr>
              <w:t>《四川省、重庆市长江经济带发展负面清单实施细则（试行，2022年版）》（川长江办〔2022〕17 号）</w:t>
            </w:r>
            <w:r>
              <w:rPr>
                <w:rFonts w:hint="default" w:ascii="Times New Roman" w:hAnsi="Times New Roman" w:cs="Times New Roman"/>
                <w:color w:val="auto"/>
                <w:sz w:val="24"/>
                <w:szCs w:val="24"/>
                <w:highlight w:val="none"/>
              </w:rPr>
              <w:t>符合性分析如下</w:t>
            </w:r>
            <w:r>
              <w:rPr>
                <w:rFonts w:hint="default" w:ascii="Times New Roman" w:hAnsi="Times New Roman" w:cs="Times New Roman"/>
                <w:color w:val="auto"/>
                <w:sz w:val="24"/>
                <w:szCs w:val="24"/>
                <w:highlight w:val="none"/>
                <w:lang w:eastAsia="zh-CN"/>
              </w:rPr>
              <w:t>：</w:t>
            </w:r>
          </w:p>
          <w:p w14:paraId="4E10AAF4">
            <w:pPr>
              <w:pageBreakBefore w:val="0"/>
              <w:kinsoku/>
              <w:wordWrap/>
              <w:bidi w:val="0"/>
              <w:spacing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表1-</w:t>
            </w:r>
            <w:r>
              <w:rPr>
                <w:rFonts w:hint="eastAsia" w:ascii="Times New Roman" w:hAnsi="Times New Roman" w:eastAsia="黑体" w:cs="Times New Roman"/>
                <w:color w:val="auto"/>
                <w:szCs w:val="21"/>
                <w:highlight w:val="none"/>
                <w:lang w:val="en-US" w:eastAsia="zh-CN"/>
              </w:rPr>
              <w:t>10</w:t>
            </w:r>
            <w:r>
              <w:rPr>
                <w:rFonts w:hint="default" w:ascii="Times New Roman" w:hAnsi="Times New Roman" w:eastAsia="黑体" w:cs="Times New Roman"/>
                <w:color w:val="auto"/>
                <w:szCs w:val="21"/>
                <w:highlight w:val="none"/>
              </w:rPr>
              <w:t xml:space="preserve">  本项目与《实施细则》符合性分析</w:t>
            </w:r>
          </w:p>
          <w:tbl>
            <w:tblPr>
              <w:tblStyle w:val="26"/>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4"/>
              <w:gridCol w:w="1360"/>
              <w:gridCol w:w="422"/>
            </w:tblGrid>
            <w:tr w14:paraId="65CA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37451284">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实施细则相关要求</w:t>
                  </w:r>
                </w:p>
              </w:tc>
              <w:tc>
                <w:tcPr>
                  <w:tcW w:w="752" w:type="pct"/>
                  <w:noWrap w:val="0"/>
                  <w:vAlign w:val="center"/>
                </w:tcPr>
                <w:p w14:paraId="6E7EFB3B">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项目情况</w:t>
                  </w:r>
                </w:p>
              </w:tc>
              <w:tc>
                <w:tcPr>
                  <w:tcW w:w="233" w:type="pct"/>
                  <w:noWrap w:val="0"/>
                  <w:vAlign w:val="center"/>
                </w:tcPr>
                <w:p w14:paraId="5DC733B1">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结论</w:t>
                  </w:r>
                </w:p>
              </w:tc>
            </w:tr>
            <w:tr w14:paraId="3F6B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28ABE4C9">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第五条禁止新建﹑改建和扩建不符合全国港口布局规划，以及《四川省内河水运发展规划》《泸州一宜宾一乐山港口群布局规划》《重庆港总体规划</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2035年）》等省级港口布局规划及市级港口总体规划的码头项目。</w:t>
                  </w:r>
                </w:p>
              </w:tc>
              <w:tc>
                <w:tcPr>
                  <w:tcW w:w="752" w:type="pct"/>
                  <w:noWrap w:val="0"/>
                  <w:vAlign w:val="center"/>
                </w:tcPr>
                <w:p w14:paraId="00494D3A">
                  <w:pPr>
                    <w:pageBreakBefore w:val="0"/>
                    <w:kinsoku/>
                    <w:wordWrap/>
                    <w:bidi w:val="0"/>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不属于码头项目</w:t>
                  </w:r>
                </w:p>
              </w:tc>
              <w:tc>
                <w:tcPr>
                  <w:tcW w:w="233" w:type="pct"/>
                  <w:noWrap w:val="0"/>
                  <w:vAlign w:val="center"/>
                </w:tcPr>
                <w:p w14:paraId="26A77588">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333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36A09EC4">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第六条禁止新建﹑改建和扩建不符合</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长江干线过江通道布局规划</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2020-2035年）》的过长江通道项目（含桥梁、隧道</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﹐国家发展改革委同意过长江通道线位调整的除外。</w:t>
                  </w:r>
                </w:p>
              </w:tc>
              <w:tc>
                <w:tcPr>
                  <w:tcW w:w="752" w:type="pct"/>
                  <w:noWrap w:val="0"/>
                  <w:vAlign w:val="center"/>
                </w:tcPr>
                <w:p w14:paraId="6AF5A87A">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不</w:t>
                  </w:r>
                  <w:r>
                    <w:rPr>
                      <w:rFonts w:hint="default" w:ascii="Times New Roman" w:hAnsi="Times New Roman" w:cs="Times New Roman"/>
                      <w:color w:val="auto"/>
                      <w:szCs w:val="21"/>
                      <w:highlight w:val="none"/>
                      <w:lang w:val="en-US" w:eastAsia="zh-CN"/>
                    </w:rPr>
                    <w:t>属于</w:t>
                  </w:r>
                  <w:r>
                    <w:rPr>
                      <w:rFonts w:hint="default" w:ascii="Times New Roman" w:hAnsi="Times New Roman" w:cs="Times New Roman"/>
                      <w:color w:val="auto"/>
                      <w:szCs w:val="21"/>
                      <w:highlight w:val="none"/>
                    </w:rPr>
                    <w:t>过长江通道项</w:t>
                  </w:r>
                  <w:r>
                    <w:rPr>
                      <w:rFonts w:hint="default" w:ascii="Times New Roman" w:hAnsi="Times New Roman" w:cs="Times New Roman"/>
                      <w:color w:val="auto"/>
                      <w:szCs w:val="21"/>
                      <w:highlight w:val="none"/>
                      <w:lang w:val="en-US" w:eastAsia="zh-CN"/>
                    </w:rPr>
                    <w:t>目</w:t>
                  </w:r>
                </w:p>
              </w:tc>
              <w:tc>
                <w:tcPr>
                  <w:tcW w:w="233" w:type="pct"/>
                  <w:noWrap w:val="0"/>
                  <w:vAlign w:val="center"/>
                </w:tcPr>
                <w:p w14:paraId="7D4D1B6C">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4383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15052E3A">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第七条禁止在自然保护区核心区、缓冲区的岸线和河段范围内投资建设旅游和生产经营项目。自然保护区的内部未分区的</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依照核心区和缓冲区的规定管控。</w:t>
                  </w:r>
                </w:p>
              </w:tc>
              <w:tc>
                <w:tcPr>
                  <w:tcW w:w="752" w:type="pct"/>
                  <w:noWrap w:val="0"/>
                  <w:vAlign w:val="center"/>
                </w:tcPr>
                <w:p w14:paraId="6E263793">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不涉及自然保护区</w:t>
                  </w:r>
                </w:p>
              </w:tc>
              <w:tc>
                <w:tcPr>
                  <w:tcW w:w="233" w:type="pct"/>
                  <w:noWrap w:val="0"/>
                  <w:vAlign w:val="center"/>
                </w:tcPr>
                <w:p w14:paraId="159A6CC6">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846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5DA8DED3">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第八条禁止违反风景名胜区规划，在风景名胜区内设立各类开发区。禁止在风景名胜区核心景区的岸线和河段范围内建设宾馆﹑招待所、培训中心、疗养院以及与风景名胜区资源保护无关的项目。</w:t>
                  </w:r>
                </w:p>
              </w:tc>
              <w:tc>
                <w:tcPr>
                  <w:tcW w:w="752" w:type="pct"/>
                  <w:noWrap w:val="0"/>
                  <w:vAlign w:val="center"/>
                </w:tcPr>
                <w:p w14:paraId="670C4E0B">
                  <w:pPr>
                    <w:pageBreakBefore w:val="0"/>
                    <w:kinsoku/>
                    <w:wordWrap/>
                    <w:bidi w:val="0"/>
                    <w:ind w:left="0" w:leftChars="0" w:right="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不涉及风景名胜区</w:t>
                  </w:r>
                </w:p>
              </w:tc>
              <w:tc>
                <w:tcPr>
                  <w:tcW w:w="233" w:type="pct"/>
                  <w:noWrap w:val="0"/>
                  <w:vAlign w:val="center"/>
                </w:tcPr>
                <w:p w14:paraId="57651E74">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7AC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6A8AD2E2">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第九条禁止在饮用水水源地保护区的岸线和河段范围内新建、扩建对水体污染严重的建设项目</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禁止改建增加排</w:t>
                  </w:r>
                  <w:r>
                    <w:rPr>
                      <w:rFonts w:hint="default" w:ascii="Times New Roman" w:hAnsi="Times New Roman" w:cs="Times New Roman"/>
                      <w:color w:val="auto"/>
                      <w:szCs w:val="21"/>
                      <w:highlight w:val="none"/>
                      <w:lang w:eastAsia="zh-CN"/>
                    </w:rPr>
                    <w:t>污力</w:t>
                  </w:r>
                  <w:r>
                    <w:rPr>
                      <w:rFonts w:hint="default" w:ascii="Times New Roman" w:hAnsi="Times New Roman" w:cs="Times New Roman"/>
                      <w:color w:val="auto"/>
                      <w:szCs w:val="21"/>
                      <w:highlight w:val="none"/>
                    </w:rPr>
                    <w:t>的建设项目。</w:t>
                  </w:r>
                </w:p>
              </w:tc>
              <w:tc>
                <w:tcPr>
                  <w:tcW w:w="752" w:type="pct"/>
                  <w:vMerge w:val="restart"/>
                  <w:noWrap w:val="0"/>
                  <w:vAlign w:val="center"/>
                </w:tcPr>
                <w:p w14:paraId="00EFCD28">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本</w:t>
                  </w:r>
                  <w:r>
                    <w:rPr>
                      <w:rFonts w:hint="default" w:ascii="Times New Roman" w:hAnsi="Times New Roman" w:cs="Times New Roman"/>
                      <w:color w:val="auto"/>
                      <w:sz w:val="21"/>
                      <w:szCs w:val="21"/>
                      <w:highlight w:val="none"/>
                      <w:vertAlign w:val="baseline"/>
                      <w:lang w:val="en-US" w:eastAsia="zh-CN"/>
                    </w:rPr>
                    <w:t>项目属于供水设施建设项目，不属于禁止建设项目</w:t>
                  </w:r>
                </w:p>
              </w:tc>
              <w:tc>
                <w:tcPr>
                  <w:tcW w:w="233" w:type="pct"/>
                  <w:vMerge w:val="restart"/>
                  <w:noWrap w:val="0"/>
                  <w:vAlign w:val="center"/>
                </w:tcPr>
                <w:p w14:paraId="6FB727A3">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6896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32F46476">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第十条饮用水水源二级保护区的岸线和河段范围内﹐除遵守准保护区规定外，禁止新建、改建﹑扩建排放污染物的投资建设项目﹔禁止从事对水体有污染的水产养殖等活动。</w:t>
                  </w:r>
                </w:p>
              </w:tc>
              <w:tc>
                <w:tcPr>
                  <w:tcW w:w="752" w:type="pct"/>
                  <w:vMerge w:val="continue"/>
                  <w:noWrap w:val="0"/>
                  <w:vAlign w:val="center"/>
                </w:tcPr>
                <w:p w14:paraId="331CE964">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p>
              </w:tc>
              <w:tc>
                <w:tcPr>
                  <w:tcW w:w="233" w:type="pct"/>
                  <w:vMerge w:val="continue"/>
                  <w:noWrap w:val="0"/>
                  <w:vAlign w:val="center"/>
                </w:tcPr>
                <w:p w14:paraId="4064DB00">
                  <w:pPr>
                    <w:pageBreakBefore w:val="0"/>
                    <w:kinsoku/>
                    <w:wordWrap/>
                    <w:bidi w:val="0"/>
                    <w:ind w:left="0" w:leftChars="0" w:right="0"/>
                    <w:jc w:val="center"/>
                    <w:rPr>
                      <w:rFonts w:hint="default" w:ascii="Times New Roman" w:hAnsi="Times New Roman" w:cs="Times New Roman"/>
                      <w:color w:val="auto"/>
                      <w:szCs w:val="21"/>
                      <w:highlight w:val="none"/>
                    </w:rPr>
                  </w:pPr>
                </w:p>
              </w:tc>
            </w:tr>
            <w:tr w14:paraId="2848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5A6F8FFF">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第十一条饮用水水源―级保护区的岸线和河段范围内，除遵守二级保护区规定外，禁止新建﹑改建、扩建与供水设施和保护水源无关的项目</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以及网箱养殖、</w:t>
                  </w:r>
                  <w:r>
                    <w:rPr>
                      <w:rFonts w:hint="default" w:ascii="Times New Roman" w:hAnsi="Times New Roman" w:cs="Times New Roman"/>
                      <w:color w:val="auto"/>
                      <w:szCs w:val="21"/>
                      <w:highlight w:val="none"/>
                      <w:lang w:eastAsia="zh-CN"/>
                    </w:rPr>
                    <w:t>畜禽</w:t>
                  </w:r>
                  <w:r>
                    <w:rPr>
                      <w:rFonts w:hint="default" w:ascii="Times New Roman" w:hAnsi="Times New Roman" w:cs="Times New Roman"/>
                      <w:color w:val="auto"/>
                      <w:szCs w:val="21"/>
                      <w:highlight w:val="none"/>
                    </w:rPr>
                    <w:t>养殖﹑旅游等可能污染饮用水水体的投资建设项目。</w:t>
                  </w:r>
                </w:p>
              </w:tc>
              <w:tc>
                <w:tcPr>
                  <w:tcW w:w="752" w:type="pct"/>
                  <w:vMerge w:val="continue"/>
                  <w:noWrap w:val="0"/>
                  <w:vAlign w:val="center"/>
                </w:tcPr>
                <w:p w14:paraId="77455862">
                  <w:pPr>
                    <w:pageBreakBefore w:val="0"/>
                    <w:kinsoku/>
                    <w:wordWrap/>
                    <w:bidi w:val="0"/>
                    <w:ind w:left="0" w:leftChars="0" w:right="0"/>
                    <w:jc w:val="center"/>
                    <w:rPr>
                      <w:rFonts w:hint="default" w:ascii="Times New Roman" w:hAnsi="Times New Roman" w:cs="Times New Roman"/>
                      <w:color w:val="auto"/>
                      <w:szCs w:val="21"/>
                      <w:highlight w:val="none"/>
                    </w:rPr>
                  </w:pPr>
                </w:p>
              </w:tc>
              <w:tc>
                <w:tcPr>
                  <w:tcW w:w="233" w:type="pct"/>
                  <w:vMerge w:val="continue"/>
                  <w:noWrap w:val="0"/>
                  <w:vAlign w:val="center"/>
                </w:tcPr>
                <w:p w14:paraId="061F739B">
                  <w:pPr>
                    <w:pageBreakBefore w:val="0"/>
                    <w:kinsoku/>
                    <w:wordWrap/>
                    <w:bidi w:val="0"/>
                    <w:ind w:left="0" w:leftChars="0" w:right="0"/>
                    <w:jc w:val="center"/>
                    <w:rPr>
                      <w:rFonts w:hint="default" w:ascii="Times New Roman" w:hAnsi="Times New Roman" w:cs="Times New Roman"/>
                      <w:color w:val="auto"/>
                      <w:szCs w:val="21"/>
                      <w:highlight w:val="none"/>
                    </w:rPr>
                  </w:pPr>
                </w:p>
              </w:tc>
            </w:tr>
            <w:tr w14:paraId="4ADC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24E388DB">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第十二条禁止在水产种质资源保护区岸线和河段范围内新建围湖造田、围湖造地或挖沙采石等投资建设项目。</w:t>
                  </w:r>
                </w:p>
              </w:tc>
              <w:tc>
                <w:tcPr>
                  <w:tcW w:w="752" w:type="pct"/>
                  <w:noWrap w:val="0"/>
                  <w:vAlign w:val="center"/>
                </w:tcPr>
                <w:p w14:paraId="4295CEC6">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33" w:type="pct"/>
                  <w:noWrap w:val="0"/>
                  <w:vAlign w:val="center"/>
                </w:tcPr>
                <w:p w14:paraId="6D5BEA85">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1144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4FAEF43F">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第十三条禁止在国家湿地公园的岸线和河段范围内开（围）垦、填埋或者排干湿地﹐截断湿地水源，挖沙、采矿</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倾倒有毒有害物质、废弃物、垃圾，从事房地产、度假村、高尔夫球场、风力发电、光伏发电等任何不符合主体功能定位的建设项目和开发活动，破坏野生动物栖息地和迁徙通道、</w:t>
                  </w:r>
                  <w:r>
                    <w:rPr>
                      <w:rFonts w:hint="default" w:ascii="Times New Roman" w:hAnsi="Times New Roman" w:cs="Times New Roman"/>
                      <w:color w:val="auto"/>
                      <w:szCs w:val="21"/>
                      <w:highlight w:val="none"/>
                      <w:lang w:eastAsia="zh-CN"/>
                    </w:rPr>
                    <w:t>鱼类</w:t>
                  </w:r>
                  <w:r>
                    <w:rPr>
                      <w:rFonts w:hint="eastAsia" w:ascii="Times New Roman" w:hAnsi="Times New Roman" w:cs="Times New Roman"/>
                      <w:color w:val="auto"/>
                      <w:szCs w:val="21"/>
                      <w:highlight w:val="none"/>
                      <w:lang w:eastAsia="zh-CN"/>
                    </w:rPr>
                    <w:t>洄游</w:t>
                  </w:r>
                  <w:r>
                    <w:rPr>
                      <w:rFonts w:hint="default" w:ascii="Times New Roman" w:hAnsi="Times New Roman" w:cs="Times New Roman"/>
                      <w:color w:val="auto"/>
                      <w:szCs w:val="21"/>
                      <w:highlight w:val="none"/>
                    </w:rPr>
                    <w:t>通道。</w:t>
                  </w:r>
                </w:p>
              </w:tc>
              <w:tc>
                <w:tcPr>
                  <w:tcW w:w="752" w:type="pct"/>
                  <w:noWrap w:val="0"/>
                  <w:vAlign w:val="center"/>
                </w:tcPr>
                <w:p w14:paraId="1B39BAFC">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不涉及</w:t>
                  </w:r>
                </w:p>
              </w:tc>
              <w:tc>
                <w:tcPr>
                  <w:tcW w:w="233" w:type="pct"/>
                  <w:noWrap w:val="0"/>
                  <w:vAlign w:val="center"/>
                </w:tcPr>
                <w:p w14:paraId="67A2E17B">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CA6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18DF271A">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752" w:type="pct"/>
                  <w:noWrap w:val="0"/>
                  <w:vAlign w:val="center"/>
                </w:tcPr>
                <w:p w14:paraId="6795CE14">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不涉及</w:t>
                  </w:r>
                </w:p>
              </w:tc>
              <w:tc>
                <w:tcPr>
                  <w:tcW w:w="233" w:type="pct"/>
                  <w:noWrap w:val="0"/>
                  <w:vAlign w:val="center"/>
                </w:tcPr>
                <w:p w14:paraId="2CDCBBD6">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28B0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3F94D60E">
                  <w:pPr>
                    <w:pageBreakBefore w:val="0"/>
                    <w:kinsoku/>
                    <w:wordWrap/>
                    <w:bidi w:val="0"/>
                    <w:ind w:left="0" w:leftChars="0" w:right="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第十五条禁止在《全国重要江河湖泊水功能区划》划定的河段及湖泊保护区、保留区内投资建设不利于水资源及自然生态保护的项目。</w:t>
                  </w:r>
                </w:p>
              </w:tc>
              <w:tc>
                <w:tcPr>
                  <w:tcW w:w="752" w:type="pct"/>
                  <w:noWrap w:val="0"/>
                  <w:vAlign w:val="center"/>
                </w:tcPr>
                <w:p w14:paraId="08639D68">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不涉及</w:t>
                  </w:r>
                </w:p>
              </w:tc>
              <w:tc>
                <w:tcPr>
                  <w:tcW w:w="233" w:type="pct"/>
                  <w:noWrap w:val="0"/>
                  <w:vAlign w:val="center"/>
                </w:tcPr>
                <w:p w14:paraId="262BC53E">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593A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05EEB7EE">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第十六条禁止在长江流域江河、湖泊新设、改设或者扩大排污口，经有管辖权的生态环境主管部门或者长江流域生态环境监督管理机构同意的除外。</w:t>
                  </w:r>
                </w:p>
              </w:tc>
              <w:tc>
                <w:tcPr>
                  <w:tcW w:w="752" w:type="pct"/>
                  <w:noWrap w:val="0"/>
                  <w:vAlign w:val="center"/>
                </w:tcPr>
                <w:p w14:paraId="6DC22952">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不涉及</w:t>
                  </w:r>
                </w:p>
              </w:tc>
              <w:tc>
                <w:tcPr>
                  <w:tcW w:w="233" w:type="pct"/>
                  <w:noWrap w:val="0"/>
                  <w:vAlign w:val="center"/>
                </w:tcPr>
                <w:p w14:paraId="1DED9984">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46FC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6B4C1C86">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第十七条禁止在长江干流﹑大渡河、岷江、赤水河、沱江、嘉陵江、乌江、汉江和51个（四川省45个、重庆市6个）水生生物保护区开展生产性捕捞。</w:t>
                  </w:r>
                </w:p>
              </w:tc>
              <w:tc>
                <w:tcPr>
                  <w:tcW w:w="752" w:type="pct"/>
                  <w:noWrap w:val="0"/>
                  <w:vAlign w:val="center"/>
                </w:tcPr>
                <w:p w14:paraId="3601B614">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不涉及</w:t>
                  </w:r>
                </w:p>
              </w:tc>
              <w:tc>
                <w:tcPr>
                  <w:tcW w:w="233" w:type="pct"/>
                  <w:noWrap w:val="0"/>
                  <w:vAlign w:val="center"/>
                </w:tcPr>
                <w:p w14:paraId="69C13292">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B71C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013" w:type="pct"/>
                  <w:noWrap w:val="0"/>
                  <w:vAlign w:val="center"/>
                </w:tcPr>
                <w:p w14:paraId="622EAD1B">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第十八条禁止在长江干支流、重要湖泊岸线一公里范围内新建﹑扩建化工园区和化工项目。</w:t>
                  </w:r>
                </w:p>
              </w:tc>
              <w:tc>
                <w:tcPr>
                  <w:tcW w:w="752" w:type="pct"/>
                  <w:shd w:val="clear" w:color="auto" w:fill="auto"/>
                  <w:noWrap w:val="0"/>
                  <w:vAlign w:val="center"/>
                </w:tcPr>
                <w:p w14:paraId="5618F227">
                  <w:pPr>
                    <w:pageBreakBefore w:val="0"/>
                    <w:kinsoku/>
                    <w:wordWrap/>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不涉及</w:t>
                  </w:r>
                </w:p>
              </w:tc>
              <w:tc>
                <w:tcPr>
                  <w:tcW w:w="233" w:type="pct"/>
                  <w:shd w:val="clear" w:color="auto" w:fill="auto"/>
                  <w:noWrap w:val="0"/>
                  <w:vAlign w:val="center"/>
                </w:tcPr>
                <w:p w14:paraId="6F33429C">
                  <w:pPr>
                    <w:pageBreakBefore w:val="0"/>
                    <w:kinsoku/>
                    <w:wordWrap/>
                    <w:bidi w:val="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符合</w:t>
                  </w:r>
                </w:p>
              </w:tc>
            </w:tr>
            <w:tr w14:paraId="7981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013" w:type="pct"/>
                  <w:noWrap w:val="0"/>
                  <w:vAlign w:val="center"/>
                </w:tcPr>
                <w:p w14:paraId="49105947">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第十九条禁止在长江干流岸线三公里范围内和重要支流岸线一公里范围内新建﹑改建、扩建尾矿库、冶炼渣库、磷石膏库，以提升安全、生态环境保护水平为目的的改建除外。</w:t>
                  </w:r>
                </w:p>
              </w:tc>
              <w:tc>
                <w:tcPr>
                  <w:tcW w:w="752" w:type="pct"/>
                  <w:shd w:val="clear" w:color="auto" w:fill="auto"/>
                  <w:noWrap w:val="0"/>
                  <w:vAlign w:val="center"/>
                </w:tcPr>
                <w:p w14:paraId="41001C45">
                  <w:pPr>
                    <w:pageBreakBefore w:val="0"/>
                    <w:kinsoku/>
                    <w:wordWrap/>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不涉及</w:t>
                  </w:r>
                </w:p>
              </w:tc>
              <w:tc>
                <w:tcPr>
                  <w:tcW w:w="233" w:type="pct"/>
                  <w:shd w:val="clear" w:color="auto" w:fill="auto"/>
                  <w:noWrap w:val="0"/>
                  <w:vAlign w:val="center"/>
                </w:tcPr>
                <w:p w14:paraId="403E3D87">
                  <w:pPr>
                    <w:pageBreakBefore w:val="0"/>
                    <w:kinsoku/>
                    <w:wordWrap/>
                    <w:bidi w:val="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符合</w:t>
                  </w:r>
                </w:p>
              </w:tc>
            </w:tr>
            <w:tr w14:paraId="3AB7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67986820">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第二十条禁止在生态保护红线区域、永久基本农田集中区域和其他需要特别保护的区域内选址建设尾矿库、冶炼渣库、磷石膏库。</w:t>
                  </w:r>
                </w:p>
              </w:tc>
              <w:tc>
                <w:tcPr>
                  <w:tcW w:w="752" w:type="pct"/>
                  <w:shd w:val="clear" w:color="auto" w:fill="auto"/>
                  <w:noWrap w:val="0"/>
                  <w:vAlign w:val="center"/>
                </w:tcPr>
                <w:p w14:paraId="2071610B">
                  <w:pPr>
                    <w:pageBreakBefore w:val="0"/>
                    <w:kinsoku/>
                    <w:wordWrap/>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不涉及</w:t>
                  </w:r>
                </w:p>
              </w:tc>
              <w:tc>
                <w:tcPr>
                  <w:tcW w:w="233" w:type="pct"/>
                  <w:shd w:val="clear" w:color="auto" w:fill="auto"/>
                  <w:noWrap w:val="0"/>
                  <w:vAlign w:val="center"/>
                </w:tcPr>
                <w:p w14:paraId="0465D991">
                  <w:pPr>
                    <w:pageBreakBefore w:val="0"/>
                    <w:kinsoku/>
                    <w:wordWrap/>
                    <w:bidi w:val="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符合</w:t>
                  </w:r>
                </w:p>
              </w:tc>
            </w:tr>
            <w:tr w14:paraId="1317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2A426D5A">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第二十—条禁止在合规园区外新建、扩建钢铁、石化、化工、焦化、建材、有色、制浆造纸等高污染项目。</w:t>
                  </w:r>
                </w:p>
              </w:tc>
              <w:tc>
                <w:tcPr>
                  <w:tcW w:w="752" w:type="pct"/>
                  <w:shd w:val="clear" w:color="auto" w:fill="auto"/>
                  <w:noWrap w:val="0"/>
                  <w:vAlign w:val="center"/>
                </w:tcPr>
                <w:p w14:paraId="574154E8">
                  <w:pPr>
                    <w:pageBreakBefore w:val="0"/>
                    <w:kinsoku/>
                    <w:wordWrap/>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不涉及</w:t>
                  </w:r>
                </w:p>
              </w:tc>
              <w:tc>
                <w:tcPr>
                  <w:tcW w:w="233" w:type="pct"/>
                  <w:shd w:val="clear" w:color="auto" w:fill="auto"/>
                  <w:noWrap w:val="0"/>
                  <w:vAlign w:val="center"/>
                </w:tcPr>
                <w:p w14:paraId="276B0BD4">
                  <w:pPr>
                    <w:pageBreakBefore w:val="0"/>
                    <w:kinsoku/>
                    <w:wordWrap/>
                    <w:bidi w:val="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符合</w:t>
                  </w:r>
                </w:p>
              </w:tc>
            </w:tr>
            <w:tr w14:paraId="77F6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752D42A4">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第二十二条禁止新建、扩建不符合国家石化、现代煤化工等产业布局规划的项目。</w:t>
                  </w:r>
                </w:p>
              </w:tc>
              <w:tc>
                <w:tcPr>
                  <w:tcW w:w="752" w:type="pct"/>
                  <w:shd w:val="clear" w:color="auto" w:fill="auto"/>
                  <w:noWrap w:val="0"/>
                  <w:vAlign w:val="center"/>
                </w:tcPr>
                <w:p w14:paraId="1D1D0390">
                  <w:pPr>
                    <w:pageBreakBefore w:val="0"/>
                    <w:kinsoku/>
                    <w:wordWrap/>
                    <w:bidi w:val="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不涉及</w:t>
                  </w:r>
                </w:p>
              </w:tc>
              <w:tc>
                <w:tcPr>
                  <w:tcW w:w="233" w:type="pct"/>
                  <w:shd w:val="clear" w:color="auto" w:fill="auto"/>
                  <w:noWrap w:val="0"/>
                  <w:vAlign w:val="center"/>
                </w:tcPr>
                <w:p w14:paraId="65A1A966">
                  <w:pPr>
                    <w:pageBreakBefore w:val="0"/>
                    <w:kinsoku/>
                    <w:wordWrap/>
                    <w:bidi w:val="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rPr>
                    <w:t>符合</w:t>
                  </w:r>
                </w:p>
              </w:tc>
            </w:tr>
            <w:tr w14:paraId="2F1E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73B13875">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第二十三条禁止新建、扩建法律法规和相关政策明令禁止的落后产能项目。对《产业结构调整指导目录》中淘汰类项目</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禁止投资限制类的新建项目</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禁止投资</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对属于限制类的现有生产能力，允许企业在一定期限内采取措施改造升级。</w:t>
                  </w:r>
                </w:p>
              </w:tc>
              <w:tc>
                <w:tcPr>
                  <w:tcW w:w="752" w:type="pct"/>
                  <w:noWrap w:val="0"/>
                  <w:vAlign w:val="center"/>
                </w:tcPr>
                <w:p w14:paraId="74FC2822">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本项目属于</w:t>
                  </w:r>
                  <w:r>
                    <w:rPr>
                      <w:rFonts w:hint="eastAsia" w:ascii="Times New Roman" w:hAnsi="Times New Roman" w:cs="Times New Roman"/>
                      <w:color w:val="auto"/>
                      <w:szCs w:val="21"/>
                      <w:highlight w:val="none"/>
                      <w:lang w:val="en-US" w:eastAsia="zh-CN"/>
                    </w:rPr>
                    <w:t>鼓励</w:t>
                  </w:r>
                  <w:r>
                    <w:rPr>
                      <w:rFonts w:hint="default" w:ascii="Times New Roman" w:hAnsi="Times New Roman" w:cs="Times New Roman"/>
                      <w:color w:val="auto"/>
                      <w:szCs w:val="21"/>
                      <w:highlight w:val="none"/>
                      <w:lang w:val="en-US" w:eastAsia="zh-CN"/>
                    </w:rPr>
                    <w:t>类</w:t>
                  </w:r>
                </w:p>
              </w:tc>
              <w:tc>
                <w:tcPr>
                  <w:tcW w:w="233" w:type="pct"/>
                  <w:noWrap w:val="0"/>
                  <w:vAlign w:val="center"/>
                </w:tcPr>
                <w:p w14:paraId="34D11B72">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6182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27BB8530">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第二十四条禁止新建、扩建不符合国家产能置换要求的严重过剩产能行业的项目。对于不符合国家产能置换要求的严重过剩产能行业，不得以其他任何名义、任何方式备案新增产能项目。</w:t>
                  </w:r>
                </w:p>
              </w:tc>
              <w:tc>
                <w:tcPr>
                  <w:tcW w:w="752" w:type="pct"/>
                  <w:noWrap w:val="0"/>
                  <w:vAlign w:val="center"/>
                </w:tcPr>
                <w:p w14:paraId="11856026">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本项目不属于</w:t>
                  </w:r>
                  <w:r>
                    <w:rPr>
                      <w:rFonts w:hint="default" w:ascii="Times New Roman" w:hAnsi="Times New Roman" w:cs="Times New Roman"/>
                      <w:color w:val="auto"/>
                      <w:szCs w:val="21"/>
                      <w:highlight w:val="none"/>
                    </w:rPr>
                    <w:t>严重过剩产能行业的项目</w:t>
                  </w:r>
                </w:p>
              </w:tc>
              <w:tc>
                <w:tcPr>
                  <w:tcW w:w="233" w:type="pct"/>
                  <w:noWrap w:val="0"/>
                  <w:vAlign w:val="center"/>
                </w:tcPr>
                <w:p w14:paraId="70959FA5">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6743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3C300BE2">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第二十五条禁止建设以下燃油汽车投资项目（不在中国境内销售产品的投资项目除外）</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 xml:space="preserve">一）新建独立燃油汽车企业﹔ </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二）现有汽车企业跨乘用车、商用车类别建设燃油汽车生产能力﹔</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三）外省现有燃油汽车企业整体搬迁至本省</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 xml:space="preserve">列入国家级区域发展规划或不改变企业股权结构的项目除外）﹔ </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四）对行业管理部门特别公示的燃油汽车企业进行投资（企业原有股东投资或将该企业转为非独立法人的投资项目除外）。</w:t>
                  </w:r>
                </w:p>
              </w:tc>
              <w:tc>
                <w:tcPr>
                  <w:tcW w:w="752" w:type="pct"/>
                  <w:noWrap w:val="0"/>
                  <w:vAlign w:val="center"/>
                </w:tcPr>
                <w:p w14:paraId="2815D336">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本项目不属于</w:t>
                  </w:r>
                  <w:r>
                    <w:rPr>
                      <w:rFonts w:hint="default" w:ascii="Times New Roman" w:hAnsi="Times New Roman" w:cs="Times New Roman"/>
                      <w:color w:val="auto"/>
                      <w:szCs w:val="21"/>
                      <w:highlight w:val="none"/>
                    </w:rPr>
                    <w:t>燃油汽车投资项目</w:t>
                  </w:r>
                </w:p>
              </w:tc>
              <w:tc>
                <w:tcPr>
                  <w:tcW w:w="233" w:type="pct"/>
                  <w:noWrap w:val="0"/>
                  <w:vAlign w:val="center"/>
                </w:tcPr>
                <w:p w14:paraId="2471684A">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51D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013" w:type="pct"/>
                  <w:noWrap w:val="0"/>
                  <w:vAlign w:val="center"/>
                </w:tcPr>
                <w:p w14:paraId="1EF7E888">
                  <w:pPr>
                    <w:pageBreakBefore w:val="0"/>
                    <w:kinsoku/>
                    <w:wordWrap/>
                    <w:bidi w:val="0"/>
                    <w:ind w:left="0" w:leftChars="0" w:right="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第二十六条禁止新建﹑扩建不符合要求的高耗能﹑高排放、低水平项目。</w:t>
                  </w:r>
                </w:p>
              </w:tc>
              <w:tc>
                <w:tcPr>
                  <w:tcW w:w="752" w:type="pct"/>
                  <w:noWrap w:val="0"/>
                  <w:vAlign w:val="center"/>
                </w:tcPr>
                <w:p w14:paraId="728AB707">
                  <w:pPr>
                    <w:pageBreakBefore w:val="0"/>
                    <w:kinsoku/>
                    <w:wordWrap/>
                    <w:bidi w:val="0"/>
                    <w:ind w:left="0" w:leftChars="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本项目不属于</w:t>
                  </w:r>
                  <w:r>
                    <w:rPr>
                      <w:rFonts w:hint="default" w:ascii="Times New Roman" w:hAnsi="Times New Roman" w:cs="Times New Roman"/>
                      <w:color w:val="auto"/>
                      <w:szCs w:val="21"/>
                      <w:highlight w:val="none"/>
                    </w:rPr>
                    <w:t>高耗能﹑高排放、低水平项目</w:t>
                  </w:r>
                </w:p>
              </w:tc>
              <w:tc>
                <w:tcPr>
                  <w:tcW w:w="233" w:type="pct"/>
                  <w:noWrap w:val="0"/>
                  <w:vAlign w:val="center"/>
                </w:tcPr>
                <w:p w14:paraId="7D142FF0">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4A95644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firstLine="480" w:firstLineChars="200"/>
              <w:textAlignment w:val="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综上，本</w:t>
            </w:r>
            <w:r>
              <w:rPr>
                <w:rFonts w:hint="default" w:ascii="Times New Roman" w:hAnsi="Times New Roman" w:cs="Times New Roman"/>
                <w:color w:val="auto"/>
                <w:sz w:val="24"/>
                <w:szCs w:val="24"/>
                <w:highlight w:val="none"/>
              </w:rPr>
              <w:t>项目建设满足</w:t>
            </w:r>
            <w:r>
              <w:rPr>
                <w:rFonts w:hint="default" w:ascii="Times New Roman" w:hAnsi="Times New Roman" w:cs="Times New Roman"/>
                <w:color w:val="auto"/>
                <w:sz w:val="24"/>
                <w:szCs w:val="24"/>
              </w:rPr>
              <w:t>《四川省、重庆市长江经济带发展负面清单实施细则（试行，2022年版）》（川长江办〔2022〕17 号）</w:t>
            </w:r>
            <w:r>
              <w:rPr>
                <w:rFonts w:hint="default" w:ascii="Times New Roman" w:hAnsi="Times New Roman" w:cs="Times New Roman"/>
                <w:color w:val="auto"/>
                <w:sz w:val="24"/>
                <w:szCs w:val="24"/>
                <w:highlight w:val="none"/>
              </w:rPr>
              <w:t>的相应要求。</w:t>
            </w:r>
          </w:p>
          <w:p w14:paraId="6B9A29C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w:t>
            </w:r>
            <w:r>
              <w:rPr>
                <w:rFonts w:hint="default" w:ascii="Times New Roman" w:hAnsi="Times New Roman" w:cs="Times New Roman"/>
                <w:b/>
                <w:bCs w:val="0"/>
                <w:color w:val="auto"/>
                <w:kern w:val="0"/>
                <w:sz w:val="24"/>
                <w:lang w:val="en-US" w:eastAsia="zh-CN"/>
              </w:rPr>
              <w:t>与</w:t>
            </w:r>
            <w:r>
              <w:rPr>
                <w:rFonts w:hint="default" w:ascii="Times New Roman" w:hAnsi="Times New Roman" w:eastAsia="宋体" w:cs="Times New Roman"/>
                <w:b/>
                <w:bCs w:val="0"/>
                <w:color w:val="auto"/>
                <w:kern w:val="0"/>
                <w:sz w:val="24"/>
                <w:lang w:val="en-US" w:eastAsia="zh-CN"/>
              </w:rPr>
              <w:t>《四川省嘉陵江流域生态环境保护条例》（2024年修正）符合性分析</w:t>
            </w:r>
          </w:p>
          <w:p w14:paraId="2326F5C1">
            <w:pPr>
              <w:keepNext w:val="0"/>
              <w:keepLines w:val="0"/>
              <w:pageBreakBefore w:val="0"/>
              <w:widowControl w:val="0"/>
              <w:kinsoku/>
              <w:wordWrap/>
              <w:overflowPunct/>
              <w:topLinePunct w:val="0"/>
              <w:autoSpaceDE/>
              <w:autoSpaceDN/>
              <w:bidi w:val="0"/>
              <w:adjustRightInd/>
              <w:snapToGrid/>
              <w:spacing w:line="360" w:lineRule="auto"/>
              <w:ind w:left="0" w:right="0" w:firstLine="522"/>
              <w:jc w:val="left"/>
              <w:textAlignment w:val="auto"/>
              <w:rPr>
                <w:rFonts w:hint="default" w:ascii="Times New Roman" w:hAnsi="Times New Roman" w:eastAsia="黑体" w:cs="Times New Roman"/>
                <w:color w:val="auto"/>
                <w:szCs w:val="21"/>
                <w:highlight w:val="none"/>
              </w:rPr>
            </w:pPr>
            <w:r>
              <w:rPr>
                <w:rFonts w:hint="default" w:ascii="Times New Roman" w:hAnsi="Times New Roman" w:eastAsia="宋体" w:cs="Times New Roman"/>
                <w:color w:val="auto"/>
                <w:spacing w:val="10"/>
                <w:sz w:val="24"/>
                <w:szCs w:val="24"/>
              </w:rPr>
              <w:t>本项目与嘉陵江流</w:t>
            </w:r>
            <w:r>
              <w:rPr>
                <w:rFonts w:hint="default" w:ascii="Times New Roman" w:hAnsi="Times New Roman" w:eastAsia="宋体" w:cs="Times New Roman"/>
                <w:color w:val="auto"/>
                <w:spacing w:val="5"/>
                <w:sz w:val="24"/>
                <w:szCs w:val="24"/>
              </w:rPr>
              <w:t>域</w:t>
            </w:r>
            <w:r>
              <w:rPr>
                <w:rFonts w:hint="default" w:ascii="Times New Roman" w:hAnsi="Times New Roman" w:eastAsia="宋体" w:cs="Times New Roman"/>
                <w:color w:val="auto"/>
                <w:spacing w:val="16"/>
                <w:sz w:val="24"/>
                <w:szCs w:val="24"/>
              </w:rPr>
              <w:t>保</w:t>
            </w:r>
            <w:r>
              <w:rPr>
                <w:rFonts w:hint="default" w:ascii="Times New Roman" w:hAnsi="Times New Roman" w:eastAsia="宋体" w:cs="Times New Roman"/>
                <w:color w:val="auto"/>
                <w:spacing w:val="8"/>
                <w:sz w:val="24"/>
                <w:szCs w:val="24"/>
              </w:rPr>
              <w:t>护条例的符合性分析见下表：</w:t>
            </w:r>
          </w:p>
          <w:p w14:paraId="66AD191C">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eastAsia="黑体" w:cs="Times New Roman"/>
                <w:color w:val="auto"/>
                <w:szCs w:val="21"/>
                <w:highlight w:val="none"/>
                <w:vertAlign w:val="baseline"/>
                <w:lang w:val="en-US" w:eastAsia="zh-CN"/>
              </w:rPr>
            </w:pPr>
            <w:r>
              <w:rPr>
                <w:rFonts w:hint="default" w:ascii="Times New Roman" w:hAnsi="Times New Roman" w:eastAsia="黑体" w:cs="Times New Roman"/>
                <w:color w:val="auto"/>
                <w:szCs w:val="21"/>
                <w:highlight w:val="none"/>
              </w:rPr>
              <w:t>表 1-</w:t>
            </w:r>
            <w:r>
              <w:rPr>
                <w:rFonts w:hint="eastAsia" w:ascii="Times New Roman" w:hAnsi="Times New Roman" w:eastAsia="黑体" w:cs="Times New Roman"/>
                <w:color w:val="auto"/>
                <w:szCs w:val="21"/>
                <w:highlight w:val="none"/>
                <w:lang w:val="en-US" w:eastAsia="zh-CN"/>
              </w:rPr>
              <w:t>11</w:t>
            </w:r>
            <w:r>
              <w:rPr>
                <w:rFonts w:hint="default" w:ascii="Times New Roman" w:hAnsi="Times New Roman" w:eastAsia="黑体" w:cs="Times New Roman"/>
                <w:color w:val="auto"/>
                <w:szCs w:val="21"/>
                <w:highlight w:val="none"/>
              </w:rPr>
              <w:t xml:space="preserve">  本项目与“嘉陵江流域保护条例”的符合性分析</w:t>
            </w:r>
          </w:p>
          <w:tbl>
            <w:tblPr>
              <w:tblStyle w:val="26"/>
              <w:tblW w:w="90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5316"/>
              <w:gridCol w:w="1950"/>
              <w:gridCol w:w="939"/>
            </w:tblGrid>
            <w:tr w14:paraId="7E0C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6CDD9D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16"/>
                      <w:kern w:val="2"/>
                      <w:sz w:val="21"/>
                      <w:szCs w:val="21"/>
                      <w:lang w:val="en-US" w:eastAsia="zh-CN" w:bidi="ar-SA"/>
                    </w:rPr>
                  </w:pPr>
                  <w:r>
                    <w:rPr>
                      <w:rFonts w:hint="default" w:ascii="Times New Roman" w:hAnsi="Times New Roman" w:eastAsia="宋体" w:cs="Times New Roman"/>
                      <w:b/>
                      <w:bCs/>
                      <w:color w:val="auto"/>
                      <w:spacing w:val="16"/>
                      <w:sz w:val="21"/>
                      <w:szCs w:val="21"/>
                      <w:lang w:val="en-US" w:eastAsia="zh-CN"/>
                    </w:rPr>
                    <w:t>序号</w:t>
                  </w:r>
                </w:p>
              </w:tc>
              <w:tc>
                <w:tcPr>
                  <w:tcW w:w="5316" w:type="dxa"/>
                  <w:noWrap w:val="0"/>
                  <w:vAlign w:val="center"/>
                </w:tcPr>
                <w:p w14:paraId="19202C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hanging="25" w:firstLineChars="0"/>
                    <w:jc w:val="center"/>
                    <w:textAlignment w:val="auto"/>
                    <w:rPr>
                      <w:rFonts w:hint="default" w:ascii="Times New Roman" w:hAnsi="Times New Roman" w:eastAsia="宋体" w:cs="Times New Roman"/>
                      <w:b/>
                      <w:bCs/>
                      <w:color w:val="auto"/>
                      <w:spacing w:val="-3"/>
                      <w:kern w:val="2"/>
                      <w:sz w:val="21"/>
                      <w:szCs w:val="21"/>
                      <w:lang w:val="en-US" w:eastAsia="zh-CN" w:bidi="ar-SA"/>
                    </w:rPr>
                  </w:pPr>
                  <w:r>
                    <w:rPr>
                      <w:rFonts w:hint="default" w:ascii="Times New Roman" w:hAnsi="Times New Roman" w:cs="Times New Roman"/>
                      <w:b/>
                      <w:bCs/>
                      <w:color w:val="auto"/>
                      <w:sz w:val="21"/>
                      <w:szCs w:val="21"/>
                      <w:highlight w:val="none"/>
                      <w:lang w:val="en-US" w:eastAsia="zh-CN"/>
                    </w:rPr>
                    <w:t>保护条例</w:t>
                  </w:r>
                  <w:r>
                    <w:rPr>
                      <w:rFonts w:hint="default" w:ascii="Times New Roman" w:hAnsi="Times New Roman" w:cs="Times New Roman"/>
                      <w:b/>
                      <w:bCs/>
                      <w:color w:val="auto"/>
                      <w:sz w:val="21"/>
                      <w:szCs w:val="21"/>
                      <w:highlight w:val="none"/>
                    </w:rPr>
                    <w:t>相关要求</w:t>
                  </w:r>
                </w:p>
              </w:tc>
              <w:tc>
                <w:tcPr>
                  <w:tcW w:w="1950" w:type="dxa"/>
                  <w:noWrap w:val="0"/>
                  <w:vAlign w:val="center"/>
                </w:tcPr>
                <w:p w14:paraId="5229EC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2" w:firstLineChars="0"/>
                    <w:jc w:val="center"/>
                    <w:textAlignment w:val="auto"/>
                    <w:rPr>
                      <w:rFonts w:hint="default" w:ascii="Times New Roman" w:hAnsi="Times New Roman" w:eastAsia="宋体" w:cs="Times New Roman"/>
                      <w:b/>
                      <w:bCs/>
                      <w:color w:val="auto"/>
                      <w:spacing w:val="-30"/>
                      <w:kern w:val="2"/>
                      <w:sz w:val="21"/>
                      <w:szCs w:val="21"/>
                      <w:lang w:val="en-US" w:eastAsia="zh-CN" w:bidi="ar-SA"/>
                    </w:rPr>
                  </w:pPr>
                  <w:r>
                    <w:rPr>
                      <w:rFonts w:hint="default" w:ascii="Times New Roman" w:hAnsi="Times New Roman" w:eastAsia="宋体" w:cs="Times New Roman"/>
                      <w:b/>
                      <w:bCs/>
                      <w:color w:val="auto"/>
                      <w:spacing w:val="14"/>
                      <w:sz w:val="21"/>
                      <w:szCs w:val="21"/>
                      <w:lang w:val="en-US" w:eastAsia="zh-CN"/>
                    </w:rPr>
                    <w:t>本项目</w:t>
                  </w:r>
                </w:p>
              </w:tc>
              <w:tc>
                <w:tcPr>
                  <w:tcW w:w="939" w:type="dxa"/>
                  <w:noWrap w:val="0"/>
                  <w:vAlign w:val="center"/>
                </w:tcPr>
                <w:p w14:paraId="67FE56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color w:val="auto"/>
                      <w:spacing w:val="14"/>
                      <w:kern w:val="2"/>
                      <w:sz w:val="21"/>
                      <w:szCs w:val="21"/>
                      <w:lang w:val="en-US" w:eastAsia="zh-CN" w:bidi="ar-SA"/>
                    </w:rPr>
                  </w:pPr>
                  <w:r>
                    <w:rPr>
                      <w:rFonts w:hint="default" w:ascii="Times New Roman" w:hAnsi="Times New Roman" w:eastAsia="宋体" w:cs="Times New Roman"/>
                      <w:b/>
                      <w:bCs/>
                      <w:color w:val="auto"/>
                      <w:spacing w:val="14"/>
                      <w:sz w:val="21"/>
                      <w:szCs w:val="21"/>
                      <w:lang w:val="en-US" w:eastAsia="zh-CN"/>
                    </w:rPr>
                    <w:t>符合性</w:t>
                  </w:r>
                </w:p>
              </w:tc>
            </w:tr>
            <w:tr w14:paraId="0175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47A183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第</w:t>
                  </w:r>
                  <w:r>
                    <w:rPr>
                      <w:rFonts w:hint="default" w:ascii="Times New Roman" w:hAnsi="Times New Roman" w:eastAsia="宋体" w:cs="Times New Roman"/>
                      <w:color w:val="auto"/>
                      <w:spacing w:val="-2"/>
                      <w:sz w:val="21"/>
                      <w:szCs w:val="21"/>
                      <w:lang w:val="en-US" w:eastAsia="zh-CN"/>
                    </w:rPr>
                    <w:t>十七</w:t>
                  </w:r>
                  <w:r>
                    <w:rPr>
                      <w:rFonts w:hint="default" w:ascii="Times New Roman" w:hAnsi="Times New Roman" w:eastAsia="宋体" w:cs="Times New Roman"/>
                      <w:color w:val="auto"/>
                      <w:spacing w:val="-2"/>
                      <w:sz w:val="21"/>
                      <w:szCs w:val="21"/>
                    </w:rPr>
                    <w:t>条</w:t>
                  </w:r>
                </w:p>
              </w:tc>
              <w:tc>
                <w:tcPr>
                  <w:tcW w:w="5316" w:type="dxa"/>
                  <w:noWrap w:val="0"/>
                  <w:vAlign w:val="center"/>
                </w:tcPr>
                <w:p w14:paraId="7166CD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hanging="23"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3"/>
                      <w:sz w:val="21"/>
                      <w:szCs w:val="21"/>
                    </w:rPr>
                    <w:t>在嘉陵江</w:t>
                  </w:r>
                  <w:r>
                    <w:rPr>
                      <w:rFonts w:hint="default" w:ascii="Times New Roman" w:hAnsi="Times New Roman" w:eastAsia="宋体" w:cs="Times New Roman"/>
                      <w:color w:val="auto"/>
                      <w:spacing w:val="-3"/>
                      <w:sz w:val="21"/>
                      <w:szCs w:val="21"/>
                      <w:lang w:val="en-US" w:eastAsia="zh-CN"/>
                    </w:rPr>
                    <w:t>干</w:t>
                  </w:r>
                  <w:r>
                    <w:rPr>
                      <w:rFonts w:hint="default" w:ascii="Times New Roman" w:hAnsi="Times New Roman" w:eastAsia="宋体" w:cs="Times New Roman"/>
                      <w:color w:val="auto"/>
                      <w:spacing w:val="-3"/>
                      <w:sz w:val="21"/>
                      <w:szCs w:val="21"/>
                    </w:rPr>
                    <w:t>支流岸线新建、扩建化工园区和化工项目，应当符合《中华人民共和国长江保护法》和国家有关规定。</w:t>
                  </w:r>
                </w:p>
              </w:tc>
              <w:tc>
                <w:tcPr>
                  <w:tcW w:w="1950" w:type="dxa"/>
                  <w:noWrap w:val="0"/>
                  <w:vAlign w:val="center"/>
                </w:tcPr>
                <w:p w14:paraId="2E80085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lang w:val="en-US" w:eastAsia="zh-CN"/>
                    </w:rPr>
                    <w:t>本</w:t>
                  </w:r>
                  <w:r>
                    <w:rPr>
                      <w:rFonts w:hint="default" w:ascii="Times New Roman" w:hAnsi="Times New Roman" w:eastAsia="宋体" w:cs="Times New Roman"/>
                      <w:color w:val="auto"/>
                      <w:spacing w:val="-2"/>
                      <w:sz w:val="21"/>
                      <w:szCs w:val="21"/>
                    </w:rPr>
                    <w:t>项目为</w:t>
                  </w:r>
                  <w:r>
                    <w:rPr>
                      <w:rFonts w:hint="default" w:ascii="Times New Roman" w:hAnsi="Times New Roman" w:eastAsia="宋体" w:cs="Times New Roman"/>
                      <w:color w:val="auto"/>
                      <w:sz w:val="21"/>
                      <w:szCs w:val="21"/>
                      <w:highlight w:val="none"/>
                      <w:vertAlign w:val="baseline"/>
                      <w:lang w:val="en-US" w:eastAsia="zh-CN"/>
                    </w:rPr>
                    <w:t>自来水生产和供应</w:t>
                  </w:r>
                  <w:r>
                    <w:rPr>
                      <w:rFonts w:hint="default" w:ascii="Times New Roman" w:hAnsi="Times New Roman" w:eastAsia="宋体" w:cs="Times New Roman"/>
                      <w:b w:val="0"/>
                      <w:bCs w:val="0"/>
                      <w:color w:val="auto"/>
                      <w:sz w:val="21"/>
                      <w:szCs w:val="21"/>
                      <w:lang w:val="en-US" w:eastAsia="zh-CN"/>
                    </w:rPr>
                    <w:t>项目</w:t>
                  </w:r>
                  <w:r>
                    <w:rPr>
                      <w:rFonts w:hint="default" w:ascii="Times New Roman" w:hAnsi="Times New Roman" w:eastAsia="宋体"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rPr>
                    <w:t>不属于化工园区和化工项目</w:t>
                  </w:r>
                  <w:r>
                    <w:rPr>
                      <w:rFonts w:hint="default" w:ascii="Times New Roman" w:hAnsi="Times New Roman" w:eastAsia="宋体" w:cs="Times New Roman"/>
                      <w:color w:val="auto"/>
                      <w:spacing w:val="-2"/>
                      <w:sz w:val="21"/>
                      <w:szCs w:val="21"/>
                      <w:lang w:eastAsia="zh-CN"/>
                    </w:rPr>
                    <w:t>。</w:t>
                  </w:r>
                </w:p>
              </w:tc>
              <w:tc>
                <w:tcPr>
                  <w:tcW w:w="939" w:type="dxa"/>
                  <w:noWrap w:val="0"/>
                  <w:vAlign w:val="center"/>
                </w:tcPr>
                <w:p w14:paraId="65547A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4"/>
                      <w:sz w:val="21"/>
                      <w:szCs w:val="21"/>
                    </w:rPr>
                    <w:t>符</w:t>
                  </w:r>
                  <w:r>
                    <w:rPr>
                      <w:rFonts w:hint="default" w:ascii="Times New Roman" w:hAnsi="Times New Roman" w:eastAsia="宋体" w:cs="Times New Roman"/>
                      <w:color w:val="auto"/>
                      <w:spacing w:val="13"/>
                      <w:sz w:val="21"/>
                      <w:szCs w:val="21"/>
                    </w:rPr>
                    <w:t>合</w:t>
                  </w:r>
                </w:p>
              </w:tc>
            </w:tr>
            <w:tr w14:paraId="445D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39BE14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7"/>
                      <w:sz w:val="21"/>
                      <w:szCs w:val="21"/>
                    </w:rPr>
                    <w:t>第二</w:t>
                  </w:r>
                  <w:r>
                    <w:rPr>
                      <w:rFonts w:hint="default" w:ascii="Times New Roman" w:hAnsi="Times New Roman" w:eastAsia="宋体" w:cs="Times New Roman"/>
                      <w:color w:val="auto"/>
                      <w:spacing w:val="-7"/>
                      <w:sz w:val="21"/>
                      <w:szCs w:val="21"/>
                      <w:lang w:val="en-US" w:eastAsia="zh-CN"/>
                    </w:rPr>
                    <w:t>十</w:t>
                  </w:r>
                  <w:r>
                    <w:rPr>
                      <w:rFonts w:hint="default" w:ascii="Times New Roman" w:hAnsi="Times New Roman" w:eastAsia="宋体" w:cs="Times New Roman"/>
                      <w:color w:val="auto"/>
                      <w:spacing w:val="-7"/>
                      <w:sz w:val="21"/>
                      <w:szCs w:val="21"/>
                    </w:rPr>
                    <w:t>一条</w:t>
                  </w:r>
                </w:p>
              </w:tc>
              <w:tc>
                <w:tcPr>
                  <w:tcW w:w="5316" w:type="dxa"/>
                  <w:noWrap w:val="0"/>
                  <w:vAlign w:val="center"/>
                </w:tcPr>
                <w:p w14:paraId="5AD4261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排污单位排放污染物不得超过国家和省污染物排放标准，不得超过重点水污染物排放总量控制指标。按照国家规定实行排污许可管理的企业事业单位和其他生产经营者，应当依法向设区的市级以上地方人民政府生态环境主管部门申请取得排污许可证，按照排污许可证的规定排放污染物</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禁止未取得排污许可证或者违反排污许可证的规定排放污染物。</w:t>
                  </w:r>
                </w:p>
              </w:tc>
              <w:tc>
                <w:tcPr>
                  <w:tcW w:w="1950" w:type="dxa"/>
                  <w:noWrap w:val="0"/>
                  <w:vAlign w:val="center"/>
                </w:tcPr>
                <w:p w14:paraId="232F4D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lang w:val="en-US" w:eastAsia="zh-CN"/>
                    </w:rPr>
                    <w:t>本项目</w:t>
                  </w:r>
                  <w:r>
                    <w:rPr>
                      <w:rFonts w:hint="default" w:ascii="Times New Roman" w:hAnsi="Times New Roman" w:eastAsia="宋体" w:cs="Times New Roman"/>
                      <w:color w:val="auto"/>
                      <w:spacing w:val="-2"/>
                      <w:sz w:val="21"/>
                      <w:szCs w:val="21"/>
                    </w:rPr>
                    <w:t>排放污染物</w:t>
                  </w:r>
                  <w:r>
                    <w:rPr>
                      <w:rFonts w:hint="default" w:ascii="Times New Roman" w:hAnsi="Times New Roman" w:eastAsia="宋体" w:cs="Times New Roman"/>
                      <w:color w:val="auto"/>
                      <w:spacing w:val="-2"/>
                      <w:sz w:val="21"/>
                      <w:szCs w:val="21"/>
                      <w:lang w:val="en-US" w:eastAsia="zh-CN"/>
                    </w:rPr>
                    <w:t>不</w:t>
                  </w:r>
                  <w:r>
                    <w:rPr>
                      <w:rFonts w:hint="default" w:ascii="Times New Roman" w:hAnsi="Times New Roman" w:eastAsia="宋体" w:cs="Times New Roman"/>
                      <w:color w:val="auto"/>
                      <w:spacing w:val="-2"/>
                      <w:sz w:val="21"/>
                      <w:szCs w:val="21"/>
                    </w:rPr>
                    <w:t>超过国家和省污染物排放标准</w:t>
                  </w:r>
                  <w:r>
                    <w:rPr>
                      <w:rFonts w:hint="default" w:ascii="Times New Roman" w:hAnsi="Times New Roman" w:eastAsia="宋体" w:cs="Times New Roman"/>
                      <w:color w:val="auto"/>
                      <w:spacing w:val="-2"/>
                      <w:sz w:val="21"/>
                      <w:szCs w:val="21"/>
                      <w:lang w:val="en-US" w:eastAsia="zh-CN"/>
                    </w:rPr>
                    <w:t>。</w:t>
                  </w:r>
                </w:p>
              </w:tc>
              <w:tc>
                <w:tcPr>
                  <w:tcW w:w="939" w:type="dxa"/>
                  <w:noWrap w:val="0"/>
                  <w:vAlign w:val="center"/>
                </w:tcPr>
                <w:p w14:paraId="44006A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符合</w:t>
                  </w:r>
                </w:p>
              </w:tc>
            </w:tr>
            <w:tr w14:paraId="7468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0BFA59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2"/>
                      <w:sz w:val="21"/>
                      <w:szCs w:val="21"/>
                    </w:rPr>
                    <w:t>第二十二条</w:t>
                  </w:r>
                </w:p>
              </w:tc>
              <w:tc>
                <w:tcPr>
                  <w:tcW w:w="5316" w:type="dxa"/>
                  <w:noWrap w:val="0"/>
                  <w:vAlign w:val="center"/>
                </w:tcPr>
                <w:p w14:paraId="202A85A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2"/>
                      <w:sz w:val="21"/>
                      <w:szCs w:val="21"/>
                      <w:lang w:eastAsia="zh-CN"/>
                    </w:rPr>
                  </w:pPr>
                  <w:r>
                    <w:rPr>
                      <w:rFonts w:hint="default" w:ascii="Times New Roman" w:hAnsi="Times New Roman" w:eastAsia="宋体" w:cs="Times New Roman"/>
                      <w:color w:val="auto"/>
                      <w:spacing w:val="-2"/>
                      <w:sz w:val="21"/>
                      <w:szCs w:val="21"/>
                    </w:rPr>
                    <w:t>嘉陵江流域县级以上地方人民政府生态环境主管部门应当依法加强流域入河排污口的监督管理。企业事业单位和其他生产经营者向嘉陵江流域排放污水的，应当按照生态环境主管部门的规定建设规范化污染物排放并设置标志牌。重点排污单位应当安装水污染物排放自动监测设备，与生态环境主管部门的监控设备联网，并保证监测设备正常运</w:t>
                  </w:r>
                  <w:r>
                    <w:rPr>
                      <w:rFonts w:hint="default" w:ascii="Times New Roman" w:hAnsi="Times New Roman" w:eastAsia="宋体" w:cs="Times New Roman"/>
                      <w:color w:val="auto"/>
                      <w:spacing w:val="-2"/>
                      <w:sz w:val="21"/>
                      <w:szCs w:val="21"/>
                      <w:lang w:val="en-US" w:eastAsia="zh-CN"/>
                    </w:rPr>
                    <w:t>行</w:t>
                  </w:r>
                  <w:r>
                    <w:rPr>
                      <w:rFonts w:hint="default" w:ascii="Times New Roman" w:hAnsi="Times New Roman" w:eastAsia="宋体" w:cs="Times New Roman"/>
                      <w:color w:val="auto"/>
                      <w:spacing w:val="-2"/>
                      <w:sz w:val="21"/>
                      <w:szCs w:val="21"/>
                      <w:lang w:eastAsia="zh-CN"/>
                    </w:rPr>
                    <w:t>。</w:t>
                  </w:r>
                </w:p>
              </w:tc>
              <w:tc>
                <w:tcPr>
                  <w:tcW w:w="1950" w:type="dxa"/>
                  <w:noWrap w:val="0"/>
                  <w:vAlign w:val="center"/>
                </w:tcPr>
                <w:p w14:paraId="533CAF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 w:firstLineChars="0"/>
                    <w:jc w:val="center"/>
                    <w:textAlignment w:val="auto"/>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本项目生活污水</w:t>
                  </w:r>
                  <w:r>
                    <w:rPr>
                      <w:rStyle w:val="27"/>
                      <w:rFonts w:hint="default" w:ascii="Times New Roman" w:hAnsi="Times New Roman" w:eastAsia="宋体" w:cs="Times New Roman"/>
                      <w:color w:val="auto"/>
                      <w:kern w:val="2"/>
                      <w:sz w:val="21"/>
                      <w:szCs w:val="21"/>
                      <w:highlight w:val="none"/>
                      <w:lang w:val="en-US" w:eastAsia="zh-CN" w:bidi="ar-SA"/>
                    </w:rPr>
                    <w:t>经化粪池处理后用于农肥</w:t>
                  </w:r>
                  <w:r>
                    <w:rPr>
                      <w:rStyle w:val="27"/>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spacing w:val="-2"/>
                      <w:sz w:val="21"/>
                      <w:szCs w:val="21"/>
                      <w:lang w:val="en-US" w:eastAsia="zh-CN"/>
                    </w:rPr>
                    <w:t>生产废水</w:t>
                  </w:r>
                  <w:r>
                    <w:rPr>
                      <w:rFonts w:hint="eastAsia" w:ascii="Times New Roman" w:hAnsi="Times New Roman" w:eastAsia="宋体" w:cs="Times New Roman"/>
                      <w:color w:val="auto"/>
                      <w:spacing w:val="-2"/>
                      <w:sz w:val="21"/>
                      <w:szCs w:val="21"/>
                      <w:lang w:val="en-US" w:eastAsia="zh-CN"/>
                    </w:rPr>
                    <w:t>不外排，</w:t>
                  </w:r>
                  <w:r>
                    <w:rPr>
                      <w:rFonts w:hint="default" w:ascii="Times New Roman" w:hAnsi="Times New Roman" w:eastAsia="宋体" w:cs="Times New Roman"/>
                      <w:color w:val="auto"/>
                      <w:spacing w:val="-2"/>
                      <w:sz w:val="21"/>
                      <w:szCs w:val="21"/>
                      <w:lang w:val="en-US" w:eastAsia="zh-CN"/>
                    </w:rPr>
                    <w:t>不单独设置</w:t>
                  </w:r>
                  <w:r>
                    <w:rPr>
                      <w:rFonts w:hint="default" w:ascii="Times New Roman" w:hAnsi="Times New Roman" w:eastAsia="宋体" w:cs="Times New Roman"/>
                      <w:color w:val="auto"/>
                      <w:spacing w:val="-2"/>
                      <w:sz w:val="21"/>
                      <w:szCs w:val="21"/>
                    </w:rPr>
                    <w:t>入河排污口</w:t>
                  </w:r>
                  <w:r>
                    <w:rPr>
                      <w:rFonts w:hint="default" w:ascii="Times New Roman" w:hAnsi="Times New Roman" w:eastAsia="宋体" w:cs="Times New Roman"/>
                      <w:color w:val="auto"/>
                      <w:spacing w:val="-2"/>
                      <w:sz w:val="21"/>
                      <w:szCs w:val="21"/>
                      <w:lang w:eastAsia="zh-CN"/>
                    </w:rPr>
                    <w:t>。</w:t>
                  </w:r>
                </w:p>
              </w:tc>
              <w:tc>
                <w:tcPr>
                  <w:tcW w:w="939" w:type="dxa"/>
                  <w:noWrap w:val="0"/>
                  <w:vAlign w:val="center"/>
                </w:tcPr>
                <w:p w14:paraId="77C8A4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eastAsia="宋体" w:cs="Times New Roman"/>
                      <w:color w:val="auto"/>
                      <w:spacing w:val="14"/>
                      <w:sz w:val="21"/>
                      <w:szCs w:val="21"/>
                      <w:lang w:val="en-US" w:eastAsia="zh-CN"/>
                    </w:rPr>
                    <w:t>符合</w:t>
                  </w:r>
                </w:p>
              </w:tc>
            </w:tr>
            <w:tr w14:paraId="4BE1E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6BD05E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第三十七条</w:t>
                  </w:r>
                </w:p>
              </w:tc>
              <w:tc>
                <w:tcPr>
                  <w:tcW w:w="5316" w:type="dxa"/>
                  <w:noWrap w:val="0"/>
                  <w:vAlign w:val="center"/>
                </w:tcPr>
                <w:p w14:paraId="150A734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嘉陵江流域县级以上地方人民政府负责划定河道、湖泊管理范围，并向社会公告，实行严格的河湖保护，禁止非法侵占河湖水域。</w:t>
                  </w:r>
                </w:p>
              </w:tc>
              <w:tc>
                <w:tcPr>
                  <w:tcW w:w="1950" w:type="dxa"/>
                  <w:noWrap w:val="0"/>
                  <w:vAlign w:val="center"/>
                </w:tcPr>
                <w:p w14:paraId="65A92A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2"/>
                      <w:sz w:val="21"/>
                      <w:szCs w:val="21"/>
                      <w:lang w:val="en-US" w:eastAsia="zh-CN"/>
                    </w:rPr>
                    <w:t>本项目不</w:t>
                  </w:r>
                  <w:r>
                    <w:rPr>
                      <w:rFonts w:hint="default" w:ascii="Times New Roman" w:hAnsi="Times New Roman" w:eastAsia="宋体" w:cs="Times New Roman"/>
                      <w:color w:val="auto"/>
                      <w:spacing w:val="-2"/>
                      <w:sz w:val="21"/>
                      <w:szCs w:val="21"/>
                    </w:rPr>
                    <w:t>侵占河湖水域</w:t>
                  </w:r>
                  <w:r>
                    <w:rPr>
                      <w:rFonts w:hint="default" w:ascii="Times New Roman" w:hAnsi="Times New Roman" w:eastAsia="宋体" w:cs="Times New Roman"/>
                      <w:color w:val="auto"/>
                      <w:spacing w:val="-2"/>
                      <w:sz w:val="21"/>
                      <w:szCs w:val="21"/>
                      <w:lang w:eastAsia="zh-CN"/>
                    </w:rPr>
                    <w:t>。</w:t>
                  </w:r>
                </w:p>
              </w:tc>
              <w:tc>
                <w:tcPr>
                  <w:tcW w:w="939" w:type="dxa"/>
                  <w:noWrap w:val="0"/>
                  <w:vAlign w:val="center"/>
                </w:tcPr>
                <w:p w14:paraId="1787A8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符合</w:t>
                  </w:r>
                </w:p>
              </w:tc>
            </w:tr>
            <w:tr w14:paraId="1408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0CD857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第三十八条</w:t>
                  </w:r>
                </w:p>
              </w:tc>
              <w:tc>
                <w:tcPr>
                  <w:tcW w:w="5316" w:type="dxa"/>
                  <w:noWrap w:val="0"/>
                  <w:vAlign w:val="center"/>
                </w:tcPr>
                <w:p w14:paraId="2292254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省人民政府组织划定河湖岸线保护范围，制定河湖岸线保护规划，严格控制岸线开发建设，促进岸线合理高效利用。嘉陵江流域县级以上地方人民政府及其有关部门应当根据职责分工，制定并实施岸线修复计划，保障自然岸线比例，恢复河湖岸线生态功能。禁止违法利用、占用嘉陵江流域河湖岸线。</w:t>
                  </w:r>
                </w:p>
              </w:tc>
              <w:tc>
                <w:tcPr>
                  <w:tcW w:w="1950" w:type="dxa"/>
                  <w:noWrap w:val="0"/>
                  <w:vAlign w:val="center"/>
                </w:tcPr>
                <w:p w14:paraId="648C96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本项目不占用</w:t>
                  </w:r>
                  <w:r>
                    <w:rPr>
                      <w:rFonts w:hint="default" w:ascii="Times New Roman" w:hAnsi="Times New Roman" w:eastAsia="宋体" w:cs="Times New Roman"/>
                      <w:color w:val="auto"/>
                      <w:spacing w:val="-2"/>
                      <w:sz w:val="21"/>
                      <w:szCs w:val="21"/>
                    </w:rPr>
                    <w:t>嘉陵江流域河湖岸线</w:t>
                  </w:r>
                  <w:r>
                    <w:rPr>
                      <w:rFonts w:hint="default" w:ascii="Times New Roman" w:hAnsi="Times New Roman" w:eastAsia="宋体" w:cs="Times New Roman"/>
                      <w:color w:val="auto"/>
                      <w:spacing w:val="-2"/>
                      <w:sz w:val="21"/>
                      <w:szCs w:val="21"/>
                      <w:lang w:eastAsia="zh-CN"/>
                    </w:rPr>
                    <w:t>。</w:t>
                  </w:r>
                </w:p>
              </w:tc>
              <w:tc>
                <w:tcPr>
                  <w:tcW w:w="939" w:type="dxa"/>
                  <w:noWrap w:val="0"/>
                  <w:vAlign w:val="center"/>
                </w:tcPr>
                <w:p w14:paraId="7F0F1D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符合</w:t>
                  </w:r>
                </w:p>
              </w:tc>
            </w:tr>
            <w:tr w14:paraId="24C9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6AF273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第五十八条</w:t>
                  </w:r>
                </w:p>
              </w:tc>
              <w:tc>
                <w:tcPr>
                  <w:tcW w:w="5316" w:type="dxa"/>
                  <w:noWrap w:val="0"/>
                  <w:vAlign w:val="center"/>
                </w:tcPr>
                <w:p w14:paraId="2C9BFB5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公共污水管网覆盖区域内，从事工业、建筑、餐饮、医疗、洗车、洗衣、洗浴、美容美发等活动的企业事业单位和其他生产经营者排放污水的，应当将雨水、污水分别排入公共雨水、污水管网及其附属设施，有关主管部门应当推动行业经营者设置隔油池等污水预处理设施</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除楼顶公共屋面雨水排放系统外，依照相关规定将阳台、露台排水管道接入污水管网</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公共污水管网未覆盖的宾馆、餐饮、洗车企业等企业事业单位和其他生产经营者应当自建配套的水污染物处理设施或者采取其他收集处理水污染物的措施，确保其排放的污水符合污染物排放标准。</w:t>
                  </w:r>
                </w:p>
              </w:tc>
              <w:tc>
                <w:tcPr>
                  <w:tcW w:w="1950" w:type="dxa"/>
                  <w:noWrap w:val="0"/>
                  <w:vAlign w:val="center"/>
                </w:tcPr>
                <w:p w14:paraId="1E371D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本项目实施雨污分流，废水收集率100%，</w:t>
                  </w:r>
                  <w:r>
                    <w:rPr>
                      <w:rFonts w:hint="default" w:ascii="Times New Roman" w:hAnsi="Times New Roman" w:eastAsia="宋体" w:cs="Times New Roman"/>
                      <w:color w:val="auto"/>
                      <w:spacing w:val="-2"/>
                      <w:sz w:val="21"/>
                      <w:szCs w:val="21"/>
                      <w:lang w:val="en-US" w:eastAsia="zh-CN"/>
                    </w:rPr>
                    <w:t>生活污水</w:t>
                  </w:r>
                  <w:r>
                    <w:rPr>
                      <w:rStyle w:val="27"/>
                      <w:rFonts w:hint="default" w:ascii="Times New Roman" w:hAnsi="Times New Roman" w:eastAsia="宋体" w:cs="Times New Roman"/>
                      <w:color w:val="auto"/>
                      <w:kern w:val="2"/>
                      <w:sz w:val="21"/>
                      <w:szCs w:val="21"/>
                      <w:highlight w:val="none"/>
                      <w:lang w:val="en-US" w:eastAsia="zh-CN" w:bidi="ar-SA"/>
                    </w:rPr>
                    <w:t>经化粪池处理后用于农肥</w:t>
                  </w:r>
                  <w:r>
                    <w:rPr>
                      <w:rStyle w:val="27"/>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spacing w:val="-2"/>
                      <w:sz w:val="21"/>
                      <w:szCs w:val="21"/>
                      <w:lang w:val="en-US" w:eastAsia="zh-CN"/>
                    </w:rPr>
                    <w:t>生产废水</w:t>
                  </w:r>
                  <w:r>
                    <w:rPr>
                      <w:rFonts w:hint="eastAsia" w:ascii="Times New Roman" w:hAnsi="Times New Roman" w:eastAsia="宋体" w:cs="Times New Roman"/>
                      <w:color w:val="auto"/>
                      <w:spacing w:val="-2"/>
                      <w:sz w:val="21"/>
                      <w:szCs w:val="21"/>
                      <w:lang w:val="en-US" w:eastAsia="zh-CN"/>
                    </w:rPr>
                    <w:t>不外排</w:t>
                  </w:r>
                  <w:r>
                    <w:rPr>
                      <w:rFonts w:hint="default" w:ascii="Times New Roman" w:hAnsi="Times New Roman" w:eastAsia="宋体" w:cs="Times New Roman"/>
                      <w:color w:val="auto"/>
                      <w:kern w:val="0"/>
                      <w:sz w:val="21"/>
                      <w:szCs w:val="21"/>
                      <w:lang w:val="en-US" w:eastAsia="zh-CN" w:bidi="ar"/>
                    </w:rPr>
                    <w:t>。</w:t>
                  </w:r>
                </w:p>
              </w:tc>
              <w:tc>
                <w:tcPr>
                  <w:tcW w:w="939" w:type="dxa"/>
                  <w:noWrap w:val="0"/>
                  <w:vAlign w:val="center"/>
                </w:tcPr>
                <w:p w14:paraId="751FFA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符合</w:t>
                  </w:r>
                </w:p>
              </w:tc>
            </w:tr>
            <w:tr w14:paraId="2C82A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006F8C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第六十一条</w:t>
                  </w:r>
                </w:p>
              </w:tc>
              <w:tc>
                <w:tcPr>
                  <w:tcW w:w="5316" w:type="dxa"/>
                  <w:noWrap w:val="0"/>
                  <w:vAlign w:val="center"/>
                </w:tcPr>
                <w:p w14:paraId="4AEA963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嘉陵江流域县级以上地方人民政府应当加快建立分类投放、分类收集、分类运输、分类处理的垃圾管理系统，提高垃圾的综合利用和无害化处置水平。建立农村生活垃圾分类管理制度，推行户分类投放、村分类收集、乡（镇、街道</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分类运输、县</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区</w:t>
                  </w:r>
                  <w:r>
                    <w:rPr>
                      <w:rFonts w:hint="default" w:ascii="Times New Roman" w:hAnsi="Times New Roman" w:eastAsia="宋体" w:cs="Times New Roman"/>
                      <w:color w:val="auto"/>
                      <w:spacing w:val="-2"/>
                      <w:sz w:val="21"/>
                      <w:szCs w:val="21"/>
                      <w:lang w:eastAsia="zh-CN"/>
                    </w:rPr>
                    <w:t>）</w:t>
                  </w:r>
                  <w:r>
                    <w:rPr>
                      <w:rFonts w:hint="default" w:ascii="Times New Roman" w:hAnsi="Times New Roman" w:eastAsia="宋体" w:cs="Times New Roman"/>
                      <w:color w:val="auto"/>
                      <w:spacing w:val="-2"/>
                      <w:sz w:val="21"/>
                      <w:szCs w:val="21"/>
                    </w:rPr>
                    <w:t>分类处置的方式，将农村生活垃圾处理纳入城镇垃圾分类收运处理系统。鼓励支持对农村生活垃圾分类减量，就地无害化、资源化利用。</w:t>
                  </w:r>
                </w:p>
              </w:tc>
              <w:tc>
                <w:tcPr>
                  <w:tcW w:w="1950" w:type="dxa"/>
                  <w:noWrap w:val="0"/>
                  <w:vAlign w:val="center"/>
                </w:tcPr>
                <w:p w14:paraId="11A8B9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本项目固废实行分类收集、分类处理，达到</w:t>
                  </w:r>
                  <w:r>
                    <w:rPr>
                      <w:rFonts w:hint="default" w:ascii="Times New Roman" w:hAnsi="Times New Roman" w:eastAsia="宋体" w:cs="Times New Roman"/>
                      <w:color w:val="auto"/>
                      <w:spacing w:val="-2"/>
                      <w:sz w:val="21"/>
                      <w:szCs w:val="21"/>
                    </w:rPr>
                    <w:t>综合利用和无害化处置水平</w:t>
                  </w:r>
                  <w:r>
                    <w:rPr>
                      <w:rFonts w:hint="default" w:ascii="Times New Roman" w:hAnsi="Times New Roman" w:eastAsia="宋体" w:cs="Times New Roman"/>
                      <w:color w:val="auto"/>
                      <w:spacing w:val="-2"/>
                      <w:sz w:val="21"/>
                      <w:szCs w:val="21"/>
                      <w:lang w:eastAsia="zh-CN"/>
                    </w:rPr>
                    <w:t>。</w:t>
                  </w:r>
                </w:p>
              </w:tc>
              <w:tc>
                <w:tcPr>
                  <w:tcW w:w="939" w:type="dxa"/>
                  <w:noWrap w:val="0"/>
                  <w:vAlign w:val="center"/>
                </w:tcPr>
                <w:p w14:paraId="071574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符合</w:t>
                  </w:r>
                </w:p>
              </w:tc>
            </w:tr>
            <w:tr w14:paraId="22A9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9" w:type="dxa"/>
                  <w:noWrap w:val="0"/>
                  <w:vAlign w:val="center"/>
                </w:tcPr>
                <w:p w14:paraId="3657B3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第七十三条</w:t>
                  </w:r>
                </w:p>
              </w:tc>
              <w:tc>
                <w:tcPr>
                  <w:tcW w:w="5316" w:type="dxa"/>
                  <w:noWrap w:val="0"/>
                  <w:vAlign w:val="center"/>
                </w:tcPr>
                <w:p w14:paraId="23FEA7F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嘉陵江流域县级以上地方人民政府应当加强对固体废物非法转移和倾倒的管控。禁止在嘉陵江流域河湖管理范围内倾倒、填埋、堆放、弃置、处理固体废物。</w:t>
                  </w:r>
                </w:p>
              </w:tc>
              <w:tc>
                <w:tcPr>
                  <w:tcW w:w="1950" w:type="dxa"/>
                  <w:noWrap w:val="0"/>
                  <w:vAlign w:val="center"/>
                </w:tcPr>
                <w:p w14:paraId="771679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本项目固废全部合理处理，</w:t>
                  </w:r>
                  <w:r>
                    <w:rPr>
                      <w:rFonts w:hint="default" w:ascii="Times New Roman" w:hAnsi="Times New Roman" w:eastAsia="宋体" w:cs="Times New Roman"/>
                      <w:color w:val="auto"/>
                      <w:kern w:val="0"/>
                      <w:sz w:val="21"/>
                      <w:szCs w:val="21"/>
                      <w:lang w:val="en-US" w:eastAsia="zh-CN" w:bidi="ar"/>
                    </w:rPr>
                    <w:t>不造成二次污染</w:t>
                  </w:r>
                  <w:r>
                    <w:rPr>
                      <w:rFonts w:hint="default" w:ascii="Times New Roman" w:hAnsi="Times New Roman" w:cs="Times New Roman"/>
                      <w:color w:val="auto"/>
                      <w:kern w:val="0"/>
                      <w:sz w:val="21"/>
                      <w:szCs w:val="21"/>
                      <w:lang w:val="en-US" w:eastAsia="zh-CN" w:bidi="ar"/>
                    </w:rPr>
                    <w:t>。</w:t>
                  </w:r>
                </w:p>
              </w:tc>
              <w:tc>
                <w:tcPr>
                  <w:tcW w:w="939" w:type="dxa"/>
                  <w:noWrap w:val="0"/>
                  <w:vAlign w:val="center"/>
                </w:tcPr>
                <w:p w14:paraId="7047BC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14"/>
                      <w:sz w:val="21"/>
                      <w:szCs w:val="21"/>
                      <w:lang w:val="en-US" w:eastAsia="zh-CN"/>
                    </w:rPr>
                  </w:pPr>
                  <w:r>
                    <w:rPr>
                      <w:rFonts w:hint="default" w:ascii="Times New Roman" w:hAnsi="Times New Roman" w:cs="Times New Roman"/>
                      <w:color w:val="auto"/>
                      <w:spacing w:val="14"/>
                      <w:sz w:val="21"/>
                      <w:szCs w:val="21"/>
                      <w:lang w:val="en-US" w:eastAsia="zh-CN"/>
                    </w:rPr>
                    <w:t>符合</w:t>
                  </w:r>
                </w:p>
              </w:tc>
            </w:tr>
          </w:tbl>
          <w:p w14:paraId="4A6E3C5A">
            <w:pPr>
              <w:keepNext w:val="0"/>
              <w:keepLines w:val="0"/>
              <w:pageBreakBefore w:val="0"/>
              <w:widowControl w:val="0"/>
              <w:kinsoku/>
              <w:wordWrap/>
              <w:overflowPunct/>
              <w:topLinePunct w:val="0"/>
              <w:autoSpaceDE/>
              <w:autoSpaceDN/>
              <w:bidi w:val="0"/>
              <w:adjustRightInd/>
              <w:snapToGrid/>
              <w:spacing w:before="157" w:beforeLines="50" w:line="360" w:lineRule="auto"/>
              <w:ind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综上，本</w:t>
            </w:r>
            <w:r>
              <w:rPr>
                <w:rFonts w:hint="default" w:ascii="Times New Roman" w:hAnsi="Times New Roman" w:cs="Times New Roman"/>
                <w:color w:val="auto"/>
                <w:sz w:val="24"/>
                <w:szCs w:val="24"/>
                <w:highlight w:val="none"/>
              </w:rPr>
              <w:t>项目建设满足</w:t>
            </w:r>
            <w:r>
              <w:rPr>
                <w:rFonts w:hint="default" w:ascii="Times New Roman" w:hAnsi="Times New Roman" w:eastAsia="宋体" w:cs="Times New Roman"/>
                <w:color w:val="auto"/>
                <w:spacing w:val="4"/>
                <w:sz w:val="24"/>
                <w:szCs w:val="24"/>
              </w:rPr>
              <w:t>《四</w:t>
            </w:r>
            <w:r>
              <w:rPr>
                <w:rFonts w:hint="default" w:ascii="Times New Roman" w:hAnsi="Times New Roman" w:eastAsia="宋体" w:cs="Times New Roman"/>
                <w:color w:val="auto"/>
                <w:spacing w:val="10"/>
                <w:sz w:val="24"/>
                <w:szCs w:val="24"/>
              </w:rPr>
              <w:t>川省嘉陵江流域生态环境保护条例》</w:t>
            </w:r>
            <w:r>
              <w:rPr>
                <w:rFonts w:hint="default" w:ascii="Times New Roman" w:hAnsi="Times New Roman" w:eastAsia="宋体" w:cs="Times New Roman"/>
                <w:color w:val="auto"/>
                <w:spacing w:val="10"/>
                <w:sz w:val="24"/>
                <w:szCs w:val="24"/>
                <w:lang w:eastAsia="zh-CN"/>
              </w:rPr>
              <w:t>（</w:t>
            </w:r>
            <w:r>
              <w:rPr>
                <w:rFonts w:hint="default" w:ascii="Times New Roman" w:hAnsi="Times New Roman" w:eastAsia="宋体" w:cs="Times New Roman"/>
                <w:color w:val="auto"/>
                <w:spacing w:val="10"/>
                <w:sz w:val="24"/>
                <w:szCs w:val="24"/>
                <w:lang w:val="en-US" w:eastAsia="zh-CN"/>
              </w:rPr>
              <w:t>2024年修正</w:t>
            </w:r>
            <w:r>
              <w:rPr>
                <w:rFonts w:hint="default" w:ascii="Times New Roman" w:hAnsi="Times New Roman" w:eastAsia="宋体" w:cs="Times New Roman"/>
                <w:color w:val="auto"/>
                <w:spacing w:val="10"/>
                <w:sz w:val="24"/>
                <w:szCs w:val="24"/>
                <w:lang w:eastAsia="zh-CN"/>
              </w:rPr>
              <w:t>）</w:t>
            </w:r>
            <w:r>
              <w:rPr>
                <w:rFonts w:hint="default" w:ascii="Times New Roman" w:hAnsi="Times New Roman" w:cs="Times New Roman"/>
                <w:color w:val="auto"/>
                <w:sz w:val="24"/>
                <w:szCs w:val="24"/>
                <w:highlight w:val="none"/>
              </w:rPr>
              <w:t>的相应要求。</w:t>
            </w:r>
          </w:p>
          <w:p w14:paraId="6A2ADBA8">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7</w:t>
            </w:r>
            <w:r>
              <w:rPr>
                <w:rFonts w:hint="default" w:ascii="Times New Roman" w:hAnsi="Times New Roman" w:cs="Times New Roman"/>
                <w:b/>
                <w:bCs/>
                <w:color w:val="auto"/>
                <w:sz w:val="24"/>
                <w:szCs w:val="32"/>
                <w:highlight w:val="none"/>
                <w:vertAlign w:val="baseline"/>
                <w:lang w:val="en-US" w:eastAsia="zh-CN"/>
              </w:rPr>
              <w:t>、</w:t>
            </w:r>
            <w:r>
              <w:rPr>
                <w:rFonts w:hint="default" w:ascii="Times New Roman" w:hAnsi="Times New Roman" w:cs="Times New Roman"/>
                <w:b/>
                <w:bCs/>
                <w:color w:val="auto"/>
                <w:sz w:val="24"/>
                <w:szCs w:val="32"/>
                <w:highlight w:val="none"/>
                <w:vertAlign w:val="baseline"/>
                <w:lang w:eastAsia="zh-CN"/>
              </w:rPr>
              <w:t>与</w:t>
            </w:r>
            <w:r>
              <w:rPr>
                <w:rFonts w:hint="default" w:ascii="Times New Roman" w:hAnsi="Times New Roman" w:cs="Times New Roman"/>
                <w:b/>
                <w:bCs/>
                <w:color w:val="auto"/>
                <w:sz w:val="24"/>
                <w:szCs w:val="32"/>
                <w:highlight w:val="none"/>
                <w:vertAlign w:val="baseline"/>
                <w:lang w:val="en-US" w:eastAsia="zh-CN"/>
              </w:rPr>
              <w:t>《达州市集中式饮用水水源保护管理条例》</w:t>
            </w:r>
            <w:r>
              <w:rPr>
                <w:rFonts w:hint="eastAsia" w:ascii="Times New Roman" w:hAnsi="Times New Roman" w:cs="Times New Roman"/>
                <w:b/>
                <w:bCs/>
                <w:color w:val="auto"/>
                <w:sz w:val="24"/>
                <w:szCs w:val="32"/>
                <w:highlight w:val="none"/>
                <w:vertAlign w:val="baseline"/>
                <w:lang w:val="en-US" w:eastAsia="zh-CN"/>
              </w:rPr>
              <w:t>（2024年修正）</w:t>
            </w:r>
            <w:r>
              <w:rPr>
                <w:rFonts w:hint="default" w:ascii="Times New Roman" w:hAnsi="Times New Roman" w:cs="Times New Roman"/>
                <w:b/>
                <w:bCs/>
                <w:color w:val="auto"/>
                <w:sz w:val="24"/>
                <w:szCs w:val="32"/>
                <w:highlight w:val="none"/>
                <w:vertAlign w:val="baseline"/>
                <w:lang w:eastAsia="zh-CN"/>
              </w:rPr>
              <w:t>符合性分析</w:t>
            </w:r>
          </w:p>
          <w:p w14:paraId="006EA76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24"/>
                <w:highlight w:val="none"/>
                <w:shd w:val="clear" w:color="auto" w:fill="FFFFFF"/>
              </w:rPr>
              <w:t>根据《达州市集中式饮用水水源保护管理条例》</w:t>
            </w:r>
            <w:r>
              <w:rPr>
                <w:rFonts w:hint="default" w:ascii="Times New Roman" w:hAnsi="Times New Roman" w:cs="Times New Roman"/>
                <w:color w:val="auto"/>
                <w:sz w:val="24"/>
                <w:szCs w:val="24"/>
                <w:highlight w:val="none"/>
                <w:shd w:val="clear" w:color="auto" w:fill="FFFFFF"/>
                <w:lang w:val="en-US" w:eastAsia="zh-CN"/>
              </w:rPr>
              <w:t>要求：“集中式地表水饮用水水源二级保护区内，除遵守本条例第十九条规定外，还应当遵守下列规定：（一）禁止新建、改建、扩建排放污染物的建设项目；已建成的排放污染物的建设项目，由市、县级人民政府责令限期拆除或者关闭；（二）禁止从事经营性取土和采石（砂）等活动；（三）禁止围水造田；（四）禁止使用农药；禁止丢弃农药、农药包装物或者清洗施药器械；限制使用化肥；（五）禁止修建墓地；（六）禁止丢弃及掩埋动物尸体；（七）禁止设置</w:t>
            </w:r>
            <w:r>
              <w:rPr>
                <w:rFonts w:hint="eastAsia" w:ascii="Times New Roman" w:hAnsi="Times New Roman" w:cs="Times New Roman"/>
                <w:color w:val="auto"/>
                <w:sz w:val="24"/>
                <w:szCs w:val="24"/>
                <w:highlight w:val="none"/>
                <w:shd w:val="clear" w:color="auto" w:fill="FFFFFF"/>
                <w:lang w:val="en-US" w:eastAsia="zh-CN"/>
              </w:rPr>
              <w:t>畜禽</w:t>
            </w:r>
            <w:r>
              <w:rPr>
                <w:rFonts w:hint="default" w:ascii="Times New Roman" w:hAnsi="Times New Roman" w:cs="Times New Roman"/>
                <w:color w:val="auto"/>
                <w:sz w:val="24"/>
                <w:szCs w:val="24"/>
                <w:highlight w:val="none"/>
                <w:shd w:val="clear" w:color="auto" w:fill="FFFFFF"/>
                <w:lang w:val="en-US" w:eastAsia="zh-CN"/>
              </w:rPr>
              <w:t>养殖场、养殖小区；（八）禁止从事网箱养殖、施肥养鱼、超标准养殖、投放暂存鱼、电鱼、炸鱼、毒鱼等污染饮用水水体的活动；（九）从事旅游等活动的，应当按照规定采取措施，防止污染饮用水水体；（十）道路、桥梁、码头及其他可能威胁饮用水水源安全的设施或者装置，应当设置独立的污染物收集、排放和处理系统及隔离设施。”“集中式地表水饮用水水源一级保护区内，除遵守本条例第十九条和第二十条规定外，还应当遵守下列规定</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一</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禁止新建、改建、扩建与供水设施和保护水源无关的建设项目</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已建成的与供水设施和保护水源无关的建设项目，由县级以上地方人民政府责令拆除或者关闭</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二</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禁止使用化肥</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三</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禁止与保护水源无关的船舶停靠、装卸</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四</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禁止在水体清洗机动车辆</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五</w:t>
            </w:r>
            <w:r>
              <w:rPr>
                <w:rFonts w:hint="eastAsia" w:ascii="Times New Roman" w:hAnsi="Times New Roman" w:cs="Times New Roman"/>
                <w:color w:val="auto"/>
                <w:sz w:val="24"/>
                <w:szCs w:val="24"/>
                <w:highlight w:val="none"/>
                <w:shd w:val="clear" w:color="auto" w:fill="FFFFFF"/>
                <w:lang w:val="en-US" w:eastAsia="zh-CN"/>
              </w:rPr>
              <w:t>）</w:t>
            </w:r>
            <w:r>
              <w:rPr>
                <w:rFonts w:hint="default" w:ascii="Times New Roman" w:hAnsi="Times New Roman" w:cs="Times New Roman"/>
                <w:color w:val="auto"/>
                <w:sz w:val="24"/>
                <w:szCs w:val="24"/>
                <w:highlight w:val="none"/>
                <w:shd w:val="clear" w:color="auto" w:fill="FFFFFF"/>
                <w:lang w:val="en-US" w:eastAsia="zh-CN"/>
              </w:rPr>
              <w:t>禁止从事餐饮、旅游、游泳、垂钓或者其他可能污染水体的活动。”</w:t>
            </w:r>
          </w:p>
          <w:p w14:paraId="4B1839E9">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vertAlign w:val="baseline"/>
                <w:lang w:val="en-US" w:eastAsia="zh-CN"/>
              </w:rPr>
              <w:t>本项目</w:t>
            </w:r>
            <w:r>
              <w:rPr>
                <w:rFonts w:hint="eastAsia" w:ascii="Times New Roman" w:hAnsi="Times New Roman" w:cs="Times New Roman"/>
                <w:b w:val="0"/>
                <w:bCs w:val="0"/>
                <w:color w:val="auto"/>
                <w:sz w:val="24"/>
                <w:szCs w:val="24"/>
                <w:highlight w:val="none"/>
                <w:vertAlign w:val="baseline"/>
                <w:lang w:val="en-US" w:eastAsia="zh-CN"/>
              </w:rPr>
              <w:t>马渡关</w:t>
            </w:r>
            <w:r>
              <w:rPr>
                <w:rFonts w:hint="default" w:ascii="Times New Roman" w:hAnsi="Times New Roman" w:cs="Times New Roman"/>
                <w:b w:val="0"/>
                <w:bCs w:val="0"/>
                <w:color w:val="auto"/>
                <w:sz w:val="24"/>
                <w:szCs w:val="24"/>
                <w:highlight w:val="none"/>
                <w:vertAlign w:val="baseline"/>
                <w:lang w:val="en-US" w:eastAsia="zh-CN"/>
              </w:rPr>
              <w:t>水厂取水口</w:t>
            </w:r>
            <w:r>
              <w:rPr>
                <w:rFonts w:hint="eastAsia" w:ascii="Times New Roman" w:hAnsi="Times New Roman" w:cs="Times New Roman"/>
                <w:b w:val="0"/>
                <w:bCs w:val="0"/>
                <w:color w:val="auto"/>
                <w:sz w:val="24"/>
                <w:szCs w:val="24"/>
                <w:highlight w:val="none"/>
                <w:vertAlign w:val="baseline"/>
                <w:lang w:val="en-US" w:eastAsia="zh-CN"/>
              </w:rPr>
              <w:t>为</w:t>
            </w:r>
            <w:r>
              <w:rPr>
                <w:rFonts w:hint="eastAsia"/>
                <w:color w:val="auto"/>
                <w:sz w:val="24"/>
                <w:szCs w:val="24"/>
              </w:rPr>
              <w:t>长滩河</w:t>
            </w:r>
            <w:r>
              <w:rPr>
                <w:rFonts w:hint="eastAsia"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cs="Times New Roman"/>
                <w:b w:val="0"/>
                <w:bCs w:val="0"/>
                <w:color w:val="auto"/>
                <w:sz w:val="24"/>
                <w:szCs w:val="32"/>
                <w:highlight w:val="none"/>
                <w:vertAlign w:val="baseline"/>
                <w:lang w:val="en-US" w:eastAsia="zh-CN"/>
              </w:rPr>
              <w:t>取水口暂未划定饮用水水源保护区</w:t>
            </w:r>
            <w:r>
              <w:rPr>
                <w:rFonts w:hint="eastAsia" w:ascii="Times New Roman" w:hAnsi="Times New Roman" w:cs="Times New Roman"/>
                <w:b w:val="0"/>
                <w:bCs w:val="0"/>
                <w:color w:val="auto"/>
                <w:sz w:val="24"/>
                <w:szCs w:val="32"/>
                <w:highlight w:val="none"/>
                <w:vertAlign w:val="baseline"/>
                <w:lang w:val="en-US" w:eastAsia="zh-CN"/>
              </w:rPr>
              <w:t>；</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根据调查，</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长滩河</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取水点</w:t>
            </w:r>
            <w:r>
              <w:rPr>
                <w:rFonts w:hint="default" w:ascii="Times New Roman" w:hAnsi="Times New Roman" w:cs="Times New Roman"/>
                <w:b/>
                <w:bCs/>
                <w:color w:val="000000" w:themeColor="text1"/>
                <w:sz w:val="24"/>
                <w:szCs w:val="24"/>
                <w:highlight w:val="none"/>
                <w14:textFill>
                  <w14:solidFill>
                    <w14:schemeClr w14:val="tx1"/>
                  </w14:solidFill>
                </w14:textFill>
              </w:rPr>
              <w:t>上游1000米至下游100米的水域范围</w:t>
            </w: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内</w:t>
            </w:r>
            <w:r>
              <w:rPr>
                <w:rFonts w:hint="eastAsia"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无工业废水和生活污水排入、沿线无其他可能对水环境造成不利影响的堆渣，沿线主要为林地、农田等</w:t>
            </w:r>
            <w:r>
              <w:rPr>
                <w:rFonts w:hint="eastAsia"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auto"/>
                <w:sz w:val="24"/>
                <w:szCs w:val="32"/>
                <w:highlight w:val="none"/>
                <w:vertAlign w:val="baseline"/>
                <w:lang w:val="en-US" w:eastAsia="zh-CN"/>
              </w:rPr>
              <w:t>为保证水源安全和城乡居民饮用水安全，</w:t>
            </w:r>
            <w:r>
              <w:rPr>
                <w:rFonts w:hint="eastAsia" w:ascii="Times New Roman" w:hAnsi="Times New Roman" w:cs="Times New Roman"/>
                <w:b w:val="0"/>
                <w:bCs w:val="0"/>
                <w:color w:val="auto"/>
                <w:sz w:val="24"/>
                <w:szCs w:val="32"/>
                <w:highlight w:val="none"/>
                <w:vertAlign w:val="baseline"/>
                <w:lang w:val="en-US" w:eastAsia="zh-CN"/>
              </w:rPr>
              <w:t>环评要求：</w:t>
            </w:r>
            <w:r>
              <w:rPr>
                <w:rFonts w:hint="eastAsia"/>
                <w:b/>
                <w:bCs/>
                <w:color w:val="auto"/>
                <w:sz w:val="24"/>
                <w:szCs w:val="24"/>
              </w:rPr>
              <w:t>长滩河</w:t>
            </w:r>
            <w:r>
              <w:rPr>
                <w:rFonts w:hint="default" w:ascii="Times New Roman" w:hAnsi="Times New Roman" w:cs="Times New Roman"/>
                <w:b/>
                <w:bCs/>
                <w:color w:val="auto"/>
                <w:sz w:val="24"/>
                <w:szCs w:val="32"/>
                <w:highlight w:val="none"/>
                <w:vertAlign w:val="baseline"/>
                <w:lang w:val="en-US" w:eastAsia="zh-CN"/>
              </w:rPr>
              <w:t>取水口</w:t>
            </w:r>
            <w:r>
              <w:rPr>
                <w:rFonts w:hint="eastAsia" w:ascii="Times New Roman" w:hAnsi="Times New Roman" w:cs="Times New Roman"/>
                <w:b/>
                <w:bCs/>
                <w:color w:val="auto"/>
                <w:sz w:val="24"/>
                <w:szCs w:val="32"/>
                <w:highlight w:val="none"/>
                <w:vertAlign w:val="baseline"/>
                <w:lang w:val="en-US" w:eastAsia="zh-CN"/>
              </w:rPr>
              <w:t>应以取水点划定</w:t>
            </w:r>
            <w:r>
              <w:rPr>
                <w:rFonts w:hint="default" w:ascii="Times New Roman" w:hAnsi="Times New Roman" w:cs="Times New Roman"/>
                <w:b/>
                <w:bCs/>
                <w:color w:val="auto"/>
                <w:sz w:val="24"/>
                <w:szCs w:val="32"/>
                <w:highlight w:val="none"/>
                <w:vertAlign w:val="baseline"/>
                <w:lang w:val="en-US" w:eastAsia="zh-CN"/>
              </w:rPr>
              <w:t>饮用水水源保护区</w:t>
            </w:r>
            <w:r>
              <w:rPr>
                <w:rFonts w:hint="eastAsia" w:ascii="Times New Roman" w:hAnsi="Times New Roman" w:cs="Times New Roman"/>
                <w:b/>
                <w:bCs/>
                <w:color w:val="auto"/>
                <w:sz w:val="24"/>
                <w:szCs w:val="32"/>
                <w:highlight w:val="none"/>
                <w:vertAlign w:val="baseline"/>
                <w:lang w:val="en-US" w:eastAsia="zh-CN"/>
              </w:rPr>
              <w:t>，</w:t>
            </w:r>
            <w:r>
              <w:rPr>
                <w:rFonts w:hint="default" w:ascii="Times New Roman" w:hAnsi="Times New Roman" w:cs="Times New Roman"/>
                <w:b/>
                <w:bCs/>
                <w:color w:val="auto"/>
                <w:sz w:val="24"/>
                <w:szCs w:val="32"/>
                <w:highlight w:val="none"/>
                <w:vertAlign w:val="baseline"/>
                <w:lang w:val="en-US" w:eastAsia="zh-CN"/>
              </w:rPr>
              <w:t>取得饮用水水源保护区划定文件，取得取水许可证。</w:t>
            </w:r>
          </w:p>
          <w:p w14:paraId="70F6E7A8">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本项目隘口</w:t>
            </w:r>
            <w:r>
              <w:rPr>
                <w:rFonts w:hint="default" w:ascii="Times New Roman" w:hAnsi="Times New Roman" w:cs="Times New Roman"/>
                <w:b w:val="0"/>
                <w:bCs w:val="0"/>
                <w:color w:val="auto"/>
                <w:sz w:val="24"/>
                <w:szCs w:val="24"/>
                <w:highlight w:val="none"/>
                <w:vertAlign w:val="baseline"/>
                <w:lang w:val="en-US" w:eastAsia="zh-CN"/>
              </w:rPr>
              <w:t>水厂取水口</w:t>
            </w:r>
            <w:r>
              <w:rPr>
                <w:rFonts w:hint="eastAsia" w:ascii="Times New Roman" w:hAnsi="Times New Roman" w:cs="Times New Roman"/>
                <w:b w:val="0"/>
                <w:bCs w:val="0"/>
                <w:color w:val="auto"/>
                <w:sz w:val="24"/>
                <w:szCs w:val="24"/>
                <w:highlight w:val="none"/>
                <w:vertAlign w:val="baseline"/>
                <w:lang w:val="en-US" w:eastAsia="zh-CN"/>
              </w:rPr>
              <w:t>为</w:t>
            </w:r>
            <w:r>
              <w:rPr>
                <w:rFonts w:hint="eastAsia"/>
                <w:color w:val="auto"/>
                <w:sz w:val="24"/>
                <w:szCs w:val="24"/>
              </w:rPr>
              <w:t>普子坪水库</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32"/>
                <w:highlight w:val="none"/>
                <w:vertAlign w:val="baseline"/>
                <w:lang w:val="en-US" w:eastAsia="zh-CN"/>
              </w:rPr>
              <w:t>取水口暂未划定饮用水水源保护区</w:t>
            </w:r>
            <w:r>
              <w:rPr>
                <w:rFonts w:hint="eastAsia" w:ascii="Times New Roman" w:hAnsi="Times New Roman" w:cs="Times New Roman"/>
                <w:b w:val="0"/>
                <w:bCs w:val="0"/>
                <w:color w:val="auto"/>
                <w:sz w:val="24"/>
                <w:szCs w:val="32"/>
                <w:highlight w:val="none"/>
                <w:vertAlign w:val="baseline"/>
                <w:lang w:val="en-US" w:eastAsia="zh-CN"/>
              </w:rPr>
              <w:t>；</w:t>
            </w:r>
            <w:r>
              <w:rPr>
                <w:rFonts w:hint="eastAsia" w:ascii="Times New Roman" w:hAnsi="Times New Roman" w:eastAsia="宋体" w:cs="Times New Roman"/>
                <w:b/>
                <w:bCs/>
                <w:color w:val="000000" w:themeColor="text1"/>
                <w:sz w:val="24"/>
                <w:szCs w:val="24"/>
                <w:vertAlign w:val="baseline"/>
                <w:lang w:val="en-US" w:eastAsia="zh-CN"/>
                <w14:textFill>
                  <w14:solidFill>
                    <w14:schemeClr w14:val="tx1"/>
                  </w14:solidFill>
                </w14:textFill>
              </w:rPr>
              <w:t>根据调查，</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普子坪水库</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取水点</w:t>
            </w: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半径3000m范围内</w:t>
            </w:r>
            <w:r>
              <w:rPr>
                <w:rFonts w:hint="eastAsia"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无工业废水和生活污水排入、沿线无其他可能对水环境造成不利影响的堆渣，沿线主要为林地、农田等</w:t>
            </w:r>
            <w:r>
              <w:rPr>
                <w:rFonts w:hint="eastAsia" w:ascii="Times New Roman" w:hAnsi="Times New Roman" w:eastAsia="宋体" w:cs="Times New Roman"/>
                <w:b/>
                <w:bCs/>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cs="Times New Roman"/>
                <w:b w:val="0"/>
                <w:bCs w:val="0"/>
                <w:color w:val="auto"/>
                <w:sz w:val="24"/>
                <w:szCs w:val="32"/>
                <w:highlight w:val="none"/>
                <w:vertAlign w:val="baseline"/>
                <w:lang w:val="en-US" w:eastAsia="zh-CN"/>
              </w:rPr>
              <w:t>为保证水源安全和城乡居民饮用水安全，</w:t>
            </w:r>
            <w:r>
              <w:rPr>
                <w:rFonts w:hint="eastAsia" w:ascii="Times New Roman" w:hAnsi="Times New Roman" w:cs="Times New Roman"/>
                <w:b w:val="0"/>
                <w:bCs w:val="0"/>
                <w:color w:val="auto"/>
                <w:sz w:val="24"/>
                <w:szCs w:val="32"/>
                <w:highlight w:val="none"/>
                <w:vertAlign w:val="baseline"/>
                <w:lang w:val="en-US" w:eastAsia="zh-CN"/>
              </w:rPr>
              <w:t>环评要求：</w:t>
            </w:r>
            <w:r>
              <w:rPr>
                <w:rFonts w:hint="eastAsia"/>
                <w:b/>
                <w:bCs/>
                <w:color w:val="auto"/>
                <w:sz w:val="24"/>
                <w:szCs w:val="24"/>
              </w:rPr>
              <w:t>普子坪水库</w:t>
            </w:r>
            <w:r>
              <w:rPr>
                <w:rFonts w:hint="default" w:ascii="Times New Roman" w:hAnsi="Times New Roman" w:cs="Times New Roman"/>
                <w:b/>
                <w:bCs/>
                <w:color w:val="auto"/>
                <w:sz w:val="24"/>
                <w:szCs w:val="32"/>
                <w:highlight w:val="none"/>
                <w:vertAlign w:val="baseline"/>
                <w:lang w:val="en-US" w:eastAsia="zh-CN"/>
              </w:rPr>
              <w:t>取水口</w:t>
            </w:r>
            <w:r>
              <w:rPr>
                <w:rFonts w:hint="eastAsia" w:ascii="Times New Roman" w:hAnsi="Times New Roman" w:cs="Times New Roman"/>
                <w:b/>
                <w:bCs/>
                <w:color w:val="auto"/>
                <w:sz w:val="24"/>
                <w:szCs w:val="32"/>
                <w:highlight w:val="none"/>
                <w:vertAlign w:val="baseline"/>
                <w:lang w:val="en-US" w:eastAsia="zh-CN"/>
              </w:rPr>
              <w:t>应以取水点划定</w:t>
            </w:r>
            <w:r>
              <w:rPr>
                <w:rFonts w:hint="default" w:ascii="Times New Roman" w:hAnsi="Times New Roman" w:cs="Times New Roman"/>
                <w:b/>
                <w:bCs/>
                <w:color w:val="auto"/>
                <w:sz w:val="24"/>
                <w:szCs w:val="32"/>
                <w:highlight w:val="none"/>
                <w:vertAlign w:val="baseline"/>
                <w:lang w:val="en-US" w:eastAsia="zh-CN"/>
              </w:rPr>
              <w:t>饮用水水源保护区</w:t>
            </w:r>
            <w:r>
              <w:rPr>
                <w:rFonts w:hint="eastAsia" w:ascii="Times New Roman" w:hAnsi="Times New Roman" w:cs="Times New Roman"/>
                <w:b/>
                <w:bCs/>
                <w:color w:val="auto"/>
                <w:sz w:val="24"/>
                <w:szCs w:val="32"/>
                <w:highlight w:val="none"/>
                <w:vertAlign w:val="baseline"/>
                <w:lang w:val="en-US" w:eastAsia="zh-CN"/>
              </w:rPr>
              <w:t>，</w:t>
            </w:r>
            <w:r>
              <w:rPr>
                <w:rFonts w:hint="default" w:ascii="Times New Roman" w:hAnsi="Times New Roman" w:cs="Times New Roman"/>
                <w:b/>
                <w:bCs/>
                <w:color w:val="auto"/>
                <w:sz w:val="24"/>
                <w:szCs w:val="32"/>
                <w:highlight w:val="none"/>
                <w:vertAlign w:val="baseline"/>
                <w:lang w:val="en-US" w:eastAsia="zh-CN"/>
              </w:rPr>
              <w:t>取得饮用水水源保护区划定文件，取得取水许可证。</w:t>
            </w:r>
          </w:p>
          <w:p w14:paraId="392C79F8">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eastAsia="宋体" w:cs="Times New Roman"/>
                <w:b w:val="0"/>
                <w:bCs w:val="0"/>
                <w:color w:val="auto"/>
                <w:sz w:val="24"/>
                <w:szCs w:val="32"/>
                <w:highlight w:val="none"/>
                <w:vertAlign w:val="baseline"/>
                <w:lang w:val="en-US" w:eastAsia="zh-CN"/>
              </w:rPr>
              <w:t>本项目</w:t>
            </w:r>
            <w:r>
              <w:rPr>
                <w:rFonts w:hint="default" w:ascii="Times New Roman" w:hAnsi="Times New Roman" w:cs="Times New Roman"/>
                <w:b w:val="0"/>
                <w:bCs w:val="0"/>
                <w:color w:val="auto"/>
                <w:sz w:val="24"/>
                <w:szCs w:val="32"/>
                <w:highlight w:val="none"/>
                <w:vertAlign w:val="baseline"/>
                <w:lang w:val="en-US" w:eastAsia="zh-CN"/>
              </w:rPr>
              <w:t>为</w:t>
            </w:r>
            <w:r>
              <w:rPr>
                <w:rFonts w:hint="default" w:ascii="Times New Roman" w:hAnsi="Times New Roman" w:cs="Times New Roman"/>
                <w:b w:val="0"/>
                <w:bCs w:val="0"/>
                <w:color w:val="auto"/>
                <w:sz w:val="24"/>
                <w:szCs w:val="24"/>
                <w:highlight w:val="none"/>
                <w:shd w:val="clear" w:color="auto" w:fill="FFFFFF"/>
                <w:lang w:val="en-US" w:eastAsia="zh-CN"/>
              </w:rPr>
              <w:t>供水设施建设项目</w:t>
            </w:r>
            <w:r>
              <w:rPr>
                <w:rFonts w:hint="default" w:ascii="Times New Roman" w:hAnsi="Times New Roman" w:eastAsia="宋体" w:cs="Times New Roman"/>
                <w:b w:val="0"/>
                <w:bCs w:val="0"/>
                <w:color w:val="auto"/>
                <w:sz w:val="24"/>
                <w:szCs w:val="32"/>
                <w:highlight w:val="none"/>
                <w:vertAlign w:val="baseline"/>
                <w:lang w:val="en-US" w:eastAsia="zh-CN"/>
              </w:rPr>
              <w:t>，不属于“禁止新建、改建、扩建与供水设施和保护水源无关的建设项目”“</w:t>
            </w:r>
            <w:r>
              <w:rPr>
                <w:rFonts w:hint="default" w:ascii="Times New Roman" w:hAnsi="Times New Roman" w:cs="Times New Roman"/>
                <w:color w:val="auto"/>
                <w:sz w:val="24"/>
                <w:szCs w:val="24"/>
                <w:highlight w:val="none"/>
                <w:shd w:val="clear" w:color="auto" w:fill="FFFFFF"/>
                <w:lang w:val="en-US" w:eastAsia="zh-CN"/>
              </w:rPr>
              <w:t>禁止新建、改建、扩建排放污染物的建设项目</w:t>
            </w:r>
            <w:r>
              <w:rPr>
                <w:rFonts w:hint="default" w:ascii="Times New Roman" w:hAnsi="Times New Roman" w:eastAsia="宋体" w:cs="Times New Roman"/>
                <w:b w:val="0"/>
                <w:bCs w:val="0"/>
                <w:color w:val="auto"/>
                <w:sz w:val="24"/>
                <w:szCs w:val="32"/>
                <w:highlight w:val="none"/>
                <w:vertAlign w:val="baseline"/>
                <w:lang w:val="en-US" w:eastAsia="zh-CN"/>
              </w:rPr>
              <w:t>”</w:t>
            </w:r>
            <w:r>
              <w:rPr>
                <w:rFonts w:hint="eastAsia" w:ascii="Times New Roman" w:hAnsi="Times New Roman" w:eastAsia="宋体" w:cs="Times New Roman"/>
                <w:b w:val="0"/>
                <w:bCs w:val="0"/>
                <w:color w:val="auto"/>
                <w:sz w:val="24"/>
                <w:szCs w:val="32"/>
                <w:highlight w:val="none"/>
                <w:vertAlign w:val="baseline"/>
                <w:lang w:val="en-US" w:eastAsia="zh-CN"/>
              </w:rPr>
              <w:t>；同时，</w:t>
            </w:r>
            <w:r>
              <w:rPr>
                <w:rFonts w:hint="eastAsia" w:ascii="Times New Roman" w:hAnsi="Times New Roman" w:eastAsia="宋体" w:cs="Times New Roman"/>
                <w:b/>
                <w:bCs/>
                <w:color w:val="auto"/>
                <w:sz w:val="24"/>
                <w:szCs w:val="32"/>
                <w:highlight w:val="none"/>
                <w:vertAlign w:val="baseline"/>
                <w:lang w:val="en-US" w:eastAsia="zh-CN"/>
              </w:rPr>
              <w:t>施工期严格禁止在饮用水源保护区范围设置施工营地、渣场及将渣土、油类等流入水体。</w:t>
            </w:r>
            <w:r>
              <w:rPr>
                <w:rFonts w:hint="default" w:ascii="Times New Roman" w:hAnsi="Times New Roman" w:eastAsia="宋体" w:cs="Times New Roman"/>
                <w:b w:val="0"/>
                <w:bCs w:val="0"/>
                <w:color w:val="auto"/>
                <w:sz w:val="24"/>
                <w:szCs w:val="32"/>
                <w:highlight w:val="none"/>
                <w:vertAlign w:val="baseline"/>
                <w:lang w:val="en-US" w:eastAsia="zh-CN"/>
              </w:rPr>
              <w:t>因此与《达州市集中式饮用水水源保护管理条例》内容相符</w:t>
            </w:r>
            <w:r>
              <w:rPr>
                <w:rFonts w:hint="eastAsia" w:ascii="Times New Roman" w:hAnsi="Times New Roman" w:eastAsia="宋体" w:cs="Times New Roman"/>
                <w:b w:val="0"/>
                <w:bCs w:val="0"/>
                <w:color w:val="auto"/>
                <w:sz w:val="24"/>
                <w:szCs w:val="32"/>
                <w:highlight w:val="none"/>
                <w:vertAlign w:val="baseline"/>
                <w:lang w:val="en-US" w:eastAsia="zh-CN"/>
              </w:rPr>
              <w:t>。</w:t>
            </w:r>
          </w:p>
          <w:p w14:paraId="00DF752F">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vertAlign w:val="baseline"/>
                <w:lang w:val="en-US" w:eastAsia="zh-CN"/>
              </w:rPr>
              <w:t>、项目与</w:t>
            </w:r>
            <w:r>
              <w:rPr>
                <w:rFonts w:hint="default" w:ascii="Times New Roman" w:hAnsi="Times New Roman" w:cs="Times New Roman"/>
                <w:b/>
                <w:bCs/>
                <w:color w:val="auto"/>
                <w:sz w:val="24"/>
                <w:szCs w:val="32"/>
                <w:highlight w:val="none"/>
                <w:vertAlign w:val="baseline"/>
                <w:lang w:val="en-US" w:eastAsia="zh-CN"/>
              </w:rPr>
              <w:t>《生活饮用水集中式供水单位卫生规范》的符合性分析</w:t>
            </w:r>
          </w:p>
          <w:p w14:paraId="02EC122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cs="Times New Roman"/>
                <w:b w:val="0"/>
                <w:bCs w:val="0"/>
                <w:color w:val="auto"/>
                <w:sz w:val="24"/>
                <w:szCs w:val="32"/>
                <w:highlight w:val="none"/>
                <w:vertAlign w:val="baseline"/>
                <w:lang w:val="en-US" w:eastAsia="zh-CN"/>
              </w:rPr>
              <w:t>根据《生活饮用水集中式供水单位卫生规范》，本项目取水工程与规范相符性分析如</w:t>
            </w:r>
            <w:r>
              <w:rPr>
                <w:rFonts w:hint="eastAsia" w:ascii="Times New Roman" w:hAnsi="Times New Roman" w:cs="Times New Roman"/>
                <w:b w:val="0"/>
                <w:bCs w:val="0"/>
                <w:color w:val="auto"/>
                <w:sz w:val="24"/>
                <w:szCs w:val="32"/>
                <w:highlight w:val="none"/>
                <w:vertAlign w:val="baseline"/>
                <w:lang w:val="en-US" w:eastAsia="zh-CN"/>
              </w:rPr>
              <w:t>下表</w:t>
            </w:r>
            <w:r>
              <w:rPr>
                <w:rFonts w:hint="default" w:ascii="Times New Roman" w:hAnsi="Times New Roman" w:cs="Times New Roman"/>
                <w:b w:val="0"/>
                <w:bCs w:val="0"/>
                <w:color w:val="auto"/>
                <w:sz w:val="24"/>
                <w:szCs w:val="32"/>
                <w:highlight w:val="none"/>
                <w:vertAlign w:val="baseline"/>
                <w:lang w:val="en-US" w:eastAsia="zh-CN"/>
              </w:rPr>
              <w:t>所示。</w:t>
            </w:r>
          </w:p>
          <w:p w14:paraId="2D294CB1">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表1-1</w:t>
            </w:r>
            <w:r>
              <w:rPr>
                <w:rFonts w:hint="eastAsia"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lang w:val="en-US" w:eastAsia="zh-CN"/>
              </w:rPr>
              <w:t xml:space="preserve"> 本项目取水工程与规范相符性分析</w:t>
            </w:r>
          </w:p>
          <w:tbl>
            <w:tblPr>
              <w:tblStyle w:val="25"/>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93"/>
              <w:gridCol w:w="4171"/>
              <w:gridCol w:w="938"/>
            </w:tblGrid>
            <w:tr w14:paraId="55A3F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2" w:type="pct"/>
                  <w:tcBorders>
                    <w:tl2br w:val="nil"/>
                    <w:tr2bl w:val="nil"/>
                  </w:tcBorders>
                  <w:vAlign w:val="center"/>
                </w:tcPr>
                <w:p w14:paraId="2ED2A2CF">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规范</w:t>
                  </w:r>
                </w:p>
              </w:tc>
              <w:tc>
                <w:tcPr>
                  <w:tcW w:w="2316" w:type="pct"/>
                  <w:tcBorders>
                    <w:tl2br w:val="nil"/>
                    <w:tr2bl w:val="nil"/>
                  </w:tcBorders>
                  <w:vAlign w:val="center"/>
                </w:tcPr>
                <w:p w14:paraId="79E00F34">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本项目</w:t>
                  </w:r>
                </w:p>
              </w:tc>
              <w:tc>
                <w:tcPr>
                  <w:tcW w:w="520" w:type="pct"/>
                  <w:tcBorders>
                    <w:tl2br w:val="nil"/>
                    <w:tr2bl w:val="nil"/>
                  </w:tcBorders>
                  <w:vAlign w:val="center"/>
                </w:tcPr>
                <w:p w14:paraId="09310334">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color w:val="auto"/>
                      <w:highlight w:val="none"/>
                      <w:lang w:val="en-US" w:eastAsia="zh-CN"/>
                    </w:rPr>
                    <w:t>符合性</w:t>
                  </w:r>
                </w:p>
              </w:tc>
            </w:tr>
            <w:tr w14:paraId="3C12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2" w:type="pct"/>
                  <w:tcBorders>
                    <w:tl2br w:val="nil"/>
                    <w:tr2bl w:val="nil"/>
                  </w:tcBorders>
                  <w:vAlign w:val="center"/>
                </w:tcPr>
                <w:p w14:paraId="77359D49">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集中式供水单位应选择水质良好、水量充沛、便于防护的水源。</w:t>
                  </w:r>
                </w:p>
              </w:tc>
              <w:tc>
                <w:tcPr>
                  <w:tcW w:w="2316" w:type="pct"/>
                  <w:tcBorders>
                    <w:tl2br w:val="nil"/>
                    <w:tr2bl w:val="nil"/>
                  </w:tcBorders>
                  <w:vAlign w:val="center"/>
                </w:tcPr>
                <w:p w14:paraId="3DCF9251">
                  <w:pPr>
                    <w:pStyle w:val="15"/>
                    <w:keepNext w:val="0"/>
                    <w:keepLines w:val="0"/>
                    <w:pageBreakBefore w:val="0"/>
                    <w:widowControl w:val="0"/>
                    <w:kinsoku/>
                    <w:wordWrap/>
                    <w:overflowPunct/>
                    <w:topLinePunct w:val="0"/>
                    <w:autoSpaceDE/>
                    <w:autoSpaceDN/>
                    <w:bidi w:val="0"/>
                    <w:adjustRightInd/>
                    <w:snapToGrid/>
                    <w:spacing w:beforeAutospacing="0" w:after="0" w:afterLines="0" w:line="240" w:lineRule="auto"/>
                    <w:ind w:left="0" w:leftChars="0" w:right="0"/>
                    <w:jc w:val="center"/>
                    <w:textAlignment w:val="auto"/>
                    <w:rPr>
                      <w:rFonts w:hint="default" w:ascii="Times New Roman" w:hAnsi="Times New Roman" w:eastAsia="宋体" w:cs="Times New Roman"/>
                      <w:bCs/>
                      <w:color w:val="auto"/>
                      <w:highlight w:val="none"/>
                      <w:lang w:val="en-US" w:eastAsia="zh-CN"/>
                    </w:rPr>
                  </w:pPr>
                  <w:r>
                    <w:rPr>
                      <w:rFonts w:hint="eastAsia"/>
                      <w:color w:val="auto"/>
                      <w:sz w:val="21"/>
                      <w:szCs w:val="21"/>
                    </w:rPr>
                    <w:t>长滩河</w:t>
                  </w:r>
                  <w:r>
                    <w:rPr>
                      <w:rFonts w:hint="eastAsia"/>
                      <w:b w:val="0"/>
                      <w:bCs/>
                      <w:sz w:val="21"/>
                      <w:szCs w:val="21"/>
                      <w:lang w:eastAsia="zh-CN"/>
                    </w:rPr>
                    <w:t>、</w:t>
                  </w:r>
                  <w:r>
                    <w:rPr>
                      <w:rFonts w:hint="eastAsia"/>
                      <w:color w:val="auto"/>
                      <w:sz w:val="21"/>
                      <w:szCs w:val="21"/>
                    </w:rPr>
                    <w:t>普子坪水库</w:t>
                  </w:r>
                  <w:r>
                    <w:rPr>
                      <w:rFonts w:hint="default" w:ascii="Times New Roman" w:hAnsi="Times New Roman" w:cs="Times New Roman"/>
                      <w:bCs/>
                      <w:color w:val="auto"/>
                      <w:sz w:val="21"/>
                      <w:szCs w:val="21"/>
                      <w:highlight w:val="none"/>
                      <w:lang w:val="en-US" w:eastAsia="zh-CN"/>
                    </w:rPr>
                    <w:t>水量</w:t>
                  </w:r>
                  <w:r>
                    <w:rPr>
                      <w:rFonts w:hint="default" w:ascii="Times New Roman" w:hAnsi="Times New Roman" w:cs="Times New Roman"/>
                      <w:bCs/>
                      <w:color w:val="auto"/>
                      <w:highlight w:val="none"/>
                      <w:lang w:val="en-US" w:eastAsia="zh-CN"/>
                    </w:rPr>
                    <w:t>充足，其水质</w:t>
                  </w:r>
                  <w:r>
                    <w:rPr>
                      <w:rFonts w:hint="eastAsia" w:ascii="Times New Roman" w:hAnsi="Times New Roman" w:cs="Times New Roman"/>
                      <w:bCs/>
                      <w:color w:val="auto"/>
                      <w:highlight w:val="none"/>
                      <w:lang w:val="en-US" w:eastAsia="zh-CN"/>
                    </w:rPr>
                    <w:t>满足</w:t>
                  </w:r>
                  <w:r>
                    <w:rPr>
                      <w:rFonts w:hint="default" w:ascii="Times New Roman" w:hAnsi="Times New Roman" w:cs="Times New Roman"/>
                      <w:bCs/>
                      <w:color w:val="auto"/>
                      <w:highlight w:val="none"/>
                      <w:lang w:val="en-US" w:eastAsia="zh-CN"/>
                    </w:rPr>
                    <w:t>《地表水环境质量标准》（GB3838-2002）</w:t>
                  </w:r>
                  <w:r>
                    <w:rPr>
                      <w:rFonts w:hint="default" w:ascii="Times New Roman" w:hAnsi="Times New Roman" w:cs="Times New Roman"/>
                      <w:b w:val="0"/>
                      <w:bCs w:val="0"/>
                      <w:color w:val="auto"/>
                      <w:sz w:val="24"/>
                      <w:szCs w:val="24"/>
                      <w:highlight w:val="none"/>
                      <w:vertAlign w:val="baseline"/>
                      <w:lang w:val="en-US" w:eastAsia="zh-CN"/>
                    </w:rPr>
                    <w:t>Ⅱ</w:t>
                  </w:r>
                  <w:r>
                    <w:rPr>
                      <w:rFonts w:hint="default" w:ascii="Times New Roman" w:hAnsi="Times New Roman" w:cs="Times New Roman"/>
                      <w:bCs/>
                      <w:color w:val="auto"/>
                      <w:highlight w:val="none"/>
                      <w:lang w:val="en-US" w:eastAsia="zh-CN"/>
                    </w:rPr>
                    <w:t>类。</w:t>
                  </w:r>
                </w:p>
              </w:tc>
              <w:tc>
                <w:tcPr>
                  <w:tcW w:w="520" w:type="pct"/>
                  <w:tcBorders>
                    <w:tl2br w:val="nil"/>
                    <w:tr2bl w:val="nil"/>
                  </w:tcBorders>
                  <w:vAlign w:val="center"/>
                </w:tcPr>
                <w:p w14:paraId="537BF904">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符合</w:t>
                  </w:r>
                </w:p>
              </w:tc>
            </w:tr>
            <w:tr w14:paraId="4772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2" w:type="pct"/>
                  <w:tcBorders>
                    <w:tl2br w:val="nil"/>
                    <w:tr2bl w:val="nil"/>
                  </w:tcBorders>
                  <w:vAlign w:val="center"/>
                </w:tcPr>
                <w:p w14:paraId="276882E0">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取水点周围半径100米的水域内，严禁捕捞、网箱养殖、停靠船只、游泳和从事其他可能污染水源的任何活动。</w:t>
                  </w:r>
                </w:p>
              </w:tc>
              <w:tc>
                <w:tcPr>
                  <w:tcW w:w="2316" w:type="pct"/>
                  <w:tcBorders>
                    <w:tl2br w:val="nil"/>
                    <w:tr2bl w:val="nil"/>
                  </w:tcBorders>
                  <w:vAlign w:val="center"/>
                </w:tcPr>
                <w:p w14:paraId="418E7499">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eastAsiaTheme="minorEastAsia"/>
                      <w:bCs/>
                      <w:color w:val="auto"/>
                      <w:highlight w:val="none"/>
                      <w:lang w:eastAsia="zh-CN"/>
                    </w:rPr>
                  </w:pPr>
                  <w:r>
                    <w:rPr>
                      <w:rFonts w:hint="default" w:ascii="Times New Roman" w:hAnsi="Times New Roman" w:cs="Times New Roman"/>
                      <w:bCs/>
                      <w:color w:val="auto"/>
                      <w:highlight w:val="none"/>
                    </w:rPr>
                    <w:t>取水点周围半径100米内，建设单位需会同有关部门，加强饮用水源保护区的监管工作，禁止捕捞、网箱养殖、停靠船只、游泳和从事其他可能污染水源的任何活动</w:t>
                  </w:r>
                  <w:r>
                    <w:rPr>
                      <w:rFonts w:hint="default" w:ascii="Times New Roman" w:hAnsi="Times New Roman" w:cs="Times New Roman"/>
                      <w:bCs/>
                      <w:color w:val="auto"/>
                      <w:highlight w:val="none"/>
                      <w:lang w:eastAsia="zh-CN"/>
                    </w:rPr>
                    <w:t>。</w:t>
                  </w:r>
                </w:p>
              </w:tc>
              <w:tc>
                <w:tcPr>
                  <w:tcW w:w="520" w:type="pct"/>
                  <w:tcBorders>
                    <w:tl2br w:val="nil"/>
                    <w:tr2bl w:val="nil"/>
                  </w:tcBorders>
                  <w:vAlign w:val="center"/>
                </w:tcPr>
                <w:p w14:paraId="7E7D8FE1">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符合</w:t>
                  </w:r>
                </w:p>
              </w:tc>
            </w:tr>
            <w:tr w14:paraId="00A9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2" w:type="pct"/>
                  <w:tcBorders>
                    <w:tl2br w:val="nil"/>
                    <w:tr2bl w:val="nil"/>
                  </w:tcBorders>
                  <w:vAlign w:val="center"/>
                </w:tcPr>
                <w:p w14:paraId="1FB57332">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取水点上游1000米至下游100米的水域不得排入工业废水和生活污水；其沿岸防护范围内不得堆放废渣，不得设立有毒、有害化学物品仓库、堆栈，不得设立装卸垃圾、粪便和有毒有害化学物品的码头，不得使用工业废水或生活污水灌溉及使用难降解或剧毒的农药，不得排放有毒气体、放射性物质，不得从事放牧等有可能污染该段水域水质的活动。</w:t>
                  </w:r>
                </w:p>
              </w:tc>
              <w:tc>
                <w:tcPr>
                  <w:tcW w:w="2316" w:type="pct"/>
                  <w:tcBorders>
                    <w:tl2br w:val="nil"/>
                    <w:tr2bl w:val="nil"/>
                  </w:tcBorders>
                  <w:vAlign w:val="center"/>
                </w:tcPr>
                <w:p w14:paraId="71D2CC35">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取水点上游1000米至下游100米的水域范围</w:t>
                  </w:r>
                  <w:r>
                    <w:rPr>
                      <w:rFonts w:hint="default" w:ascii="Times New Roman" w:hAnsi="Times New Roman" w:cs="Times New Roman"/>
                      <w:bCs/>
                      <w:color w:val="auto"/>
                      <w:highlight w:val="none"/>
                      <w:lang w:val="en-US" w:eastAsia="zh-CN"/>
                    </w:rPr>
                    <w:t>无工业废水和生活污水排入</w:t>
                  </w:r>
                  <w:r>
                    <w:rPr>
                      <w:rFonts w:hint="default" w:ascii="Times New Roman" w:hAnsi="Times New Roman" w:cs="Times New Roman"/>
                      <w:bCs/>
                      <w:color w:val="auto"/>
                      <w:highlight w:val="none"/>
                    </w:rPr>
                    <w:t>、沿线无其他可能对水环境造成不利影响的堆渣。另外，建设单位需会同农业部门，加强对饮用水源地农田灌溉用水安全、农药科学合理的使用进行宣传，最大限度降低农业污染源对该段水质的影响。</w:t>
                  </w:r>
                </w:p>
              </w:tc>
              <w:tc>
                <w:tcPr>
                  <w:tcW w:w="520" w:type="pct"/>
                  <w:tcBorders>
                    <w:tl2br w:val="nil"/>
                    <w:tr2bl w:val="nil"/>
                  </w:tcBorders>
                  <w:vAlign w:val="center"/>
                </w:tcPr>
                <w:p w14:paraId="1D7432A5">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符合</w:t>
                  </w:r>
                </w:p>
              </w:tc>
            </w:tr>
            <w:tr w14:paraId="3170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2" w:type="pct"/>
                  <w:tcBorders>
                    <w:tl2br w:val="nil"/>
                    <w:tr2bl w:val="nil"/>
                  </w:tcBorders>
                  <w:vAlign w:val="center"/>
                </w:tcPr>
                <w:p w14:paraId="2D0F427D">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lang w:val="en-US"/>
                    </w:rPr>
                  </w:pPr>
                  <w:r>
                    <w:rPr>
                      <w:rFonts w:hint="default" w:ascii="Times New Roman" w:hAnsi="Times New Roman" w:cs="Times New Roman"/>
                      <w:bCs/>
                      <w:color w:val="auto"/>
                      <w:highlight w:val="none"/>
                      <w:lang w:val="en-US"/>
                    </w:rPr>
                    <w:t>集中式供水单位应对取水、输水、净水、蓄水和配水等设施加强质量管理，建立放水、清洗、消毒和检修制度及操作规程，保证供水水质。</w:t>
                  </w:r>
                </w:p>
              </w:tc>
              <w:tc>
                <w:tcPr>
                  <w:tcW w:w="2316" w:type="pct"/>
                  <w:tcBorders>
                    <w:tl2br w:val="nil"/>
                    <w:tr2bl w:val="nil"/>
                  </w:tcBorders>
                  <w:vAlign w:val="center"/>
                </w:tcPr>
                <w:p w14:paraId="3D4657E4">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本项目取水、输水等设施均建立检修制度及操作规程。</w:t>
                  </w:r>
                </w:p>
              </w:tc>
              <w:tc>
                <w:tcPr>
                  <w:tcW w:w="520" w:type="pct"/>
                  <w:tcBorders>
                    <w:tl2br w:val="nil"/>
                    <w:tr2bl w:val="nil"/>
                  </w:tcBorders>
                  <w:vAlign w:val="center"/>
                </w:tcPr>
                <w:p w14:paraId="7C88B338">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符合</w:t>
                  </w:r>
                </w:p>
              </w:tc>
            </w:tr>
            <w:tr w14:paraId="42D9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62" w:type="pct"/>
                  <w:tcBorders>
                    <w:tl2br w:val="nil"/>
                    <w:tr2bl w:val="nil"/>
                  </w:tcBorders>
                  <w:vAlign w:val="center"/>
                </w:tcPr>
                <w:p w14:paraId="7C1D97CB">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lang w:val="en-US"/>
                    </w:rPr>
                    <w:t>集中式供水单位应针对取水、输水、净水、蓄水和配水等可能发生污染的环节，</w:t>
                  </w:r>
                  <w:r>
                    <w:rPr>
                      <w:rFonts w:hint="eastAsia" w:ascii="Times New Roman" w:hAnsi="Times New Roman" w:cs="Times New Roman"/>
                      <w:bCs/>
                      <w:color w:val="auto"/>
                      <w:highlight w:val="none"/>
                      <w:lang w:val="en-US" w:eastAsia="zh-CN"/>
                    </w:rPr>
                    <w:t>制定</w:t>
                  </w:r>
                  <w:r>
                    <w:rPr>
                      <w:rFonts w:hint="default" w:ascii="Times New Roman" w:hAnsi="Times New Roman" w:cs="Times New Roman"/>
                      <w:bCs/>
                      <w:color w:val="auto"/>
                      <w:highlight w:val="none"/>
                      <w:lang w:val="en-US"/>
                    </w:rPr>
                    <w:t>和落实防范措施，加强检查，严防污染事件发生</w:t>
                  </w:r>
                  <w:r>
                    <w:rPr>
                      <w:rFonts w:hint="default" w:ascii="Times New Roman" w:hAnsi="Times New Roman" w:cs="Times New Roman"/>
                      <w:bCs/>
                      <w:color w:val="auto"/>
                      <w:highlight w:val="none"/>
                      <w:lang w:val="en-US" w:eastAsia="zh-CN"/>
                    </w:rPr>
                    <w:t>。</w:t>
                  </w:r>
                </w:p>
              </w:tc>
              <w:tc>
                <w:tcPr>
                  <w:tcW w:w="2316" w:type="pct"/>
                  <w:tcBorders>
                    <w:tl2br w:val="nil"/>
                    <w:tr2bl w:val="nil"/>
                  </w:tcBorders>
                  <w:vAlign w:val="center"/>
                </w:tcPr>
                <w:p w14:paraId="5453B653">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cs="Times New Roman"/>
                      <w:bCs/>
                      <w:color w:val="auto"/>
                      <w:highlight w:val="none"/>
                    </w:rPr>
                  </w:pPr>
                  <w:r>
                    <w:rPr>
                      <w:rFonts w:hint="eastAsia" w:ascii="Times New Roman" w:hAnsi="Times New Roman" w:cs="Times New Roman"/>
                      <w:bCs/>
                      <w:color w:val="auto"/>
                      <w:highlight w:val="none"/>
                      <w:lang w:val="en-US" w:eastAsia="zh-CN"/>
                    </w:rPr>
                    <w:t>本</w:t>
                  </w:r>
                  <w:r>
                    <w:rPr>
                      <w:rFonts w:hint="default" w:ascii="Times New Roman" w:hAnsi="Times New Roman" w:cs="Times New Roman"/>
                      <w:bCs/>
                      <w:color w:val="auto"/>
                      <w:highlight w:val="none"/>
                    </w:rPr>
                    <w:t>项目</w:t>
                  </w:r>
                  <w:r>
                    <w:rPr>
                      <w:rFonts w:hint="eastAsia" w:ascii="Times New Roman" w:hAnsi="Times New Roman" w:cs="Times New Roman"/>
                      <w:bCs/>
                      <w:color w:val="auto"/>
                      <w:highlight w:val="none"/>
                      <w:lang w:val="en-US" w:eastAsia="zh-CN"/>
                    </w:rPr>
                    <w:t>应</w:t>
                  </w:r>
                  <w:r>
                    <w:rPr>
                      <w:rFonts w:hint="default" w:ascii="Times New Roman" w:hAnsi="Times New Roman" w:cs="Times New Roman"/>
                      <w:bCs/>
                      <w:color w:val="auto"/>
                      <w:highlight w:val="none"/>
                    </w:rPr>
                    <w:t>落实本评价提出的污染治理措施，加强管理；建设单位需会同环保主管部门建立联动监控机制，建立健全饮用水源应急预案，保证取水安全。</w:t>
                  </w:r>
                </w:p>
              </w:tc>
              <w:tc>
                <w:tcPr>
                  <w:tcW w:w="520" w:type="pct"/>
                  <w:tcBorders>
                    <w:tl2br w:val="nil"/>
                    <w:tr2bl w:val="nil"/>
                  </w:tcBorders>
                  <w:vAlign w:val="center"/>
                </w:tcPr>
                <w:p w14:paraId="064AC77A">
                  <w:pPr>
                    <w:pStyle w:val="15"/>
                    <w:keepNext w:val="0"/>
                    <w:keepLines w:val="0"/>
                    <w:pageBreakBefore w:val="0"/>
                    <w:widowControl w:val="0"/>
                    <w:kinsoku/>
                    <w:wordWrap/>
                    <w:overflowPunct/>
                    <w:topLinePunct w:val="0"/>
                    <w:autoSpaceDE/>
                    <w:autoSpaceDN/>
                    <w:bidi w:val="0"/>
                    <w:snapToGrid/>
                    <w:spacing w:beforeAutospacing="0" w:after="0" w:afterLines="0" w:line="240" w:lineRule="auto"/>
                    <w:ind w:left="0" w:leftChars="0" w:right="0"/>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符合</w:t>
                  </w:r>
                </w:p>
              </w:tc>
            </w:tr>
          </w:tbl>
          <w:p w14:paraId="13123CA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9</w:t>
            </w:r>
            <w:r>
              <w:rPr>
                <w:rFonts w:hint="default" w:ascii="Times New Roman" w:hAnsi="Times New Roman" w:cs="Times New Roman"/>
                <w:b/>
                <w:bCs/>
                <w:color w:val="auto"/>
                <w:sz w:val="24"/>
                <w:szCs w:val="32"/>
                <w:highlight w:val="none"/>
                <w:vertAlign w:val="baseline"/>
                <w:lang w:val="en-US" w:eastAsia="zh-CN"/>
              </w:rPr>
              <w:t>、取水可行性分析</w:t>
            </w:r>
          </w:p>
          <w:p w14:paraId="22CA2B04">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（1）马渡关水厂</w:t>
            </w:r>
          </w:p>
          <w:p w14:paraId="166BA8F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eastAsia="zh-CN"/>
              </w:rPr>
            </w:pPr>
            <w:r>
              <w:rPr>
                <w:rFonts w:hint="default" w:ascii="Times New Roman" w:hAnsi="Times New Roman" w:cs="Times New Roman"/>
                <w:b/>
                <w:bCs/>
                <w:color w:val="auto"/>
                <w:sz w:val="24"/>
                <w:szCs w:val="32"/>
                <w:highlight w:val="none"/>
                <w:vertAlign w:val="baseline"/>
                <w:lang w:val="en-US" w:eastAsia="zh-CN"/>
              </w:rPr>
              <w:t>1</w:t>
            </w:r>
            <w:r>
              <w:rPr>
                <w:rFonts w:hint="default" w:ascii="Times New Roman" w:hAnsi="Times New Roman" w:cs="Times New Roman"/>
                <w:b/>
                <w:bCs/>
                <w:color w:val="auto"/>
                <w:sz w:val="24"/>
                <w:szCs w:val="32"/>
                <w:highlight w:val="none"/>
                <w:vertAlign w:val="baseline"/>
                <w:lang w:eastAsia="zh-CN"/>
              </w:rPr>
              <w:t>）水资源承载力可行性分析</w:t>
            </w:r>
          </w:p>
          <w:p w14:paraId="6FB583B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color w:val="auto"/>
                <w:sz w:val="24"/>
                <w:szCs w:val="24"/>
                <w:highlight w:val="none"/>
                <w:vertAlign w:val="baseline"/>
                <w:lang w:val="en-US" w:eastAsia="zh-CN"/>
              </w:rPr>
              <w:t>根据《</w:t>
            </w:r>
            <w:r>
              <w:rPr>
                <w:rFonts w:hint="eastAsia" w:ascii="Times New Roman" w:hAnsi="Times New Roman" w:eastAsia="宋体" w:cs="Times New Roman"/>
                <w:color w:val="auto"/>
                <w:sz w:val="24"/>
                <w:szCs w:val="24"/>
                <w:highlight w:val="none"/>
                <w:vertAlign w:val="baseline"/>
                <w:lang w:val="en-US" w:eastAsia="zh-CN"/>
              </w:rPr>
              <w:t>马渡关</w:t>
            </w:r>
            <w:r>
              <w:rPr>
                <w:rFonts w:hint="default" w:ascii="Times New Roman" w:hAnsi="Times New Roman" w:eastAsia="宋体" w:cs="Times New Roman"/>
                <w:color w:val="auto"/>
                <w:sz w:val="24"/>
                <w:szCs w:val="24"/>
                <w:highlight w:val="none"/>
                <w:vertAlign w:val="baseline"/>
                <w:lang w:val="en-US" w:eastAsia="zh-CN"/>
              </w:rPr>
              <w:t>水厂水资源论证</w:t>
            </w:r>
            <w:r>
              <w:rPr>
                <w:rFonts w:hint="eastAsia" w:ascii="Times New Roman" w:hAnsi="Times New Roman" w:eastAsia="宋体" w:cs="Times New Roman"/>
                <w:color w:val="auto"/>
                <w:sz w:val="24"/>
                <w:szCs w:val="24"/>
                <w:highlight w:val="none"/>
                <w:vertAlign w:val="baseline"/>
                <w:lang w:val="en-US" w:eastAsia="zh-CN"/>
              </w:rPr>
              <w:t>报告书</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（报批件）及审查意见</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马渡关水厂</w:t>
            </w:r>
            <w:r>
              <w:rPr>
                <w:rFonts w:hint="default" w:ascii="Times New Roman" w:hAnsi="Times New Roman" w:eastAsia="宋体" w:cs="Times New Roman"/>
                <w:color w:val="auto"/>
                <w:sz w:val="24"/>
                <w:szCs w:val="24"/>
                <w:highlight w:val="none"/>
                <w:vertAlign w:val="baseline"/>
                <w:lang w:val="en-US" w:eastAsia="zh-CN"/>
              </w:rPr>
              <w:t>取水口位于宣汉县马渡关镇长滩村长滩河左岸，地理坐标</w:t>
            </w:r>
            <w:r>
              <w:rPr>
                <w:rFonts w:hint="eastAsia"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东经 107°29’30.07"，北纬31°37'7.44"</w:t>
            </w:r>
            <w:r>
              <w:rPr>
                <w:rFonts w:hint="eastAsia"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新建取水泵房</w:t>
            </w:r>
            <w:r>
              <w:rPr>
                <w:rFonts w:hint="eastAsia" w:ascii="Times New Roman" w:hAnsi="Times New Roman" w:eastAsia="宋体" w:cs="Times New Roman"/>
                <w:color w:val="auto"/>
                <w:sz w:val="24"/>
                <w:szCs w:val="24"/>
                <w:highlight w:val="none"/>
                <w:vertAlign w:val="baseline"/>
                <w:lang w:val="en-US" w:eastAsia="zh-CN"/>
              </w:rPr>
              <w:t>一座，</w:t>
            </w:r>
            <w:r>
              <w:rPr>
                <w:rFonts w:hint="default" w:ascii="Times New Roman" w:hAnsi="Times New Roman" w:eastAsia="宋体" w:cs="Times New Roman"/>
                <w:color w:val="auto"/>
                <w:sz w:val="24"/>
                <w:szCs w:val="24"/>
                <w:highlight w:val="none"/>
                <w:vertAlign w:val="baseline"/>
                <w:lang w:val="en-US" w:eastAsia="zh-CN"/>
              </w:rPr>
              <w:t>利用离心泵将原水提取到距离取水泵房</w:t>
            </w:r>
            <w:r>
              <w:rPr>
                <w:rFonts w:hint="eastAsia" w:ascii="Times New Roman" w:hAnsi="Times New Roman" w:eastAsia="宋体" w:cs="Times New Roman"/>
                <w:color w:val="auto"/>
                <w:sz w:val="24"/>
                <w:szCs w:val="24"/>
                <w:highlight w:val="none"/>
                <w:vertAlign w:val="baseline"/>
                <w:lang w:val="en-US" w:eastAsia="zh-CN"/>
              </w:rPr>
              <w:t>689</w:t>
            </w:r>
            <w:r>
              <w:rPr>
                <w:rFonts w:hint="default" w:ascii="Times New Roman" w:hAnsi="Times New Roman" w:eastAsia="宋体" w:cs="Times New Roman"/>
                <w:color w:val="auto"/>
                <w:sz w:val="24"/>
                <w:szCs w:val="24"/>
                <w:highlight w:val="none"/>
                <w:vertAlign w:val="baseline"/>
                <w:lang w:val="en-US" w:eastAsia="zh-CN"/>
              </w:rPr>
              <w:t>m的马渡关水厂</w:t>
            </w:r>
            <w:r>
              <w:rPr>
                <w:rFonts w:hint="eastAsia" w:ascii="宋体" w:hAnsi="宋体" w:eastAsia="宋体" w:cs="宋体"/>
                <w:sz w:val="24"/>
                <w:szCs w:val="24"/>
              </w:rPr>
              <w:t>进行处理</w:t>
            </w:r>
            <w:r>
              <w:rPr>
                <w:rFonts w:hint="eastAsia" w:ascii="宋体" w:hAnsi="宋体" w:eastAsia="宋体" w:cs="宋体"/>
                <w:sz w:val="24"/>
                <w:szCs w:val="24"/>
                <w:lang w:eastAsia="zh-CN"/>
              </w:rPr>
              <w:t>。</w:t>
            </w:r>
            <w:r>
              <w:rPr>
                <w:rFonts w:hint="default" w:ascii="Times New Roman" w:hAnsi="Times New Roman" w:eastAsia="宋体" w:cs="Times New Roman"/>
                <w:bCs/>
                <w:sz w:val="24"/>
                <w:szCs w:val="24"/>
              </w:rPr>
              <w:t>取水口断面以上集水面积174.0</w:t>
            </w:r>
            <w:r>
              <w:rPr>
                <w:rFonts w:hint="eastAsia" w:ascii="Times New Roman" w:hAnsi="Times New Roman" w:eastAsia="宋体" w:cs="Times New Roman"/>
                <w:bCs/>
                <w:sz w:val="24"/>
                <w:szCs w:val="24"/>
                <w:lang w:val="en-US" w:eastAsia="zh-CN"/>
              </w:rPr>
              <w:t>km</w:t>
            </w:r>
            <w:r>
              <w:rPr>
                <w:rFonts w:hint="eastAsia" w:ascii="Times New Roman" w:hAnsi="Times New Roman" w:eastAsia="宋体" w:cs="Times New Roman"/>
                <w:bCs/>
                <w:sz w:val="24"/>
                <w:szCs w:val="24"/>
                <w:vertAlign w:val="superscript"/>
                <w:lang w:val="en-US" w:eastAsia="zh-CN"/>
              </w:rPr>
              <w:t>2</w:t>
            </w:r>
            <w:r>
              <w:rPr>
                <w:rFonts w:hint="default" w:ascii="Times New Roman" w:hAnsi="Times New Roman" w:eastAsia="宋体" w:cs="Times New Roman"/>
                <w:bCs/>
                <w:sz w:val="24"/>
                <w:szCs w:val="24"/>
              </w:rPr>
              <w:t>，取水口处多年平均流量2.93m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rPr>
              <w:t>/s</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多年平均地表径流量9240.0万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取水口处95%的保证率年均流量1.18m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rPr>
              <w:t>/s</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95%的保证率下取水口以上年地表径流量为3721.2万m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扣除生态流量和其他用水户取水外，在95%保证率下可供本项目</w:t>
            </w:r>
            <w:r>
              <w:rPr>
                <w:rFonts w:hint="eastAsia" w:ascii="Times New Roman" w:hAnsi="Times New Roman" w:eastAsia="宋体" w:cs="Times New Roman"/>
                <w:bCs/>
                <w:sz w:val="24"/>
                <w:szCs w:val="24"/>
                <w:lang w:val="en-US" w:eastAsia="zh-CN"/>
              </w:rPr>
              <w:t>年</w:t>
            </w:r>
            <w:r>
              <w:rPr>
                <w:rFonts w:hint="default" w:ascii="Times New Roman" w:hAnsi="Times New Roman" w:eastAsia="宋体" w:cs="Times New Roman"/>
                <w:bCs/>
                <w:sz w:val="24"/>
                <w:szCs w:val="24"/>
              </w:rPr>
              <w:t>取水量 3714.9万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本项目水资源论证取水量1590m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rPr>
              <w:t>/d，年</w:t>
            </w:r>
            <w:r>
              <w:rPr>
                <w:rFonts w:hint="eastAsia" w:ascii="Times New Roman" w:hAnsi="Times New Roman" w:eastAsia="宋体" w:cs="Times New Roman"/>
                <w:bCs/>
                <w:sz w:val="24"/>
                <w:szCs w:val="24"/>
                <w:lang w:val="en-US" w:eastAsia="zh-CN"/>
              </w:rPr>
              <w:t>论证</w:t>
            </w:r>
            <w:r>
              <w:rPr>
                <w:rFonts w:hint="default" w:ascii="Times New Roman" w:hAnsi="Times New Roman" w:eastAsia="宋体" w:cs="Times New Roman"/>
                <w:bCs/>
                <w:sz w:val="24"/>
                <w:szCs w:val="24"/>
              </w:rPr>
              <w:t>取水量58.0万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本项目设计取水量为</w:t>
            </w:r>
            <w:r>
              <w:rPr>
                <w:rFonts w:hint="eastAsia" w:ascii="Times New Roman" w:hAnsi="Times New Roman" w:eastAsia="宋体" w:cs="Times New Roman"/>
                <w:bCs/>
                <w:color w:val="auto"/>
                <w:sz w:val="24"/>
                <w:szCs w:val="24"/>
                <w:lang w:val="en-US" w:eastAsia="zh-CN"/>
              </w:rPr>
              <w:t>330</w:t>
            </w:r>
            <w:r>
              <w:rPr>
                <w:rFonts w:hint="default" w:ascii="Times New Roman" w:hAnsi="Times New Roman" w:eastAsia="宋体" w:cs="Times New Roman"/>
                <w:bCs/>
                <w:color w:val="auto"/>
                <w:sz w:val="24"/>
                <w:szCs w:val="24"/>
              </w:rPr>
              <w:t>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年设计取水量120.45</w:t>
            </w:r>
            <w:r>
              <w:rPr>
                <w:rFonts w:hint="default" w:ascii="Times New Roman" w:hAnsi="Times New Roman" w:eastAsia="宋体" w:cs="Times New Roman"/>
                <w:bCs/>
                <w:sz w:val="24"/>
                <w:szCs w:val="24"/>
              </w:rPr>
              <w:t>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b w:val="0"/>
                <w:bCs/>
                <w:sz w:val="24"/>
                <w:szCs w:val="24"/>
                <w:lang w:val="en-US" w:eastAsia="zh-CN"/>
              </w:rPr>
              <w:t>本次评价要求，严格按照将来颁发的</w:t>
            </w:r>
            <w:r>
              <w:rPr>
                <w:rFonts w:hint="default" w:ascii="Times New Roman" w:hAnsi="Times New Roman" w:cs="Times New Roman"/>
                <w:b w:val="0"/>
                <w:bCs/>
                <w:color w:val="auto"/>
                <w:sz w:val="24"/>
                <w:szCs w:val="32"/>
                <w:highlight w:val="none"/>
                <w:vertAlign w:val="baseline"/>
                <w:lang w:val="en-US" w:eastAsia="zh-CN"/>
              </w:rPr>
              <w:t>取水许可证</w:t>
            </w:r>
            <w:r>
              <w:rPr>
                <w:rFonts w:hint="eastAsia" w:ascii="Times New Roman" w:hAnsi="Times New Roman" w:cs="Times New Roman"/>
                <w:b w:val="0"/>
                <w:bCs/>
                <w:color w:val="auto"/>
                <w:sz w:val="24"/>
                <w:szCs w:val="32"/>
                <w:highlight w:val="none"/>
                <w:vertAlign w:val="baseline"/>
                <w:lang w:val="en-US" w:eastAsia="zh-CN"/>
              </w:rPr>
              <w:t>许可的取水量进行取水。</w:t>
            </w:r>
          </w:p>
          <w:p w14:paraId="48CD75D9">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2）</w:t>
            </w:r>
            <w:r>
              <w:rPr>
                <w:rFonts w:hint="default" w:ascii="Times New Roman" w:hAnsi="Times New Roman" w:cs="Times New Roman"/>
                <w:b/>
                <w:bCs/>
                <w:color w:val="auto"/>
                <w:sz w:val="24"/>
                <w:szCs w:val="32"/>
                <w:highlight w:val="none"/>
                <w:vertAlign w:val="baseline"/>
                <w:lang w:eastAsia="zh-CN"/>
              </w:rPr>
              <w:t>取水口</w:t>
            </w:r>
            <w:r>
              <w:rPr>
                <w:rFonts w:hint="eastAsia" w:ascii="Times New Roman" w:hAnsi="Times New Roman" w:cs="Times New Roman"/>
                <w:b/>
                <w:bCs/>
                <w:color w:val="auto"/>
                <w:sz w:val="24"/>
                <w:szCs w:val="32"/>
                <w:highlight w:val="none"/>
                <w:vertAlign w:val="baseline"/>
                <w:lang w:val="en-US" w:eastAsia="zh-CN"/>
              </w:rPr>
              <w:t>水质</w:t>
            </w:r>
            <w:r>
              <w:rPr>
                <w:rFonts w:hint="default" w:ascii="Times New Roman" w:hAnsi="Times New Roman" w:cs="Times New Roman"/>
                <w:b/>
                <w:bCs/>
                <w:color w:val="auto"/>
                <w:sz w:val="24"/>
                <w:szCs w:val="32"/>
                <w:highlight w:val="none"/>
                <w:vertAlign w:val="baseline"/>
                <w:lang w:eastAsia="zh-CN"/>
              </w:rPr>
              <w:t>现状</w:t>
            </w:r>
          </w:p>
          <w:p w14:paraId="26592C8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24"/>
                <w:highlight w:val="none"/>
                <w:lang w:val="en-US" w:eastAsia="zh-CN"/>
              </w:rPr>
              <w:t>马渡关</w:t>
            </w:r>
            <w:r>
              <w:rPr>
                <w:rFonts w:hint="default" w:ascii="Times New Roman" w:hAnsi="Times New Roman" w:cs="Times New Roman"/>
                <w:color w:val="auto"/>
                <w:sz w:val="24"/>
                <w:szCs w:val="24"/>
                <w:highlight w:val="none"/>
                <w:lang w:val="en-US" w:eastAsia="zh-CN"/>
              </w:rPr>
              <w:t>水厂取水</w:t>
            </w:r>
            <w:r>
              <w:rPr>
                <w:rFonts w:hint="eastAsia" w:ascii="Times New Roman" w:hAnsi="Times New Roman" w:cs="Times New Roman"/>
                <w:color w:val="auto"/>
                <w:sz w:val="24"/>
                <w:szCs w:val="24"/>
                <w:highlight w:val="none"/>
                <w:lang w:val="en-US" w:eastAsia="zh-CN"/>
              </w:rPr>
              <w:t>水源为长滩河</w:t>
            </w:r>
            <w:r>
              <w:rPr>
                <w:rFonts w:hint="default"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为了解项目取水口水质现状，</w:t>
            </w:r>
            <w:r>
              <w:rPr>
                <w:rFonts w:hint="default" w:ascii="Times New Roman" w:hAnsi="Times New Roman" w:eastAsia="宋体" w:cs="Times New Roman"/>
                <w:color w:val="auto"/>
                <w:sz w:val="24"/>
                <w:szCs w:val="24"/>
                <w:highlight w:val="none"/>
              </w:rPr>
              <w:t>本次环评委托达州恒福环境监测服务有限公司于202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日对</w:t>
            </w:r>
            <w:r>
              <w:rPr>
                <w:rFonts w:hint="eastAsia" w:ascii="Times New Roman" w:hAnsi="Times New Roman" w:eastAsia="宋体" w:cs="Times New Roman"/>
                <w:color w:val="auto"/>
                <w:sz w:val="24"/>
                <w:szCs w:val="24"/>
                <w:highlight w:val="none"/>
                <w:lang w:val="en-US" w:eastAsia="zh-CN"/>
              </w:rPr>
              <w:t>取水口水质</w:t>
            </w:r>
            <w:r>
              <w:rPr>
                <w:rFonts w:hint="default" w:ascii="Times New Roman" w:hAnsi="Times New Roman" w:eastAsia="宋体" w:cs="Times New Roman"/>
                <w:color w:val="auto"/>
                <w:sz w:val="24"/>
                <w:szCs w:val="24"/>
                <w:highlight w:val="none"/>
              </w:rPr>
              <w:t>进行</w:t>
            </w:r>
            <w:r>
              <w:rPr>
                <w:rFonts w:hint="eastAsia" w:ascii="Times New Roman" w:hAnsi="Times New Roman" w:eastAsia="宋体" w:cs="Times New Roman"/>
                <w:color w:val="auto"/>
                <w:sz w:val="24"/>
                <w:szCs w:val="24"/>
                <w:highlight w:val="none"/>
                <w:lang w:val="en-US" w:eastAsia="zh-CN"/>
              </w:rPr>
              <w:t>了</w:t>
            </w:r>
            <w:r>
              <w:rPr>
                <w:rFonts w:hint="default" w:ascii="Times New Roman" w:hAnsi="Times New Roman" w:eastAsia="宋体" w:cs="Times New Roman"/>
                <w:color w:val="auto"/>
                <w:sz w:val="24"/>
                <w:szCs w:val="24"/>
                <w:highlight w:val="none"/>
              </w:rPr>
              <w:t>监测</w:t>
            </w:r>
            <w:r>
              <w:rPr>
                <w:rFonts w:hint="eastAsia" w:ascii="Times New Roman" w:hAnsi="Times New Roman" w:eastAsia="宋体" w:cs="Times New Roman"/>
                <w:color w:val="auto"/>
                <w:sz w:val="24"/>
                <w:szCs w:val="24"/>
                <w:highlight w:val="none"/>
                <w:lang w:eastAsia="zh-CN"/>
              </w:rPr>
              <w:t>。</w:t>
            </w:r>
          </w:p>
          <w:p w14:paraId="1B6099FD">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表1-1</w:t>
            </w:r>
            <w:r>
              <w:rPr>
                <w:rFonts w:hint="eastAsia" w:ascii="Times New Roman" w:hAnsi="Times New Roman" w:eastAsia="黑体" w:cs="Times New Roman"/>
                <w:color w:val="auto"/>
                <w:szCs w:val="21"/>
                <w:highlight w:val="none"/>
                <w:lang w:val="en-US" w:eastAsia="zh-CN"/>
              </w:rPr>
              <w:t>3</w:t>
            </w:r>
            <w:r>
              <w:rPr>
                <w:rFonts w:hint="default" w:ascii="Times New Roman" w:hAnsi="Times New Roman" w:eastAsia="黑体" w:cs="Times New Roman"/>
                <w:color w:val="auto"/>
                <w:szCs w:val="21"/>
                <w:highlight w:val="none"/>
                <w:lang w:val="en-US" w:eastAsia="zh-CN"/>
              </w:rPr>
              <w:t xml:space="preserve"> 本项目</w:t>
            </w:r>
            <w:r>
              <w:rPr>
                <w:rFonts w:hint="eastAsia" w:ascii="Times New Roman" w:hAnsi="Times New Roman" w:eastAsia="黑体" w:cs="Times New Roman"/>
                <w:color w:val="auto"/>
                <w:szCs w:val="21"/>
                <w:highlight w:val="none"/>
                <w:lang w:val="en-US" w:eastAsia="zh-CN"/>
              </w:rPr>
              <w:t>马渡关水厂取水口水质监测结果表      mg/L</w:t>
            </w:r>
          </w:p>
          <w:tbl>
            <w:tblPr>
              <w:tblStyle w:val="25"/>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3060"/>
              <w:gridCol w:w="3345"/>
              <w:gridCol w:w="1663"/>
            </w:tblGrid>
            <w:tr w14:paraId="490A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restart"/>
                  <w:tcBorders>
                    <w:tl2br w:val="nil"/>
                    <w:tr2bl w:val="nil"/>
                  </w:tcBorders>
                  <w:noWrap w:val="0"/>
                  <w:vAlign w:val="center"/>
                </w:tcPr>
                <w:p w14:paraId="4CF14F13">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w:t>
                  </w:r>
                </w:p>
                <w:p w14:paraId="5EB139A6">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日期</w:t>
                  </w:r>
                </w:p>
              </w:tc>
              <w:tc>
                <w:tcPr>
                  <w:tcW w:w="3060" w:type="dxa"/>
                  <w:vMerge w:val="restart"/>
                  <w:tcBorders>
                    <w:tl2br w:val="nil"/>
                    <w:tr2bl w:val="nil"/>
                  </w:tcBorders>
                  <w:noWrap w:val="0"/>
                  <w:vAlign w:val="center"/>
                </w:tcPr>
                <w:p w14:paraId="37D56887">
                  <w:pPr>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检测因子</w:t>
                  </w:r>
                </w:p>
              </w:tc>
              <w:tc>
                <w:tcPr>
                  <w:tcW w:w="3345" w:type="dxa"/>
                  <w:tcBorders>
                    <w:tl2br w:val="nil"/>
                    <w:tr2bl w:val="nil"/>
                  </w:tcBorders>
                  <w:noWrap w:val="0"/>
                  <w:vAlign w:val="center"/>
                </w:tcPr>
                <w:p w14:paraId="114A4B40">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检测点位及检测结果</w:t>
                  </w:r>
                </w:p>
              </w:tc>
              <w:tc>
                <w:tcPr>
                  <w:tcW w:w="1663" w:type="dxa"/>
                  <w:vMerge w:val="restart"/>
                  <w:tcBorders>
                    <w:tl2br w:val="nil"/>
                    <w:tr2bl w:val="nil"/>
                  </w:tcBorders>
                  <w:noWrap w:val="0"/>
                  <w:vAlign w:val="center"/>
                </w:tcPr>
                <w:p w14:paraId="358CF9D0">
                  <w:pPr>
                    <w:wordWrap w:val="0"/>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cs="Times New Roman"/>
                      <w:b/>
                      <w:bCs/>
                      <w:color w:val="auto"/>
                      <w:sz w:val="21"/>
                      <w:szCs w:val="21"/>
                      <w:highlight w:val="none"/>
                      <w:vertAlign w:val="baseline"/>
                      <w:lang w:val="en-US" w:eastAsia="zh-CN"/>
                    </w:rPr>
                    <w:t>Ⅱ</w:t>
                  </w:r>
                  <w:r>
                    <w:rPr>
                      <w:rFonts w:hint="default" w:ascii="Times New Roman" w:hAnsi="Times New Roman" w:eastAsia="宋体" w:cs="Times New Roman"/>
                      <w:b/>
                      <w:bCs/>
                      <w:sz w:val="21"/>
                      <w:szCs w:val="21"/>
                    </w:rPr>
                    <w:t>标准限值（GB 3838-2002）</w:t>
                  </w:r>
                </w:p>
              </w:tc>
            </w:tr>
            <w:tr w14:paraId="1DE7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4D0C9AE2">
                  <w:pPr>
                    <w:ind w:left="-105" w:leftChars="-50" w:right="-105" w:rightChars="-50"/>
                    <w:jc w:val="center"/>
                    <w:rPr>
                      <w:rFonts w:hint="default" w:ascii="Times New Roman" w:hAnsi="Times New Roman" w:eastAsia="宋体" w:cs="Times New Roman"/>
                      <w:b/>
                      <w:sz w:val="21"/>
                      <w:szCs w:val="21"/>
                    </w:rPr>
                  </w:pPr>
                </w:p>
              </w:tc>
              <w:tc>
                <w:tcPr>
                  <w:tcW w:w="3060" w:type="dxa"/>
                  <w:vMerge w:val="continue"/>
                  <w:tcBorders>
                    <w:tl2br w:val="nil"/>
                    <w:tr2bl w:val="nil"/>
                  </w:tcBorders>
                  <w:noWrap w:val="0"/>
                  <w:vAlign w:val="center"/>
                </w:tcPr>
                <w:p w14:paraId="02E6CFE2">
                  <w:pPr>
                    <w:ind w:left="-105" w:leftChars="-50" w:right="-105" w:rightChars="-50"/>
                    <w:jc w:val="center"/>
                    <w:rPr>
                      <w:rFonts w:hint="default" w:ascii="Times New Roman" w:hAnsi="Times New Roman" w:eastAsia="宋体" w:cs="Times New Roman"/>
                      <w:b/>
                      <w:sz w:val="21"/>
                      <w:szCs w:val="21"/>
                    </w:rPr>
                  </w:pPr>
                </w:p>
              </w:tc>
              <w:tc>
                <w:tcPr>
                  <w:tcW w:w="3345" w:type="dxa"/>
                  <w:tcBorders>
                    <w:tl2br w:val="nil"/>
                    <w:tr2bl w:val="nil"/>
                  </w:tcBorders>
                  <w:noWrap w:val="0"/>
                  <w:vAlign w:val="center"/>
                </w:tcPr>
                <w:p w14:paraId="1427A771">
                  <w:pPr>
                    <w:ind w:left="-105" w:leftChars="-50" w:right="-105" w:rightChars="-50"/>
                    <w:jc w:val="center"/>
                    <w:rPr>
                      <w:rFonts w:hint="eastAsia" w:ascii="Times New Roman" w:hAnsi="Times New Roman" w:eastAsia="宋体" w:cs="Times New Roman"/>
                      <w:b/>
                      <w:sz w:val="21"/>
                      <w:szCs w:val="21"/>
                      <w:lang w:val="en-US" w:eastAsia="zh-CN"/>
                    </w:rPr>
                  </w:pPr>
                  <w:r>
                    <w:rPr>
                      <w:rFonts w:hint="eastAsia" w:ascii="Times New Roman" w:hAnsi="Times New Roman" w:eastAsia="宋体" w:cs="Times New Roman"/>
                      <w:b/>
                      <w:sz w:val="21"/>
                      <w:szCs w:val="21"/>
                      <w:lang w:val="en-US" w:eastAsia="zh-CN"/>
                    </w:rPr>
                    <w:t>马渡关</w:t>
                  </w:r>
                  <w:r>
                    <w:rPr>
                      <w:rFonts w:hint="default" w:ascii="Times New Roman" w:hAnsi="Times New Roman" w:eastAsia="宋体" w:cs="Times New Roman"/>
                      <w:b/>
                      <w:sz w:val="21"/>
                      <w:szCs w:val="21"/>
                    </w:rPr>
                    <w:t>水厂</w:t>
                  </w:r>
                  <w:r>
                    <w:rPr>
                      <w:rFonts w:hint="eastAsia" w:ascii="Times New Roman" w:hAnsi="Times New Roman" w:eastAsia="宋体" w:cs="Times New Roman"/>
                      <w:b/>
                      <w:sz w:val="21"/>
                      <w:szCs w:val="21"/>
                      <w:lang w:val="en-US" w:eastAsia="zh-CN"/>
                    </w:rPr>
                    <w:t>长滩河</w:t>
                  </w:r>
                  <w:r>
                    <w:rPr>
                      <w:rFonts w:hint="default" w:ascii="Times New Roman" w:hAnsi="Times New Roman" w:eastAsia="宋体" w:cs="Times New Roman"/>
                      <w:b/>
                      <w:sz w:val="21"/>
                      <w:szCs w:val="21"/>
                    </w:rPr>
                    <w:t>取水</w:t>
                  </w:r>
                  <w:r>
                    <w:rPr>
                      <w:rFonts w:hint="eastAsia" w:ascii="Times New Roman" w:hAnsi="Times New Roman" w:eastAsia="宋体" w:cs="Times New Roman"/>
                      <w:b/>
                      <w:sz w:val="21"/>
                      <w:szCs w:val="21"/>
                      <w:lang w:val="en-US" w:eastAsia="zh-CN"/>
                    </w:rPr>
                    <w:t>处</w:t>
                  </w:r>
                </w:p>
              </w:tc>
              <w:tc>
                <w:tcPr>
                  <w:tcW w:w="1663" w:type="dxa"/>
                  <w:vMerge w:val="continue"/>
                  <w:tcBorders>
                    <w:tl2br w:val="nil"/>
                    <w:tr2bl w:val="nil"/>
                  </w:tcBorders>
                  <w:noWrap w:val="0"/>
                  <w:vAlign w:val="center"/>
                </w:tcPr>
                <w:p w14:paraId="3E2A22E5">
                  <w:pPr>
                    <w:ind w:left="-105" w:leftChars="-50" w:right="-105" w:rightChars="-50"/>
                    <w:jc w:val="center"/>
                    <w:rPr>
                      <w:rFonts w:hint="default" w:ascii="Times New Roman" w:hAnsi="Times New Roman" w:eastAsia="宋体" w:cs="Times New Roman"/>
                      <w:b/>
                      <w:sz w:val="21"/>
                      <w:szCs w:val="21"/>
                    </w:rPr>
                  </w:pPr>
                </w:p>
              </w:tc>
            </w:tr>
            <w:tr w14:paraId="0D1E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restart"/>
                  <w:tcBorders>
                    <w:tl2br w:val="nil"/>
                    <w:tr2bl w:val="nil"/>
                  </w:tcBorders>
                  <w:noWrap w:val="0"/>
                  <w:vAlign w:val="center"/>
                </w:tcPr>
                <w:p w14:paraId="3EF01E7B">
                  <w:pPr>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2025.</w:t>
                  </w:r>
                </w:p>
                <w:p w14:paraId="1A2DC0A4">
                  <w:pPr>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31</w:t>
                  </w:r>
                </w:p>
              </w:tc>
              <w:tc>
                <w:tcPr>
                  <w:tcW w:w="3060" w:type="dxa"/>
                  <w:tcBorders>
                    <w:tl2br w:val="nil"/>
                    <w:tr2bl w:val="nil"/>
                  </w:tcBorders>
                  <w:noWrap w:val="0"/>
                  <w:vAlign w:val="center"/>
                </w:tcPr>
                <w:p w14:paraId="79794F7C">
                  <w:pPr>
                    <w:ind w:left="-105" w:leftChars="-50" w:right="-105" w:rightChars="-5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水温（℃）</w:t>
                  </w:r>
                </w:p>
              </w:tc>
              <w:tc>
                <w:tcPr>
                  <w:tcW w:w="3345" w:type="dxa"/>
                  <w:tcBorders>
                    <w:tl2br w:val="nil"/>
                    <w:tr2bl w:val="nil"/>
                  </w:tcBorders>
                  <w:shd w:val="clear" w:color="auto" w:fill="auto"/>
                  <w:noWrap w:val="0"/>
                  <w:vAlign w:val="center"/>
                </w:tcPr>
                <w:p w14:paraId="37BDDCD1">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27.2</w:t>
                  </w:r>
                </w:p>
              </w:tc>
              <w:tc>
                <w:tcPr>
                  <w:tcW w:w="1663" w:type="dxa"/>
                  <w:tcBorders>
                    <w:tl2br w:val="nil"/>
                    <w:tr2bl w:val="nil"/>
                  </w:tcBorders>
                  <w:noWrap w:val="0"/>
                  <w:vAlign w:val="center"/>
                </w:tcPr>
                <w:p w14:paraId="34EA3DB9">
                  <w:pPr>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1C4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4B029ACF">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noWrap w:val="0"/>
                  <w:vAlign w:val="center"/>
                </w:tcPr>
                <w:p w14:paraId="34442A95">
                  <w:pPr>
                    <w:pStyle w:val="38"/>
                    <w:snapToGrid w:val="0"/>
                    <w:spacing w:before="0" w:after="0"/>
                    <w:ind w:left="-105" w:leftChars="-50" w:right="-105" w:rightChars="-50"/>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pH（无量纲）</w:t>
                  </w:r>
                </w:p>
              </w:tc>
              <w:tc>
                <w:tcPr>
                  <w:tcW w:w="3345" w:type="dxa"/>
                  <w:tcBorders>
                    <w:tl2br w:val="nil"/>
                    <w:tr2bl w:val="nil"/>
                  </w:tcBorders>
                  <w:shd w:val="clear" w:color="auto" w:fill="auto"/>
                  <w:noWrap w:val="0"/>
                  <w:vAlign w:val="center"/>
                </w:tcPr>
                <w:p w14:paraId="6EB8C560">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7.7</w:t>
                  </w:r>
                </w:p>
              </w:tc>
              <w:tc>
                <w:tcPr>
                  <w:tcW w:w="1663" w:type="dxa"/>
                  <w:tcBorders>
                    <w:tl2br w:val="nil"/>
                    <w:tr2bl w:val="nil"/>
                  </w:tcBorders>
                  <w:noWrap w:val="0"/>
                  <w:vAlign w:val="center"/>
                </w:tcPr>
                <w:p w14:paraId="5BD29404">
                  <w:pPr>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r>
            <w:tr w14:paraId="1E06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11F5D8A9">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noWrap w:val="0"/>
                  <w:vAlign w:val="center"/>
                </w:tcPr>
                <w:p w14:paraId="3F3B3233">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溶解氧</w:t>
                  </w:r>
                </w:p>
              </w:tc>
              <w:tc>
                <w:tcPr>
                  <w:tcW w:w="3345" w:type="dxa"/>
                  <w:tcBorders>
                    <w:tl2br w:val="nil"/>
                    <w:tr2bl w:val="nil"/>
                  </w:tcBorders>
                  <w:shd w:val="clear" w:color="auto" w:fill="auto"/>
                  <w:noWrap w:val="0"/>
                  <w:vAlign w:val="center"/>
                </w:tcPr>
                <w:p w14:paraId="0A2AA844">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6.5</w:t>
                  </w:r>
                </w:p>
              </w:tc>
              <w:tc>
                <w:tcPr>
                  <w:tcW w:w="1663" w:type="dxa"/>
                  <w:tcBorders>
                    <w:tl2br w:val="nil"/>
                    <w:tr2bl w:val="nil"/>
                  </w:tcBorders>
                  <w:noWrap w:val="0"/>
                  <w:vAlign w:val="center"/>
                </w:tcPr>
                <w:p w14:paraId="28192439">
                  <w:pPr>
                    <w:ind w:left="-105" w:leftChars="-50" w:right="-105" w:rightChars="-5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6</w:t>
                  </w:r>
                </w:p>
              </w:tc>
            </w:tr>
            <w:tr w14:paraId="6593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1BC5F316">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noWrap w:val="0"/>
                  <w:vAlign w:val="center"/>
                </w:tcPr>
                <w:p w14:paraId="70BE9F64">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高锰酸盐指数</w:t>
                  </w:r>
                </w:p>
              </w:tc>
              <w:tc>
                <w:tcPr>
                  <w:tcW w:w="3345" w:type="dxa"/>
                  <w:tcBorders>
                    <w:tl2br w:val="nil"/>
                    <w:tr2bl w:val="nil"/>
                  </w:tcBorders>
                  <w:shd w:val="clear" w:color="auto" w:fill="auto"/>
                  <w:noWrap w:val="0"/>
                  <w:vAlign w:val="center"/>
                </w:tcPr>
                <w:p w14:paraId="0AAD13DE">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3.4</w:t>
                  </w:r>
                </w:p>
              </w:tc>
              <w:tc>
                <w:tcPr>
                  <w:tcW w:w="1663" w:type="dxa"/>
                  <w:tcBorders>
                    <w:tl2br w:val="nil"/>
                    <w:tr2bl w:val="nil"/>
                  </w:tcBorders>
                  <w:noWrap w:val="0"/>
                  <w:vAlign w:val="center"/>
                </w:tcPr>
                <w:p w14:paraId="10154077">
                  <w:pPr>
                    <w:ind w:left="-105" w:leftChars="-50" w:right="-105" w:rightChars="-5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4</w:t>
                  </w:r>
                </w:p>
              </w:tc>
            </w:tr>
            <w:tr w14:paraId="240B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5862A2D6">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noWrap w:val="0"/>
                  <w:vAlign w:val="center"/>
                </w:tcPr>
                <w:p w14:paraId="15A333D4">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3345" w:type="dxa"/>
                  <w:tcBorders>
                    <w:tl2br w:val="nil"/>
                    <w:tr2bl w:val="nil"/>
                  </w:tcBorders>
                  <w:shd w:val="clear" w:color="auto" w:fill="auto"/>
                  <w:noWrap w:val="0"/>
                  <w:vAlign w:val="center"/>
                </w:tcPr>
                <w:p w14:paraId="3D6F30F2">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7</w:t>
                  </w:r>
                </w:p>
              </w:tc>
              <w:tc>
                <w:tcPr>
                  <w:tcW w:w="1663" w:type="dxa"/>
                  <w:tcBorders>
                    <w:tl2br w:val="nil"/>
                    <w:tr2bl w:val="nil"/>
                  </w:tcBorders>
                  <w:noWrap w:val="0"/>
                  <w:vAlign w:val="center"/>
                </w:tcPr>
                <w:p w14:paraId="2A80A06E">
                  <w:pPr>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15</w:t>
                  </w:r>
                </w:p>
              </w:tc>
            </w:tr>
            <w:tr w14:paraId="2BAF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300C5709">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noWrap w:val="0"/>
                  <w:vAlign w:val="center"/>
                </w:tcPr>
                <w:p w14:paraId="79122758">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五日生化需氧量</w:t>
                  </w:r>
                </w:p>
              </w:tc>
              <w:tc>
                <w:tcPr>
                  <w:tcW w:w="3345" w:type="dxa"/>
                  <w:tcBorders>
                    <w:tl2br w:val="nil"/>
                    <w:tr2bl w:val="nil"/>
                  </w:tcBorders>
                  <w:shd w:val="clear" w:color="auto" w:fill="auto"/>
                  <w:noWrap w:val="0"/>
                  <w:vAlign w:val="center"/>
                </w:tcPr>
                <w:p w14:paraId="1CB7DDC4">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2.1</w:t>
                  </w:r>
                </w:p>
              </w:tc>
              <w:tc>
                <w:tcPr>
                  <w:tcW w:w="1663" w:type="dxa"/>
                  <w:tcBorders>
                    <w:tl2br w:val="nil"/>
                    <w:tr2bl w:val="nil"/>
                  </w:tcBorders>
                  <w:shd w:val="clear" w:color="auto" w:fill="auto"/>
                  <w:noWrap w:val="0"/>
                  <w:vAlign w:val="center"/>
                </w:tcPr>
                <w:p w14:paraId="49898767">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w:t>
                  </w:r>
                </w:p>
              </w:tc>
            </w:tr>
            <w:tr w14:paraId="4747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4ECB5297">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6C79EC8A">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氨氮</w:t>
                  </w:r>
                </w:p>
              </w:tc>
              <w:tc>
                <w:tcPr>
                  <w:tcW w:w="3345" w:type="dxa"/>
                  <w:tcBorders>
                    <w:tl2br w:val="nil"/>
                    <w:tr2bl w:val="nil"/>
                  </w:tcBorders>
                  <w:shd w:val="clear" w:color="auto" w:fill="auto"/>
                  <w:vAlign w:val="center"/>
                </w:tcPr>
                <w:p w14:paraId="7F81A57C">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0.107</w:t>
                  </w:r>
                </w:p>
              </w:tc>
              <w:tc>
                <w:tcPr>
                  <w:tcW w:w="1663" w:type="dxa"/>
                  <w:tcBorders>
                    <w:tl2br w:val="nil"/>
                    <w:tr2bl w:val="nil"/>
                  </w:tcBorders>
                  <w:shd w:val="clear" w:color="auto" w:fill="auto"/>
                  <w:vAlign w:val="center"/>
                </w:tcPr>
                <w:p w14:paraId="35A93849">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w:t>
                  </w:r>
                </w:p>
              </w:tc>
            </w:tr>
            <w:tr w14:paraId="183C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0FB2B864">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41E73255">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总磷</w:t>
                  </w:r>
                </w:p>
              </w:tc>
              <w:tc>
                <w:tcPr>
                  <w:tcW w:w="3345" w:type="dxa"/>
                  <w:tcBorders>
                    <w:tl2br w:val="nil"/>
                    <w:tr2bl w:val="nil"/>
                  </w:tcBorders>
                  <w:shd w:val="clear" w:color="auto" w:fill="auto"/>
                  <w:vAlign w:val="center"/>
                </w:tcPr>
                <w:p w14:paraId="18ABF2F2">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0.04</w:t>
                  </w:r>
                </w:p>
              </w:tc>
              <w:tc>
                <w:tcPr>
                  <w:tcW w:w="1663" w:type="dxa"/>
                  <w:tcBorders>
                    <w:tl2br w:val="nil"/>
                    <w:tr2bl w:val="nil"/>
                  </w:tcBorders>
                  <w:shd w:val="clear" w:color="auto" w:fill="auto"/>
                  <w:vAlign w:val="center"/>
                </w:tcPr>
                <w:p w14:paraId="01AFBBF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（湖、库0.0</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5）</w:t>
                  </w:r>
                </w:p>
              </w:tc>
            </w:tr>
            <w:tr w14:paraId="79E1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3FB84C28">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1BBC067C">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总氮</w:t>
                  </w:r>
                </w:p>
              </w:tc>
              <w:tc>
                <w:tcPr>
                  <w:tcW w:w="3345" w:type="dxa"/>
                  <w:tcBorders>
                    <w:tl2br w:val="nil"/>
                    <w:tr2bl w:val="nil"/>
                  </w:tcBorders>
                  <w:shd w:val="clear" w:color="auto" w:fill="auto"/>
                  <w:vAlign w:val="center"/>
                </w:tcPr>
                <w:p w14:paraId="7E0EBD4C">
                  <w:pPr>
                    <w:ind w:left="-105" w:leftChars="-50" w:right="-105" w:rightChars="-50"/>
                    <w:jc w:val="center"/>
                    <w:rPr>
                      <w:rFonts w:hint="default"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sz w:val="21"/>
                      <w:szCs w:val="21"/>
                      <w:lang w:val="en-US" w:eastAsia="zh-CN"/>
                    </w:rPr>
                    <w:t>2.46</w:t>
                  </w:r>
                </w:p>
              </w:tc>
              <w:tc>
                <w:tcPr>
                  <w:tcW w:w="1663" w:type="dxa"/>
                  <w:tcBorders>
                    <w:tl2br w:val="nil"/>
                    <w:tr2bl w:val="nil"/>
                  </w:tcBorders>
                  <w:shd w:val="clear" w:color="auto" w:fill="auto"/>
                  <w:vAlign w:val="center"/>
                </w:tcPr>
                <w:p w14:paraId="5AB8E0E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rPr>
                    <w:t>（湖、库）</w:t>
                  </w:r>
                </w:p>
              </w:tc>
            </w:tr>
            <w:tr w14:paraId="4969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4BFA6D8B">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242BAADD">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t>铜</w:t>
                  </w:r>
                </w:p>
              </w:tc>
              <w:tc>
                <w:tcPr>
                  <w:tcW w:w="3345" w:type="dxa"/>
                  <w:tcBorders>
                    <w:tl2br w:val="nil"/>
                    <w:tr2bl w:val="nil"/>
                  </w:tcBorders>
                  <w:shd w:val="clear" w:color="auto" w:fill="auto"/>
                  <w:vAlign w:val="center"/>
                </w:tcPr>
                <w:p w14:paraId="423A1192">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0.006</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65199BD4">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1AB1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7F4BE493">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6DF34235">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t>锌</w:t>
                  </w:r>
                </w:p>
              </w:tc>
              <w:tc>
                <w:tcPr>
                  <w:tcW w:w="3345" w:type="dxa"/>
                  <w:tcBorders>
                    <w:tl2br w:val="nil"/>
                    <w:tr2bl w:val="nil"/>
                  </w:tcBorders>
                  <w:shd w:val="clear" w:color="auto" w:fill="auto"/>
                  <w:vAlign w:val="center"/>
                </w:tcPr>
                <w:p w14:paraId="22172FB7">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0.004</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1C9023DD">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4012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467518B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13FF4C4B">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铁</w:t>
                  </w:r>
                </w:p>
              </w:tc>
              <w:tc>
                <w:tcPr>
                  <w:tcW w:w="3345" w:type="dxa"/>
                  <w:tcBorders>
                    <w:tl2br w:val="nil"/>
                    <w:tr2bl w:val="nil"/>
                  </w:tcBorders>
                  <w:shd w:val="clear" w:color="auto" w:fill="auto"/>
                  <w:vAlign w:val="center"/>
                </w:tcPr>
                <w:p w14:paraId="40B1BB8F">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0.02</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2332FCEF">
                  <w:pPr>
                    <w:jc w:val="center"/>
                    <w:rPr>
                      <w:rFonts w:hint="default" w:ascii="Times New Roman" w:hAnsi="Times New Roman" w:eastAsia="宋体" w:cs="Times New Roman"/>
                      <w:strike/>
                      <w:kern w:val="2"/>
                      <w:sz w:val="21"/>
                      <w:szCs w:val="21"/>
                      <w:lang w:val="en-US" w:eastAsia="zh-CN" w:bidi="ar-SA"/>
                    </w:rPr>
                  </w:pPr>
                  <w:r>
                    <w:rPr>
                      <w:rFonts w:hint="default" w:ascii="Times New Roman" w:hAnsi="Times New Roman" w:eastAsia="宋体" w:cs="Times New Roman"/>
                      <w:sz w:val="21"/>
                      <w:szCs w:val="21"/>
                    </w:rPr>
                    <w:t>≤0.3</w:t>
                  </w:r>
                </w:p>
              </w:tc>
            </w:tr>
            <w:tr w14:paraId="0785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0B0F1AA3">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2FE981A4">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锰</w:t>
                  </w:r>
                </w:p>
              </w:tc>
              <w:tc>
                <w:tcPr>
                  <w:tcW w:w="3345" w:type="dxa"/>
                  <w:tcBorders>
                    <w:tl2br w:val="nil"/>
                    <w:tr2bl w:val="nil"/>
                  </w:tcBorders>
                  <w:shd w:val="clear" w:color="auto" w:fill="auto"/>
                  <w:vAlign w:val="center"/>
                </w:tcPr>
                <w:p w14:paraId="7BA4248A">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0.004</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73E9E7D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≤0.1</w:t>
                  </w:r>
                </w:p>
              </w:tc>
            </w:tr>
            <w:tr w14:paraId="53AE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5DECBF60">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4A73A45F">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挥发酚</w:t>
                  </w:r>
                </w:p>
              </w:tc>
              <w:tc>
                <w:tcPr>
                  <w:tcW w:w="3345" w:type="dxa"/>
                  <w:tcBorders>
                    <w:tl2br w:val="nil"/>
                    <w:tr2bl w:val="nil"/>
                  </w:tcBorders>
                  <w:shd w:val="clear" w:color="auto" w:fill="auto"/>
                  <w:vAlign w:val="center"/>
                </w:tcPr>
                <w:p w14:paraId="373BEC26">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0.0003</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32FA87FF">
                  <w:pPr>
                    <w:ind w:left="-105" w:leftChars="-50" w:right="-105" w:rightChars="-5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w:t>
                  </w:r>
                  <w:r>
                    <w:rPr>
                      <w:rFonts w:hint="eastAsia" w:ascii="Times New Roman" w:hAnsi="Times New Roman" w:eastAsia="宋体" w:cs="Times New Roman"/>
                      <w:sz w:val="21"/>
                      <w:szCs w:val="21"/>
                      <w:lang w:val="en-US" w:eastAsia="zh-CN"/>
                    </w:rPr>
                    <w:t>2</w:t>
                  </w:r>
                </w:p>
              </w:tc>
            </w:tr>
            <w:tr w14:paraId="1805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0E8048A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6BB53D6F">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rPr>
                    <w:t>石油类</w:t>
                  </w:r>
                </w:p>
              </w:tc>
              <w:tc>
                <w:tcPr>
                  <w:tcW w:w="3345" w:type="dxa"/>
                  <w:tcBorders>
                    <w:tl2br w:val="nil"/>
                    <w:tr2bl w:val="nil"/>
                  </w:tcBorders>
                  <w:shd w:val="clear" w:color="auto" w:fill="auto"/>
                  <w:vAlign w:val="center"/>
                </w:tcPr>
                <w:p w14:paraId="172B912D">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0.01</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4347EE81">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67F3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61708AC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44DD5249">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硒</w:t>
                  </w:r>
                </w:p>
              </w:tc>
              <w:tc>
                <w:tcPr>
                  <w:tcW w:w="3345" w:type="dxa"/>
                  <w:tcBorders>
                    <w:tl2br w:val="nil"/>
                    <w:tr2bl w:val="nil"/>
                  </w:tcBorders>
                  <w:shd w:val="clear" w:color="auto" w:fill="auto"/>
                  <w:vAlign w:val="center"/>
                </w:tcPr>
                <w:p w14:paraId="70768283">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0.0004</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132E3896">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≤0.01</w:t>
                  </w:r>
                </w:p>
              </w:tc>
            </w:tr>
            <w:tr w14:paraId="012D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24F07C90">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01A59367">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砷</w:t>
                  </w:r>
                </w:p>
              </w:tc>
              <w:tc>
                <w:tcPr>
                  <w:tcW w:w="3345" w:type="dxa"/>
                  <w:tcBorders>
                    <w:tl2br w:val="nil"/>
                    <w:tr2bl w:val="nil"/>
                  </w:tcBorders>
                  <w:shd w:val="clear" w:color="auto" w:fill="auto"/>
                  <w:vAlign w:val="center"/>
                </w:tcPr>
                <w:p w14:paraId="49468C6C">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0.0003</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08390C39">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03AB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7EA7658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29F5F351">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汞</w:t>
                  </w:r>
                </w:p>
              </w:tc>
              <w:tc>
                <w:tcPr>
                  <w:tcW w:w="3345" w:type="dxa"/>
                  <w:tcBorders>
                    <w:tl2br w:val="nil"/>
                    <w:tr2bl w:val="nil"/>
                  </w:tcBorders>
                  <w:shd w:val="clear" w:color="auto" w:fill="auto"/>
                  <w:vAlign w:val="center"/>
                </w:tcPr>
                <w:p w14:paraId="4840AEE5">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0.0000015</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621BB388">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≤0.000</w:t>
                  </w:r>
                  <w:r>
                    <w:rPr>
                      <w:rFonts w:hint="eastAsia" w:ascii="Times New Roman" w:hAnsi="Times New Roman" w:eastAsia="宋体" w:cs="Times New Roman"/>
                      <w:sz w:val="21"/>
                      <w:szCs w:val="21"/>
                      <w:lang w:val="en-US" w:eastAsia="zh-CN"/>
                    </w:rPr>
                    <w:t>05</w:t>
                  </w:r>
                </w:p>
              </w:tc>
            </w:tr>
            <w:tr w14:paraId="4898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5F153B7D">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5D488167">
                  <w:pPr>
                    <w:pStyle w:val="38"/>
                    <w:snapToGrid w:val="0"/>
                    <w:spacing w:before="0" w:after="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氟化物</w:t>
                  </w:r>
                </w:p>
              </w:tc>
              <w:tc>
                <w:tcPr>
                  <w:tcW w:w="3345" w:type="dxa"/>
                  <w:tcBorders>
                    <w:tl2br w:val="nil"/>
                    <w:tr2bl w:val="nil"/>
                  </w:tcBorders>
                  <w:shd w:val="clear" w:color="auto" w:fill="auto"/>
                  <w:vAlign w:val="center"/>
                </w:tcPr>
                <w:p w14:paraId="234F999C">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0.436</w:t>
                  </w:r>
                </w:p>
              </w:tc>
              <w:tc>
                <w:tcPr>
                  <w:tcW w:w="1663" w:type="dxa"/>
                  <w:tcBorders>
                    <w:tl2br w:val="nil"/>
                    <w:tr2bl w:val="nil"/>
                  </w:tcBorders>
                  <w:shd w:val="clear" w:color="auto" w:fill="auto"/>
                  <w:vAlign w:val="center"/>
                </w:tcPr>
                <w:p w14:paraId="57A7549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127B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7ACCCA17">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373D30DA">
                  <w:pPr>
                    <w:pStyle w:val="38"/>
                    <w:snapToGrid w:val="0"/>
                    <w:spacing w:before="0" w:after="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硫酸盐</w:t>
                  </w:r>
                </w:p>
              </w:tc>
              <w:tc>
                <w:tcPr>
                  <w:tcW w:w="3345" w:type="dxa"/>
                  <w:tcBorders>
                    <w:tl2br w:val="nil"/>
                    <w:tr2bl w:val="nil"/>
                  </w:tcBorders>
                  <w:shd w:val="clear" w:color="auto" w:fill="auto"/>
                  <w:vAlign w:val="center"/>
                </w:tcPr>
                <w:p w14:paraId="4656BB7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10.3</w:t>
                  </w:r>
                </w:p>
              </w:tc>
              <w:tc>
                <w:tcPr>
                  <w:tcW w:w="1663" w:type="dxa"/>
                  <w:tcBorders>
                    <w:tl2br w:val="nil"/>
                    <w:tr2bl w:val="nil"/>
                  </w:tcBorders>
                  <w:shd w:val="clear" w:color="auto" w:fill="auto"/>
                  <w:vAlign w:val="center"/>
                </w:tcPr>
                <w:p w14:paraId="37D5A6D1">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≤250</w:t>
                  </w:r>
                </w:p>
              </w:tc>
            </w:tr>
            <w:tr w14:paraId="5B96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4E9884B3">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701E4723">
                  <w:pPr>
                    <w:pStyle w:val="38"/>
                    <w:snapToGrid w:val="0"/>
                    <w:spacing w:before="0" w:after="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氯化物</w:t>
                  </w:r>
                </w:p>
              </w:tc>
              <w:tc>
                <w:tcPr>
                  <w:tcW w:w="3345" w:type="dxa"/>
                  <w:tcBorders>
                    <w:tl2br w:val="nil"/>
                    <w:tr2bl w:val="nil"/>
                  </w:tcBorders>
                  <w:shd w:val="clear" w:color="auto" w:fill="auto"/>
                  <w:vAlign w:val="center"/>
                </w:tcPr>
                <w:p w14:paraId="7B098D97">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7.10</w:t>
                  </w:r>
                </w:p>
              </w:tc>
              <w:tc>
                <w:tcPr>
                  <w:tcW w:w="1663" w:type="dxa"/>
                  <w:tcBorders>
                    <w:tl2br w:val="nil"/>
                    <w:tr2bl w:val="nil"/>
                  </w:tcBorders>
                  <w:shd w:val="clear" w:color="auto" w:fill="auto"/>
                  <w:vAlign w:val="center"/>
                </w:tcPr>
                <w:p w14:paraId="37C8293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≤250</w:t>
                  </w:r>
                </w:p>
              </w:tc>
            </w:tr>
            <w:tr w14:paraId="0C89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2DC149A9">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1F5F9397">
                  <w:pPr>
                    <w:pStyle w:val="38"/>
                    <w:snapToGrid w:val="0"/>
                    <w:spacing w:before="0" w:after="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硝酸盐（以N计）</w:t>
                  </w:r>
                </w:p>
              </w:tc>
              <w:tc>
                <w:tcPr>
                  <w:tcW w:w="3345" w:type="dxa"/>
                  <w:tcBorders>
                    <w:tl2br w:val="nil"/>
                    <w:tr2bl w:val="nil"/>
                  </w:tcBorders>
                  <w:shd w:val="clear" w:color="auto" w:fill="auto"/>
                  <w:vAlign w:val="center"/>
                </w:tcPr>
                <w:p w14:paraId="703A9E08">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2.08</w:t>
                  </w:r>
                </w:p>
              </w:tc>
              <w:tc>
                <w:tcPr>
                  <w:tcW w:w="1663" w:type="dxa"/>
                  <w:tcBorders>
                    <w:tl2br w:val="nil"/>
                    <w:tr2bl w:val="nil"/>
                  </w:tcBorders>
                  <w:shd w:val="clear" w:color="auto" w:fill="auto"/>
                  <w:vAlign w:val="center"/>
                </w:tcPr>
                <w:p w14:paraId="737248F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72F98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194C3B29">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48DD81E7">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六价铬</w:t>
                  </w:r>
                </w:p>
              </w:tc>
              <w:tc>
                <w:tcPr>
                  <w:tcW w:w="3345" w:type="dxa"/>
                  <w:tcBorders>
                    <w:tl2br w:val="nil"/>
                    <w:tr2bl w:val="nil"/>
                  </w:tcBorders>
                  <w:shd w:val="clear" w:color="auto" w:fill="auto"/>
                  <w:vAlign w:val="center"/>
                </w:tcPr>
                <w:p w14:paraId="192A2B27">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0.004</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0FD89A11">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661C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34349F2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5337C450">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氰化物</w:t>
                  </w:r>
                </w:p>
              </w:tc>
              <w:tc>
                <w:tcPr>
                  <w:tcW w:w="3345" w:type="dxa"/>
                  <w:tcBorders>
                    <w:tl2br w:val="nil"/>
                    <w:tr2bl w:val="nil"/>
                  </w:tcBorders>
                  <w:shd w:val="clear" w:color="auto" w:fill="auto"/>
                  <w:vAlign w:val="center"/>
                </w:tcPr>
                <w:p w14:paraId="6262129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0.001</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50EF5BD5">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05</w:t>
                  </w:r>
                </w:p>
              </w:tc>
            </w:tr>
            <w:tr w14:paraId="2AA81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50F4B0F0">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362C604E">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阴离子表</w:t>
                  </w:r>
                </w:p>
                <w:p w14:paraId="05688135">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面活性剂</w:t>
                  </w:r>
                </w:p>
              </w:tc>
              <w:tc>
                <w:tcPr>
                  <w:tcW w:w="3345" w:type="dxa"/>
                  <w:tcBorders>
                    <w:tl2br w:val="nil"/>
                    <w:tr2bl w:val="nil"/>
                  </w:tcBorders>
                  <w:shd w:val="clear" w:color="auto" w:fill="auto"/>
                  <w:vAlign w:val="center"/>
                </w:tcPr>
                <w:p w14:paraId="336977CF">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0.05</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121B24FC">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≤0.2</w:t>
                  </w:r>
                </w:p>
              </w:tc>
            </w:tr>
            <w:tr w14:paraId="5D2F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3DA386A1">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1B9AFED0">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硫化物</w:t>
                  </w:r>
                </w:p>
              </w:tc>
              <w:tc>
                <w:tcPr>
                  <w:tcW w:w="3345" w:type="dxa"/>
                  <w:tcBorders>
                    <w:tl2br w:val="nil"/>
                    <w:tr2bl w:val="nil"/>
                  </w:tcBorders>
                  <w:shd w:val="clear" w:color="auto" w:fill="auto"/>
                  <w:vAlign w:val="center"/>
                </w:tcPr>
                <w:p w14:paraId="5E8BEBA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0.01</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111CA8BC">
                  <w:pPr>
                    <w:ind w:left="-105" w:leftChars="-50" w:right="-105" w:rightChars="-5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p>
              </w:tc>
            </w:tr>
            <w:tr w14:paraId="56D3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76008304">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643735DD">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t>镉</w:t>
                  </w:r>
                </w:p>
              </w:tc>
              <w:tc>
                <w:tcPr>
                  <w:tcW w:w="3345" w:type="dxa"/>
                  <w:tcBorders>
                    <w:tl2br w:val="nil"/>
                    <w:tr2bl w:val="nil"/>
                  </w:tcBorders>
                  <w:shd w:val="clear" w:color="auto" w:fill="auto"/>
                  <w:vAlign w:val="center"/>
                </w:tcPr>
                <w:p w14:paraId="0BAAA29F">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0.0001</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6B1D33EA">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≤0.005</w:t>
                  </w:r>
                </w:p>
              </w:tc>
            </w:tr>
            <w:tr w14:paraId="1893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6EED66D8">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4BB57223">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铅</w:t>
                  </w:r>
                </w:p>
              </w:tc>
              <w:tc>
                <w:tcPr>
                  <w:tcW w:w="3345" w:type="dxa"/>
                  <w:tcBorders>
                    <w:tl2br w:val="nil"/>
                    <w:tr2bl w:val="nil"/>
                  </w:tcBorders>
                  <w:shd w:val="clear" w:color="auto" w:fill="auto"/>
                  <w:vAlign w:val="center"/>
                </w:tcPr>
                <w:p w14:paraId="21DBC0C6">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0.001</w:t>
                  </w:r>
                  <w:r>
                    <w:rPr>
                      <w:rFonts w:hint="default" w:ascii="Times New Roman" w:hAnsi="Times New Roman" w:cs="Times New Roman"/>
                      <w:sz w:val="21"/>
                      <w:szCs w:val="21"/>
                      <w:vertAlign w:val="superscript"/>
                    </w:rPr>
                    <w:t>L</w:t>
                  </w:r>
                </w:p>
              </w:tc>
              <w:tc>
                <w:tcPr>
                  <w:tcW w:w="1663" w:type="dxa"/>
                  <w:tcBorders>
                    <w:tl2br w:val="nil"/>
                    <w:tr2bl w:val="nil"/>
                  </w:tcBorders>
                  <w:shd w:val="clear" w:color="auto" w:fill="auto"/>
                  <w:vAlign w:val="center"/>
                </w:tcPr>
                <w:p w14:paraId="046F5325">
                  <w:pPr>
                    <w:ind w:left="-105" w:leftChars="-50" w:right="-105" w:rightChars="-5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1</w:t>
                  </w:r>
                </w:p>
              </w:tc>
            </w:tr>
            <w:tr w14:paraId="26F8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30BD0F85">
                  <w:pPr>
                    <w:pStyle w:val="38"/>
                    <w:snapToGrid w:val="0"/>
                    <w:spacing w:before="0" w:after="0"/>
                    <w:ind w:left="-105" w:leftChars="-50" w:right="-105" w:rightChars="-50"/>
                    <w:rPr>
                      <w:rFonts w:hint="default" w:ascii="Times New Roman" w:hAnsi="Times New Roman" w:eastAsia="宋体" w:cs="Times New Roman"/>
                      <w:sz w:val="21"/>
                      <w:szCs w:val="21"/>
                    </w:rPr>
                  </w:pPr>
                </w:p>
              </w:tc>
              <w:tc>
                <w:tcPr>
                  <w:tcW w:w="3060" w:type="dxa"/>
                  <w:tcBorders>
                    <w:tl2br w:val="nil"/>
                    <w:tr2bl w:val="nil"/>
                  </w:tcBorders>
                  <w:shd w:val="clear" w:color="auto" w:fill="auto"/>
                  <w:vAlign w:val="center"/>
                </w:tcPr>
                <w:p w14:paraId="30BCDAE7">
                  <w:pPr>
                    <w:pStyle w:val="38"/>
                    <w:snapToGrid w:val="0"/>
                    <w:spacing w:before="0" w:after="0"/>
                    <w:ind w:left="-105" w:leftChars="-50" w:right="-105" w:rightChars="-5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粪大肠菌群（MPN/L）</w:t>
                  </w:r>
                </w:p>
              </w:tc>
              <w:tc>
                <w:tcPr>
                  <w:tcW w:w="3345" w:type="dxa"/>
                  <w:tcBorders>
                    <w:tl2br w:val="nil"/>
                    <w:tr2bl w:val="nil"/>
                  </w:tcBorders>
                  <w:shd w:val="clear" w:color="auto" w:fill="auto"/>
                  <w:vAlign w:val="center"/>
                </w:tcPr>
                <w:p w14:paraId="50CB9E91">
                  <w:pPr>
                    <w:jc w:val="center"/>
                    <w:rPr>
                      <w:rFonts w:hint="default" w:ascii="Times New Roman" w:hAnsi="Times New Roman" w:cs="Times New Roman" w:eastAsiaTheme="minorEastAsia"/>
                      <w:color w:val="000000"/>
                      <w:kern w:val="2"/>
                      <w:sz w:val="21"/>
                      <w:szCs w:val="21"/>
                      <w:lang w:val="en-US" w:eastAsia="zh-CN" w:bidi="ar-SA"/>
                    </w:rPr>
                  </w:pPr>
                  <w:r>
                    <w:rPr>
                      <w:rStyle w:val="40"/>
                      <w:rFonts w:hint="default" w:ascii="Times New Roman" w:hAnsi="Times New Roman" w:cs="Times New Roman"/>
                      <w:sz w:val="21"/>
                      <w:szCs w:val="21"/>
                    </w:rPr>
                    <w:t>1.3×</w:t>
                  </w:r>
                  <w:r>
                    <w:rPr>
                      <w:rStyle w:val="47"/>
                      <w:rFonts w:hint="default" w:ascii="Times New Roman" w:hAnsi="Times New Roman" w:cs="Times New Roman"/>
                      <w:sz w:val="21"/>
                      <w:szCs w:val="21"/>
                    </w:rPr>
                    <w:t>10</w:t>
                  </w:r>
                  <w:r>
                    <w:rPr>
                      <w:rStyle w:val="43"/>
                      <w:rFonts w:hint="default" w:ascii="Times New Roman" w:hAnsi="Times New Roman" w:cs="Times New Roman"/>
                      <w:sz w:val="21"/>
                      <w:szCs w:val="21"/>
                    </w:rPr>
                    <w:t>2</w:t>
                  </w:r>
                </w:p>
              </w:tc>
              <w:tc>
                <w:tcPr>
                  <w:tcW w:w="1663" w:type="dxa"/>
                  <w:tcBorders>
                    <w:tl2br w:val="nil"/>
                    <w:tr2bl w:val="nil"/>
                  </w:tcBorders>
                  <w:shd w:val="clear" w:color="auto" w:fill="auto"/>
                  <w:vAlign w:val="center"/>
                </w:tcPr>
                <w:p w14:paraId="67B068EA">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000</w:t>
                  </w:r>
                </w:p>
              </w:tc>
            </w:tr>
          </w:tbl>
          <w:p w14:paraId="3573E4AD">
            <w:pPr>
              <w:keepNext w:val="0"/>
              <w:keepLines w:val="0"/>
              <w:pageBreakBefore w:val="0"/>
              <w:widowControl w:val="0"/>
              <w:kinsoku/>
              <w:wordWrap/>
              <w:overflowPunct/>
              <w:topLinePunct w:val="0"/>
              <w:autoSpaceDE/>
              <w:autoSpaceDN/>
              <w:bidi w:val="0"/>
              <w:snapToGrid/>
              <w:spacing w:line="360" w:lineRule="auto"/>
              <w:ind w:left="0" w:leftChars="0" w:firstLine="360" w:firstLineChars="200"/>
              <w:rPr>
                <w:rFonts w:hint="default" w:ascii="Times New Roman" w:hAnsi="Times New Roman" w:cs="Times New Roman"/>
                <w:color w:val="auto"/>
                <w:sz w:val="24"/>
                <w:szCs w:val="32"/>
                <w:highlight w:val="none"/>
                <w:vertAlign w:val="baseline"/>
                <w:lang w:val="en-US" w:eastAsia="zh-CN"/>
              </w:rPr>
            </w:pPr>
            <w:r>
              <w:rPr>
                <w:rFonts w:hint="eastAsia"/>
                <w:b w:val="0"/>
                <w:bCs w:val="0"/>
                <w:sz w:val="18"/>
                <w:szCs w:val="18"/>
              </w:rPr>
              <w:t>备注：检测结果为“检出限+L”表示未检出</w:t>
            </w:r>
          </w:p>
          <w:p w14:paraId="7121249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由上表可知，本</w:t>
            </w:r>
            <w:r>
              <w:rPr>
                <w:rFonts w:hint="default" w:ascii="Times New Roman" w:hAnsi="Times New Roman" w:cs="Times New Roman"/>
                <w:color w:val="auto"/>
                <w:sz w:val="24"/>
                <w:szCs w:val="32"/>
                <w:highlight w:val="none"/>
                <w:vertAlign w:val="baseline"/>
                <w:lang w:val="en-US" w:eastAsia="zh-CN"/>
              </w:rPr>
              <w:t>项目</w:t>
            </w:r>
            <w:r>
              <w:rPr>
                <w:rFonts w:hint="eastAsia" w:ascii="Times New Roman" w:hAnsi="Times New Roman" w:eastAsia="宋体" w:cs="Times New Roman"/>
                <w:color w:val="auto"/>
                <w:sz w:val="24"/>
                <w:szCs w:val="24"/>
                <w:lang w:val="en-US" w:eastAsia="zh-CN"/>
              </w:rPr>
              <w:t>马渡关水厂取水点</w:t>
            </w:r>
            <w:r>
              <w:rPr>
                <w:rFonts w:hint="default" w:ascii="Times New Roman" w:hAnsi="Times New Roman" w:cs="Times New Roman"/>
                <w:color w:val="auto"/>
                <w:sz w:val="24"/>
                <w:szCs w:val="32"/>
                <w:highlight w:val="none"/>
                <w:vertAlign w:val="baseline"/>
                <w:lang w:val="en-US" w:eastAsia="zh-CN"/>
              </w:rPr>
              <w:t>水质较好，满足《地表水环境质量标准》（GB3838-2002）</w:t>
            </w:r>
            <w:r>
              <w:rPr>
                <w:rFonts w:hint="default" w:ascii="Times New Roman" w:hAnsi="Times New Roman" w:cs="Times New Roman"/>
                <w:b w:val="0"/>
                <w:bCs w:val="0"/>
                <w:color w:val="auto"/>
                <w:sz w:val="24"/>
                <w:szCs w:val="24"/>
                <w:highlight w:val="none"/>
                <w:vertAlign w:val="baseline"/>
                <w:lang w:val="en-US" w:eastAsia="zh-CN"/>
              </w:rPr>
              <w:t>Ⅱ</w:t>
            </w:r>
            <w:r>
              <w:rPr>
                <w:rFonts w:hint="default" w:ascii="Times New Roman" w:hAnsi="Times New Roman" w:cs="Times New Roman"/>
                <w:color w:val="auto"/>
                <w:sz w:val="24"/>
                <w:szCs w:val="32"/>
                <w:highlight w:val="none"/>
                <w:vertAlign w:val="baseline"/>
                <w:lang w:val="en-US" w:eastAsia="zh-CN"/>
              </w:rPr>
              <w:t>类标准。从取水口处现状水质达标的角度分析，</w:t>
            </w:r>
            <w:r>
              <w:rPr>
                <w:rFonts w:hint="eastAsia" w:ascii="Times New Roman" w:hAnsi="Times New Roman" w:eastAsia="宋体" w:cs="Times New Roman"/>
                <w:color w:val="auto"/>
                <w:sz w:val="24"/>
                <w:szCs w:val="24"/>
                <w:lang w:val="en-US" w:eastAsia="zh-CN"/>
              </w:rPr>
              <w:t>长滩河</w:t>
            </w:r>
            <w:r>
              <w:rPr>
                <w:rFonts w:hint="default" w:ascii="Times New Roman" w:hAnsi="Times New Roman" w:cs="Times New Roman"/>
                <w:color w:val="auto"/>
                <w:sz w:val="24"/>
                <w:szCs w:val="32"/>
                <w:highlight w:val="none"/>
                <w:vertAlign w:val="baseline"/>
                <w:lang w:val="en-US" w:eastAsia="zh-CN"/>
              </w:rPr>
              <w:t>取水</w:t>
            </w:r>
            <w:r>
              <w:rPr>
                <w:rFonts w:hint="eastAsia" w:ascii="Times New Roman" w:hAnsi="Times New Roman" w:cs="Times New Roman"/>
                <w:color w:val="auto"/>
                <w:sz w:val="24"/>
                <w:szCs w:val="32"/>
                <w:highlight w:val="none"/>
                <w:vertAlign w:val="baseline"/>
                <w:lang w:val="en-US" w:eastAsia="zh-CN"/>
              </w:rPr>
              <w:t>处</w:t>
            </w:r>
            <w:r>
              <w:rPr>
                <w:rFonts w:hint="default" w:ascii="Times New Roman" w:hAnsi="Times New Roman" w:cs="Times New Roman"/>
                <w:color w:val="auto"/>
                <w:sz w:val="24"/>
                <w:szCs w:val="32"/>
                <w:highlight w:val="none"/>
                <w:vertAlign w:val="baseline"/>
                <w:lang w:val="en-US" w:eastAsia="zh-CN"/>
              </w:rPr>
              <w:t>作为饮用水是可行的。</w:t>
            </w:r>
          </w:p>
          <w:p w14:paraId="66D54691">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（2）隘口水厂</w:t>
            </w:r>
          </w:p>
          <w:p w14:paraId="32A8F7D0">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eastAsia="zh-CN"/>
              </w:rPr>
            </w:pPr>
            <w:r>
              <w:rPr>
                <w:rFonts w:hint="default" w:ascii="Times New Roman" w:hAnsi="Times New Roman" w:cs="Times New Roman"/>
                <w:b/>
                <w:bCs/>
                <w:color w:val="auto"/>
                <w:sz w:val="24"/>
                <w:szCs w:val="32"/>
                <w:highlight w:val="none"/>
                <w:vertAlign w:val="baseline"/>
                <w:lang w:val="en-US" w:eastAsia="zh-CN"/>
              </w:rPr>
              <w:t>1</w:t>
            </w:r>
            <w:r>
              <w:rPr>
                <w:rFonts w:hint="default" w:ascii="Times New Roman" w:hAnsi="Times New Roman" w:cs="Times New Roman"/>
                <w:b/>
                <w:bCs/>
                <w:color w:val="auto"/>
                <w:sz w:val="24"/>
                <w:szCs w:val="32"/>
                <w:highlight w:val="none"/>
                <w:vertAlign w:val="baseline"/>
                <w:lang w:eastAsia="zh-CN"/>
              </w:rPr>
              <w:t>）水资源承载力可行性分析</w:t>
            </w:r>
          </w:p>
          <w:p w14:paraId="0CE7C5F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sz w:val="24"/>
                <w:szCs w:val="24"/>
              </w:rPr>
            </w:pPr>
            <w:r>
              <w:rPr>
                <w:rFonts w:hint="default" w:ascii="Times New Roman" w:hAnsi="Times New Roman" w:eastAsia="宋体" w:cs="Times New Roman"/>
                <w:color w:val="auto"/>
                <w:sz w:val="24"/>
                <w:szCs w:val="32"/>
                <w:highlight w:val="none"/>
                <w:vertAlign w:val="baseline"/>
                <w:lang w:val="en-US" w:eastAsia="zh-CN"/>
              </w:rPr>
              <w:t>根据《隘口水厂水资源论证表》</w:t>
            </w:r>
            <w:r>
              <w:rPr>
                <w:rFonts w:hint="default" w:ascii="Times New Roman" w:hAnsi="Times New Roman" w:eastAsia="宋体" w:cs="Times New Roman"/>
                <w:color w:val="auto"/>
                <w:sz w:val="24"/>
                <w:szCs w:val="24"/>
                <w:highlight w:val="none"/>
                <w:vertAlign w:val="baseline"/>
                <w:lang w:val="en-US" w:eastAsia="zh-CN"/>
              </w:rPr>
              <w:t>（报批件）</w:t>
            </w:r>
            <w:r>
              <w:rPr>
                <w:rFonts w:hint="eastAsia" w:ascii="Times New Roman" w:hAnsi="Times New Roman" w:eastAsia="宋体" w:cs="Times New Roman"/>
                <w:color w:val="auto"/>
                <w:sz w:val="24"/>
                <w:szCs w:val="24"/>
                <w:highlight w:val="none"/>
                <w:vertAlign w:val="baseline"/>
                <w:lang w:val="en-US" w:eastAsia="zh-CN"/>
              </w:rPr>
              <w:t>及审查意见</w:t>
            </w:r>
            <w:r>
              <w:rPr>
                <w:rFonts w:hint="default" w:ascii="Times New Roman" w:hAnsi="Times New Roman" w:eastAsia="宋体" w:cs="Times New Roman"/>
                <w:color w:val="auto"/>
                <w:sz w:val="24"/>
                <w:szCs w:val="24"/>
                <w:highlight w:val="none"/>
                <w:vertAlign w:val="baseline"/>
                <w:lang w:val="en-US" w:eastAsia="zh-CN"/>
              </w:rPr>
              <w:t>，隘口供水厂取水口</w:t>
            </w:r>
            <w:r>
              <w:rPr>
                <w:rFonts w:hint="default" w:ascii="Times New Roman" w:hAnsi="Times New Roman" w:eastAsia="宋体" w:cs="Times New Roman"/>
                <w:bCs/>
                <w:kern w:val="2"/>
                <w:sz w:val="24"/>
                <w:szCs w:val="24"/>
              </w:rPr>
              <w:t>位于宣汉县</w:t>
            </w:r>
            <w:r>
              <w:rPr>
                <w:rFonts w:hint="default" w:ascii="Times New Roman" w:hAnsi="Times New Roman" w:eastAsia="宋体" w:cs="Times New Roman"/>
                <w:bCs/>
                <w:kern w:val="2"/>
                <w:sz w:val="24"/>
                <w:szCs w:val="24"/>
                <w:lang w:val="en-US" w:eastAsia="zh-CN"/>
              </w:rPr>
              <w:t>马渡关镇普子坪</w:t>
            </w:r>
            <w:r>
              <w:rPr>
                <w:rFonts w:hint="default" w:ascii="Times New Roman" w:hAnsi="Times New Roman" w:eastAsia="宋体" w:cs="Times New Roman"/>
                <w:bCs/>
                <w:kern w:val="2"/>
                <w:sz w:val="24"/>
                <w:szCs w:val="24"/>
              </w:rPr>
              <w:t>水库</w:t>
            </w:r>
            <w:r>
              <w:rPr>
                <w:rFonts w:hint="default" w:ascii="Times New Roman" w:hAnsi="Times New Roman" w:eastAsia="宋体" w:cs="Times New Roman"/>
                <w:bCs/>
                <w:kern w:val="2"/>
                <w:sz w:val="24"/>
                <w:szCs w:val="24"/>
                <w:lang w:eastAsia="zh-CN"/>
              </w:rPr>
              <w:t>，</w:t>
            </w:r>
            <w:r>
              <w:rPr>
                <w:rFonts w:hint="default" w:ascii="Times New Roman" w:hAnsi="Times New Roman" w:eastAsia="宋体" w:cs="Times New Roman"/>
                <w:bCs/>
                <w:sz w:val="24"/>
                <w:szCs w:val="24"/>
              </w:rPr>
              <w:t>地理坐标为东经</w:t>
            </w:r>
            <w:r>
              <w:rPr>
                <w:rFonts w:hint="default" w:ascii="Times New Roman" w:hAnsi="Times New Roman" w:eastAsia="宋体" w:cs="Times New Roman"/>
                <w:bCs/>
                <w:sz w:val="24"/>
                <w:szCs w:val="24"/>
                <w:lang w:val="en-US" w:eastAsia="zh-CN"/>
              </w:rPr>
              <w:t>107°32′28.27″</w:t>
            </w:r>
            <w:r>
              <w:rPr>
                <w:rFonts w:hint="default" w:ascii="Times New Roman" w:hAnsi="Times New Roman" w:eastAsia="宋体" w:cs="Times New Roman"/>
                <w:bCs/>
                <w:sz w:val="24"/>
                <w:szCs w:val="24"/>
              </w:rPr>
              <w:t>，北纬</w:t>
            </w:r>
            <w:r>
              <w:rPr>
                <w:rFonts w:hint="default" w:ascii="Times New Roman" w:hAnsi="Times New Roman" w:eastAsia="宋体" w:cs="Times New Roman"/>
                <w:bCs/>
                <w:sz w:val="24"/>
                <w:szCs w:val="24"/>
                <w:lang w:val="en-US" w:eastAsia="zh-CN"/>
              </w:rPr>
              <w:t>31°32′31.94″</w:t>
            </w:r>
            <w:r>
              <w:rPr>
                <w:rFonts w:hint="default"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采用浮筒泵取水，水库两岸设立牵引支墩，再采用涂塑钢管将原水输送至水厂处理。隘口水厂取水口普子坪水库坝址以上集水面积1.61km</w:t>
            </w:r>
            <w:r>
              <w:rPr>
                <w:rFonts w:hint="eastAsia" w:ascii="Times New Roman" w:hAnsi="Times New Roman" w:eastAsia="宋体" w:cs="Times New Roman"/>
                <w:bCs/>
                <w:sz w:val="24"/>
                <w:szCs w:val="24"/>
                <w:vertAlign w:val="superscript"/>
                <w:lang w:val="en-US" w:eastAsia="zh-CN"/>
              </w:rPr>
              <w:t>2</w:t>
            </w:r>
            <w:r>
              <w:rPr>
                <w:rFonts w:hint="eastAsia" w:ascii="Times New Roman" w:hAnsi="Times New Roman" w:eastAsia="宋体" w:cs="Times New Roman"/>
                <w:bCs/>
                <w:sz w:val="24"/>
                <w:szCs w:val="24"/>
                <w:lang w:val="en-US" w:eastAsia="zh-CN"/>
              </w:rPr>
              <w:t>，取水口处多年平均流量 0.027m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/s，多年平均来水量85.15万m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。95%的保证率下多年平均流量0.011m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/s，地表径流量34.69 万m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w:t>
            </w:r>
            <w:r>
              <w:rPr>
                <w:rFonts w:hint="default" w:ascii="Times New Roman" w:hAnsi="Times New Roman" w:eastAsia="宋体" w:cs="Times New Roman"/>
                <w:bCs/>
                <w:sz w:val="24"/>
                <w:szCs w:val="24"/>
              </w:rPr>
              <w:t>本项目水资源论证取水量</w:t>
            </w:r>
            <w:r>
              <w:rPr>
                <w:rFonts w:hint="eastAsia" w:ascii="Times New Roman" w:hAnsi="Times New Roman" w:eastAsia="宋体" w:cs="Times New Roman"/>
                <w:bCs/>
                <w:sz w:val="24"/>
                <w:szCs w:val="24"/>
                <w:lang w:val="en-US" w:eastAsia="zh-CN"/>
              </w:rPr>
              <w:t>924.1</w:t>
            </w:r>
            <w:r>
              <w:rPr>
                <w:rFonts w:hint="default" w:ascii="Times New Roman" w:hAnsi="Times New Roman" w:eastAsia="宋体" w:cs="Times New Roman"/>
                <w:bCs/>
                <w:sz w:val="24"/>
                <w:szCs w:val="24"/>
              </w:rPr>
              <w:t>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rPr>
              <w:t>/d，年</w:t>
            </w:r>
            <w:r>
              <w:rPr>
                <w:rFonts w:hint="eastAsia" w:ascii="Times New Roman" w:hAnsi="Times New Roman" w:eastAsia="宋体" w:cs="Times New Roman"/>
                <w:bCs/>
                <w:sz w:val="24"/>
                <w:szCs w:val="24"/>
                <w:lang w:val="en-US" w:eastAsia="zh-CN"/>
              </w:rPr>
              <w:t>论证</w:t>
            </w:r>
            <w:r>
              <w:rPr>
                <w:rFonts w:hint="default" w:ascii="Times New Roman" w:hAnsi="Times New Roman" w:eastAsia="宋体" w:cs="Times New Roman"/>
                <w:bCs/>
                <w:sz w:val="24"/>
                <w:szCs w:val="24"/>
              </w:rPr>
              <w:t>取水量</w:t>
            </w:r>
            <w:r>
              <w:rPr>
                <w:rFonts w:hint="eastAsia" w:ascii="Times New Roman" w:hAnsi="Times New Roman" w:eastAsia="宋体" w:cs="Times New Roman"/>
                <w:bCs/>
                <w:sz w:val="24"/>
                <w:szCs w:val="24"/>
                <w:lang w:val="en-US" w:eastAsia="zh-CN"/>
              </w:rPr>
              <w:t>33.7</w:t>
            </w:r>
            <w:r>
              <w:rPr>
                <w:rFonts w:hint="default" w:ascii="Times New Roman" w:hAnsi="Times New Roman" w:eastAsia="宋体" w:cs="Times New Roman"/>
                <w:bCs/>
                <w:sz w:val="24"/>
                <w:szCs w:val="24"/>
              </w:rPr>
              <w:t>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本项目设计取水量为</w:t>
            </w:r>
            <w:r>
              <w:rPr>
                <w:rFonts w:hint="eastAsia" w:ascii="Times New Roman" w:hAnsi="Times New Roman" w:eastAsia="宋体" w:cs="Times New Roman"/>
                <w:bCs/>
                <w:color w:val="auto"/>
                <w:sz w:val="24"/>
                <w:szCs w:val="24"/>
                <w:lang w:val="en-US" w:eastAsia="zh-CN"/>
              </w:rPr>
              <w:t>220</w:t>
            </w:r>
            <w:r>
              <w:rPr>
                <w:rFonts w:hint="default" w:ascii="Times New Roman" w:hAnsi="Times New Roman" w:eastAsia="宋体" w:cs="Times New Roman"/>
                <w:bCs/>
                <w:color w:val="auto"/>
                <w:sz w:val="24"/>
                <w:szCs w:val="24"/>
              </w:rPr>
              <w:t>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年设计取水量80.3</w:t>
            </w:r>
            <w:r>
              <w:rPr>
                <w:rFonts w:hint="default" w:ascii="Times New Roman" w:hAnsi="Times New Roman" w:eastAsia="宋体" w:cs="Times New Roman"/>
                <w:bCs/>
                <w:sz w:val="24"/>
                <w:szCs w:val="24"/>
              </w:rPr>
              <w:t>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b w:val="0"/>
                <w:bCs/>
                <w:sz w:val="24"/>
                <w:szCs w:val="24"/>
                <w:lang w:val="en-US" w:eastAsia="zh-CN"/>
              </w:rPr>
              <w:t>本次评价要求，严格按照将来颁发的</w:t>
            </w:r>
            <w:r>
              <w:rPr>
                <w:rFonts w:hint="default" w:ascii="Times New Roman" w:hAnsi="Times New Roman" w:cs="Times New Roman"/>
                <w:b w:val="0"/>
                <w:bCs/>
                <w:color w:val="auto"/>
                <w:sz w:val="24"/>
                <w:szCs w:val="32"/>
                <w:highlight w:val="none"/>
                <w:vertAlign w:val="baseline"/>
                <w:lang w:val="en-US" w:eastAsia="zh-CN"/>
              </w:rPr>
              <w:t>取水许可证</w:t>
            </w:r>
            <w:r>
              <w:rPr>
                <w:rFonts w:hint="eastAsia" w:ascii="Times New Roman" w:hAnsi="Times New Roman" w:cs="Times New Roman"/>
                <w:b w:val="0"/>
                <w:bCs/>
                <w:color w:val="auto"/>
                <w:sz w:val="24"/>
                <w:szCs w:val="32"/>
                <w:highlight w:val="none"/>
                <w:vertAlign w:val="baseline"/>
                <w:lang w:val="en-US" w:eastAsia="zh-CN"/>
              </w:rPr>
              <w:t>许可的取水量进行取水。</w:t>
            </w:r>
          </w:p>
          <w:p w14:paraId="74A07CE3">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eastAsia="zh-CN"/>
              </w:rPr>
            </w:pPr>
            <w:r>
              <w:rPr>
                <w:rFonts w:hint="default" w:ascii="Times New Roman" w:hAnsi="Times New Roman" w:cs="Times New Roman"/>
                <w:b/>
                <w:bCs/>
                <w:color w:val="auto"/>
                <w:sz w:val="24"/>
                <w:szCs w:val="32"/>
                <w:highlight w:val="none"/>
                <w:vertAlign w:val="baseline"/>
                <w:lang w:eastAsia="zh-CN"/>
              </w:rPr>
              <w:t>2）取水口</w:t>
            </w:r>
            <w:r>
              <w:rPr>
                <w:rFonts w:hint="eastAsia" w:ascii="Times New Roman" w:hAnsi="Times New Roman" w:cs="Times New Roman"/>
                <w:b/>
                <w:bCs/>
                <w:color w:val="auto"/>
                <w:sz w:val="24"/>
                <w:szCs w:val="32"/>
                <w:highlight w:val="none"/>
                <w:vertAlign w:val="baseline"/>
                <w:lang w:val="en-US" w:eastAsia="zh-CN"/>
              </w:rPr>
              <w:t>水质</w:t>
            </w:r>
            <w:r>
              <w:rPr>
                <w:rFonts w:hint="default" w:ascii="Times New Roman" w:hAnsi="Times New Roman" w:cs="Times New Roman"/>
                <w:b/>
                <w:bCs/>
                <w:color w:val="auto"/>
                <w:sz w:val="24"/>
                <w:szCs w:val="32"/>
                <w:highlight w:val="none"/>
                <w:vertAlign w:val="baseline"/>
                <w:lang w:eastAsia="zh-CN"/>
              </w:rPr>
              <w:t>现状</w:t>
            </w:r>
          </w:p>
          <w:p w14:paraId="04309B4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黑体" w:cs="Times New Roman"/>
                <w:color w:val="auto"/>
                <w:szCs w:val="21"/>
                <w:highlight w:val="none"/>
                <w:lang w:val="en-US" w:eastAsia="zh-CN"/>
              </w:rPr>
            </w:pPr>
            <w:r>
              <w:rPr>
                <w:rFonts w:hint="eastAsia" w:ascii="Times New Roman" w:hAnsi="Times New Roman" w:cs="Times New Roman"/>
                <w:b w:val="0"/>
                <w:bCs w:val="0"/>
                <w:color w:val="auto"/>
                <w:sz w:val="24"/>
                <w:szCs w:val="24"/>
                <w:highlight w:val="none"/>
                <w:vertAlign w:val="baseline"/>
                <w:lang w:val="en-US" w:eastAsia="zh-CN"/>
              </w:rPr>
              <w:t>隘口水厂取水水源为普子坪水库</w:t>
            </w:r>
            <w:r>
              <w:rPr>
                <w:rFonts w:hint="default"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val="en-US" w:eastAsia="zh-CN"/>
              </w:rPr>
              <w:t>为了解项目取水口水质现状，</w:t>
            </w:r>
            <w:r>
              <w:rPr>
                <w:rFonts w:hint="default" w:ascii="Times New Roman" w:hAnsi="Times New Roman" w:eastAsia="宋体" w:cs="Times New Roman"/>
                <w:color w:val="auto"/>
                <w:sz w:val="24"/>
                <w:szCs w:val="24"/>
                <w:highlight w:val="none"/>
              </w:rPr>
              <w:t>本次环评委托达州恒福环境监测服务有限公司于202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日对</w:t>
            </w:r>
            <w:r>
              <w:rPr>
                <w:rFonts w:hint="eastAsia" w:ascii="Times New Roman" w:hAnsi="Times New Roman" w:eastAsia="宋体" w:cs="Times New Roman"/>
                <w:color w:val="auto"/>
                <w:sz w:val="24"/>
                <w:szCs w:val="24"/>
                <w:highlight w:val="none"/>
                <w:lang w:val="en-US" w:eastAsia="zh-CN"/>
              </w:rPr>
              <w:t>取水口水质</w:t>
            </w:r>
            <w:r>
              <w:rPr>
                <w:rFonts w:hint="default" w:ascii="Times New Roman" w:hAnsi="Times New Roman" w:eastAsia="宋体" w:cs="Times New Roman"/>
                <w:color w:val="auto"/>
                <w:sz w:val="24"/>
                <w:szCs w:val="24"/>
                <w:highlight w:val="none"/>
              </w:rPr>
              <w:t>进行</w:t>
            </w:r>
            <w:r>
              <w:rPr>
                <w:rFonts w:hint="eastAsia" w:ascii="Times New Roman" w:hAnsi="Times New Roman" w:eastAsia="宋体" w:cs="Times New Roman"/>
                <w:color w:val="auto"/>
                <w:sz w:val="24"/>
                <w:szCs w:val="24"/>
                <w:highlight w:val="none"/>
                <w:lang w:val="en-US" w:eastAsia="zh-CN"/>
              </w:rPr>
              <w:t>了</w:t>
            </w:r>
            <w:r>
              <w:rPr>
                <w:rFonts w:hint="default" w:ascii="Times New Roman" w:hAnsi="Times New Roman" w:eastAsia="宋体" w:cs="Times New Roman"/>
                <w:color w:val="auto"/>
                <w:sz w:val="24"/>
                <w:szCs w:val="24"/>
                <w:highlight w:val="none"/>
              </w:rPr>
              <w:t>监测</w:t>
            </w:r>
            <w:r>
              <w:rPr>
                <w:rFonts w:hint="eastAsia" w:ascii="Times New Roman" w:hAnsi="Times New Roman" w:eastAsia="宋体" w:cs="Times New Roman"/>
                <w:color w:val="auto"/>
                <w:sz w:val="24"/>
                <w:szCs w:val="24"/>
                <w:highlight w:val="none"/>
                <w:lang w:eastAsia="zh-CN"/>
              </w:rPr>
              <w:t>。</w:t>
            </w:r>
          </w:p>
          <w:p w14:paraId="440AE960">
            <w:pPr>
              <w:keepNext w:val="0"/>
              <w:keepLines w:val="0"/>
              <w:pageBreakBefore w:val="0"/>
              <w:widowControl w:val="0"/>
              <w:suppressLineNumbers w:val="0"/>
              <w:kinsoku/>
              <w:wordWrap/>
              <w:overflowPunct/>
              <w:topLinePunct w:val="0"/>
              <w:autoSpaceDE/>
              <w:autoSpaceDN/>
              <w:bidi w:val="0"/>
              <w:adjustRightInd w:val="0"/>
              <w:snapToGrid/>
              <w:spacing w:beforeAutospacing="0" w:afterAutospacing="0" w:line="360" w:lineRule="auto"/>
              <w:ind w:left="0" w:leftChars="0" w:right="0"/>
              <w:jc w:val="center"/>
              <w:textAlignment w:val="baseline"/>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表1-1</w:t>
            </w:r>
            <w:r>
              <w:rPr>
                <w:rFonts w:hint="eastAsia" w:ascii="Times New Roman" w:hAnsi="Times New Roman" w:eastAsia="黑体" w:cs="Times New Roman"/>
                <w:color w:val="auto"/>
                <w:szCs w:val="21"/>
                <w:highlight w:val="none"/>
                <w:lang w:val="en-US" w:eastAsia="zh-CN"/>
              </w:rPr>
              <w:t>4</w:t>
            </w:r>
            <w:r>
              <w:rPr>
                <w:rFonts w:hint="default" w:ascii="Times New Roman" w:hAnsi="Times New Roman" w:eastAsia="黑体" w:cs="Times New Roman"/>
                <w:color w:val="auto"/>
                <w:szCs w:val="21"/>
                <w:highlight w:val="none"/>
                <w:lang w:val="en-US" w:eastAsia="zh-CN"/>
              </w:rPr>
              <w:t xml:space="preserve"> 本项目</w:t>
            </w:r>
            <w:r>
              <w:rPr>
                <w:rFonts w:hint="eastAsia" w:ascii="Times New Roman" w:hAnsi="Times New Roman" w:eastAsia="黑体" w:cs="Times New Roman"/>
                <w:color w:val="auto"/>
                <w:szCs w:val="21"/>
                <w:highlight w:val="none"/>
                <w:lang w:val="en-US" w:eastAsia="zh-CN"/>
              </w:rPr>
              <w:t>隘口水厂取水口水质监测结果表      mg/L</w:t>
            </w:r>
          </w:p>
          <w:tbl>
            <w:tblPr>
              <w:tblStyle w:val="25"/>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910"/>
              <w:gridCol w:w="2955"/>
              <w:gridCol w:w="2203"/>
            </w:tblGrid>
            <w:tr w14:paraId="14DF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restart"/>
                  <w:tcBorders>
                    <w:tl2br w:val="nil"/>
                    <w:tr2bl w:val="nil"/>
                  </w:tcBorders>
                  <w:noWrap w:val="0"/>
                  <w:vAlign w:val="center"/>
                </w:tcPr>
                <w:p w14:paraId="41D39809">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w:t>
                  </w:r>
                </w:p>
                <w:p w14:paraId="6D1ED9CC">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日期</w:t>
                  </w:r>
                </w:p>
              </w:tc>
              <w:tc>
                <w:tcPr>
                  <w:tcW w:w="2910" w:type="dxa"/>
                  <w:vMerge w:val="restart"/>
                  <w:tcBorders>
                    <w:tl2br w:val="nil"/>
                    <w:tr2bl w:val="nil"/>
                  </w:tcBorders>
                  <w:noWrap w:val="0"/>
                  <w:vAlign w:val="center"/>
                </w:tcPr>
                <w:p w14:paraId="12947188">
                  <w:pPr>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检测因子</w:t>
                  </w:r>
                </w:p>
              </w:tc>
              <w:tc>
                <w:tcPr>
                  <w:tcW w:w="2955" w:type="dxa"/>
                  <w:tcBorders>
                    <w:tl2br w:val="nil"/>
                    <w:tr2bl w:val="nil"/>
                  </w:tcBorders>
                  <w:noWrap w:val="0"/>
                  <w:vAlign w:val="center"/>
                </w:tcPr>
                <w:p w14:paraId="1356301A">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检测点位及检测结果</w:t>
                  </w:r>
                </w:p>
              </w:tc>
              <w:tc>
                <w:tcPr>
                  <w:tcW w:w="2203" w:type="dxa"/>
                  <w:vMerge w:val="restart"/>
                  <w:tcBorders>
                    <w:tl2br w:val="nil"/>
                    <w:tr2bl w:val="nil"/>
                  </w:tcBorders>
                  <w:noWrap w:val="0"/>
                  <w:vAlign w:val="center"/>
                </w:tcPr>
                <w:p w14:paraId="506B27A4">
                  <w:pPr>
                    <w:wordWrap w:val="0"/>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cs="Times New Roman"/>
                      <w:b/>
                      <w:bCs/>
                      <w:color w:val="auto"/>
                      <w:sz w:val="21"/>
                      <w:szCs w:val="21"/>
                      <w:highlight w:val="none"/>
                      <w:vertAlign w:val="baseline"/>
                      <w:lang w:val="en-US" w:eastAsia="zh-CN"/>
                    </w:rPr>
                    <w:t>Ⅱ</w:t>
                  </w:r>
                  <w:r>
                    <w:rPr>
                      <w:rFonts w:hint="default" w:ascii="Times New Roman" w:hAnsi="Times New Roman" w:eastAsia="宋体" w:cs="Times New Roman"/>
                      <w:b/>
                      <w:color w:val="auto"/>
                      <w:sz w:val="21"/>
                      <w:szCs w:val="21"/>
                    </w:rPr>
                    <w:t>标</w:t>
                  </w:r>
                  <w:r>
                    <w:rPr>
                      <w:rFonts w:hint="default" w:ascii="Times New Roman" w:hAnsi="Times New Roman" w:eastAsia="宋体" w:cs="Times New Roman"/>
                      <w:b/>
                      <w:sz w:val="21"/>
                      <w:szCs w:val="21"/>
                    </w:rPr>
                    <w:t>准限值（</w:t>
                  </w:r>
                  <w:r>
                    <w:rPr>
                      <w:rFonts w:hint="default" w:ascii="Times New Roman" w:hAnsi="Times New Roman" w:eastAsia="宋体" w:cs="Times New Roman"/>
                      <w:b/>
                      <w:bCs/>
                      <w:sz w:val="21"/>
                      <w:szCs w:val="21"/>
                    </w:rPr>
                    <w:t>GB 3838-2002</w:t>
                  </w:r>
                  <w:r>
                    <w:rPr>
                      <w:rFonts w:hint="default" w:ascii="Times New Roman" w:hAnsi="Times New Roman" w:eastAsia="宋体" w:cs="Times New Roman"/>
                      <w:b/>
                      <w:sz w:val="21"/>
                      <w:szCs w:val="21"/>
                    </w:rPr>
                    <w:t>）</w:t>
                  </w:r>
                </w:p>
              </w:tc>
            </w:tr>
            <w:tr w14:paraId="72F6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1453AB70">
                  <w:pPr>
                    <w:ind w:left="-105" w:leftChars="-50" w:right="-105" w:rightChars="-50"/>
                    <w:jc w:val="center"/>
                    <w:rPr>
                      <w:rFonts w:hint="default" w:ascii="Times New Roman" w:hAnsi="Times New Roman" w:eastAsia="宋体" w:cs="Times New Roman"/>
                      <w:b/>
                      <w:sz w:val="21"/>
                      <w:szCs w:val="21"/>
                    </w:rPr>
                  </w:pPr>
                </w:p>
              </w:tc>
              <w:tc>
                <w:tcPr>
                  <w:tcW w:w="2910" w:type="dxa"/>
                  <w:vMerge w:val="continue"/>
                  <w:tcBorders>
                    <w:tl2br w:val="nil"/>
                    <w:tr2bl w:val="nil"/>
                  </w:tcBorders>
                  <w:noWrap w:val="0"/>
                  <w:vAlign w:val="center"/>
                </w:tcPr>
                <w:p w14:paraId="7CCCAE26">
                  <w:pPr>
                    <w:ind w:left="-105" w:leftChars="-50" w:right="-105" w:rightChars="-50"/>
                    <w:jc w:val="center"/>
                    <w:rPr>
                      <w:rFonts w:hint="default" w:ascii="Times New Roman" w:hAnsi="Times New Roman" w:eastAsia="宋体" w:cs="Times New Roman"/>
                      <w:b/>
                      <w:sz w:val="21"/>
                      <w:szCs w:val="21"/>
                    </w:rPr>
                  </w:pPr>
                </w:p>
              </w:tc>
              <w:tc>
                <w:tcPr>
                  <w:tcW w:w="2955" w:type="dxa"/>
                  <w:tcBorders>
                    <w:tl2br w:val="nil"/>
                    <w:tr2bl w:val="nil"/>
                  </w:tcBorders>
                  <w:noWrap w:val="0"/>
                  <w:vAlign w:val="center"/>
                </w:tcPr>
                <w:p w14:paraId="4EB43B16">
                  <w:pPr>
                    <w:ind w:left="-105" w:leftChars="-50" w:right="-105" w:rightChars="-50"/>
                    <w:jc w:val="center"/>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val="en-US" w:eastAsia="zh-CN"/>
                    </w:rPr>
                    <w:t>隘口</w:t>
                  </w:r>
                  <w:r>
                    <w:rPr>
                      <w:rFonts w:hint="default" w:ascii="Times New Roman" w:hAnsi="Times New Roman" w:eastAsia="宋体" w:cs="Times New Roman"/>
                      <w:b/>
                      <w:sz w:val="21"/>
                      <w:szCs w:val="21"/>
                    </w:rPr>
                    <w:t>水厂</w:t>
                  </w:r>
                  <w:r>
                    <w:rPr>
                      <w:rFonts w:hint="eastAsia" w:ascii="Times New Roman" w:hAnsi="Times New Roman" w:eastAsia="宋体" w:cs="Times New Roman"/>
                      <w:b/>
                      <w:sz w:val="21"/>
                      <w:szCs w:val="21"/>
                      <w:lang w:val="en-US" w:eastAsia="zh-CN"/>
                    </w:rPr>
                    <w:t>普子</w:t>
                  </w:r>
                  <w:r>
                    <w:rPr>
                      <w:rFonts w:hint="default" w:ascii="Times New Roman" w:hAnsi="Times New Roman" w:cs="Times New Roman"/>
                      <w:b/>
                      <w:sz w:val="21"/>
                      <w:szCs w:val="21"/>
                    </w:rPr>
                    <w:t>坪水库</w:t>
                  </w:r>
                  <w:r>
                    <w:rPr>
                      <w:rFonts w:hint="default" w:ascii="Times New Roman" w:hAnsi="Times New Roman" w:eastAsia="宋体" w:cs="Times New Roman"/>
                      <w:b/>
                      <w:sz w:val="21"/>
                      <w:szCs w:val="21"/>
                    </w:rPr>
                    <w:t>取水</w:t>
                  </w:r>
                  <w:r>
                    <w:rPr>
                      <w:rFonts w:hint="eastAsia" w:ascii="Times New Roman" w:hAnsi="Times New Roman" w:eastAsia="宋体" w:cs="Times New Roman"/>
                      <w:b/>
                      <w:sz w:val="21"/>
                      <w:szCs w:val="21"/>
                      <w:lang w:val="en-US" w:eastAsia="zh-CN"/>
                    </w:rPr>
                    <w:t>处</w:t>
                  </w:r>
                </w:p>
              </w:tc>
              <w:tc>
                <w:tcPr>
                  <w:tcW w:w="2203" w:type="dxa"/>
                  <w:vMerge w:val="continue"/>
                  <w:tcBorders>
                    <w:tl2br w:val="nil"/>
                    <w:tr2bl w:val="nil"/>
                  </w:tcBorders>
                  <w:noWrap w:val="0"/>
                  <w:vAlign w:val="center"/>
                </w:tcPr>
                <w:p w14:paraId="39A32ADB">
                  <w:pPr>
                    <w:ind w:left="-105" w:leftChars="-50" w:right="-105" w:rightChars="-50"/>
                    <w:jc w:val="center"/>
                    <w:rPr>
                      <w:rFonts w:hint="default" w:ascii="Times New Roman" w:hAnsi="Times New Roman" w:eastAsia="宋体" w:cs="Times New Roman"/>
                      <w:b/>
                      <w:sz w:val="21"/>
                      <w:szCs w:val="21"/>
                    </w:rPr>
                  </w:pPr>
                </w:p>
              </w:tc>
            </w:tr>
            <w:tr w14:paraId="50B9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restart"/>
                  <w:tcBorders>
                    <w:tl2br w:val="nil"/>
                    <w:tr2bl w:val="nil"/>
                  </w:tcBorders>
                  <w:noWrap w:val="0"/>
                  <w:vAlign w:val="center"/>
                </w:tcPr>
                <w:p w14:paraId="5EEAE06C">
                  <w:pPr>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2025.</w:t>
                  </w:r>
                </w:p>
                <w:p w14:paraId="78A26D86">
                  <w:pPr>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30</w:t>
                  </w:r>
                </w:p>
              </w:tc>
              <w:tc>
                <w:tcPr>
                  <w:tcW w:w="2910" w:type="dxa"/>
                  <w:tcBorders>
                    <w:tl2br w:val="nil"/>
                    <w:tr2bl w:val="nil"/>
                  </w:tcBorders>
                  <w:noWrap w:val="0"/>
                  <w:vAlign w:val="center"/>
                </w:tcPr>
                <w:p w14:paraId="69158526">
                  <w:pPr>
                    <w:ind w:left="-105" w:leftChars="-50" w:right="-105" w:rightChars="-5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水温（℃）</w:t>
                  </w:r>
                </w:p>
              </w:tc>
              <w:tc>
                <w:tcPr>
                  <w:tcW w:w="2955" w:type="dxa"/>
                  <w:tcBorders>
                    <w:tl2br w:val="nil"/>
                    <w:tr2bl w:val="nil"/>
                  </w:tcBorders>
                  <w:shd w:val="clear" w:color="auto" w:fill="auto"/>
                  <w:noWrap w:val="0"/>
                  <w:vAlign w:val="center"/>
                </w:tcPr>
                <w:p w14:paraId="21E4422F">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26.4</w:t>
                  </w:r>
                </w:p>
              </w:tc>
              <w:tc>
                <w:tcPr>
                  <w:tcW w:w="2203" w:type="dxa"/>
                  <w:tcBorders>
                    <w:tl2br w:val="nil"/>
                    <w:tr2bl w:val="nil"/>
                  </w:tcBorders>
                  <w:shd w:val="clear" w:color="auto" w:fill="auto"/>
                  <w:noWrap w:val="0"/>
                  <w:vAlign w:val="center"/>
                </w:tcPr>
                <w:p w14:paraId="577D0989">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r>
            <w:tr w14:paraId="5390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68BAFDE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noWrap w:val="0"/>
                  <w:vAlign w:val="center"/>
                </w:tcPr>
                <w:p w14:paraId="1C36F6FA">
                  <w:pPr>
                    <w:pStyle w:val="38"/>
                    <w:snapToGrid w:val="0"/>
                    <w:spacing w:before="0" w:after="0"/>
                    <w:ind w:left="-105" w:leftChars="-50" w:right="-105" w:rightChars="-50"/>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pH（无量纲）</w:t>
                  </w:r>
                </w:p>
              </w:tc>
              <w:tc>
                <w:tcPr>
                  <w:tcW w:w="2955" w:type="dxa"/>
                  <w:tcBorders>
                    <w:tl2br w:val="nil"/>
                    <w:tr2bl w:val="nil"/>
                  </w:tcBorders>
                  <w:shd w:val="clear" w:color="auto" w:fill="auto"/>
                  <w:noWrap w:val="0"/>
                  <w:vAlign w:val="center"/>
                </w:tcPr>
                <w:p w14:paraId="14183B8C">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7.3</w:t>
                  </w:r>
                </w:p>
              </w:tc>
              <w:tc>
                <w:tcPr>
                  <w:tcW w:w="2203" w:type="dxa"/>
                  <w:tcBorders>
                    <w:tl2br w:val="nil"/>
                    <w:tr2bl w:val="nil"/>
                  </w:tcBorders>
                  <w:shd w:val="clear" w:color="auto" w:fill="auto"/>
                  <w:noWrap w:val="0"/>
                  <w:vAlign w:val="center"/>
                </w:tcPr>
                <w:p w14:paraId="281E9C6A">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6~9</w:t>
                  </w:r>
                </w:p>
              </w:tc>
            </w:tr>
            <w:tr w14:paraId="3EAB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64F6E503">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noWrap w:val="0"/>
                  <w:vAlign w:val="center"/>
                </w:tcPr>
                <w:p w14:paraId="2BFD8C5B">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溶解氧</w:t>
                  </w:r>
                </w:p>
              </w:tc>
              <w:tc>
                <w:tcPr>
                  <w:tcW w:w="2955" w:type="dxa"/>
                  <w:tcBorders>
                    <w:tl2br w:val="nil"/>
                    <w:tr2bl w:val="nil"/>
                  </w:tcBorders>
                  <w:shd w:val="clear" w:color="auto" w:fill="auto"/>
                  <w:noWrap w:val="0"/>
                  <w:vAlign w:val="center"/>
                </w:tcPr>
                <w:p w14:paraId="6008F39E">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6.3</w:t>
                  </w:r>
                </w:p>
              </w:tc>
              <w:tc>
                <w:tcPr>
                  <w:tcW w:w="2203" w:type="dxa"/>
                  <w:tcBorders>
                    <w:tl2br w:val="nil"/>
                    <w:tr2bl w:val="nil"/>
                  </w:tcBorders>
                  <w:shd w:val="clear" w:color="auto" w:fill="auto"/>
                  <w:noWrap w:val="0"/>
                  <w:vAlign w:val="center"/>
                </w:tcPr>
                <w:p w14:paraId="07C90F95">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6</w:t>
                  </w:r>
                </w:p>
              </w:tc>
            </w:tr>
            <w:tr w14:paraId="55D5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632490F5">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noWrap w:val="0"/>
                  <w:vAlign w:val="center"/>
                </w:tcPr>
                <w:p w14:paraId="208D6BC1">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高锰酸盐指数</w:t>
                  </w:r>
                </w:p>
              </w:tc>
              <w:tc>
                <w:tcPr>
                  <w:tcW w:w="2955" w:type="dxa"/>
                  <w:tcBorders>
                    <w:tl2br w:val="nil"/>
                    <w:tr2bl w:val="nil"/>
                  </w:tcBorders>
                  <w:shd w:val="clear" w:color="auto" w:fill="auto"/>
                  <w:noWrap w:val="0"/>
                  <w:vAlign w:val="center"/>
                </w:tcPr>
                <w:p w14:paraId="350428D1">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3.8</w:t>
                  </w:r>
                </w:p>
              </w:tc>
              <w:tc>
                <w:tcPr>
                  <w:tcW w:w="2203" w:type="dxa"/>
                  <w:tcBorders>
                    <w:tl2br w:val="nil"/>
                    <w:tr2bl w:val="nil"/>
                  </w:tcBorders>
                  <w:shd w:val="clear" w:color="auto" w:fill="auto"/>
                  <w:noWrap w:val="0"/>
                  <w:vAlign w:val="center"/>
                </w:tcPr>
                <w:p w14:paraId="12460027">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4</w:t>
                  </w:r>
                </w:p>
              </w:tc>
            </w:tr>
            <w:tr w14:paraId="719E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45655F51">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noWrap w:val="0"/>
                  <w:vAlign w:val="center"/>
                </w:tcPr>
                <w:p w14:paraId="408D55C3">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2955" w:type="dxa"/>
                  <w:tcBorders>
                    <w:tl2br w:val="nil"/>
                    <w:tr2bl w:val="nil"/>
                  </w:tcBorders>
                  <w:shd w:val="clear" w:color="auto" w:fill="auto"/>
                  <w:noWrap w:val="0"/>
                  <w:vAlign w:val="center"/>
                </w:tcPr>
                <w:p w14:paraId="59E345CA">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13</w:t>
                  </w:r>
                </w:p>
              </w:tc>
              <w:tc>
                <w:tcPr>
                  <w:tcW w:w="2203" w:type="dxa"/>
                  <w:tcBorders>
                    <w:tl2br w:val="nil"/>
                    <w:tr2bl w:val="nil"/>
                  </w:tcBorders>
                  <w:shd w:val="clear" w:color="auto" w:fill="auto"/>
                  <w:noWrap w:val="0"/>
                  <w:vAlign w:val="center"/>
                </w:tcPr>
                <w:p w14:paraId="02A3DF1D">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15</w:t>
                  </w:r>
                </w:p>
              </w:tc>
            </w:tr>
            <w:tr w14:paraId="7BE1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noWrap w:val="0"/>
                  <w:vAlign w:val="center"/>
                </w:tcPr>
                <w:p w14:paraId="74D2B8E5">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noWrap w:val="0"/>
                  <w:vAlign w:val="center"/>
                </w:tcPr>
                <w:p w14:paraId="5288C278">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五日生化需氧量</w:t>
                  </w:r>
                </w:p>
              </w:tc>
              <w:tc>
                <w:tcPr>
                  <w:tcW w:w="2955" w:type="dxa"/>
                  <w:tcBorders>
                    <w:tl2br w:val="nil"/>
                    <w:tr2bl w:val="nil"/>
                  </w:tcBorders>
                  <w:shd w:val="clear" w:color="auto" w:fill="auto"/>
                  <w:noWrap w:val="0"/>
                  <w:vAlign w:val="center"/>
                </w:tcPr>
                <w:p w14:paraId="65D5DB93">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2.8</w:t>
                  </w:r>
                </w:p>
              </w:tc>
              <w:tc>
                <w:tcPr>
                  <w:tcW w:w="2203" w:type="dxa"/>
                  <w:tcBorders>
                    <w:tl2br w:val="nil"/>
                    <w:tr2bl w:val="nil"/>
                  </w:tcBorders>
                  <w:shd w:val="clear" w:color="auto" w:fill="auto"/>
                  <w:noWrap w:val="0"/>
                  <w:vAlign w:val="center"/>
                </w:tcPr>
                <w:p w14:paraId="6286119D">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w:t>
                  </w:r>
                </w:p>
              </w:tc>
            </w:tr>
            <w:tr w14:paraId="167B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732288BB">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267A42DF">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氨氮</w:t>
                  </w:r>
                </w:p>
              </w:tc>
              <w:tc>
                <w:tcPr>
                  <w:tcW w:w="2955" w:type="dxa"/>
                  <w:tcBorders>
                    <w:tl2br w:val="nil"/>
                    <w:tr2bl w:val="nil"/>
                  </w:tcBorders>
                  <w:shd w:val="clear" w:color="auto" w:fill="auto"/>
                  <w:vAlign w:val="center"/>
                </w:tcPr>
                <w:p w14:paraId="1071CC19">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0.106</w:t>
                  </w:r>
                </w:p>
              </w:tc>
              <w:tc>
                <w:tcPr>
                  <w:tcW w:w="2203" w:type="dxa"/>
                  <w:tcBorders>
                    <w:tl2br w:val="nil"/>
                    <w:tr2bl w:val="nil"/>
                  </w:tcBorders>
                  <w:shd w:val="clear" w:color="auto" w:fill="auto"/>
                  <w:vAlign w:val="center"/>
                </w:tcPr>
                <w:p w14:paraId="1B86FE62">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w:t>
                  </w:r>
                </w:p>
              </w:tc>
            </w:tr>
            <w:tr w14:paraId="2E45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3A3A4DAC">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07FF1C25">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总磷</w:t>
                  </w:r>
                </w:p>
              </w:tc>
              <w:tc>
                <w:tcPr>
                  <w:tcW w:w="2955" w:type="dxa"/>
                  <w:tcBorders>
                    <w:tl2br w:val="nil"/>
                    <w:tr2bl w:val="nil"/>
                  </w:tcBorders>
                  <w:shd w:val="clear" w:color="auto" w:fill="auto"/>
                  <w:vAlign w:val="center"/>
                </w:tcPr>
                <w:p w14:paraId="67FD16C6">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0.02</w:t>
                  </w:r>
                </w:p>
              </w:tc>
              <w:tc>
                <w:tcPr>
                  <w:tcW w:w="2203" w:type="dxa"/>
                  <w:tcBorders>
                    <w:tl2br w:val="nil"/>
                    <w:tr2bl w:val="nil"/>
                  </w:tcBorders>
                  <w:shd w:val="clear" w:color="auto" w:fill="auto"/>
                  <w:vAlign w:val="center"/>
                </w:tcPr>
                <w:p w14:paraId="6A5DE0E4">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（湖、库0.0</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5）</w:t>
                  </w:r>
                </w:p>
              </w:tc>
            </w:tr>
            <w:tr w14:paraId="6D73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18B36C23">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39FC86F4">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2955" w:type="dxa"/>
                  <w:tcBorders>
                    <w:tl2br w:val="nil"/>
                    <w:tr2bl w:val="nil"/>
                  </w:tcBorders>
                  <w:shd w:val="clear" w:color="auto" w:fill="auto"/>
                  <w:vAlign w:val="center"/>
                </w:tcPr>
                <w:p w14:paraId="7217E9E3">
                  <w:pPr>
                    <w:ind w:left="-105" w:leftChars="-50" w:right="-105" w:rightChars="-50"/>
                    <w:jc w:val="center"/>
                    <w:rPr>
                      <w:rFonts w:hint="default" w:ascii="Times New Roman" w:hAnsi="Times New Roman" w:cs="Times New Roman" w:eastAsiaTheme="minorEastAsia"/>
                      <w:color w:val="FF0000"/>
                      <w:kern w:val="2"/>
                      <w:sz w:val="21"/>
                      <w:szCs w:val="21"/>
                      <w:lang w:val="en-US" w:eastAsia="zh-CN" w:bidi="ar-SA"/>
                    </w:rPr>
                  </w:pPr>
                  <w:r>
                    <w:rPr>
                      <w:rFonts w:hint="default" w:ascii="Times New Roman" w:hAnsi="Times New Roman" w:cs="Times New Roman"/>
                      <w:szCs w:val="21"/>
                    </w:rPr>
                    <w:t>0.47</w:t>
                  </w:r>
                </w:p>
              </w:tc>
              <w:tc>
                <w:tcPr>
                  <w:tcW w:w="2203" w:type="dxa"/>
                  <w:tcBorders>
                    <w:tl2br w:val="nil"/>
                    <w:tr2bl w:val="nil"/>
                  </w:tcBorders>
                  <w:shd w:val="clear" w:color="auto" w:fill="auto"/>
                  <w:vAlign w:val="center"/>
                </w:tcPr>
                <w:p w14:paraId="05B7F90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rPr>
                    <w:t>（湖、库）</w:t>
                  </w:r>
                </w:p>
              </w:tc>
            </w:tr>
            <w:tr w14:paraId="29C49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3FC9F03A">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260B7419">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t>铜</w:t>
                  </w:r>
                </w:p>
              </w:tc>
              <w:tc>
                <w:tcPr>
                  <w:tcW w:w="2955" w:type="dxa"/>
                  <w:tcBorders>
                    <w:tl2br w:val="nil"/>
                    <w:tr2bl w:val="nil"/>
                  </w:tcBorders>
                  <w:shd w:val="clear" w:color="auto" w:fill="auto"/>
                  <w:vAlign w:val="center"/>
                </w:tcPr>
                <w:p w14:paraId="79629E58">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0.006</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013D5A13">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43A1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17851540">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290ECACD">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t>锌</w:t>
                  </w:r>
                </w:p>
              </w:tc>
              <w:tc>
                <w:tcPr>
                  <w:tcW w:w="2955" w:type="dxa"/>
                  <w:tcBorders>
                    <w:tl2br w:val="nil"/>
                    <w:tr2bl w:val="nil"/>
                  </w:tcBorders>
                  <w:shd w:val="clear" w:color="auto" w:fill="auto"/>
                  <w:vAlign w:val="center"/>
                </w:tcPr>
                <w:p w14:paraId="4F9C853E">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0.004</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4520B385">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5387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59306454">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403B18DA">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铁</w:t>
                  </w:r>
                </w:p>
              </w:tc>
              <w:tc>
                <w:tcPr>
                  <w:tcW w:w="2955" w:type="dxa"/>
                  <w:tcBorders>
                    <w:tl2br w:val="nil"/>
                    <w:tr2bl w:val="nil"/>
                  </w:tcBorders>
                  <w:shd w:val="clear" w:color="auto" w:fill="auto"/>
                  <w:vAlign w:val="center"/>
                </w:tcPr>
                <w:p w14:paraId="7334B503">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0.02</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5598F56C">
                  <w:pPr>
                    <w:jc w:val="center"/>
                    <w:rPr>
                      <w:rFonts w:hint="default" w:ascii="Times New Roman" w:hAnsi="Times New Roman" w:eastAsia="宋体" w:cs="Times New Roman"/>
                      <w:strike/>
                      <w:kern w:val="2"/>
                      <w:sz w:val="21"/>
                      <w:szCs w:val="21"/>
                      <w:lang w:val="en-US" w:eastAsia="zh-CN" w:bidi="ar-SA"/>
                    </w:rPr>
                  </w:pPr>
                  <w:r>
                    <w:rPr>
                      <w:rFonts w:hint="default" w:ascii="Times New Roman" w:hAnsi="Times New Roman" w:eastAsia="宋体" w:cs="Times New Roman"/>
                      <w:sz w:val="21"/>
                      <w:szCs w:val="21"/>
                    </w:rPr>
                    <w:t>≤0.3</w:t>
                  </w:r>
                </w:p>
              </w:tc>
            </w:tr>
            <w:tr w14:paraId="65BB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7B7224E1">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22FD0EDD">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锰</w:t>
                  </w:r>
                </w:p>
              </w:tc>
              <w:tc>
                <w:tcPr>
                  <w:tcW w:w="2955" w:type="dxa"/>
                  <w:tcBorders>
                    <w:tl2br w:val="nil"/>
                    <w:tr2bl w:val="nil"/>
                  </w:tcBorders>
                  <w:shd w:val="clear" w:color="auto" w:fill="auto"/>
                  <w:vAlign w:val="center"/>
                </w:tcPr>
                <w:p w14:paraId="0C1665B1">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0.004</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73E4F10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≤0.1</w:t>
                  </w:r>
                </w:p>
              </w:tc>
            </w:tr>
            <w:tr w14:paraId="35D0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64847E4E">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1F59B8FC">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挥发酚</w:t>
                  </w:r>
                </w:p>
              </w:tc>
              <w:tc>
                <w:tcPr>
                  <w:tcW w:w="2955" w:type="dxa"/>
                  <w:tcBorders>
                    <w:tl2br w:val="nil"/>
                    <w:tr2bl w:val="nil"/>
                  </w:tcBorders>
                  <w:shd w:val="clear" w:color="auto" w:fill="auto"/>
                  <w:vAlign w:val="center"/>
                </w:tcPr>
                <w:p w14:paraId="65CAE231">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0.0003</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7E47AD55">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w:t>
                  </w:r>
                  <w:r>
                    <w:rPr>
                      <w:rFonts w:hint="eastAsia" w:ascii="Times New Roman" w:hAnsi="Times New Roman" w:eastAsia="宋体" w:cs="Times New Roman"/>
                      <w:sz w:val="21"/>
                      <w:szCs w:val="21"/>
                      <w:lang w:val="en-US" w:eastAsia="zh-CN"/>
                    </w:rPr>
                    <w:t>2</w:t>
                  </w:r>
                </w:p>
              </w:tc>
            </w:tr>
            <w:tr w14:paraId="41F8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2B777B4A">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2E84D7E2">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rPr>
                    <w:t>石油类</w:t>
                  </w:r>
                </w:p>
              </w:tc>
              <w:tc>
                <w:tcPr>
                  <w:tcW w:w="2955" w:type="dxa"/>
                  <w:tcBorders>
                    <w:tl2br w:val="nil"/>
                    <w:tr2bl w:val="nil"/>
                  </w:tcBorders>
                  <w:shd w:val="clear" w:color="auto" w:fill="auto"/>
                  <w:vAlign w:val="center"/>
                </w:tcPr>
                <w:p w14:paraId="593AAEFD">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0.01</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16C5A8F5">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6DE3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238861EF">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7902BB36">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硒</w:t>
                  </w:r>
                </w:p>
              </w:tc>
              <w:tc>
                <w:tcPr>
                  <w:tcW w:w="2955" w:type="dxa"/>
                  <w:tcBorders>
                    <w:tl2br w:val="nil"/>
                    <w:tr2bl w:val="nil"/>
                  </w:tcBorders>
                  <w:shd w:val="clear" w:color="auto" w:fill="auto"/>
                  <w:vAlign w:val="center"/>
                </w:tcPr>
                <w:p w14:paraId="2D394F2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0.0004</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7FADC358">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≤0.01</w:t>
                  </w:r>
                </w:p>
              </w:tc>
            </w:tr>
            <w:tr w14:paraId="57F1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0B2D8847">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79BBA6A3">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砷</w:t>
                  </w:r>
                </w:p>
              </w:tc>
              <w:tc>
                <w:tcPr>
                  <w:tcW w:w="2955" w:type="dxa"/>
                  <w:tcBorders>
                    <w:tl2br w:val="nil"/>
                    <w:tr2bl w:val="nil"/>
                  </w:tcBorders>
                  <w:shd w:val="clear" w:color="auto" w:fill="auto"/>
                  <w:vAlign w:val="center"/>
                </w:tcPr>
                <w:p w14:paraId="7136E8FE">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0.0003</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3FE0DAA2">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66E9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5D39991E">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6FF83454">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汞</w:t>
                  </w:r>
                </w:p>
              </w:tc>
              <w:tc>
                <w:tcPr>
                  <w:tcW w:w="2955" w:type="dxa"/>
                  <w:tcBorders>
                    <w:tl2br w:val="nil"/>
                    <w:tr2bl w:val="nil"/>
                  </w:tcBorders>
                  <w:shd w:val="clear" w:color="auto" w:fill="auto"/>
                  <w:vAlign w:val="center"/>
                </w:tcPr>
                <w:p w14:paraId="26409D8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0.0000015</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42802838">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≤0.000</w:t>
                  </w:r>
                  <w:r>
                    <w:rPr>
                      <w:rFonts w:hint="eastAsia" w:ascii="Times New Roman" w:hAnsi="Times New Roman" w:eastAsia="宋体" w:cs="Times New Roman"/>
                      <w:sz w:val="21"/>
                      <w:szCs w:val="21"/>
                      <w:lang w:val="en-US" w:eastAsia="zh-CN"/>
                    </w:rPr>
                    <w:t>05</w:t>
                  </w:r>
                </w:p>
              </w:tc>
            </w:tr>
            <w:tr w14:paraId="1417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5F0754D3">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325539AC">
                  <w:pPr>
                    <w:pStyle w:val="38"/>
                    <w:snapToGrid w:val="0"/>
                    <w:spacing w:before="0" w:after="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氟化物</w:t>
                  </w:r>
                </w:p>
              </w:tc>
              <w:tc>
                <w:tcPr>
                  <w:tcW w:w="2955" w:type="dxa"/>
                  <w:tcBorders>
                    <w:tl2br w:val="nil"/>
                    <w:tr2bl w:val="nil"/>
                  </w:tcBorders>
                  <w:shd w:val="clear" w:color="auto" w:fill="auto"/>
                  <w:vAlign w:val="center"/>
                </w:tcPr>
                <w:p w14:paraId="4113AF80">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0.778</w:t>
                  </w:r>
                </w:p>
              </w:tc>
              <w:tc>
                <w:tcPr>
                  <w:tcW w:w="2203" w:type="dxa"/>
                  <w:tcBorders>
                    <w:tl2br w:val="nil"/>
                    <w:tr2bl w:val="nil"/>
                  </w:tcBorders>
                  <w:shd w:val="clear" w:color="auto" w:fill="auto"/>
                  <w:vAlign w:val="center"/>
                </w:tcPr>
                <w:p w14:paraId="531CE03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487C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104B802E">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6ABC0A44">
                  <w:pPr>
                    <w:pStyle w:val="38"/>
                    <w:snapToGrid w:val="0"/>
                    <w:spacing w:before="0" w:after="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硫酸盐</w:t>
                  </w:r>
                </w:p>
              </w:tc>
              <w:tc>
                <w:tcPr>
                  <w:tcW w:w="2955" w:type="dxa"/>
                  <w:tcBorders>
                    <w:tl2br w:val="nil"/>
                    <w:tr2bl w:val="nil"/>
                  </w:tcBorders>
                  <w:shd w:val="clear" w:color="auto" w:fill="auto"/>
                  <w:vAlign w:val="center"/>
                </w:tcPr>
                <w:p w14:paraId="5F33C860">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40.2</w:t>
                  </w:r>
                </w:p>
              </w:tc>
              <w:tc>
                <w:tcPr>
                  <w:tcW w:w="2203" w:type="dxa"/>
                  <w:tcBorders>
                    <w:tl2br w:val="nil"/>
                    <w:tr2bl w:val="nil"/>
                  </w:tcBorders>
                  <w:shd w:val="clear" w:color="auto" w:fill="auto"/>
                  <w:vAlign w:val="center"/>
                </w:tcPr>
                <w:p w14:paraId="05F07440">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≤250</w:t>
                  </w:r>
                </w:p>
              </w:tc>
            </w:tr>
            <w:tr w14:paraId="555D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5292495C">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0EB2E7A8">
                  <w:pPr>
                    <w:pStyle w:val="38"/>
                    <w:snapToGrid w:val="0"/>
                    <w:spacing w:before="0" w:after="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sz w:val="21"/>
                      <w:szCs w:val="21"/>
                    </w:rPr>
                    <w:t>氯化物</w:t>
                  </w:r>
                </w:p>
              </w:tc>
              <w:tc>
                <w:tcPr>
                  <w:tcW w:w="2955" w:type="dxa"/>
                  <w:tcBorders>
                    <w:tl2br w:val="nil"/>
                    <w:tr2bl w:val="nil"/>
                  </w:tcBorders>
                  <w:shd w:val="clear" w:color="auto" w:fill="auto"/>
                  <w:vAlign w:val="center"/>
                </w:tcPr>
                <w:p w14:paraId="5D3E65D4">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6.37</w:t>
                  </w:r>
                </w:p>
              </w:tc>
              <w:tc>
                <w:tcPr>
                  <w:tcW w:w="2203" w:type="dxa"/>
                  <w:tcBorders>
                    <w:tl2br w:val="nil"/>
                    <w:tr2bl w:val="nil"/>
                  </w:tcBorders>
                  <w:shd w:val="clear" w:color="auto" w:fill="auto"/>
                  <w:vAlign w:val="center"/>
                </w:tcPr>
                <w:p w14:paraId="2A732F7A">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≤250</w:t>
                  </w:r>
                </w:p>
              </w:tc>
            </w:tr>
            <w:tr w14:paraId="02BA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1FDAF4C7">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3D82E999">
                  <w:pPr>
                    <w:pStyle w:val="38"/>
                    <w:snapToGrid w:val="0"/>
                    <w:spacing w:before="0" w:after="0"/>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bidi="ar"/>
                    </w:rPr>
                    <w:t>硝酸盐（以N计）</w:t>
                  </w:r>
                </w:p>
              </w:tc>
              <w:tc>
                <w:tcPr>
                  <w:tcW w:w="2955" w:type="dxa"/>
                  <w:tcBorders>
                    <w:tl2br w:val="nil"/>
                    <w:tr2bl w:val="nil"/>
                  </w:tcBorders>
                  <w:shd w:val="clear" w:color="auto" w:fill="auto"/>
                  <w:vAlign w:val="center"/>
                </w:tcPr>
                <w:p w14:paraId="4EAD4728">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0.113</w:t>
                  </w:r>
                </w:p>
              </w:tc>
              <w:tc>
                <w:tcPr>
                  <w:tcW w:w="2203" w:type="dxa"/>
                  <w:tcBorders>
                    <w:tl2br w:val="nil"/>
                    <w:tr2bl w:val="nil"/>
                  </w:tcBorders>
                  <w:shd w:val="clear" w:color="auto" w:fill="auto"/>
                  <w:vAlign w:val="center"/>
                </w:tcPr>
                <w:p w14:paraId="5F25A4A3">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451C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1A61EA08">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23C27210">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六价铬</w:t>
                  </w:r>
                </w:p>
              </w:tc>
              <w:tc>
                <w:tcPr>
                  <w:tcW w:w="2955" w:type="dxa"/>
                  <w:tcBorders>
                    <w:tl2br w:val="nil"/>
                    <w:tr2bl w:val="nil"/>
                  </w:tcBorders>
                  <w:shd w:val="clear" w:color="auto" w:fill="auto"/>
                  <w:vAlign w:val="center"/>
                </w:tcPr>
                <w:p w14:paraId="64CC296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0.004</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26782ACC">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4555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6FE3DCC5">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777A99A4">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氰化物</w:t>
                  </w:r>
                </w:p>
              </w:tc>
              <w:tc>
                <w:tcPr>
                  <w:tcW w:w="2955" w:type="dxa"/>
                  <w:tcBorders>
                    <w:tl2br w:val="nil"/>
                    <w:tr2bl w:val="nil"/>
                  </w:tcBorders>
                  <w:shd w:val="clear" w:color="auto" w:fill="auto"/>
                  <w:vAlign w:val="center"/>
                </w:tcPr>
                <w:p w14:paraId="290FB576">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0.001</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4EE6B2A7">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05</w:t>
                  </w:r>
                </w:p>
              </w:tc>
            </w:tr>
            <w:tr w14:paraId="47FD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6D5EEFC7">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1F83DD54">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阴离子表</w:t>
                  </w:r>
                </w:p>
                <w:p w14:paraId="38A01698">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面活性剂</w:t>
                  </w:r>
                </w:p>
              </w:tc>
              <w:tc>
                <w:tcPr>
                  <w:tcW w:w="2955" w:type="dxa"/>
                  <w:tcBorders>
                    <w:tl2br w:val="nil"/>
                    <w:tr2bl w:val="nil"/>
                  </w:tcBorders>
                  <w:shd w:val="clear" w:color="auto" w:fill="auto"/>
                  <w:vAlign w:val="center"/>
                </w:tcPr>
                <w:p w14:paraId="10ADAEED">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0.05</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72A20F21">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≤0.2</w:t>
                  </w:r>
                </w:p>
              </w:tc>
            </w:tr>
            <w:tr w14:paraId="0368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220AFFAD">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7B56389C">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硫化物</w:t>
                  </w:r>
                </w:p>
              </w:tc>
              <w:tc>
                <w:tcPr>
                  <w:tcW w:w="2955" w:type="dxa"/>
                  <w:tcBorders>
                    <w:tl2br w:val="nil"/>
                    <w:tr2bl w:val="nil"/>
                  </w:tcBorders>
                  <w:shd w:val="clear" w:color="auto" w:fill="auto"/>
                  <w:vAlign w:val="center"/>
                </w:tcPr>
                <w:p w14:paraId="416AC5EC">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0.01</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76BC1924">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p>
              </w:tc>
            </w:tr>
            <w:tr w14:paraId="55F0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3D9DA206">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36E000B3">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rPr>
                    <w:t>镉</w:t>
                  </w:r>
                </w:p>
              </w:tc>
              <w:tc>
                <w:tcPr>
                  <w:tcW w:w="2955" w:type="dxa"/>
                  <w:tcBorders>
                    <w:tl2br w:val="nil"/>
                    <w:tr2bl w:val="nil"/>
                  </w:tcBorders>
                  <w:shd w:val="clear" w:color="auto" w:fill="auto"/>
                  <w:vAlign w:val="center"/>
                </w:tcPr>
                <w:p w14:paraId="67CBA461">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0.0001</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43E4EFB9">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≤0.005</w:t>
                  </w:r>
                </w:p>
              </w:tc>
            </w:tr>
            <w:tr w14:paraId="48F7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1AF772F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3E5C9213">
                  <w:pPr>
                    <w:pStyle w:val="38"/>
                    <w:snapToGrid w:val="0"/>
                    <w:spacing w:before="0" w:after="0"/>
                    <w:ind w:left="-105" w:leftChars="-50" w:right="-105" w:rightChars="-5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铅</w:t>
                  </w:r>
                </w:p>
              </w:tc>
              <w:tc>
                <w:tcPr>
                  <w:tcW w:w="2955" w:type="dxa"/>
                  <w:tcBorders>
                    <w:tl2br w:val="nil"/>
                    <w:tr2bl w:val="nil"/>
                  </w:tcBorders>
                  <w:shd w:val="clear" w:color="auto" w:fill="auto"/>
                  <w:vAlign w:val="center"/>
                </w:tcPr>
                <w:p w14:paraId="60FB943E">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0.001</w:t>
                  </w:r>
                  <w:r>
                    <w:rPr>
                      <w:rFonts w:hint="default" w:ascii="Times New Roman" w:hAnsi="Times New Roman" w:cs="Times New Roman"/>
                      <w:szCs w:val="21"/>
                      <w:vertAlign w:val="superscript"/>
                    </w:rPr>
                    <w:t>L</w:t>
                  </w:r>
                </w:p>
              </w:tc>
              <w:tc>
                <w:tcPr>
                  <w:tcW w:w="2203" w:type="dxa"/>
                  <w:tcBorders>
                    <w:tl2br w:val="nil"/>
                    <w:tr2bl w:val="nil"/>
                  </w:tcBorders>
                  <w:shd w:val="clear" w:color="auto" w:fill="auto"/>
                  <w:vAlign w:val="center"/>
                </w:tcPr>
                <w:p w14:paraId="67E19C6F">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1</w:t>
                  </w:r>
                </w:p>
              </w:tc>
            </w:tr>
            <w:tr w14:paraId="34A82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6" w:type="dxa"/>
                  <w:vMerge w:val="continue"/>
                  <w:tcBorders>
                    <w:tl2br w:val="nil"/>
                    <w:tr2bl w:val="nil"/>
                  </w:tcBorders>
                  <w:vAlign w:val="center"/>
                </w:tcPr>
                <w:p w14:paraId="49201EBD">
                  <w:pPr>
                    <w:pStyle w:val="38"/>
                    <w:snapToGrid w:val="0"/>
                    <w:spacing w:before="0" w:after="0"/>
                    <w:ind w:left="-105" w:leftChars="-50" w:right="-105" w:rightChars="-50"/>
                    <w:rPr>
                      <w:rFonts w:hint="default" w:ascii="Times New Roman" w:hAnsi="Times New Roman" w:eastAsia="宋体" w:cs="Times New Roman"/>
                      <w:sz w:val="21"/>
                      <w:szCs w:val="21"/>
                    </w:rPr>
                  </w:pPr>
                </w:p>
              </w:tc>
              <w:tc>
                <w:tcPr>
                  <w:tcW w:w="2910" w:type="dxa"/>
                  <w:tcBorders>
                    <w:tl2br w:val="nil"/>
                    <w:tr2bl w:val="nil"/>
                  </w:tcBorders>
                  <w:shd w:val="clear" w:color="auto" w:fill="auto"/>
                  <w:vAlign w:val="center"/>
                </w:tcPr>
                <w:p w14:paraId="682BB881">
                  <w:pPr>
                    <w:pStyle w:val="38"/>
                    <w:snapToGrid w:val="0"/>
                    <w:spacing w:before="0" w:after="0"/>
                    <w:ind w:left="-105" w:leftChars="-50" w:right="-105" w:rightChars="-50"/>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rPr>
                    <w:t>粪大肠菌群（MPN/L）</w:t>
                  </w:r>
                </w:p>
              </w:tc>
              <w:tc>
                <w:tcPr>
                  <w:tcW w:w="2955" w:type="dxa"/>
                  <w:tcBorders>
                    <w:tl2br w:val="nil"/>
                    <w:tr2bl w:val="nil"/>
                  </w:tcBorders>
                  <w:shd w:val="clear" w:color="auto" w:fill="auto"/>
                  <w:vAlign w:val="center"/>
                </w:tcPr>
                <w:p w14:paraId="36B6D430">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Style w:val="40"/>
                      <w:rFonts w:hint="default" w:ascii="Times New Roman" w:hAnsi="Times New Roman" w:cs="Times New Roman"/>
                      <w:sz w:val="21"/>
                    </w:rPr>
                    <w:t>1.9×</w:t>
                  </w:r>
                  <w:r>
                    <w:rPr>
                      <w:rStyle w:val="47"/>
                      <w:rFonts w:hint="default" w:ascii="Times New Roman" w:hAnsi="Times New Roman" w:cs="Times New Roman"/>
                      <w:sz w:val="21"/>
                    </w:rPr>
                    <w:t>10</w:t>
                  </w:r>
                  <w:r>
                    <w:rPr>
                      <w:rStyle w:val="43"/>
                      <w:rFonts w:hint="default" w:ascii="Times New Roman" w:hAnsi="Times New Roman" w:cs="Times New Roman"/>
                      <w:sz w:val="21"/>
                    </w:rPr>
                    <w:t>2</w:t>
                  </w:r>
                </w:p>
              </w:tc>
              <w:tc>
                <w:tcPr>
                  <w:tcW w:w="2203" w:type="dxa"/>
                  <w:tcBorders>
                    <w:tl2br w:val="nil"/>
                    <w:tr2bl w:val="nil"/>
                  </w:tcBorders>
                  <w:shd w:val="clear" w:color="auto" w:fill="auto"/>
                  <w:vAlign w:val="center"/>
                </w:tcPr>
                <w:p w14:paraId="273170F6">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000</w:t>
                  </w:r>
                </w:p>
              </w:tc>
            </w:tr>
          </w:tbl>
          <w:p w14:paraId="33119BDF">
            <w:pPr>
              <w:keepNext w:val="0"/>
              <w:keepLines w:val="0"/>
              <w:pageBreakBefore w:val="0"/>
              <w:widowControl w:val="0"/>
              <w:kinsoku/>
              <w:wordWrap/>
              <w:overflowPunct/>
              <w:topLinePunct w:val="0"/>
              <w:autoSpaceDE/>
              <w:autoSpaceDN/>
              <w:bidi w:val="0"/>
              <w:snapToGrid/>
              <w:spacing w:line="360" w:lineRule="auto"/>
              <w:ind w:left="0" w:leftChars="0" w:firstLine="360" w:firstLineChars="200"/>
              <w:rPr>
                <w:rFonts w:hint="default" w:ascii="Times New Roman" w:hAnsi="Times New Roman" w:cs="Times New Roman"/>
                <w:color w:val="auto"/>
                <w:sz w:val="24"/>
                <w:szCs w:val="32"/>
                <w:highlight w:val="none"/>
                <w:vertAlign w:val="baseline"/>
                <w:lang w:val="en-US" w:eastAsia="zh-CN"/>
              </w:rPr>
            </w:pPr>
            <w:r>
              <w:rPr>
                <w:rFonts w:hint="eastAsia"/>
                <w:b w:val="0"/>
                <w:bCs w:val="0"/>
                <w:sz w:val="18"/>
                <w:szCs w:val="18"/>
              </w:rPr>
              <w:t>备注：检测结果为“检出限+L”表示未检出</w:t>
            </w:r>
          </w:p>
          <w:p w14:paraId="0732ED23">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由上表可知，本</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项目</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隘口水厂取水点</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水质较好，满足《地表水环境质量标准》（GB3838-2002）</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Ⅱ</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类标准。从取水口处现状水质达标的角度分析，</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普子</w:t>
            </w:r>
            <w:r>
              <w:rPr>
                <w:rFonts w:hint="default" w:ascii="Times New Roman" w:hAnsi="Times New Roman" w:eastAsia="宋体" w:cs="Times New Roman"/>
                <w:bCs/>
                <w:color w:val="000000" w:themeColor="text1"/>
                <w:sz w:val="24"/>
                <w:szCs w:val="24"/>
                <w14:textFill>
                  <w14:solidFill>
                    <w14:schemeClr w14:val="tx1"/>
                  </w14:solidFill>
                </w14:textFill>
              </w:rPr>
              <w:t>坪水库</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作为饮用水是可行的。</w:t>
            </w:r>
          </w:p>
          <w:p w14:paraId="7F9769F9">
            <w:pPr>
              <w:keepNext w:val="0"/>
              <w:keepLines w:val="0"/>
              <w:pageBreakBefore w:val="0"/>
              <w:widowControl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w:t>
            </w:r>
            <w:r>
              <w:rPr>
                <w:rFonts w:hint="eastAsia" w:ascii="Times New Roman" w:hAnsi="Times New Roman" w:cs="Times New Roman"/>
                <w:b/>
                <w:bCs/>
                <w:color w:val="auto"/>
                <w:sz w:val="24"/>
                <w:szCs w:val="32"/>
                <w:highlight w:val="none"/>
                <w:vertAlign w:val="baseline"/>
                <w:lang w:val="en-US" w:eastAsia="zh-CN"/>
              </w:rPr>
              <w:t>0</w:t>
            </w:r>
            <w:r>
              <w:rPr>
                <w:rFonts w:hint="default" w:ascii="Times New Roman" w:hAnsi="Times New Roman" w:cs="Times New Roman"/>
                <w:b/>
                <w:bCs/>
                <w:color w:val="auto"/>
                <w:sz w:val="24"/>
                <w:szCs w:val="32"/>
                <w:highlight w:val="none"/>
                <w:vertAlign w:val="baseline"/>
                <w:lang w:val="en-US" w:eastAsia="zh-CN"/>
              </w:rPr>
              <w:t>、选址可行性分析</w:t>
            </w:r>
          </w:p>
          <w:p w14:paraId="04FF5587">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（1）取水口</w:t>
            </w:r>
          </w:p>
          <w:p w14:paraId="3EAD3B5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1）马渡关水厂</w:t>
            </w:r>
          </w:p>
          <w:p w14:paraId="4FE6F93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马渡关水厂</w:t>
            </w:r>
            <w:r>
              <w:rPr>
                <w:rFonts w:hint="default" w:ascii="Times New Roman" w:hAnsi="Times New Roman" w:cs="Times New Roman"/>
                <w:b w:val="0"/>
                <w:bCs w:val="0"/>
                <w:color w:val="auto"/>
                <w:sz w:val="24"/>
                <w:szCs w:val="24"/>
                <w:highlight w:val="none"/>
                <w:lang w:val="en-US" w:eastAsia="zh-CN"/>
              </w:rPr>
              <w:t>取水口位于宣汉县马渡关镇上游长滩河左岸，新建取水泵房，取水头部位于河道内，取水泵房紧邻河岸，河岸高度约头7-10m，岸坡坡度 30-50°，局部为陡坎，河道宽一般30-45m，平水期正常水面高程为414.41m，最枯水位414.22m，水深为 0.7-0.8m，河道平均坡降约为5%，根据永红水文站资料结合洪痕调查，该河历史洪峰流量超过830m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/s，拟建场地河道较平直，场地内无崩塌、滑坡等不良地质作用，自然岸坡总体稳定，较适宜修建岸边式取水建筑物。</w:t>
            </w:r>
          </w:p>
          <w:p w14:paraId="11DAD61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根据取水泵房设计图可知，泵房设计分两层，负一层地面高程411.50m，一层地面高421.50m，取水管头部中心高程412.62m，对应河底高程410.88m。设三台全变频离心泵，两用一备，设计参数为Q=69m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/h，H=138m，P=55Kw，n=1480rpm，n&gt;75%。</w:t>
            </w:r>
          </w:p>
          <w:p w14:paraId="0E11251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马渡关水厂</w:t>
            </w:r>
            <w:r>
              <w:rPr>
                <w:rFonts w:hint="default" w:ascii="Times New Roman" w:hAnsi="Times New Roman" w:cs="Times New Roman"/>
                <w:b w:val="0"/>
                <w:bCs w:val="0"/>
                <w:color w:val="auto"/>
                <w:sz w:val="24"/>
                <w:szCs w:val="24"/>
                <w:highlight w:val="none"/>
                <w:lang w:val="en-US" w:eastAsia="zh-CN"/>
              </w:rPr>
              <w:t>取水口所在位置无防洪、航运等要求，取水口位置整体稳定性较好，布局合理且满足取水要求。工程运行期倒排泥沙淤积物，对取水口不会产生不良影响，取水口不涉及第三方取用水户。取水工程本身不排放污水，不会对河道水质产生影响。综上，</w:t>
            </w:r>
            <w:r>
              <w:rPr>
                <w:rFonts w:hint="default" w:ascii="Times New Roman" w:hAnsi="Times New Roman" w:cs="Times New Roman"/>
                <w:color w:val="auto"/>
                <w:sz w:val="24"/>
                <w:szCs w:val="24"/>
                <w:highlight w:val="none"/>
                <w:lang w:val="en-US" w:eastAsia="zh-CN"/>
              </w:rPr>
              <w:t>马渡关水厂</w:t>
            </w:r>
            <w:r>
              <w:rPr>
                <w:rFonts w:hint="default" w:ascii="Times New Roman" w:hAnsi="Times New Roman" w:cs="Times New Roman"/>
                <w:b w:val="0"/>
                <w:bCs w:val="0"/>
                <w:color w:val="auto"/>
                <w:sz w:val="24"/>
                <w:szCs w:val="24"/>
                <w:highlight w:val="none"/>
                <w:lang w:val="en-US" w:eastAsia="zh-CN"/>
              </w:rPr>
              <w:t>取水口位置合理。</w:t>
            </w:r>
          </w:p>
          <w:p w14:paraId="754EDC34">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2）隘口水厂</w:t>
            </w:r>
          </w:p>
          <w:p w14:paraId="09AB6214">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隘口水厂取水口位于宣汉县马渡镇上游长滩河左岸小支流的普子坪水库，取水采用潜水泵，潜水泵安置于浮筒上，浮筒置于水库深水区大坝附近，此处易于管理，取水水深足够，保障取水不受限制。取水管道向西北坡地敷设至距离400m的净水厂。水库两岸无崩塌、滑坡等不良地质作用，自然岸坡总体稳定，取水设施布设合理安全可靠且满足取水要求。</w:t>
            </w:r>
          </w:p>
          <w:p w14:paraId="73B5FAA1">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设三台全变频离心泵，两用一备，设计参数Q-69m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lang w:val="en-US" w:eastAsia="zh-CN"/>
              </w:rPr>
              <w:t>/h，H=138m，P=55Kw，n=l480rpm，n&gt;75%。</w:t>
            </w:r>
          </w:p>
          <w:p w14:paraId="0106DEA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综上，隘口水厂取水口位置合理。</w:t>
            </w:r>
          </w:p>
          <w:p w14:paraId="047949A4">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（2）供水厂</w:t>
            </w:r>
          </w:p>
          <w:p w14:paraId="76737FC5">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1）马渡关水厂</w:t>
            </w:r>
          </w:p>
          <w:p w14:paraId="011D690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马渡关</w:t>
            </w:r>
            <w:r>
              <w:rPr>
                <w:rFonts w:hint="default" w:ascii="Times New Roman" w:hAnsi="Times New Roman" w:cs="Times New Roman"/>
                <w:color w:val="auto"/>
                <w:sz w:val="24"/>
                <w:szCs w:val="24"/>
                <w:highlight w:val="none"/>
                <w:lang w:val="en-US" w:eastAsia="zh-CN"/>
              </w:rPr>
              <w:t>水厂</w:t>
            </w:r>
            <w:r>
              <w:rPr>
                <w:rFonts w:hint="default" w:ascii="Times New Roman" w:hAnsi="Times New Roman" w:cs="Times New Roman"/>
                <w:color w:val="auto"/>
                <w:sz w:val="24"/>
                <w:szCs w:val="24"/>
                <w:highlight w:val="none"/>
              </w:rPr>
              <w:t>位于</w:t>
            </w:r>
            <w:r>
              <w:rPr>
                <w:rFonts w:hint="eastAsia" w:ascii="Times New Roman" w:hAnsi="Times New Roman" w:eastAsia="宋体" w:cs="Times New Roman"/>
                <w:color w:val="auto"/>
                <w:sz w:val="24"/>
                <w:szCs w:val="24"/>
                <w:highlight w:val="none"/>
                <w:vertAlign w:val="baseline"/>
                <w:lang w:val="en-US" w:eastAsia="zh-CN"/>
              </w:rPr>
              <w:t>宣汉县</w:t>
            </w:r>
            <w:r>
              <w:rPr>
                <w:rFonts w:hint="eastAsia" w:ascii="Times New Roman" w:hAnsi="Times New Roman" w:eastAsia="宋体" w:cs="Times New Roman"/>
                <w:color w:val="auto"/>
                <w:sz w:val="24"/>
                <w:szCs w:val="32"/>
                <w:highlight w:val="none"/>
                <w:vertAlign w:val="baseline"/>
                <w:lang w:val="en-US" w:eastAsia="zh-CN"/>
              </w:rPr>
              <w:t>马渡关镇长滩村</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不占用基本农田，水厂距离</w:t>
            </w:r>
            <w:r>
              <w:rPr>
                <w:rFonts w:hint="eastAsia" w:ascii="Times New Roman" w:hAnsi="Times New Roman" w:cs="Times New Roman"/>
                <w:color w:val="auto"/>
                <w:sz w:val="24"/>
                <w:szCs w:val="24"/>
                <w:highlight w:val="none"/>
                <w:lang w:val="en-US" w:eastAsia="zh-CN"/>
              </w:rPr>
              <w:t>马渡关镇</w:t>
            </w:r>
            <w:r>
              <w:rPr>
                <w:rFonts w:hint="default" w:ascii="Times New Roman" w:hAnsi="Times New Roman" w:cs="Times New Roman"/>
                <w:color w:val="auto"/>
                <w:sz w:val="24"/>
                <w:szCs w:val="24"/>
                <w:highlight w:val="none"/>
                <w:lang w:val="en-US" w:eastAsia="zh-CN"/>
              </w:rPr>
              <w:t>约</w:t>
            </w:r>
            <w:r>
              <w:rPr>
                <w:rFonts w:hint="eastAsia" w:ascii="Times New Roman" w:hAnsi="Times New Roman" w:cs="Times New Roman"/>
                <w:color w:val="auto"/>
                <w:sz w:val="24"/>
                <w:szCs w:val="24"/>
                <w:highlight w:val="none"/>
                <w:lang w:val="en-US" w:eastAsia="zh-CN"/>
              </w:rPr>
              <w:t>2.8k</w:t>
            </w:r>
            <w:r>
              <w:rPr>
                <w:rFonts w:hint="default" w:ascii="Times New Roman" w:hAnsi="Times New Roman" w:cs="Times New Roman"/>
                <w:color w:val="auto"/>
                <w:sz w:val="24"/>
                <w:szCs w:val="24"/>
                <w:highlight w:val="none"/>
                <w:lang w:val="en-US" w:eastAsia="zh-CN"/>
              </w:rPr>
              <w:t>m，位于取水口</w:t>
            </w:r>
            <w:r>
              <w:rPr>
                <w:rFonts w:hint="eastAsia" w:ascii="Times New Roman" w:hAnsi="Times New Roman" w:cs="Times New Roman"/>
                <w:color w:val="auto"/>
                <w:sz w:val="24"/>
                <w:szCs w:val="24"/>
                <w:highlight w:val="none"/>
                <w:lang w:val="en-US" w:eastAsia="zh-CN"/>
              </w:rPr>
              <w:t>东</w:t>
            </w:r>
            <w:r>
              <w:rPr>
                <w:rFonts w:hint="default" w:ascii="Times New Roman" w:hAnsi="Times New Roman" w:cs="Times New Roman"/>
                <w:color w:val="auto"/>
                <w:sz w:val="24"/>
                <w:szCs w:val="24"/>
                <w:highlight w:val="none"/>
                <w:lang w:val="en-US" w:eastAsia="zh-CN"/>
              </w:rPr>
              <w:t>侧</w:t>
            </w:r>
            <w:r>
              <w:rPr>
                <w:rFonts w:hint="eastAsia" w:ascii="Times New Roman" w:hAnsi="Times New Roman" w:cs="Times New Roman"/>
                <w:bCs/>
                <w:color w:val="auto"/>
                <w:sz w:val="24"/>
                <w:szCs w:val="24"/>
                <w:highlight w:val="none"/>
                <w:lang w:val="en-US" w:eastAsia="zh-CN"/>
              </w:rPr>
              <w:t>689</w:t>
            </w:r>
            <w:r>
              <w:rPr>
                <w:rFonts w:hint="default" w:ascii="Times New Roman" w:hAnsi="Times New Roman" w:cs="Times New Roman"/>
                <w:color w:val="auto"/>
                <w:sz w:val="24"/>
                <w:szCs w:val="24"/>
                <w:highlight w:val="none"/>
                <w:lang w:val="en-US" w:eastAsia="zh-CN"/>
              </w:rPr>
              <w:t>m，占地面积约</w:t>
            </w:r>
            <w:r>
              <w:rPr>
                <w:rFonts w:hint="eastAsia" w:ascii="Times New Roman" w:hAnsi="Times New Roman" w:eastAsia="宋体" w:cs="Times New Roman"/>
                <w:color w:val="auto"/>
                <w:kern w:val="2"/>
                <w:sz w:val="24"/>
                <w:szCs w:val="24"/>
                <w:highlight w:val="none"/>
                <w:lang w:val="en-US" w:eastAsia="zh-CN" w:bidi="ar-SA"/>
              </w:rPr>
              <w:t>2085.32</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。根据现场踏勘，外环境关系如下：</w:t>
            </w:r>
          </w:p>
          <w:p w14:paraId="09F0CEAD">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北侧</w:t>
            </w:r>
            <w:r>
              <w:rPr>
                <w:rFonts w:hint="eastAsia" w:ascii="Times New Roman" w:hAnsi="Times New Roman" w:eastAsia="宋体" w:cs="Times New Roman"/>
                <w:b w:val="0"/>
                <w:bCs w:val="0"/>
                <w:color w:val="auto"/>
                <w:kern w:val="0"/>
                <w:sz w:val="24"/>
                <w:szCs w:val="24"/>
                <w:lang w:val="en-US" w:eastAsia="zh-CN" w:bidi="ar"/>
              </w:rPr>
              <w:t>：约17m~419m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有12户农户</w:t>
            </w:r>
            <w:r>
              <w:rPr>
                <w:rFonts w:hint="eastAsia" w:ascii="宋体" w:hAnsi="宋体" w:eastAsia="宋体" w:cs="宋体"/>
                <w:color w:val="auto"/>
                <w:sz w:val="24"/>
                <w:szCs w:val="24"/>
                <w:lang w:val="en-US" w:eastAsia="zh-CN"/>
              </w:rPr>
              <w:t>。</w:t>
            </w:r>
          </w:p>
          <w:p w14:paraId="157D4263">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东北侧</w:t>
            </w:r>
            <w:r>
              <w:rPr>
                <w:rFonts w:hint="eastAsia" w:ascii="Times New Roman" w:hAnsi="Times New Roman" w:eastAsia="宋体" w:cs="Times New Roman"/>
                <w:b w:val="0"/>
                <w:bCs w:val="0"/>
                <w:color w:val="auto"/>
                <w:kern w:val="0"/>
                <w:sz w:val="24"/>
                <w:szCs w:val="24"/>
                <w:lang w:val="en-US" w:eastAsia="zh-CN" w:bidi="ar"/>
              </w:rPr>
              <w:t>：约127m~411m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有10户农户。</w:t>
            </w:r>
          </w:p>
          <w:p w14:paraId="15C4B149">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东侧</w:t>
            </w:r>
            <w:r>
              <w:rPr>
                <w:rFonts w:hint="eastAsia" w:ascii="Times New Roman" w:hAnsi="Times New Roman" w:eastAsia="宋体" w:cs="Times New Roman"/>
                <w:b w:val="0"/>
                <w:bCs w:val="0"/>
                <w:color w:val="auto"/>
                <w:kern w:val="0"/>
                <w:sz w:val="24"/>
                <w:szCs w:val="24"/>
                <w:lang w:val="en-US" w:eastAsia="zh-CN" w:bidi="ar"/>
              </w:rPr>
              <w:t>：约100m~400m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有4户农户。</w:t>
            </w:r>
          </w:p>
          <w:p w14:paraId="398C4AFC">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东南侧</w:t>
            </w:r>
            <w:r>
              <w:rPr>
                <w:rFonts w:hint="eastAsia" w:ascii="Times New Roman" w:hAnsi="Times New Roman" w:eastAsia="宋体" w:cs="Times New Roman"/>
                <w:b w:val="0"/>
                <w:bCs w:val="0"/>
                <w:color w:val="auto"/>
                <w:kern w:val="0"/>
                <w:sz w:val="24"/>
                <w:szCs w:val="24"/>
                <w:lang w:val="en-US" w:eastAsia="zh-CN" w:bidi="ar"/>
              </w:rPr>
              <w:t>：约8m~500m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有23户农户。</w:t>
            </w:r>
          </w:p>
          <w:p w14:paraId="25C083A3">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南侧：</w:t>
            </w:r>
            <w:r>
              <w:rPr>
                <w:rFonts w:hint="eastAsia" w:ascii="Times New Roman" w:hAnsi="Times New Roman" w:eastAsia="宋体" w:cs="Times New Roman"/>
                <w:b w:val="0"/>
                <w:bCs w:val="0"/>
                <w:color w:val="auto"/>
                <w:kern w:val="0"/>
                <w:sz w:val="24"/>
                <w:szCs w:val="24"/>
                <w:lang w:val="en-US" w:eastAsia="zh-CN" w:bidi="ar"/>
              </w:rPr>
              <w:t>约234m~500m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有20户农户</w:t>
            </w:r>
            <w:r>
              <w:rPr>
                <w:rFonts w:hint="default" w:ascii="Times New Roman" w:hAnsi="Times New Roman" w:eastAsia="宋体" w:cs="Times New Roman"/>
                <w:b w:val="0"/>
                <w:bCs w:val="0"/>
                <w:color w:val="auto"/>
                <w:kern w:val="0"/>
                <w:sz w:val="24"/>
                <w:szCs w:val="24"/>
                <w:lang w:val="en-US" w:eastAsia="zh-CN" w:bidi="ar"/>
              </w:rPr>
              <w:t>。</w:t>
            </w:r>
          </w:p>
          <w:p w14:paraId="051729BA">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西南侧：约468m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有1户农户。</w:t>
            </w:r>
          </w:p>
          <w:p w14:paraId="69CBA242">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西侧</w:t>
            </w:r>
            <w:r>
              <w:rPr>
                <w:rFonts w:hint="eastAsia" w:ascii="Times New Roman" w:hAnsi="Times New Roman" w:eastAsia="宋体" w:cs="Times New Roman"/>
                <w:b w:val="0"/>
                <w:bCs w:val="0"/>
                <w:color w:val="auto"/>
                <w:kern w:val="0"/>
                <w:sz w:val="24"/>
                <w:szCs w:val="24"/>
                <w:lang w:val="en-US" w:eastAsia="zh-CN" w:bidi="ar"/>
              </w:rPr>
              <w:t>：约44m~485m处有21户农户</w:t>
            </w:r>
            <w:r>
              <w:rPr>
                <w:rFonts w:hint="default" w:ascii="Times New Roman" w:hAnsi="Times New Roman" w:eastAsia="宋体" w:cs="Times New Roman"/>
                <w:b w:val="0"/>
                <w:bCs w:val="0"/>
                <w:color w:val="auto"/>
                <w:kern w:val="0"/>
                <w:sz w:val="24"/>
                <w:szCs w:val="24"/>
                <w:lang w:val="en-US" w:eastAsia="zh-CN" w:bidi="ar"/>
              </w:rPr>
              <w:t>。</w:t>
            </w:r>
          </w:p>
          <w:p w14:paraId="24ADD437">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西北侧：约424m~478m处有4户农户。</w:t>
            </w:r>
          </w:p>
          <w:p w14:paraId="25CF55EE">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eastAsia="黑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0"/>
                <w:sz w:val="24"/>
                <w:szCs w:val="24"/>
                <w:lang w:val="en-US" w:eastAsia="zh-CN" w:bidi="ar"/>
              </w:rPr>
              <w:t>本项目马渡关</w:t>
            </w:r>
            <w:r>
              <w:rPr>
                <w:rFonts w:hint="default" w:ascii="Times New Roman" w:hAnsi="Times New Roman" w:cs="Times New Roman"/>
                <w:color w:val="auto"/>
                <w:sz w:val="24"/>
                <w:szCs w:val="24"/>
                <w:highlight w:val="none"/>
                <w:lang w:val="en-US" w:eastAsia="zh-CN"/>
              </w:rPr>
              <w:t>水厂</w:t>
            </w:r>
            <w:r>
              <w:rPr>
                <w:rFonts w:hint="eastAsia" w:ascii="Times New Roman" w:hAnsi="Times New Roman" w:eastAsia="宋体" w:cs="Times New Roman"/>
                <w:b w:val="0"/>
                <w:bCs w:val="0"/>
                <w:color w:val="auto"/>
                <w:kern w:val="0"/>
                <w:sz w:val="24"/>
                <w:szCs w:val="24"/>
                <w:lang w:val="en-US" w:eastAsia="zh-CN" w:bidi="ar"/>
              </w:rPr>
              <w:t>500m范围内外环境敏感点关系情况见下表。</w:t>
            </w:r>
          </w:p>
          <w:p w14:paraId="2AD67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kern w:val="2"/>
                <w:sz w:val="21"/>
                <w:szCs w:val="21"/>
                <w:lang w:val="en-US" w:eastAsia="zh-CN" w:bidi="ar-SA"/>
              </w:rPr>
            </w:pPr>
            <w:r>
              <w:rPr>
                <w:rFonts w:hint="default" w:ascii="Times New Roman" w:hAnsi="Times New Roman" w:eastAsia="黑体" w:cs="Times New Roman"/>
                <w:b w:val="0"/>
                <w:bCs w:val="0"/>
                <w:color w:val="auto"/>
                <w:kern w:val="2"/>
                <w:sz w:val="21"/>
                <w:szCs w:val="21"/>
                <w:lang w:val="en-US" w:eastAsia="zh-CN" w:bidi="ar-SA"/>
              </w:rPr>
              <w:t>表</w:t>
            </w:r>
            <w:r>
              <w:rPr>
                <w:rFonts w:hint="eastAsia" w:ascii="Times New Roman" w:hAnsi="Times New Roman" w:eastAsia="黑体" w:cs="Times New Roman"/>
                <w:b w:val="0"/>
                <w:bCs w:val="0"/>
                <w:color w:val="auto"/>
                <w:kern w:val="2"/>
                <w:sz w:val="21"/>
                <w:szCs w:val="21"/>
                <w:lang w:val="en-US" w:eastAsia="zh-CN" w:bidi="ar-SA"/>
              </w:rPr>
              <w:t>1-15</w:t>
            </w:r>
            <w:r>
              <w:rPr>
                <w:rFonts w:hint="default" w:ascii="Times New Roman" w:hAnsi="Times New Roman" w:eastAsia="黑体" w:cs="Times New Roman"/>
                <w:b w:val="0"/>
                <w:bCs w:val="0"/>
                <w:color w:val="auto"/>
                <w:kern w:val="2"/>
                <w:sz w:val="21"/>
                <w:szCs w:val="21"/>
                <w:lang w:val="en-US" w:eastAsia="zh-CN" w:bidi="ar-SA"/>
              </w:rPr>
              <w:t xml:space="preserve">  </w:t>
            </w:r>
            <w:r>
              <w:rPr>
                <w:rFonts w:hint="eastAsia" w:ascii="Times New Roman" w:hAnsi="Times New Roman" w:eastAsia="黑体" w:cs="Times New Roman"/>
                <w:b w:val="0"/>
                <w:bCs w:val="0"/>
                <w:color w:val="auto"/>
                <w:kern w:val="2"/>
                <w:sz w:val="21"/>
                <w:szCs w:val="21"/>
                <w:lang w:val="en-US" w:eastAsia="zh-CN" w:bidi="ar-SA"/>
              </w:rPr>
              <w:t>项目外环境敏感点关系一览表</w:t>
            </w:r>
          </w:p>
          <w:tbl>
            <w:tblPr>
              <w:tblStyle w:val="25"/>
              <w:tblW w:w="90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4"/>
              <w:gridCol w:w="1607"/>
              <w:gridCol w:w="1635"/>
              <w:gridCol w:w="1560"/>
              <w:gridCol w:w="1704"/>
              <w:gridCol w:w="1704"/>
            </w:tblGrid>
            <w:tr w14:paraId="18AAC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04" w:type="dxa"/>
                  <w:tcBorders>
                    <w:tl2br w:val="nil"/>
                    <w:tr2bl w:val="nil"/>
                  </w:tcBorders>
                  <w:noWrap w:val="0"/>
                  <w:vAlign w:val="center"/>
                </w:tcPr>
                <w:p w14:paraId="238722DE">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序号</w:t>
                  </w:r>
                </w:p>
              </w:tc>
              <w:tc>
                <w:tcPr>
                  <w:tcW w:w="1607" w:type="dxa"/>
                  <w:tcBorders>
                    <w:tl2br w:val="nil"/>
                    <w:tr2bl w:val="nil"/>
                  </w:tcBorders>
                  <w:noWrap w:val="0"/>
                  <w:vAlign w:val="center"/>
                </w:tcPr>
                <w:p w14:paraId="0051465D">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1635" w:type="dxa"/>
                  <w:tcBorders>
                    <w:tl2br w:val="nil"/>
                    <w:tr2bl w:val="nil"/>
                  </w:tcBorders>
                  <w:noWrap w:val="0"/>
                  <w:vAlign w:val="center"/>
                </w:tcPr>
                <w:p w14:paraId="4D032679">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方位</w:t>
                  </w:r>
                </w:p>
              </w:tc>
              <w:tc>
                <w:tcPr>
                  <w:tcW w:w="1560" w:type="dxa"/>
                  <w:tcBorders>
                    <w:tl2br w:val="nil"/>
                    <w:tr2bl w:val="nil"/>
                  </w:tcBorders>
                  <w:noWrap w:val="0"/>
                  <w:vAlign w:val="center"/>
                </w:tcPr>
                <w:p w14:paraId="644FD7ED">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距离</w:t>
                  </w:r>
                </w:p>
              </w:tc>
              <w:tc>
                <w:tcPr>
                  <w:tcW w:w="1704" w:type="dxa"/>
                  <w:tcBorders>
                    <w:tl2br w:val="nil"/>
                    <w:tr2bl w:val="nil"/>
                  </w:tcBorders>
                  <w:noWrap w:val="0"/>
                  <w:vAlign w:val="center"/>
                </w:tcPr>
                <w:p w14:paraId="717ED513">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规模</w:t>
                  </w:r>
                </w:p>
              </w:tc>
              <w:tc>
                <w:tcPr>
                  <w:tcW w:w="1704" w:type="dxa"/>
                  <w:tcBorders>
                    <w:tl2br w:val="nil"/>
                    <w:tr2bl w:val="nil"/>
                  </w:tcBorders>
                  <w:noWrap w:val="0"/>
                  <w:vAlign w:val="center"/>
                </w:tcPr>
                <w:p w14:paraId="745B3A72">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类型</w:t>
                  </w:r>
                </w:p>
              </w:tc>
            </w:tr>
            <w:tr w14:paraId="2DE9A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noWrap w:val="0"/>
                  <w:vAlign w:val="center"/>
                </w:tcPr>
                <w:p w14:paraId="779D89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1607" w:type="dxa"/>
                  <w:tcBorders>
                    <w:tl2br w:val="nil"/>
                    <w:tr2bl w:val="nil"/>
                  </w:tcBorders>
                  <w:noWrap w:val="0"/>
                  <w:vAlign w:val="center"/>
                </w:tcPr>
                <w:p w14:paraId="0CE88D3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166F7EC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w:t>
                  </w:r>
                </w:p>
              </w:tc>
              <w:tc>
                <w:tcPr>
                  <w:tcW w:w="1560" w:type="dxa"/>
                  <w:tcBorders>
                    <w:tl2br w:val="nil"/>
                    <w:tr2bl w:val="nil"/>
                  </w:tcBorders>
                  <w:noWrap w:val="0"/>
                  <w:vAlign w:val="center"/>
                </w:tcPr>
                <w:p w14:paraId="443BFCF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lang w:val="en-US" w:eastAsia="zh-CN" w:bidi="ar"/>
                    </w:rPr>
                    <w:t>17m~419m</w:t>
                  </w:r>
                </w:p>
              </w:tc>
              <w:tc>
                <w:tcPr>
                  <w:tcW w:w="1704" w:type="dxa"/>
                  <w:tcBorders>
                    <w:tl2br w:val="nil"/>
                    <w:tr2bl w:val="nil"/>
                  </w:tcBorders>
                  <w:noWrap w:val="0"/>
                  <w:vAlign w:val="center"/>
                </w:tcPr>
                <w:p w14:paraId="0D89E50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lang w:val="en-US" w:eastAsia="zh-CN"/>
                    </w:rPr>
                    <w:t>户</w:t>
                  </w:r>
                </w:p>
              </w:tc>
              <w:tc>
                <w:tcPr>
                  <w:tcW w:w="1704" w:type="dxa"/>
                  <w:tcBorders>
                    <w:tl2br w:val="nil"/>
                    <w:tr2bl w:val="nil"/>
                  </w:tcBorders>
                  <w:noWrap w:val="0"/>
                  <w:vAlign w:val="center"/>
                </w:tcPr>
                <w:p w14:paraId="19A5BB1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r w14:paraId="79D6F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noWrap w:val="0"/>
                  <w:vAlign w:val="center"/>
                </w:tcPr>
                <w:p w14:paraId="3EB40B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c>
                <w:tcPr>
                  <w:tcW w:w="1607" w:type="dxa"/>
                  <w:tcBorders>
                    <w:tl2br w:val="nil"/>
                    <w:tr2bl w:val="nil"/>
                  </w:tcBorders>
                  <w:noWrap w:val="0"/>
                  <w:vAlign w:val="center"/>
                </w:tcPr>
                <w:p w14:paraId="3E5EB45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52DBC23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w:t>
                  </w:r>
                  <w:r>
                    <w:rPr>
                      <w:rFonts w:hint="eastAsia" w:ascii="Times New Roman" w:hAnsi="Times New Roman" w:eastAsia="宋体" w:cs="Times New Roman"/>
                      <w:b w:val="0"/>
                      <w:bCs w:val="0"/>
                      <w:color w:val="auto"/>
                      <w:sz w:val="21"/>
                      <w:szCs w:val="21"/>
                      <w:highlight w:val="none"/>
                      <w:lang w:val="en-US" w:eastAsia="zh-CN"/>
                    </w:rPr>
                    <w:t>北</w:t>
                  </w:r>
                  <w:r>
                    <w:rPr>
                      <w:rFonts w:hint="default" w:ascii="Times New Roman" w:hAnsi="Times New Roman" w:eastAsia="宋体" w:cs="Times New Roman"/>
                      <w:b w:val="0"/>
                      <w:bCs w:val="0"/>
                      <w:color w:val="auto"/>
                      <w:sz w:val="21"/>
                      <w:szCs w:val="21"/>
                      <w:highlight w:val="none"/>
                      <w:lang w:val="en-US" w:eastAsia="zh-CN"/>
                    </w:rPr>
                    <w:t>侧</w:t>
                  </w:r>
                </w:p>
              </w:tc>
              <w:tc>
                <w:tcPr>
                  <w:tcW w:w="1560" w:type="dxa"/>
                  <w:tcBorders>
                    <w:tl2br w:val="nil"/>
                    <w:tr2bl w:val="nil"/>
                  </w:tcBorders>
                  <w:noWrap w:val="0"/>
                  <w:vAlign w:val="center"/>
                </w:tcPr>
                <w:p w14:paraId="55A672D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lang w:val="en-US" w:eastAsia="zh-CN" w:bidi="ar"/>
                    </w:rPr>
                    <w:t>127m~411m</w:t>
                  </w:r>
                </w:p>
              </w:tc>
              <w:tc>
                <w:tcPr>
                  <w:tcW w:w="1704" w:type="dxa"/>
                  <w:tcBorders>
                    <w:tl2br w:val="nil"/>
                    <w:tr2bl w:val="nil"/>
                  </w:tcBorders>
                  <w:noWrap w:val="0"/>
                  <w:vAlign w:val="center"/>
                </w:tcPr>
                <w:p w14:paraId="28B8196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户</w:t>
                  </w:r>
                </w:p>
              </w:tc>
              <w:tc>
                <w:tcPr>
                  <w:tcW w:w="1704" w:type="dxa"/>
                  <w:tcBorders>
                    <w:tl2br w:val="nil"/>
                    <w:tr2bl w:val="nil"/>
                  </w:tcBorders>
                  <w:noWrap w:val="0"/>
                  <w:vAlign w:val="center"/>
                </w:tcPr>
                <w:p w14:paraId="682EF45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r w14:paraId="6A1DC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011BB5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w:t>
                  </w:r>
                </w:p>
              </w:tc>
              <w:tc>
                <w:tcPr>
                  <w:tcW w:w="1607" w:type="dxa"/>
                  <w:tcBorders>
                    <w:tl2br w:val="nil"/>
                    <w:tr2bl w:val="nil"/>
                  </w:tcBorders>
                  <w:noWrap w:val="0"/>
                  <w:vAlign w:val="center"/>
                </w:tcPr>
                <w:p w14:paraId="5FAE1C3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29A8E10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东侧</w:t>
                  </w:r>
                </w:p>
              </w:tc>
              <w:tc>
                <w:tcPr>
                  <w:tcW w:w="1560" w:type="dxa"/>
                  <w:tcBorders>
                    <w:tl2br w:val="nil"/>
                    <w:tr2bl w:val="nil"/>
                  </w:tcBorders>
                  <w:noWrap w:val="0"/>
                  <w:vAlign w:val="center"/>
                </w:tcPr>
                <w:p w14:paraId="410EF90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100m~400m</w:t>
                  </w:r>
                </w:p>
              </w:tc>
              <w:tc>
                <w:tcPr>
                  <w:tcW w:w="1704" w:type="dxa"/>
                  <w:tcBorders>
                    <w:tl2br w:val="nil"/>
                    <w:tr2bl w:val="nil"/>
                  </w:tcBorders>
                  <w:noWrap w:val="0"/>
                  <w:vAlign w:val="center"/>
                </w:tcPr>
                <w:p w14:paraId="74889FD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4户</w:t>
                  </w:r>
                </w:p>
              </w:tc>
              <w:tc>
                <w:tcPr>
                  <w:tcW w:w="1704" w:type="dxa"/>
                  <w:tcBorders>
                    <w:tl2br w:val="nil"/>
                    <w:tr2bl w:val="nil"/>
                  </w:tcBorders>
                  <w:noWrap w:val="0"/>
                  <w:vAlign w:val="center"/>
                </w:tcPr>
                <w:p w14:paraId="0904576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居民区</w:t>
                  </w:r>
                </w:p>
              </w:tc>
            </w:tr>
            <w:tr w14:paraId="201146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69858D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4</w:t>
                  </w:r>
                </w:p>
              </w:tc>
              <w:tc>
                <w:tcPr>
                  <w:tcW w:w="1607" w:type="dxa"/>
                  <w:tcBorders>
                    <w:tl2br w:val="nil"/>
                    <w:tr2bl w:val="nil"/>
                  </w:tcBorders>
                  <w:noWrap w:val="0"/>
                  <w:vAlign w:val="center"/>
                </w:tcPr>
                <w:p w14:paraId="3F64143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054774C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东</w:t>
                  </w:r>
                  <w:r>
                    <w:rPr>
                      <w:rFonts w:hint="default" w:ascii="Times New Roman" w:hAnsi="Times New Roman" w:eastAsia="宋体" w:cs="Times New Roman"/>
                      <w:b w:val="0"/>
                      <w:bCs w:val="0"/>
                      <w:color w:val="auto"/>
                      <w:sz w:val="21"/>
                      <w:szCs w:val="21"/>
                      <w:highlight w:val="none"/>
                      <w:lang w:val="en-US" w:eastAsia="zh-CN"/>
                    </w:rPr>
                    <w:t>南侧</w:t>
                  </w:r>
                </w:p>
              </w:tc>
              <w:tc>
                <w:tcPr>
                  <w:tcW w:w="1560" w:type="dxa"/>
                  <w:tcBorders>
                    <w:tl2br w:val="nil"/>
                    <w:tr2bl w:val="nil"/>
                  </w:tcBorders>
                  <w:noWrap w:val="0"/>
                  <w:vAlign w:val="center"/>
                </w:tcPr>
                <w:p w14:paraId="11853DF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8m~500m</w:t>
                  </w:r>
                </w:p>
              </w:tc>
              <w:tc>
                <w:tcPr>
                  <w:tcW w:w="1704" w:type="dxa"/>
                  <w:tcBorders>
                    <w:tl2br w:val="nil"/>
                    <w:tr2bl w:val="nil"/>
                  </w:tcBorders>
                  <w:noWrap w:val="0"/>
                  <w:vAlign w:val="center"/>
                </w:tcPr>
                <w:p w14:paraId="6213F6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23户</w:t>
                  </w:r>
                </w:p>
              </w:tc>
              <w:tc>
                <w:tcPr>
                  <w:tcW w:w="1704" w:type="dxa"/>
                  <w:tcBorders>
                    <w:tl2br w:val="nil"/>
                    <w:tr2bl w:val="nil"/>
                  </w:tcBorders>
                  <w:noWrap w:val="0"/>
                  <w:vAlign w:val="center"/>
                </w:tcPr>
                <w:p w14:paraId="185CE83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居民区</w:t>
                  </w:r>
                </w:p>
              </w:tc>
            </w:tr>
            <w:tr w14:paraId="3FDA1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2A37B43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5</w:t>
                  </w:r>
                </w:p>
              </w:tc>
              <w:tc>
                <w:tcPr>
                  <w:tcW w:w="1607" w:type="dxa"/>
                  <w:tcBorders>
                    <w:tl2br w:val="nil"/>
                    <w:tr2bl w:val="nil"/>
                  </w:tcBorders>
                  <w:shd w:val="clear" w:color="auto" w:fill="auto"/>
                  <w:noWrap w:val="0"/>
                  <w:vAlign w:val="center"/>
                </w:tcPr>
                <w:p w14:paraId="484A5ED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57BE3B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西南侧</w:t>
                  </w:r>
                </w:p>
              </w:tc>
              <w:tc>
                <w:tcPr>
                  <w:tcW w:w="1560" w:type="dxa"/>
                  <w:tcBorders>
                    <w:tl2br w:val="nil"/>
                    <w:tr2bl w:val="nil"/>
                  </w:tcBorders>
                  <w:noWrap w:val="0"/>
                  <w:vAlign w:val="center"/>
                </w:tcPr>
                <w:p w14:paraId="2E7B01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468m</w:t>
                  </w:r>
                </w:p>
              </w:tc>
              <w:tc>
                <w:tcPr>
                  <w:tcW w:w="1704" w:type="dxa"/>
                  <w:tcBorders>
                    <w:tl2br w:val="nil"/>
                    <w:tr2bl w:val="nil"/>
                  </w:tcBorders>
                  <w:noWrap w:val="0"/>
                  <w:vAlign w:val="center"/>
                </w:tcPr>
                <w:p w14:paraId="07EED5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1户</w:t>
                  </w:r>
                </w:p>
              </w:tc>
              <w:tc>
                <w:tcPr>
                  <w:tcW w:w="1704" w:type="dxa"/>
                  <w:tcBorders>
                    <w:tl2br w:val="nil"/>
                    <w:tr2bl w:val="nil"/>
                  </w:tcBorders>
                  <w:shd w:val="clear" w:color="auto" w:fill="auto"/>
                  <w:noWrap w:val="0"/>
                  <w:vAlign w:val="center"/>
                </w:tcPr>
                <w:p w14:paraId="14190D0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r w14:paraId="626FF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3CFC5FA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6</w:t>
                  </w:r>
                </w:p>
              </w:tc>
              <w:tc>
                <w:tcPr>
                  <w:tcW w:w="1607" w:type="dxa"/>
                  <w:tcBorders>
                    <w:tl2br w:val="nil"/>
                    <w:tr2bl w:val="nil"/>
                  </w:tcBorders>
                  <w:shd w:val="clear" w:color="auto" w:fill="auto"/>
                  <w:noWrap w:val="0"/>
                  <w:vAlign w:val="center"/>
                </w:tcPr>
                <w:p w14:paraId="3D38BB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5CCCE0B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西侧</w:t>
                  </w:r>
                </w:p>
              </w:tc>
              <w:tc>
                <w:tcPr>
                  <w:tcW w:w="1560" w:type="dxa"/>
                  <w:tcBorders>
                    <w:tl2br w:val="nil"/>
                    <w:tr2bl w:val="nil"/>
                  </w:tcBorders>
                  <w:noWrap w:val="0"/>
                  <w:vAlign w:val="center"/>
                </w:tcPr>
                <w:p w14:paraId="7BADF74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lang w:val="en-US" w:eastAsia="zh-CN" w:bidi="ar"/>
                    </w:rPr>
                    <w:t>44m~485m</w:t>
                  </w:r>
                </w:p>
              </w:tc>
              <w:tc>
                <w:tcPr>
                  <w:tcW w:w="1704" w:type="dxa"/>
                  <w:tcBorders>
                    <w:tl2br w:val="nil"/>
                    <w:tr2bl w:val="nil"/>
                  </w:tcBorders>
                  <w:noWrap w:val="0"/>
                  <w:vAlign w:val="center"/>
                </w:tcPr>
                <w:p w14:paraId="734BE1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21</w:t>
                  </w:r>
                  <w:r>
                    <w:rPr>
                      <w:rFonts w:hint="default" w:ascii="Times New Roman" w:hAnsi="Times New Roman" w:eastAsia="宋体" w:cs="Times New Roman"/>
                      <w:b w:val="0"/>
                      <w:bCs w:val="0"/>
                      <w:color w:val="auto"/>
                      <w:sz w:val="21"/>
                      <w:szCs w:val="21"/>
                      <w:highlight w:val="none"/>
                      <w:lang w:val="en-US" w:eastAsia="zh-CN"/>
                    </w:rPr>
                    <w:t>户</w:t>
                  </w:r>
                </w:p>
              </w:tc>
              <w:tc>
                <w:tcPr>
                  <w:tcW w:w="1704" w:type="dxa"/>
                  <w:tcBorders>
                    <w:tl2br w:val="nil"/>
                    <w:tr2bl w:val="nil"/>
                  </w:tcBorders>
                  <w:shd w:val="clear" w:color="auto" w:fill="auto"/>
                  <w:noWrap w:val="0"/>
                  <w:vAlign w:val="center"/>
                </w:tcPr>
                <w:p w14:paraId="6B9E2CB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r w14:paraId="7251A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12B96C7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w:t>
                  </w:r>
                </w:p>
              </w:tc>
              <w:tc>
                <w:tcPr>
                  <w:tcW w:w="1607" w:type="dxa"/>
                  <w:tcBorders>
                    <w:tl2br w:val="nil"/>
                    <w:tr2bl w:val="nil"/>
                  </w:tcBorders>
                  <w:shd w:val="clear" w:color="auto" w:fill="auto"/>
                  <w:noWrap w:val="0"/>
                  <w:vAlign w:val="center"/>
                </w:tcPr>
                <w:p w14:paraId="49F87A8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4EB9BB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西北</w:t>
                  </w:r>
                </w:p>
              </w:tc>
              <w:tc>
                <w:tcPr>
                  <w:tcW w:w="1560" w:type="dxa"/>
                  <w:tcBorders>
                    <w:tl2br w:val="nil"/>
                    <w:tr2bl w:val="nil"/>
                  </w:tcBorders>
                  <w:noWrap w:val="0"/>
                  <w:vAlign w:val="center"/>
                </w:tcPr>
                <w:p w14:paraId="3E25E2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424m~478m</w:t>
                  </w:r>
                </w:p>
              </w:tc>
              <w:tc>
                <w:tcPr>
                  <w:tcW w:w="1704" w:type="dxa"/>
                  <w:tcBorders>
                    <w:tl2br w:val="nil"/>
                    <w:tr2bl w:val="nil"/>
                  </w:tcBorders>
                  <w:noWrap w:val="0"/>
                  <w:vAlign w:val="center"/>
                </w:tcPr>
                <w:p w14:paraId="6799BB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4户</w:t>
                  </w:r>
                </w:p>
              </w:tc>
              <w:tc>
                <w:tcPr>
                  <w:tcW w:w="1704" w:type="dxa"/>
                  <w:tcBorders>
                    <w:tl2br w:val="nil"/>
                    <w:tr2bl w:val="nil"/>
                  </w:tcBorders>
                  <w:shd w:val="clear" w:color="auto" w:fill="auto"/>
                  <w:noWrap w:val="0"/>
                  <w:vAlign w:val="center"/>
                </w:tcPr>
                <w:p w14:paraId="376B91F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bl>
          <w:p w14:paraId="582DD1D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由以上描述可知，本项目厂界50</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m范围内</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无自然保护区、</w:t>
            </w:r>
            <w:r>
              <w:rPr>
                <w:rFonts w:hint="default" w:ascii="Times New Roman" w:hAnsi="Times New Roman" w:cs="Times New Roman"/>
                <w:color w:val="auto"/>
                <w:sz w:val="24"/>
                <w:szCs w:val="24"/>
                <w:highlight w:val="none"/>
                <w:lang w:eastAsia="zh-CN"/>
              </w:rPr>
              <w:t>风景名胜区、饮用水源保护区等环境敏感区，亦无文物古迹等敏感点。本项目营运期产生的污染物主要为废水和噪声。项目</w:t>
            </w:r>
            <w:r>
              <w:rPr>
                <w:rFonts w:hint="default" w:ascii="Times New Roman" w:hAnsi="Times New Roman" w:cs="Times New Roman"/>
                <w:color w:val="auto"/>
                <w:sz w:val="24"/>
                <w:szCs w:val="24"/>
                <w:highlight w:val="none"/>
                <w:lang w:val="en-US" w:eastAsia="zh-CN"/>
              </w:rPr>
              <w:t>生活污水经化粪池处理后用于农肥</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经沉淀后回用于厂区绿化；膜</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经排水池收集后全部返回供水厂净水设施处理</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噪声采用低噪声设备、</w:t>
            </w:r>
            <w:r>
              <w:rPr>
                <w:rFonts w:hint="default" w:ascii="Times New Roman" w:hAnsi="Times New Roman" w:cs="Times New Roman"/>
                <w:color w:val="auto"/>
                <w:sz w:val="24"/>
                <w:szCs w:val="24"/>
                <w:highlight w:val="none"/>
                <w:lang w:val="en-US" w:eastAsia="zh-CN"/>
              </w:rPr>
              <w:t>绿化</w:t>
            </w:r>
            <w:r>
              <w:rPr>
                <w:rFonts w:hint="default" w:ascii="Times New Roman" w:hAnsi="Times New Roman" w:cs="Times New Roman"/>
                <w:color w:val="auto"/>
                <w:sz w:val="24"/>
                <w:szCs w:val="24"/>
                <w:highlight w:val="none"/>
                <w:lang w:eastAsia="zh-CN"/>
              </w:rPr>
              <w:t>等降噪措施，可确保噪声达标排放，不会对周围居民造成影响。</w:t>
            </w:r>
          </w:p>
          <w:p w14:paraId="19943F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综上所述，本项目与周边环境较相容，不在国家限制、禁止用地项目的范围内，项目选址合理。</w:t>
            </w:r>
          </w:p>
          <w:p w14:paraId="0C62111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b/>
                <w:bCs/>
                <w:color w:val="auto"/>
                <w:sz w:val="24"/>
                <w:szCs w:val="24"/>
                <w:highlight w:val="none"/>
                <w:lang w:val="en-US" w:eastAsia="zh-CN"/>
              </w:rPr>
              <w:t>2）隘口水厂</w:t>
            </w:r>
          </w:p>
          <w:p w14:paraId="459DD67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隘口</w:t>
            </w:r>
            <w:r>
              <w:rPr>
                <w:rFonts w:hint="default" w:ascii="Times New Roman" w:hAnsi="Times New Roman" w:cs="Times New Roman"/>
                <w:color w:val="auto"/>
                <w:sz w:val="24"/>
                <w:szCs w:val="24"/>
                <w:highlight w:val="none"/>
                <w:lang w:val="en-US" w:eastAsia="zh-CN"/>
              </w:rPr>
              <w:t>水厂</w:t>
            </w:r>
            <w:r>
              <w:rPr>
                <w:rFonts w:hint="default" w:ascii="Times New Roman" w:hAnsi="Times New Roman" w:cs="Times New Roman"/>
                <w:color w:val="auto"/>
                <w:sz w:val="24"/>
                <w:szCs w:val="24"/>
                <w:highlight w:val="none"/>
              </w:rPr>
              <w:t>位于</w:t>
            </w:r>
            <w:r>
              <w:rPr>
                <w:rFonts w:hint="eastAsia" w:ascii="Times New Roman" w:hAnsi="Times New Roman" w:eastAsia="宋体" w:cs="Times New Roman"/>
                <w:color w:val="auto"/>
                <w:sz w:val="24"/>
                <w:szCs w:val="32"/>
                <w:highlight w:val="none"/>
                <w:vertAlign w:val="baseline"/>
                <w:lang w:val="en-US" w:eastAsia="zh-CN"/>
              </w:rPr>
              <w:t>宣汉县马渡关镇隘口社区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不占用基本农田，水厂距离</w:t>
            </w:r>
            <w:r>
              <w:rPr>
                <w:rFonts w:hint="eastAsia" w:ascii="Times New Roman" w:hAnsi="Times New Roman" w:cs="Times New Roman"/>
                <w:color w:val="auto"/>
                <w:sz w:val="24"/>
                <w:szCs w:val="24"/>
                <w:highlight w:val="none"/>
                <w:lang w:val="en-US" w:eastAsia="zh-CN"/>
              </w:rPr>
              <w:t>隘口社区</w:t>
            </w:r>
            <w:r>
              <w:rPr>
                <w:rFonts w:hint="default" w:ascii="Times New Roman" w:hAnsi="Times New Roman" w:cs="Times New Roman"/>
                <w:color w:val="auto"/>
                <w:sz w:val="24"/>
                <w:szCs w:val="24"/>
                <w:highlight w:val="none"/>
                <w:lang w:val="en-US" w:eastAsia="zh-CN"/>
              </w:rPr>
              <w:t>约</w:t>
            </w:r>
            <w:r>
              <w:rPr>
                <w:rFonts w:hint="eastAsia" w:ascii="Times New Roman" w:hAnsi="Times New Roman" w:cs="Times New Roman"/>
                <w:color w:val="auto"/>
                <w:sz w:val="24"/>
                <w:szCs w:val="24"/>
                <w:highlight w:val="none"/>
                <w:lang w:val="en-US" w:eastAsia="zh-CN"/>
              </w:rPr>
              <w:t>0.8k</w:t>
            </w:r>
            <w:r>
              <w:rPr>
                <w:rFonts w:hint="default" w:ascii="Times New Roman" w:hAnsi="Times New Roman" w:cs="Times New Roman"/>
                <w:color w:val="auto"/>
                <w:sz w:val="24"/>
                <w:szCs w:val="24"/>
                <w:highlight w:val="none"/>
                <w:lang w:val="en-US" w:eastAsia="zh-CN"/>
              </w:rPr>
              <w:t>m，位于</w:t>
            </w:r>
            <w:r>
              <w:rPr>
                <w:rFonts w:hint="eastAsia" w:ascii="Times New Roman" w:hAnsi="Times New Roman" w:cs="Times New Roman"/>
                <w:color w:val="auto"/>
                <w:sz w:val="24"/>
                <w:szCs w:val="24"/>
                <w:highlight w:val="none"/>
                <w:lang w:val="en-US" w:eastAsia="zh-CN"/>
              </w:rPr>
              <w:t>其</w:t>
            </w:r>
            <w:r>
              <w:rPr>
                <w:rFonts w:hint="default" w:ascii="Times New Roman" w:hAnsi="Times New Roman" w:cs="Times New Roman"/>
                <w:color w:val="auto"/>
                <w:sz w:val="24"/>
                <w:szCs w:val="24"/>
                <w:highlight w:val="none"/>
                <w:lang w:val="en-US" w:eastAsia="zh-CN"/>
              </w:rPr>
              <w:t>取水口</w:t>
            </w:r>
            <w:r>
              <w:rPr>
                <w:rFonts w:hint="eastAsia" w:ascii="Times New Roman" w:hAnsi="Times New Roman" w:cs="Times New Roman"/>
                <w:color w:val="auto"/>
                <w:sz w:val="24"/>
                <w:szCs w:val="24"/>
                <w:highlight w:val="none"/>
                <w:lang w:val="en-US" w:eastAsia="zh-CN"/>
              </w:rPr>
              <w:t>西北</w:t>
            </w:r>
            <w:r>
              <w:rPr>
                <w:rFonts w:hint="default" w:ascii="Times New Roman" w:hAnsi="Times New Roman" w:cs="Times New Roman"/>
                <w:color w:val="auto"/>
                <w:sz w:val="24"/>
                <w:szCs w:val="24"/>
                <w:highlight w:val="none"/>
                <w:lang w:val="en-US" w:eastAsia="zh-CN"/>
              </w:rPr>
              <w:t>侧</w:t>
            </w:r>
            <w:r>
              <w:rPr>
                <w:rFonts w:hint="eastAsia" w:ascii="Times New Roman" w:hAnsi="Times New Roman" w:cs="Times New Roman"/>
                <w:bCs/>
                <w:color w:val="auto"/>
                <w:sz w:val="24"/>
                <w:szCs w:val="24"/>
                <w:highlight w:val="none"/>
                <w:lang w:val="en-US" w:eastAsia="zh-CN"/>
              </w:rPr>
              <w:t>400</w:t>
            </w:r>
            <w:r>
              <w:rPr>
                <w:rFonts w:hint="default" w:ascii="Times New Roman" w:hAnsi="Times New Roman" w:cs="Times New Roman"/>
                <w:color w:val="auto"/>
                <w:sz w:val="24"/>
                <w:szCs w:val="24"/>
                <w:highlight w:val="none"/>
                <w:lang w:val="en-US" w:eastAsia="zh-CN"/>
              </w:rPr>
              <w:t>m，占地面积约</w:t>
            </w:r>
            <w:r>
              <w:rPr>
                <w:rFonts w:hint="eastAsia" w:ascii="Times New Roman" w:hAnsi="Times New Roman" w:eastAsia="宋体" w:cs="Times New Roman"/>
                <w:color w:val="auto"/>
                <w:kern w:val="2"/>
                <w:sz w:val="24"/>
                <w:szCs w:val="24"/>
                <w:highlight w:val="none"/>
                <w:lang w:val="en-US" w:eastAsia="zh-CN" w:bidi="ar-SA"/>
              </w:rPr>
              <w:t>1046</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。根据现场踏勘，外环境关系如下：</w:t>
            </w:r>
          </w:p>
          <w:p w14:paraId="3D14CE69">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北侧</w:t>
            </w:r>
            <w:r>
              <w:rPr>
                <w:rFonts w:hint="eastAsia" w:ascii="Times New Roman" w:hAnsi="Times New Roman" w:eastAsia="宋体" w:cs="Times New Roman"/>
                <w:b w:val="0"/>
                <w:bCs w:val="0"/>
                <w:color w:val="auto"/>
                <w:kern w:val="0"/>
                <w:sz w:val="24"/>
                <w:szCs w:val="24"/>
                <w:lang w:val="en-US" w:eastAsia="zh-CN" w:bidi="ar"/>
              </w:rPr>
              <w:t>：</w:t>
            </w:r>
            <w:r>
              <w:rPr>
                <w:rFonts w:hint="eastAsia" w:ascii="宋体" w:hAnsi="宋体" w:eastAsia="宋体" w:cs="宋体"/>
                <w:color w:val="auto"/>
                <w:sz w:val="24"/>
                <w:szCs w:val="24"/>
                <w:highlight w:val="none"/>
                <w:lang w:val="en-US" w:eastAsia="zh-CN"/>
              </w:rPr>
              <w:t>为农田、林地</w:t>
            </w:r>
            <w:r>
              <w:rPr>
                <w:rFonts w:hint="eastAsia" w:ascii="宋体" w:hAnsi="宋体" w:eastAsia="宋体" w:cs="宋体"/>
                <w:color w:val="auto"/>
                <w:sz w:val="24"/>
                <w:szCs w:val="24"/>
                <w:lang w:val="en-US" w:eastAsia="zh-CN"/>
              </w:rPr>
              <w:t>。</w:t>
            </w:r>
          </w:p>
          <w:p w14:paraId="7AD70919">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东北侧</w:t>
            </w:r>
            <w:r>
              <w:rPr>
                <w:rFonts w:hint="eastAsia" w:ascii="Times New Roman" w:hAnsi="Times New Roman" w:eastAsia="宋体" w:cs="Times New Roman"/>
                <w:b w:val="0"/>
                <w:bCs w:val="0"/>
                <w:color w:val="auto"/>
                <w:kern w:val="0"/>
                <w:sz w:val="24"/>
                <w:szCs w:val="24"/>
                <w:lang w:val="en-US" w:eastAsia="zh-CN" w:bidi="ar"/>
              </w:rPr>
              <w:t>：约120m~198m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有5户农户。</w:t>
            </w:r>
          </w:p>
          <w:p w14:paraId="3F11D780">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东侧</w:t>
            </w:r>
            <w:r>
              <w:rPr>
                <w:rFonts w:hint="eastAsia" w:ascii="Times New Roman" w:hAnsi="Times New Roman" w:eastAsia="宋体" w:cs="Times New Roman"/>
                <w:b w:val="0"/>
                <w:bCs w:val="0"/>
                <w:color w:val="auto"/>
                <w:kern w:val="0"/>
                <w:sz w:val="24"/>
                <w:szCs w:val="24"/>
                <w:lang w:val="en-US" w:eastAsia="zh-CN" w:bidi="ar"/>
              </w:rPr>
              <w:t>：</w:t>
            </w:r>
            <w:r>
              <w:rPr>
                <w:rFonts w:hint="eastAsia" w:ascii="宋体" w:hAnsi="宋体" w:eastAsia="宋体" w:cs="宋体"/>
                <w:color w:val="auto"/>
                <w:sz w:val="24"/>
                <w:szCs w:val="24"/>
                <w:highlight w:val="none"/>
                <w:lang w:val="en-US" w:eastAsia="zh-CN"/>
              </w:rPr>
              <w:t>为农田、林地</w:t>
            </w:r>
            <w:r>
              <w:rPr>
                <w:rFonts w:hint="eastAsia" w:ascii="Times New Roman" w:hAnsi="Times New Roman" w:eastAsia="宋体" w:cs="Times New Roman"/>
                <w:b w:val="0"/>
                <w:bCs w:val="0"/>
                <w:color w:val="auto"/>
                <w:kern w:val="0"/>
                <w:sz w:val="24"/>
                <w:szCs w:val="24"/>
                <w:lang w:val="en-US" w:eastAsia="zh-CN" w:bidi="ar"/>
              </w:rPr>
              <w:t>。</w:t>
            </w:r>
          </w:p>
          <w:p w14:paraId="0AB40CA6">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东南侧</w:t>
            </w:r>
            <w:r>
              <w:rPr>
                <w:rFonts w:hint="eastAsia" w:ascii="Times New Roman" w:hAnsi="Times New Roman" w:eastAsia="宋体" w:cs="Times New Roman"/>
                <w:b w:val="0"/>
                <w:bCs w:val="0"/>
                <w:color w:val="auto"/>
                <w:kern w:val="0"/>
                <w:sz w:val="24"/>
                <w:szCs w:val="24"/>
                <w:lang w:val="en-US" w:eastAsia="zh-CN" w:bidi="ar"/>
              </w:rPr>
              <w:t>：约96m~128m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有3户农户。</w:t>
            </w:r>
          </w:p>
          <w:p w14:paraId="1E664521">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南侧：</w:t>
            </w:r>
            <w:r>
              <w:rPr>
                <w:rFonts w:hint="eastAsia" w:ascii="Times New Roman" w:hAnsi="Times New Roman" w:eastAsia="宋体" w:cs="Times New Roman"/>
                <w:b w:val="0"/>
                <w:bCs w:val="0"/>
                <w:color w:val="auto"/>
                <w:kern w:val="0"/>
                <w:sz w:val="24"/>
                <w:szCs w:val="24"/>
                <w:lang w:val="en-US" w:eastAsia="zh-CN" w:bidi="ar"/>
              </w:rPr>
              <w:t>约195m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有1户农户</w:t>
            </w:r>
            <w:r>
              <w:rPr>
                <w:rFonts w:hint="default" w:ascii="Times New Roman" w:hAnsi="Times New Roman" w:eastAsia="宋体" w:cs="Times New Roman"/>
                <w:b w:val="0"/>
                <w:bCs w:val="0"/>
                <w:color w:val="auto"/>
                <w:kern w:val="0"/>
                <w:sz w:val="24"/>
                <w:szCs w:val="24"/>
                <w:lang w:val="en-US" w:eastAsia="zh-CN" w:bidi="ar"/>
              </w:rPr>
              <w:t>。</w:t>
            </w:r>
          </w:p>
          <w:p w14:paraId="4C048C12">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西南侧：约345m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有1户农户</w:t>
            </w:r>
            <w:r>
              <w:rPr>
                <w:rFonts w:hint="default" w:ascii="Times New Roman" w:hAnsi="Times New Roman" w:eastAsia="宋体" w:cs="Times New Roman"/>
                <w:b w:val="0"/>
                <w:bCs w:val="0"/>
                <w:color w:val="auto"/>
                <w:kern w:val="0"/>
                <w:sz w:val="24"/>
                <w:szCs w:val="24"/>
                <w:lang w:val="en-US" w:eastAsia="zh-CN" w:bidi="ar"/>
              </w:rPr>
              <w:t>。</w:t>
            </w:r>
          </w:p>
          <w:p w14:paraId="1D7E4F61">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西侧</w:t>
            </w:r>
            <w:r>
              <w:rPr>
                <w:rFonts w:hint="eastAsia" w:ascii="Times New Roman" w:hAnsi="Times New Roman" w:eastAsia="宋体" w:cs="Times New Roman"/>
                <w:b w:val="0"/>
                <w:bCs w:val="0"/>
                <w:color w:val="auto"/>
                <w:kern w:val="0"/>
                <w:sz w:val="24"/>
                <w:szCs w:val="24"/>
                <w:lang w:val="en-US" w:eastAsia="zh-CN" w:bidi="ar"/>
              </w:rPr>
              <w:t>：约212m~326m</w:t>
            </w:r>
            <w:r>
              <w:rPr>
                <w:rFonts w:hint="default" w:ascii="Times New Roman" w:hAnsi="Times New Roman" w:eastAsia="宋体" w:cs="Times New Roman"/>
                <w:b w:val="0"/>
                <w:bCs w:val="0"/>
                <w:color w:val="auto"/>
                <w:kern w:val="0"/>
                <w:sz w:val="24"/>
                <w:szCs w:val="24"/>
                <w:lang w:val="en-US" w:eastAsia="zh-CN" w:bidi="ar"/>
              </w:rPr>
              <w:t>处</w:t>
            </w:r>
            <w:r>
              <w:rPr>
                <w:rFonts w:hint="eastAsia" w:ascii="Times New Roman" w:hAnsi="Times New Roman" w:eastAsia="宋体" w:cs="Times New Roman"/>
                <w:b w:val="0"/>
                <w:bCs w:val="0"/>
                <w:color w:val="auto"/>
                <w:kern w:val="0"/>
                <w:sz w:val="24"/>
                <w:szCs w:val="24"/>
                <w:lang w:val="en-US" w:eastAsia="zh-CN" w:bidi="ar"/>
              </w:rPr>
              <w:t>有12户农户</w:t>
            </w:r>
            <w:r>
              <w:rPr>
                <w:rFonts w:hint="default" w:ascii="Times New Roman" w:hAnsi="Times New Roman" w:eastAsia="宋体" w:cs="Times New Roman"/>
                <w:b w:val="0"/>
                <w:bCs w:val="0"/>
                <w:color w:val="auto"/>
                <w:kern w:val="0"/>
                <w:sz w:val="24"/>
                <w:szCs w:val="24"/>
                <w:lang w:val="en-US" w:eastAsia="zh-CN" w:bidi="ar"/>
              </w:rPr>
              <w:t>。</w:t>
            </w:r>
          </w:p>
          <w:p w14:paraId="7E7CD0A7">
            <w:pPr>
              <w:pStyle w:val="21"/>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西北侧：</w:t>
            </w:r>
            <w:r>
              <w:rPr>
                <w:rFonts w:hint="eastAsia" w:ascii="宋体" w:hAnsi="宋体" w:eastAsia="宋体" w:cs="宋体"/>
                <w:color w:val="auto"/>
                <w:sz w:val="24"/>
                <w:szCs w:val="24"/>
                <w:highlight w:val="none"/>
                <w:lang w:val="en-US" w:eastAsia="zh-CN"/>
              </w:rPr>
              <w:t>为农田、林地</w:t>
            </w:r>
            <w:r>
              <w:rPr>
                <w:rFonts w:hint="eastAsia" w:ascii="Times New Roman" w:hAnsi="Times New Roman" w:eastAsia="宋体" w:cs="Times New Roman"/>
                <w:b w:val="0"/>
                <w:bCs w:val="0"/>
                <w:color w:val="auto"/>
                <w:kern w:val="0"/>
                <w:sz w:val="24"/>
                <w:szCs w:val="24"/>
                <w:lang w:val="en-US" w:eastAsia="zh-CN" w:bidi="ar"/>
              </w:rPr>
              <w:t>。</w:t>
            </w:r>
          </w:p>
          <w:p w14:paraId="5E421B56">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val="0"/>
                <w:color w:val="auto"/>
                <w:kern w:val="0"/>
                <w:sz w:val="24"/>
                <w:szCs w:val="24"/>
                <w:lang w:val="en-US" w:eastAsia="zh-CN" w:bidi="ar"/>
              </w:rPr>
              <w:t>本项目</w:t>
            </w:r>
            <w:r>
              <w:rPr>
                <w:rFonts w:hint="eastAsia" w:ascii="Times New Roman" w:hAnsi="Times New Roman" w:cs="Times New Roman"/>
                <w:color w:val="auto"/>
                <w:sz w:val="24"/>
                <w:szCs w:val="24"/>
                <w:highlight w:val="none"/>
                <w:lang w:val="en-US" w:eastAsia="zh-CN"/>
              </w:rPr>
              <w:t>隘口</w:t>
            </w:r>
            <w:r>
              <w:rPr>
                <w:rFonts w:hint="default" w:ascii="Times New Roman" w:hAnsi="Times New Roman" w:cs="Times New Roman"/>
                <w:color w:val="auto"/>
                <w:sz w:val="24"/>
                <w:szCs w:val="24"/>
                <w:highlight w:val="none"/>
                <w:lang w:val="en-US" w:eastAsia="zh-CN"/>
              </w:rPr>
              <w:t>水厂</w:t>
            </w:r>
            <w:r>
              <w:rPr>
                <w:rFonts w:hint="eastAsia" w:ascii="Times New Roman" w:hAnsi="Times New Roman" w:eastAsia="宋体" w:cs="Times New Roman"/>
                <w:b w:val="0"/>
                <w:bCs w:val="0"/>
                <w:color w:val="auto"/>
                <w:kern w:val="0"/>
                <w:sz w:val="24"/>
                <w:szCs w:val="24"/>
                <w:lang w:val="en-US" w:eastAsia="zh-CN" w:bidi="ar"/>
              </w:rPr>
              <w:t>500m范围内外环境敏感点关系情况见下表。</w:t>
            </w:r>
          </w:p>
          <w:p w14:paraId="129D2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kern w:val="2"/>
                <w:sz w:val="21"/>
                <w:szCs w:val="21"/>
                <w:lang w:val="en-US" w:eastAsia="zh-CN" w:bidi="ar-SA"/>
              </w:rPr>
            </w:pPr>
            <w:r>
              <w:rPr>
                <w:rFonts w:hint="default" w:ascii="Times New Roman" w:hAnsi="Times New Roman" w:eastAsia="黑体" w:cs="Times New Roman"/>
                <w:b w:val="0"/>
                <w:bCs w:val="0"/>
                <w:color w:val="auto"/>
                <w:kern w:val="2"/>
                <w:sz w:val="21"/>
                <w:szCs w:val="21"/>
                <w:lang w:val="en-US" w:eastAsia="zh-CN" w:bidi="ar-SA"/>
              </w:rPr>
              <w:t>表</w:t>
            </w:r>
            <w:r>
              <w:rPr>
                <w:rFonts w:hint="eastAsia" w:ascii="Times New Roman" w:hAnsi="Times New Roman" w:eastAsia="黑体" w:cs="Times New Roman"/>
                <w:b w:val="0"/>
                <w:bCs w:val="0"/>
                <w:color w:val="auto"/>
                <w:kern w:val="2"/>
                <w:sz w:val="21"/>
                <w:szCs w:val="21"/>
                <w:lang w:val="en-US" w:eastAsia="zh-CN" w:bidi="ar-SA"/>
              </w:rPr>
              <w:t>1-16</w:t>
            </w:r>
            <w:r>
              <w:rPr>
                <w:rFonts w:hint="default" w:ascii="Times New Roman" w:hAnsi="Times New Roman" w:eastAsia="黑体" w:cs="Times New Roman"/>
                <w:b w:val="0"/>
                <w:bCs w:val="0"/>
                <w:color w:val="auto"/>
                <w:kern w:val="2"/>
                <w:sz w:val="21"/>
                <w:szCs w:val="21"/>
                <w:lang w:val="en-US" w:eastAsia="zh-CN" w:bidi="ar-SA"/>
              </w:rPr>
              <w:t xml:space="preserve">  </w:t>
            </w:r>
            <w:r>
              <w:rPr>
                <w:rFonts w:hint="eastAsia" w:ascii="Times New Roman" w:hAnsi="Times New Roman" w:eastAsia="黑体" w:cs="Times New Roman"/>
                <w:b w:val="0"/>
                <w:bCs w:val="0"/>
                <w:color w:val="auto"/>
                <w:kern w:val="2"/>
                <w:sz w:val="21"/>
                <w:szCs w:val="21"/>
                <w:lang w:val="en-US" w:eastAsia="zh-CN" w:bidi="ar-SA"/>
              </w:rPr>
              <w:t>项目外环境敏感点关系一览表</w:t>
            </w:r>
          </w:p>
          <w:tbl>
            <w:tblPr>
              <w:tblStyle w:val="25"/>
              <w:tblW w:w="90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04"/>
              <w:gridCol w:w="1607"/>
              <w:gridCol w:w="1635"/>
              <w:gridCol w:w="1560"/>
              <w:gridCol w:w="1704"/>
              <w:gridCol w:w="1704"/>
            </w:tblGrid>
            <w:tr w14:paraId="4E6BB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804" w:type="dxa"/>
                  <w:tcBorders>
                    <w:tl2br w:val="nil"/>
                    <w:tr2bl w:val="nil"/>
                  </w:tcBorders>
                  <w:noWrap w:val="0"/>
                  <w:vAlign w:val="center"/>
                </w:tcPr>
                <w:p w14:paraId="6E5F25CC">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序号</w:t>
                  </w:r>
                </w:p>
              </w:tc>
              <w:tc>
                <w:tcPr>
                  <w:tcW w:w="1607" w:type="dxa"/>
                  <w:tcBorders>
                    <w:tl2br w:val="nil"/>
                    <w:tr2bl w:val="nil"/>
                  </w:tcBorders>
                  <w:noWrap w:val="0"/>
                  <w:vAlign w:val="center"/>
                </w:tcPr>
                <w:p w14:paraId="3DEA882E">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1635" w:type="dxa"/>
                  <w:tcBorders>
                    <w:tl2br w:val="nil"/>
                    <w:tr2bl w:val="nil"/>
                  </w:tcBorders>
                  <w:noWrap w:val="0"/>
                  <w:vAlign w:val="center"/>
                </w:tcPr>
                <w:p w14:paraId="2E271D07">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方位</w:t>
                  </w:r>
                </w:p>
              </w:tc>
              <w:tc>
                <w:tcPr>
                  <w:tcW w:w="1560" w:type="dxa"/>
                  <w:tcBorders>
                    <w:tl2br w:val="nil"/>
                    <w:tr2bl w:val="nil"/>
                  </w:tcBorders>
                  <w:noWrap w:val="0"/>
                  <w:vAlign w:val="center"/>
                </w:tcPr>
                <w:p w14:paraId="5ABDA518">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距离</w:t>
                  </w:r>
                </w:p>
              </w:tc>
              <w:tc>
                <w:tcPr>
                  <w:tcW w:w="1704" w:type="dxa"/>
                  <w:tcBorders>
                    <w:tl2br w:val="nil"/>
                    <w:tr2bl w:val="nil"/>
                  </w:tcBorders>
                  <w:noWrap w:val="0"/>
                  <w:vAlign w:val="center"/>
                </w:tcPr>
                <w:p w14:paraId="74D1F388">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规模</w:t>
                  </w:r>
                </w:p>
              </w:tc>
              <w:tc>
                <w:tcPr>
                  <w:tcW w:w="1704" w:type="dxa"/>
                  <w:tcBorders>
                    <w:tl2br w:val="nil"/>
                    <w:tr2bl w:val="nil"/>
                  </w:tcBorders>
                  <w:noWrap w:val="0"/>
                  <w:vAlign w:val="center"/>
                </w:tcPr>
                <w:p w14:paraId="195B03E4">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类型</w:t>
                  </w:r>
                </w:p>
              </w:tc>
            </w:tr>
            <w:tr w14:paraId="0BE31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noWrap w:val="0"/>
                  <w:vAlign w:val="center"/>
                </w:tcPr>
                <w:p w14:paraId="3240445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w:t>
                  </w:r>
                </w:p>
              </w:tc>
              <w:tc>
                <w:tcPr>
                  <w:tcW w:w="1607" w:type="dxa"/>
                  <w:tcBorders>
                    <w:tl2br w:val="nil"/>
                    <w:tr2bl w:val="nil"/>
                  </w:tcBorders>
                  <w:noWrap w:val="0"/>
                  <w:vAlign w:val="center"/>
                </w:tcPr>
                <w:p w14:paraId="178F7D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62DBC84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东北侧</w:t>
                  </w:r>
                </w:p>
              </w:tc>
              <w:tc>
                <w:tcPr>
                  <w:tcW w:w="1560" w:type="dxa"/>
                  <w:tcBorders>
                    <w:tl2br w:val="nil"/>
                    <w:tr2bl w:val="nil"/>
                  </w:tcBorders>
                  <w:noWrap w:val="0"/>
                  <w:vAlign w:val="center"/>
                </w:tcPr>
                <w:p w14:paraId="480C1D2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bidi="ar"/>
                    </w:rPr>
                    <w:t>120m~198m</w:t>
                  </w:r>
                </w:p>
              </w:tc>
              <w:tc>
                <w:tcPr>
                  <w:tcW w:w="1704" w:type="dxa"/>
                  <w:tcBorders>
                    <w:tl2br w:val="nil"/>
                    <w:tr2bl w:val="nil"/>
                  </w:tcBorders>
                  <w:noWrap w:val="0"/>
                  <w:vAlign w:val="center"/>
                </w:tcPr>
                <w:p w14:paraId="019365F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5户</w:t>
                  </w:r>
                </w:p>
              </w:tc>
              <w:tc>
                <w:tcPr>
                  <w:tcW w:w="1704" w:type="dxa"/>
                  <w:tcBorders>
                    <w:tl2br w:val="nil"/>
                    <w:tr2bl w:val="nil"/>
                  </w:tcBorders>
                  <w:noWrap w:val="0"/>
                  <w:vAlign w:val="center"/>
                </w:tcPr>
                <w:p w14:paraId="22CFB02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r w14:paraId="3B7C7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noWrap w:val="0"/>
                  <w:vAlign w:val="center"/>
                </w:tcPr>
                <w:p w14:paraId="35F25C5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2</w:t>
                  </w:r>
                </w:p>
              </w:tc>
              <w:tc>
                <w:tcPr>
                  <w:tcW w:w="1607" w:type="dxa"/>
                  <w:tcBorders>
                    <w:tl2br w:val="nil"/>
                    <w:tr2bl w:val="nil"/>
                  </w:tcBorders>
                  <w:noWrap w:val="0"/>
                  <w:vAlign w:val="center"/>
                </w:tcPr>
                <w:p w14:paraId="5495BB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26531F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东南侧</w:t>
                  </w:r>
                </w:p>
              </w:tc>
              <w:tc>
                <w:tcPr>
                  <w:tcW w:w="1560" w:type="dxa"/>
                  <w:tcBorders>
                    <w:tl2br w:val="nil"/>
                    <w:tr2bl w:val="nil"/>
                  </w:tcBorders>
                  <w:noWrap w:val="0"/>
                  <w:vAlign w:val="center"/>
                </w:tcPr>
                <w:p w14:paraId="68EEA8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0"/>
                      <w:sz w:val="21"/>
                      <w:szCs w:val="21"/>
                      <w:lang w:val="en-US" w:eastAsia="zh-CN" w:bidi="ar"/>
                    </w:rPr>
                    <w:t>96m~128m</w:t>
                  </w:r>
                </w:p>
              </w:tc>
              <w:tc>
                <w:tcPr>
                  <w:tcW w:w="1704" w:type="dxa"/>
                  <w:tcBorders>
                    <w:tl2br w:val="nil"/>
                    <w:tr2bl w:val="nil"/>
                  </w:tcBorders>
                  <w:noWrap w:val="0"/>
                  <w:vAlign w:val="center"/>
                </w:tcPr>
                <w:p w14:paraId="3780766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3户</w:t>
                  </w:r>
                </w:p>
              </w:tc>
              <w:tc>
                <w:tcPr>
                  <w:tcW w:w="1704" w:type="dxa"/>
                  <w:tcBorders>
                    <w:tl2br w:val="nil"/>
                    <w:tr2bl w:val="nil"/>
                  </w:tcBorders>
                  <w:noWrap w:val="0"/>
                  <w:vAlign w:val="center"/>
                </w:tcPr>
                <w:p w14:paraId="66467A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r w14:paraId="18847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125CDA3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w:t>
                  </w:r>
                </w:p>
              </w:tc>
              <w:tc>
                <w:tcPr>
                  <w:tcW w:w="1607" w:type="dxa"/>
                  <w:tcBorders>
                    <w:tl2br w:val="nil"/>
                    <w:tr2bl w:val="nil"/>
                  </w:tcBorders>
                  <w:noWrap w:val="0"/>
                  <w:vAlign w:val="center"/>
                </w:tcPr>
                <w:p w14:paraId="0147C3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137E6F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w:t>
                  </w:r>
                </w:p>
              </w:tc>
              <w:tc>
                <w:tcPr>
                  <w:tcW w:w="1560" w:type="dxa"/>
                  <w:tcBorders>
                    <w:tl2br w:val="nil"/>
                    <w:tr2bl w:val="nil"/>
                  </w:tcBorders>
                  <w:noWrap w:val="0"/>
                  <w:vAlign w:val="center"/>
                </w:tcPr>
                <w:p w14:paraId="2C1302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195m</w:t>
                  </w:r>
                </w:p>
              </w:tc>
              <w:tc>
                <w:tcPr>
                  <w:tcW w:w="1704" w:type="dxa"/>
                  <w:tcBorders>
                    <w:tl2br w:val="nil"/>
                    <w:tr2bl w:val="nil"/>
                  </w:tcBorders>
                  <w:noWrap w:val="0"/>
                  <w:vAlign w:val="center"/>
                </w:tcPr>
                <w:p w14:paraId="3F0CA3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1户</w:t>
                  </w:r>
                </w:p>
              </w:tc>
              <w:tc>
                <w:tcPr>
                  <w:tcW w:w="1704" w:type="dxa"/>
                  <w:tcBorders>
                    <w:tl2br w:val="nil"/>
                    <w:tr2bl w:val="nil"/>
                  </w:tcBorders>
                  <w:noWrap w:val="0"/>
                  <w:vAlign w:val="center"/>
                </w:tcPr>
                <w:p w14:paraId="5EDCF1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居民区</w:t>
                  </w:r>
                </w:p>
              </w:tc>
            </w:tr>
            <w:tr w14:paraId="03D74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13097F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607" w:type="dxa"/>
                  <w:tcBorders>
                    <w:tl2br w:val="nil"/>
                    <w:tr2bl w:val="nil"/>
                  </w:tcBorders>
                  <w:noWrap w:val="0"/>
                  <w:vAlign w:val="center"/>
                </w:tcPr>
                <w:p w14:paraId="371E743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6850E9E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西南侧</w:t>
                  </w:r>
                </w:p>
              </w:tc>
              <w:tc>
                <w:tcPr>
                  <w:tcW w:w="1560" w:type="dxa"/>
                  <w:tcBorders>
                    <w:tl2br w:val="nil"/>
                    <w:tr2bl w:val="nil"/>
                  </w:tcBorders>
                  <w:noWrap w:val="0"/>
                  <w:vAlign w:val="center"/>
                </w:tcPr>
                <w:p w14:paraId="2A1F15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345m</w:t>
                  </w:r>
                </w:p>
              </w:tc>
              <w:tc>
                <w:tcPr>
                  <w:tcW w:w="1704" w:type="dxa"/>
                  <w:tcBorders>
                    <w:tl2br w:val="nil"/>
                    <w:tr2bl w:val="nil"/>
                  </w:tcBorders>
                  <w:noWrap w:val="0"/>
                  <w:vAlign w:val="center"/>
                </w:tcPr>
                <w:p w14:paraId="3CE393F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1户</w:t>
                  </w:r>
                </w:p>
              </w:tc>
              <w:tc>
                <w:tcPr>
                  <w:tcW w:w="1704" w:type="dxa"/>
                  <w:tcBorders>
                    <w:tl2br w:val="nil"/>
                    <w:tr2bl w:val="nil"/>
                  </w:tcBorders>
                  <w:shd w:val="clear" w:color="auto" w:fill="auto"/>
                  <w:noWrap w:val="0"/>
                  <w:vAlign w:val="center"/>
                </w:tcPr>
                <w:p w14:paraId="0EF663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r w14:paraId="651CF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04" w:type="dxa"/>
                  <w:tcBorders>
                    <w:tl2br w:val="nil"/>
                    <w:tr2bl w:val="nil"/>
                  </w:tcBorders>
                  <w:shd w:val="clear" w:color="auto" w:fill="auto"/>
                  <w:noWrap w:val="0"/>
                  <w:vAlign w:val="center"/>
                </w:tcPr>
                <w:p w14:paraId="5D9AE67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1607" w:type="dxa"/>
                  <w:tcBorders>
                    <w:tl2br w:val="nil"/>
                    <w:tr2bl w:val="nil"/>
                  </w:tcBorders>
                  <w:noWrap w:val="0"/>
                  <w:vAlign w:val="center"/>
                </w:tcPr>
                <w:p w14:paraId="568F9A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635" w:type="dxa"/>
                  <w:tcBorders>
                    <w:tl2br w:val="nil"/>
                    <w:tr2bl w:val="nil"/>
                  </w:tcBorders>
                  <w:noWrap w:val="0"/>
                  <w:vAlign w:val="center"/>
                </w:tcPr>
                <w:p w14:paraId="1C25060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w:t>
                  </w:r>
                </w:p>
              </w:tc>
              <w:tc>
                <w:tcPr>
                  <w:tcW w:w="1560" w:type="dxa"/>
                  <w:tcBorders>
                    <w:tl2br w:val="nil"/>
                    <w:tr2bl w:val="nil"/>
                  </w:tcBorders>
                  <w:noWrap w:val="0"/>
                  <w:vAlign w:val="center"/>
                </w:tcPr>
                <w:p w14:paraId="08B399F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212m~326m</w:t>
                  </w:r>
                </w:p>
              </w:tc>
              <w:tc>
                <w:tcPr>
                  <w:tcW w:w="1704" w:type="dxa"/>
                  <w:tcBorders>
                    <w:tl2br w:val="nil"/>
                    <w:tr2bl w:val="nil"/>
                  </w:tcBorders>
                  <w:noWrap w:val="0"/>
                  <w:vAlign w:val="center"/>
                </w:tcPr>
                <w:p w14:paraId="6E6C70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12户</w:t>
                  </w:r>
                </w:p>
              </w:tc>
              <w:tc>
                <w:tcPr>
                  <w:tcW w:w="1704" w:type="dxa"/>
                  <w:tcBorders>
                    <w:tl2br w:val="nil"/>
                    <w:tr2bl w:val="nil"/>
                  </w:tcBorders>
                  <w:shd w:val="clear" w:color="auto" w:fill="auto"/>
                  <w:noWrap w:val="0"/>
                  <w:vAlign w:val="center"/>
                </w:tcPr>
                <w:p w14:paraId="7DA014C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r>
          </w:tbl>
          <w:p w14:paraId="754000D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rPr>
              <w:t>由以上描述可知，本项目厂界50</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m范围内</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rPr>
              <w:t>无自然保护区、</w:t>
            </w:r>
            <w:r>
              <w:rPr>
                <w:rFonts w:hint="default" w:ascii="Times New Roman" w:hAnsi="Times New Roman" w:cs="Times New Roman"/>
                <w:color w:val="auto"/>
                <w:sz w:val="24"/>
                <w:szCs w:val="24"/>
                <w:highlight w:val="none"/>
                <w:lang w:eastAsia="zh-CN"/>
              </w:rPr>
              <w:t>风景名胜区、饮用水源保护区等环境敏感区，亦无文物古迹等敏感点。本项目营运期产生的污染物主要为废水和噪声。项目</w:t>
            </w:r>
            <w:r>
              <w:rPr>
                <w:rFonts w:hint="default" w:ascii="Times New Roman" w:hAnsi="Times New Roman" w:cs="Times New Roman"/>
                <w:color w:val="auto"/>
                <w:sz w:val="24"/>
                <w:szCs w:val="24"/>
                <w:highlight w:val="none"/>
                <w:lang w:val="en-US" w:eastAsia="zh-CN"/>
              </w:rPr>
              <w:t>生活污水经化粪池处理后用于农肥</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经沉淀后回用于厂区绿化；膜</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经排水池收集后全部返回供水厂净水设施处理</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噪声采用低噪声设备、</w:t>
            </w:r>
            <w:r>
              <w:rPr>
                <w:rFonts w:hint="default" w:ascii="Times New Roman" w:hAnsi="Times New Roman" w:cs="Times New Roman"/>
                <w:color w:val="auto"/>
                <w:sz w:val="24"/>
                <w:szCs w:val="24"/>
                <w:highlight w:val="none"/>
                <w:lang w:val="en-US" w:eastAsia="zh-CN"/>
              </w:rPr>
              <w:t>绿化</w:t>
            </w:r>
            <w:r>
              <w:rPr>
                <w:rFonts w:hint="default" w:ascii="Times New Roman" w:hAnsi="Times New Roman" w:cs="Times New Roman"/>
                <w:color w:val="auto"/>
                <w:sz w:val="24"/>
                <w:szCs w:val="24"/>
                <w:highlight w:val="none"/>
                <w:lang w:eastAsia="zh-CN"/>
              </w:rPr>
              <w:t>等降噪措施，可确保噪声达标排放，不会对周围居民造成影响。</w:t>
            </w:r>
          </w:p>
          <w:p w14:paraId="534E23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综上所述，本项目与周边环境较相容，不在国家限制、禁止用地项目的范围内，项目选址合理。</w:t>
            </w:r>
          </w:p>
          <w:p w14:paraId="3C1E9DEC">
            <w:pPr>
              <w:keepNext w:val="0"/>
              <w:keepLines w:val="0"/>
              <w:pageBreakBefore w:val="0"/>
              <w:suppressLineNumbers w:val="0"/>
              <w:kinsoku/>
              <w:wordWrap/>
              <w:overflowPunct/>
              <w:topLinePunct w:val="0"/>
              <w:autoSpaceDE/>
              <w:autoSpaceDN/>
              <w:bidi w:val="0"/>
              <w:adjustRightInd w:val="0"/>
              <w:spacing w:beforeAutospacing="0" w:afterAutospacing="0" w:line="360" w:lineRule="auto"/>
              <w:ind w:right="0"/>
              <w:textAlignment w:val="baseline"/>
              <w:rPr>
                <w:rFonts w:hint="eastAsia" w:ascii="Times New Roman" w:hAnsi="Times New Roman" w:eastAsia="黑体" w:cs="Times New Roman"/>
                <w:color w:val="auto"/>
                <w:sz w:val="24"/>
                <w:szCs w:val="24"/>
                <w:highlight w:val="none"/>
                <w:lang w:val="en-US" w:eastAsia="zh-CN"/>
              </w:rPr>
            </w:pPr>
          </w:p>
          <w:p w14:paraId="7FE3B716">
            <w:pPr>
              <w:pStyle w:val="21"/>
              <w:rPr>
                <w:rFonts w:hint="eastAsia" w:ascii="Times New Roman" w:hAnsi="Times New Roman" w:eastAsia="黑体" w:cs="Times New Roman"/>
                <w:color w:val="auto"/>
                <w:sz w:val="24"/>
                <w:szCs w:val="24"/>
                <w:highlight w:val="none"/>
                <w:lang w:val="en-US" w:eastAsia="zh-CN"/>
              </w:rPr>
            </w:pPr>
          </w:p>
          <w:p w14:paraId="34B4FAEA">
            <w:pPr>
              <w:rPr>
                <w:rFonts w:hint="eastAsia" w:ascii="Times New Roman" w:hAnsi="Times New Roman" w:eastAsia="黑体" w:cs="Times New Roman"/>
                <w:color w:val="auto"/>
                <w:sz w:val="24"/>
                <w:szCs w:val="24"/>
                <w:highlight w:val="none"/>
                <w:lang w:val="en-US" w:eastAsia="zh-CN"/>
              </w:rPr>
            </w:pPr>
          </w:p>
          <w:p w14:paraId="05C981B2">
            <w:pPr>
              <w:pStyle w:val="21"/>
              <w:rPr>
                <w:rFonts w:hint="eastAsia" w:ascii="Times New Roman" w:hAnsi="Times New Roman" w:eastAsia="黑体" w:cs="Times New Roman"/>
                <w:color w:val="auto"/>
                <w:sz w:val="24"/>
                <w:szCs w:val="24"/>
                <w:highlight w:val="none"/>
                <w:lang w:val="en-US" w:eastAsia="zh-CN"/>
              </w:rPr>
            </w:pPr>
          </w:p>
          <w:p w14:paraId="4A99F709">
            <w:pPr>
              <w:rPr>
                <w:rFonts w:hint="eastAsia" w:ascii="Times New Roman" w:hAnsi="Times New Roman" w:eastAsia="黑体" w:cs="Times New Roman"/>
                <w:color w:val="auto"/>
                <w:sz w:val="24"/>
                <w:szCs w:val="24"/>
                <w:highlight w:val="none"/>
                <w:lang w:val="en-US" w:eastAsia="zh-CN"/>
              </w:rPr>
            </w:pPr>
          </w:p>
          <w:p w14:paraId="782B90F7">
            <w:pPr>
              <w:pStyle w:val="21"/>
              <w:rPr>
                <w:rFonts w:hint="eastAsia" w:ascii="Times New Roman" w:hAnsi="Times New Roman" w:eastAsia="黑体" w:cs="Times New Roman"/>
                <w:color w:val="auto"/>
                <w:sz w:val="24"/>
                <w:szCs w:val="24"/>
                <w:highlight w:val="none"/>
                <w:lang w:val="en-US" w:eastAsia="zh-CN"/>
              </w:rPr>
            </w:pPr>
          </w:p>
          <w:p w14:paraId="6EC3DF75">
            <w:pPr>
              <w:rPr>
                <w:rFonts w:hint="eastAsia" w:ascii="Times New Roman" w:hAnsi="Times New Roman" w:eastAsia="黑体" w:cs="Times New Roman"/>
                <w:color w:val="auto"/>
                <w:sz w:val="24"/>
                <w:szCs w:val="24"/>
                <w:highlight w:val="none"/>
                <w:lang w:val="en-US" w:eastAsia="zh-CN"/>
              </w:rPr>
            </w:pPr>
          </w:p>
          <w:p w14:paraId="328A9621">
            <w:pPr>
              <w:pStyle w:val="21"/>
              <w:rPr>
                <w:rFonts w:hint="eastAsia" w:ascii="Times New Roman" w:hAnsi="Times New Roman" w:eastAsia="黑体" w:cs="Times New Roman"/>
                <w:color w:val="auto"/>
                <w:sz w:val="24"/>
                <w:szCs w:val="24"/>
                <w:highlight w:val="none"/>
                <w:lang w:val="en-US" w:eastAsia="zh-CN"/>
              </w:rPr>
            </w:pPr>
          </w:p>
          <w:p w14:paraId="0ECBF342">
            <w:pPr>
              <w:rPr>
                <w:rFonts w:hint="eastAsia" w:ascii="Times New Roman" w:hAnsi="Times New Roman" w:eastAsia="黑体" w:cs="Times New Roman"/>
                <w:color w:val="auto"/>
                <w:sz w:val="24"/>
                <w:szCs w:val="24"/>
                <w:highlight w:val="none"/>
                <w:lang w:val="en-US" w:eastAsia="zh-CN"/>
              </w:rPr>
            </w:pPr>
          </w:p>
          <w:p w14:paraId="2A5BEFA6">
            <w:pPr>
              <w:pStyle w:val="21"/>
              <w:rPr>
                <w:rFonts w:hint="eastAsia" w:ascii="Times New Roman" w:hAnsi="Times New Roman" w:eastAsia="黑体" w:cs="Times New Roman"/>
                <w:color w:val="auto"/>
                <w:sz w:val="24"/>
                <w:szCs w:val="24"/>
                <w:highlight w:val="none"/>
                <w:lang w:val="en-US" w:eastAsia="zh-CN"/>
              </w:rPr>
            </w:pPr>
          </w:p>
          <w:p w14:paraId="28DEB8CB">
            <w:pPr>
              <w:rPr>
                <w:rFonts w:hint="eastAsia" w:ascii="Times New Roman" w:hAnsi="Times New Roman" w:eastAsia="黑体" w:cs="Times New Roman"/>
                <w:color w:val="auto"/>
                <w:sz w:val="24"/>
                <w:szCs w:val="24"/>
                <w:highlight w:val="none"/>
                <w:lang w:val="en-US" w:eastAsia="zh-CN"/>
              </w:rPr>
            </w:pPr>
          </w:p>
          <w:p w14:paraId="51092467">
            <w:pPr>
              <w:pStyle w:val="21"/>
              <w:rPr>
                <w:rFonts w:hint="eastAsia" w:ascii="Times New Roman" w:hAnsi="Times New Roman" w:eastAsia="黑体" w:cs="Times New Roman"/>
                <w:color w:val="auto"/>
                <w:sz w:val="24"/>
                <w:szCs w:val="24"/>
                <w:highlight w:val="none"/>
                <w:lang w:val="en-US" w:eastAsia="zh-CN"/>
              </w:rPr>
            </w:pPr>
          </w:p>
          <w:p w14:paraId="3190D5B0">
            <w:pPr>
              <w:rPr>
                <w:rFonts w:hint="eastAsia"/>
                <w:lang w:val="en-US" w:eastAsia="zh-CN"/>
              </w:rPr>
            </w:pPr>
          </w:p>
        </w:tc>
      </w:tr>
    </w:tbl>
    <w:p w14:paraId="414C2ED3">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lang w:eastAsia="zh-CN"/>
        </w:rPr>
        <w:sectPr>
          <w:footerReference r:id="rId3" w:type="default"/>
          <w:pgSz w:w="11906" w:h="16838"/>
          <w:pgMar w:top="1440" w:right="1077" w:bottom="1440" w:left="107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652929AE">
      <w:pPr>
        <w:pStyle w:val="30"/>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黑体" w:cs="Times New Roman"/>
          <w:b w:val="0"/>
          <w:color w:val="auto"/>
          <w:sz w:val="30"/>
          <w:szCs w:val="30"/>
          <w:highlight w:val="none"/>
        </w:rPr>
      </w:pPr>
      <w:bookmarkStart w:id="0" w:name="_Toc97040274"/>
      <w:r>
        <w:rPr>
          <w:rFonts w:hint="default" w:ascii="Times New Roman" w:hAnsi="Times New Roman" w:eastAsia="黑体" w:cs="Times New Roman"/>
          <w:b w:val="0"/>
          <w:color w:val="auto"/>
          <w:sz w:val="30"/>
          <w:szCs w:val="30"/>
          <w:highlight w:val="none"/>
        </w:rPr>
        <w:t>二、建设项目工程分析</w:t>
      </w:r>
      <w:bookmarkEnd w:id="0"/>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9384"/>
      </w:tblGrid>
      <w:tr w14:paraId="5EF8F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92" w:type="pct"/>
            <w:vAlign w:val="center"/>
          </w:tcPr>
          <w:p w14:paraId="5E3B9D9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建设内容</w:t>
            </w:r>
          </w:p>
        </w:tc>
        <w:tc>
          <w:tcPr>
            <w:tcW w:w="4707" w:type="pct"/>
            <w:vAlign w:val="center"/>
          </w:tcPr>
          <w:p w14:paraId="0602D2D2">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1、项目由来</w:t>
            </w:r>
          </w:p>
          <w:p w14:paraId="5C1096A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近年来，随着宣汉县自然资源的不断开发，经济发展迅猛，人民生活水平不断提高。饮水安全问题，直接关系到广大人民群众的身心健康和生命安全。切实做好乡村供水保障工作，是维护最广大人民群众根本利益，是实现全面建成小康社会目标、构建社会主义和谐社会，实施乡村振兴战略，建设社会主义新农村的重要内容。目前县域各乡镇供水在水量和水质保障、长效运行等方面还存在一些薄弱环节，农村供水保障水平与实施乡村振兴战略和农村居民对美好生活的向往还有一定差距。在此基础上，为落实《四川省2022年水利乡村振兴工作要点》，推进建设乡村水务一体化，全力提升农村自来水普及率，提高城乡供水质量，改善城乡生产、生活条件，降低疾病发病率，增强国民身体素质。因此，宣汉县乡村水务试点县供水保障工程的建设迫在眉睫。</w:t>
            </w:r>
          </w:p>
          <w:p w14:paraId="3431447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eastAsia="宋体" w:cs="Times New Roman"/>
                <w:color w:val="auto"/>
                <w:sz w:val="24"/>
                <w:szCs w:val="32"/>
                <w:highlight w:val="none"/>
                <w:vertAlign w:val="baseline"/>
                <w:lang w:val="en-US" w:eastAsia="zh-CN"/>
              </w:rPr>
              <w:t>根据宣汉县发展和改革局《关于</w:t>
            </w:r>
            <w:r>
              <w:rPr>
                <w:rFonts w:hint="default" w:ascii="Times New Roman" w:hAnsi="Times New Roman" w:cs="Times New Roman"/>
                <w:color w:val="auto"/>
                <w:sz w:val="24"/>
                <w:szCs w:val="32"/>
                <w:highlight w:val="none"/>
                <w:lang w:val="en-US" w:eastAsia="zh-CN"/>
              </w:rPr>
              <w:t>宣汉县乡村水务试点县供水保障工程</w:t>
            </w:r>
            <w:r>
              <w:rPr>
                <w:rFonts w:hint="eastAsia" w:ascii="Times New Roman" w:hAnsi="Times New Roman" w:cs="Times New Roman"/>
                <w:color w:val="auto"/>
                <w:sz w:val="24"/>
                <w:szCs w:val="32"/>
                <w:highlight w:val="none"/>
                <w:lang w:val="en-US" w:eastAsia="zh-CN"/>
              </w:rPr>
              <w:t>可行性研究报告的批复</w:t>
            </w:r>
            <w:r>
              <w:rPr>
                <w:rFonts w:hint="eastAsia" w:ascii="Times New Roman" w:hAnsi="Times New Roman" w:eastAsia="宋体" w:cs="Times New Roman"/>
                <w:color w:val="auto"/>
                <w:sz w:val="24"/>
                <w:szCs w:val="32"/>
                <w:highlight w:val="none"/>
                <w:vertAlign w:val="baseline"/>
                <w:lang w:val="en-US" w:eastAsia="zh-CN"/>
              </w:rPr>
              <w:t>》，建设规模及主要内容为：本项目新建水厂4座，改建水厂25座，供水服务中心1座，日供水规模 19.86 万立方米，配套建设供水管网、沉淀池、排水池、加压泵房等附属设施。估算总投资169953.93万元。由于整体项目施工周期长，施工难度大，资金量大，且居民用水问题急需解决，故对整体项目进行分期建设。本项目</w:t>
            </w:r>
            <w:r>
              <w:rPr>
                <w:rFonts w:hint="default" w:ascii="Times New Roman" w:hAnsi="Times New Roman" w:eastAsia="宋体" w:cs="Times New Roman"/>
                <w:color w:val="auto"/>
                <w:sz w:val="24"/>
                <w:szCs w:val="32"/>
                <w:highlight w:val="none"/>
                <w:vertAlign w:val="baseline"/>
                <w:lang w:val="en-US" w:eastAsia="zh-CN"/>
              </w:rPr>
              <w:t>属于《</w:t>
            </w:r>
            <w:r>
              <w:rPr>
                <w:rFonts w:hint="default" w:ascii="Times New Roman" w:hAnsi="Times New Roman" w:cs="Times New Roman"/>
                <w:color w:val="auto"/>
                <w:sz w:val="24"/>
                <w:szCs w:val="32"/>
                <w:highlight w:val="none"/>
                <w:lang w:val="en-US" w:eastAsia="zh-CN"/>
              </w:rPr>
              <w:t>宣汉县乡村水务试点县供水保障工程</w:t>
            </w:r>
            <w:r>
              <w:rPr>
                <w:rFonts w:hint="default" w:ascii="Times New Roman" w:hAnsi="Times New Roman" w:eastAsia="宋体" w:cs="Times New Roman"/>
                <w:color w:val="auto"/>
                <w:sz w:val="24"/>
                <w:szCs w:val="32"/>
                <w:highlight w:val="none"/>
                <w:vertAlign w:val="baseline"/>
                <w:lang w:val="en-US" w:eastAsia="zh-CN"/>
              </w:rPr>
              <w:t>》</w:t>
            </w:r>
            <w:r>
              <w:rPr>
                <w:rFonts w:hint="default" w:ascii="Times New Roman" w:hAnsi="Times New Roman" w:cs="Times New Roman"/>
                <w:color w:val="auto"/>
                <w:sz w:val="24"/>
                <w:szCs w:val="32"/>
                <w:highlight w:val="none"/>
                <w:lang w:val="en-US" w:eastAsia="zh-CN"/>
              </w:rPr>
              <w:t>中的一个子项目</w:t>
            </w:r>
            <w:r>
              <w:rPr>
                <w:rFonts w:hint="default" w:ascii="Times New Roman" w:hAnsi="Times New Roman" w:cs="Times New Roman"/>
                <w:color w:val="auto"/>
                <w:sz w:val="24"/>
                <w:szCs w:val="32"/>
                <w:highlight w:val="none"/>
                <w:vertAlign w:val="baseline"/>
                <w:lang w:val="en-US" w:eastAsia="zh-CN"/>
              </w:rPr>
              <w:t>。</w:t>
            </w:r>
          </w:p>
          <w:p w14:paraId="3811642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24"/>
                <w:highlight w:val="none"/>
                <w:lang w:val="en-US" w:eastAsia="zh-CN"/>
              </w:rPr>
              <w:t>为此，</w:t>
            </w:r>
            <w:r>
              <w:rPr>
                <w:rFonts w:hint="default" w:ascii="Times New Roman" w:hAnsi="Times New Roman" w:cs="Times New Roman"/>
                <w:color w:val="auto"/>
                <w:sz w:val="24"/>
                <w:szCs w:val="24"/>
                <w:highlight w:val="none"/>
                <w:vertAlign w:val="baseline"/>
                <w:lang w:val="en-US" w:eastAsia="zh-CN"/>
              </w:rPr>
              <w:t>四川汉润水务集团有限公司拟投资</w:t>
            </w:r>
            <w:r>
              <w:rPr>
                <w:rFonts w:hint="eastAsia" w:ascii="Times New Roman" w:hAnsi="Times New Roman" w:cs="Times New Roman"/>
                <w:color w:val="auto"/>
                <w:sz w:val="24"/>
                <w:szCs w:val="24"/>
                <w:highlight w:val="none"/>
                <w:vertAlign w:val="baseline"/>
                <w:lang w:val="en-US" w:eastAsia="zh-CN"/>
              </w:rPr>
              <w:t>7200</w:t>
            </w:r>
            <w:r>
              <w:rPr>
                <w:rFonts w:hint="default" w:ascii="Times New Roman" w:hAnsi="Times New Roman" w:cs="Times New Roman"/>
                <w:color w:val="auto"/>
                <w:sz w:val="24"/>
                <w:szCs w:val="24"/>
                <w:highlight w:val="none"/>
                <w:vertAlign w:val="baseline"/>
                <w:lang w:val="en-US" w:eastAsia="zh-CN"/>
              </w:rPr>
              <w:t>万元在</w:t>
            </w:r>
            <w:r>
              <w:rPr>
                <w:rFonts w:hint="eastAsia" w:ascii="Times New Roman" w:hAnsi="Times New Roman" w:eastAsia="宋体" w:cs="Times New Roman"/>
                <w:color w:val="auto"/>
                <w:sz w:val="24"/>
                <w:szCs w:val="32"/>
                <w:highlight w:val="none"/>
                <w:vertAlign w:val="baseline"/>
                <w:lang w:val="en-US" w:eastAsia="zh-CN"/>
              </w:rPr>
              <w:t>宣汉县马渡关镇隘口社区，扩建隘口水厂，</w:t>
            </w:r>
            <w:r>
              <w:rPr>
                <w:rFonts w:hint="eastAsia" w:ascii="Times New Roman" w:hAnsi="Times New Roman" w:eastAsia="宋体" w:cs="Times New Roman"/>
                <w:color w:val="auto"/>
                <w:sz w:val="24"/>
                <w:szCs w:val="24"/>
                <w:highlight w:val="none"/>
                <w:vertAlign w:val="baseline"/>
                <w:lang w:val="en-US" w:eastAsia="zh-CN"/>
              </w:rPr>
              <w:t>从220m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/d扩建到2000</w:t>
            </w: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b w:val="0"/>
                <w:bCs w:val="0"/>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lang w:val="en-US" w:eastAsia="zh-CN"/>
              </w:rPr>
              <w:t>在</w:t>
            </w:r>
            <w:r>
              <w:rPr>
                <w:rFonts w:hint="eastAsia" w:ascii="Times New Roman" w:hAnsi="Times New Roman" w:eastAsia="宋体" w:cs="Times New Roman"/>
                <w:color w:val="auto"/>
                <w:sz w:val="24"/>
                <w:szCs w:val="32"/>
                <w:highlight w:val="none"/>
                <w:vertAlign w:val="baseline"/>
                <w:lang w:val="en-US" w:eastAsia="zh-CN"/>
              </w:rPr>
              <w:t>宣汉县马渡关镇长滩村</w:t>
            </w:r>
            <w:r>
              <w:rPr>
                <w:rFonts w:hint="eastAsia" w:ascii="Times New Roman" w:hAnsi="Times New Roman" w:cs="Times New Roman"/>
                <w:b w:val="0"/>
                <w:bCs w:val="0"/>
                <w:color w:val="auto"/>
                <w:sz w:val="24"/>
                <w:szCs w:val="24"/>
                <w:highlight w:val="none"/>
                <w:vertAlign w:val="baseline"/>
                <w:lang w:val="en-US" w:eastAsia="zh-CN"/>
              </w:rPr>
              <w:t>，</w:t>
            </w:r>
            <w:r>
              <w:rPr>
                <w:rFonts w:hint="eastAsia" w:ascii="Times New Roman" w:hAnsi="Times New Roman" w:eastAsia="宋体" w:cs="Times New Roman"/>
                <w:color w:val="auto"/>
                <w:sz w:val="24"/>
                <w:szCs w:val="24"/>
                <w:highlight w:val="none"/>
                <w:vertAlign w:val="baseline"/>
                <w:lang w:val="en-US" w:eastAsia="zh-CN"/>
              </w:rPr>
              <w:t>新建马渡关水厂3000</w:t>
            </w: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32"/>
                <w:highlight w:val="none"/>
                <w:vertAlign w:val="baseline"/>
                <w:lang w:val="en-US" w:eastAsia="zh-CN"/>
              </w:rPr>
              <w:t>项目建设后，将极大地改善宣汉县的净水及供水设施现状，可保证农村居民生活用水需求，改善宣汉县综合水环境生态，为宣汉县的经济发展</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32"/>
                <w:highlight w:val="none"/>
                <w:vertAlign w:val="baseline"/>
                <w:lang w:val="en-US" w:eastAsia="zh-CN"/>
              </w:rPr>
              <w:t>社会稳定</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32"/>
                <w:highlight w:val="none"/>
                <w:vertAlign w:val="baseline"/>
                <w:lang w:val="en-US" w:eastAsia="zh-CN"/>
              </w:rPr>
              <w:t>人民安居乐业提供有力的保障。</w:t>
            </w:r>
          </w:p>
          <w:p w14:paraId="161ADDA9">
            <w:pPr>
              <w:keepNext w:val="0"/>
              <w:keepLines w:val="0"/>
              <w:pageBreakBefore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32"/>
                <w:highlight w:val="none"/>
                <w:vertAlign w:val="baseline"/>
                <w:lang w:val="en-US" w:eastAsia="zh-CN"/>
              </w:rPr>
              <w:t>根据《中华人民共和国环境保护法》《中华人民共和国环境影响评价法》及国务院第682号令《建设项目环境保护管理条例》中的有关规定，需对建设项目进行环境影响评价；根据《建设项目环境影响评价分类管理名录（2021版）》，项目类别属于“四十三、水的生产和供应业94自来水生产和供应”，需编制环境影响报告表。</w:t>
            </w:r>
            <w:r>
              <w:rPr>
                <w:rFonts w:hint="default" w:ascii="Times New Roman" w:hAnsi="Times New Roman" w:cs="Times New Roman"/>
                <w:color w:val="auto"/>
                <w:sz w:val="24"/>
                <w:szCs w:val="24"/>
              </w:rPr>
              <w:t>为此，</w:t>
            </w:r>
            <w:r>
              <w:rPr>
                <w:rFonts w:hint="default" w:ascii="Times New Roman" w:hAnsi="Times New Roman" w:cs="Times New Roman"/>
                <w:color w:val="auto"/>
                <w:sz w:val="24"/>
                <w:szCs w:val="32"/>
                <w:highlight w:val="none"/>
                <w:vertAlign w:val="baseline"/>
                <w:lang w:val="en-US" w:eastAsia="zh-CN"/>
              </w:rPr>
              <w:t>四川汉润水务集团有限公司</w:t>
            </w:r>
            <w:r>
              <w:rPr>
                <w:rFonts w:hint="default" w:ascii="Times New Roman" w:hAnsi="Times New Roman" w:cs="Times New Roman"/>
                <w:color w:val="auto"/>
                <w:sz w:val="24"/>
                <w:szCs w:val="24"/>
              </w:rPr>
              <w:t>特委托</w:t>
            </w:r>
            <w:r>
              <w:rPr>
                <w:rFonts w:hint="default" w:ascii="Times New Roman" w:hAnsi="Times New Roman" w:eastAsia="宋体" w:cs="Times New Roman"/>
                <w:color w:val="auto"/>
                <w:sz w:val="24"/>
                <w:szCs w:val="24"/>
                <w:highlight w:val="none"/>
                <w:lang w:val="en-US" w:eastAsia="zh-CN"/>
              </w:rPr>
              <w:t>四川恒延科技咨询有限公司</w:t>
            </w:r>
            <w:r>
              <w:rPr>
                <w:rFonts w:hint="default" w:ascii="Times New Roman" w:hAnsi="Times New Roman" w:cs="Times New Roman"/>
                <w:color w:val="auto"/>
                <w:sz w:val="24"/>
                <w:szCs w:val="24"/>
              </w:rPr>
              <w:t>进行环境影响评价工作。我公司接受委托后，即派相关技术人员到项目现场进行实地踏勘和资料收集，并按照有关技术规范和四川省生态环境厅的有关规定，编制该项目环境影响报告表，供生态环境主管部门审查。</w:t>
            </w:r>
          </w:p>
          <w:p w14:paraId="280E08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bCs/>
                <w:color w:val="auto"/>
                <w:sz w:val="24"/>
                <w:szCs w:val="32"/>
                <w:highlight w:val="none"/>
                <w:u w:val="single"/>
                <w:vertAlign w:val="baseline"/>
                <w:lang w:val="en-US" w:eastAsia="zh-CN"/>
              </w:rPr>
            </w:pPr>
            <w:r>
              <w:rPr>
                <w:rFonts w:hint="default" w:ascii="Times New Roman" w:hAnsi="Times New Roman" w:cs="Times New Roman"/>
                <w:color w:val="auto"/>
                <w:sz w:val="24"/>
                <w:szCs w:val="24"/>
                <w:u w:val="single"/>
                <w:lang w:val="en-US" w:eastAsia="zh-CN"/>
              </w:rPr>
              <w:t>注：</w:t>
            </w:r>
            <w:r>
              <w:rPr>
                <w:rFonts w:hint="default" w:ascii="Times New Roman" w:hAnsi="Times New Roman" w:cs="Times New Roman"/>
                <w:sz w:val="24"/>
                <w:szCs w:val="24"/>
                <w:u w:val="single"/>
                <w:lang w:val="en-US" w:eastAsia="zh-CN"/>
              </w:rPr>
              <w:t>根据</w:t>
            </w:r>
            <w:r>
              <w:rPr>
                <w:rFonts w:hint="default" w:ascii="Times New Roman" w:hAnsi="Times New Roman" w:cs="Times New Roman"/>
                <w:sz w:val="24"/>
                <w:szCs w:val="24"/>
                <w:u w:val="single"/>
              </w:rPr>
              <w:t>四川省生态环境厅2022年12月28日关于“含取水工程的自来水厂属于自来水生产和供应，为污染影响类项目，请按《建设项目环境影响报告表编制技术指南</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污染影响类</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试行</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》编制环境影响报告表。”</w:t>
            </w:r>
            <w:r>
              <w:rPr>
                <w:rFonts w:hint="default" w:ascii="Times New Roman" w:hAnsi="Times New Roman" w:cs="Times New Roman"/>
                <w:sz w:val="24"/>
                <w:szCs w:val="24"/>
                <w:u w:val="single"/>
                <w:lang w:val="en-US" w:eastAsia="zh-CN"/>
              </w:rPr>
              <w:t>故本项目按照</w:t>
            </w:r>
            <w:r>
              <w:rPr>
                <w:rFonts w:hint="default" w:ascii="Times New Roman" w:hAnsi="Times New Roman" w:cs="Times New Roman"/>
                <w:sz w:val="24"/>
                <w:szCs w:val="24"/>
                <w:u w:val="single"/>
              </w:rPr>
              <w:t>《建设项目环境影响报告表（</w:t>
            </w:r>
            <w:r>
              <w:rPr>
                <w:rFonts w:hint="eastAsia" w:ascii="Times New Roman" w:hAnsi="Times New Roman" w:cs="Times New Roman"/>
                <w:sz w:val="24"/>
                <w:szCs w:val="24"/>
                <w:u w:val="single"/>
                <w:lang w:val="en-US" w:eastAsia="zh-CN"/>
              </w:rPr>
              <w:t>污染</w:t>
            </w:r>
            <w:r>
              <w:rPr>
                <w:rFonts w:hint="default" w:ascii="Times New Roman" w:hAnsi="Times New Roman" w:cs="Times New Roman"/>
                <w:sz w:val="24"/>
                <w:szCs w:val="24"/>
                <w:u w:val="single"/>
              </w:rPr>
              <w:t>影响类）》</w:t>
            </w:r>
            <w:r>
              <w:rPr>
                <w:rFonts w:hint="default" w:ascii="Times New Roman" w:hAnsi="Times New Roman" w:cs="Times New Roman"/>
                <w:sz w:val="24"/>
                <w:szCs w:val="24"/>
                <w:u w:val="single"/>
                <w:lang w:val="en-US" w:eastAsia="zh-CN"/>
              </w:rPr>
              <w:t>编制。</w:t>
            </w:r>
          </w:p>
          <w:p w14:paraId="76096FA0">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2、项目概况</w:t>
            </w:r>
          </w:p>
          <w:p w14:paraId="34046E4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（1）项目基本情况</w:t>
            </w:r>
          </w:p>
          <w:p w14:paraId="2755482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四川汉润水务集团有限公司</w:t>
            </w:r>
            <w:r>
              <w:rPr>
                <w:rFonts w:hint="eastAsia" w:ascii="Times New Roman" w:hAnsi="Times New Roman" w:cs="Times New Roman"/>
                <w:color w:val="auto"/>
                <w:sz w:val="24"/>
                <w:szCs w:val="32"/>
                <w:highlight w:val="none"/>
                <w:vertAlign w:val="baseline"/>
                <w:lang w:val="en-US" w:eastAsia="zh-CN"/>
              </w:rPr>
              <w:t>拟投资7200万元，建设</w:t>
            </w:r>
            <w:r>
              <w:rPr>
                <w:rFonts w:hint="default" w:ascii="Times New Roman" w:hAnsi="Times New Roman" w:eastAsia="宋体" w:cs="Times New Roman"/>
                <w:color w:val="auto"/>
                <w:sz w:val="24"/>
                <w:szCs w:val="32"/>
                <w:highlight w:val="none"/>
                <w:vertAlign w:val="baseline"/>
                <w:lang w:eastAsia="zh-CN"/>
              </w:rPr>
              <w:t>宣汉县乡村水务试点县供水保障工程（</w:t>
            </w:r>
            <w:r>
              <w:rPr>
                <w:rFonts w:hint="eastAsia" w:ascii="Times New Roman" w:hAnsi="Times New Roman" w:eastAsia="宋体" w:cs="Times New Roman"/>
                <w:color w:val="auto"/>
                <w:sz w:val="24"/>
                <w:szCs w:val="32"/>
                <w:highlight w:val="none"/>
                <w:vertAlign w:val="baseline"/>
                <w:lang w:val="en-US" w:eastAsia="zh-CN"/>
              </w:rPr>
              <w:t>马渡关片区</w:t>
            </w:r>
            <w:r>
              <w:rPr>
                <w:rFonts w:hint="default" w:ascii="Times New Roman" w:hAnsi="Times New Roman" w:eastAsia="宋体" w:cs="Times New Roman"/>
                <w:color w:val="auto"/>
                <w:sz w:val="24"/>
                <w:szCs w:val="32"/>
                <w:highlight w:val="none"/>
                <w:vertAlign w:val="baseline"/>
                <w:lang w:eastAsia="zh-CN"/>
              </w:rPr>
              <w:t>供水工程）</w:t>
            </w:r>
            <w:r>
              <w:rPr>
                <w:rFonts w:hint="eastAsia" w:ascii="Times New Roman" w:hAnsi="Times New Roman" w:eastAsia="宋体" w:cs="Times New Roman"/>
                <w:color w:val="auto"/>
                <w:sz w:val="24"/>
                <w:szCs w:val="32"/>
                <w:highlight w:val="none"/>
                <w:vertAlign w:val="baseline"/>
                <w:lang w:eastAsia="zh-CN"/>
              </w:rPr>
              <w:t>，</w:t>
            </w:r>
            <w:r>
              <w:rPr>
                <w:rFonts w:hint="eastAsia" w:ascii="Times New Roman" w:hAnsi="Times New Roman" w:eastAsia="宋体" w:cs="Times New Roman"/>
                <w:color w:val="auto"/>
                <w:sz w:val="24"/>
                <w:szCs w:val="32"/>
                <w:highlight w:val="none"/>
                <w:vertAlign w:val="baseline"/>
                <w:lang w:val="en-US" w:eastAsia="zh-CN"/>
              </w:rPr>
              <w:t>基本情况如下：</w:t>
            </w:r>
          </w:p>
          <w:p w14:paraId="00AD35B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1）</w:t>
            </w:r>
            <w:r>
              <w:rPr>
                <w:rFonts w:hint="eastAsia" w:ascii="Times New Roman" w:hAnsi="Times New Roman" w:eastAsia="宋体" w:cs="Times New Roman"/>
                <w:b/>
                <w:bCs/>
                <w:color w:val="auto"/>
                <w:sz w:val="24"/>
                <w:szCs w:val="24"/>
                <w:highlight w:val="none"/>
                <w:vertAlign w:val="baseline"/>
                <w:lang w:val="en-US" w:eastAsia="zh-CN"/>
              </w:rPr>
              <w:t>隘口水厂</w:t>
            </w:r>
          </w:p>
          <w:p w14:paraId="6A06220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建设地点：</w:t>
            </w:r>
            <w:r>
              <w:rPr>
                <w:rFonts w:hint="eastAsia" w:ascii="Times New Roman" w:hAnsi="Times New Roman" w:eastAsia="宋体" w:cs="Times New Roman"/>
                <w:color w:val="auto"/>
                <w:sz w:val="24"/>
                <w:szCs w:val="32"/>
                <w:highlight w:val="none"/>
                <w:vertAlign w:val="baseline"/>
                <w:lang w:val="en-US" w:eastAsia="zh-CN"/>
              </w:rPr>
              <w:t>宣汉县马渡关镇隘口社区</w:t>
            </w:r>
          </w:p>
          <w:p w14:paraId="0023859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建设性质：</w:t>
            </w:r>
            <w:r>
              <w:rPr>
                <w:rFonts w:hint="eastAsia" w:ascii="Times New Roman" w:hAnsi="Times New Roman" w:cs="Times New Roman"/>
                <w:b w:val="0"/>
                <w:bCs w:val="0"/>
                <w:color w:val="auto"/>
                <w:sz w:val="24"/>
                <w:szCs w:val="32"/>
                <w:highlight w:val="none"/>
                <w:vertAlign w:val="baseline"/>
                <w:lang w:val="en-US" w:eastAsia="zh-CN"/>
              </w:rPr>
              <w:t>扩建</w:t>
            </w:r>
          </w:p>
          <w:p w14:paraId="09550AB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服务范围：</w:t>
            </w:r>
            <w:r>
              <w:rPr>
                <w:rFonts w:hint="eastAsia" w:ascii="Times New Roman" w:hAnsi="Times New Roman" w:cs="Times New Roman"/>
                <w:color w:val="auto"/>
                <w:sz w:val="24"/>
                <w:szCs w:val="24"/>
                <w:highlight w:val="none"/>
                <w:vertAlign w:val="baseline"/>
                <w:lang w:val="en-US" w:eastAsia="zh-CN"/>
              </w:rPr>
              <w:t>隘口</w:t>
            </w:r>
            <w:r>
              <w:rPr>
                <w:rFonts w:hint="default" w:ascii="Times New Roman" w:hAnsi="Times New Roman" w:cs="Times New Roman"/>
                <w:b w:val="0"/>
                <w:bCs w:val="0"/>
                <w:color w:val="auto"/>
                <w:sz w:val="24"/>
                <w:szCs w:val="24"/>
                <w:highlight w:val="none"/>
                <w:vertAlign w:val="baseline"/>
                <w:lang w:val="en-US" w:eastAsia="zh-CN"/>
              </w:rPr>
              <w:t>社区</w:t>
            </w:r>
            <w:r>
              <w:rPr>
                <w:rFonts w:hint="eastAsia"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cs="Times New Roman"/>
                <w:color w:val="auto"/>
                <w:sz w:val="24"/>
                <w:szCs w:val="32"/>
                <w:highlight w:val="none"/>
                <w:vertAlign w:val="baseline"/>
                <w:lang w:val="en-US" w:eastAsia="zh-CN"/>
              </w:rPr>
              <w:t>服务人口约</w:t>
            </w:r>
            <w:r>
              <w:rPr>
                <w:rFonts w:hint="eastAsia" w:ascii="Times New Roman" w:hAnsi="Times New Roman" w:cs="Times New Roman"/>
                <w:color w:val="auto"/>
                <w:sz w:val="24"/>
                <w:szCs w:val="32"/>
                <w:highlight w:val="none"/>
                <w:vertAlign w:val="baseline"/>
                <w:lang w:val="en-US" w:eastAsia="zh-CN"/>
              </w:rPr>
              <w:t>1.1</w:t>
            </w:r>
            <w:r>
              <w:rPr>
                <w:rFonts w:hint="default" w:ascii="Times New Roman" w:hAnsi="Times New Roman" w:cs="Times New Roman"/>
                <w:color w:val="auto"/>
                <w:sz w:val="24"/>
                <w:szCs w:val="32"/>
                <w:highlight w:val="none"/>
                <w:vertAlign w:val="baseline"/>
                <w:lang w:val="en-US" w:eastAsia="zh-CN"/>
              </w:rPr>
              <w:t>万人</w:t>
            </w:r>
          </w:p>
          <w:p w14:paraId="775A8E2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供水水源：</w:t>
            </w:r>
            <w:r>
              <w:rPr>
                <w:rFonts w:hint="eastAsia" w:ascii="Times New Roman" w:hAnsi="Times New Roman" w:cs="Times New Roman"/>
                <w:b w:val="0"/>
                <w:bCs w:val="0"/>
                <w:color w:val="auto"/>
                <w:sz w:val="24"/>
                <w:szCs w:val="24"/>
                <w:highlight w:val="none"/>
                <w:lang w:val="en-US" w:eastAsia="zh-CN"/>
              </w:rPr>
              <w:t>普子坪水库</w:t>
            </w:r>
          </w:p>
          <w:p w14:paraId="287502C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供水用途：</w:t>
            </w:r>
            <w:r>
              <w:rPr>
                <w:rFonts w:hint="default" w:ascii="Times New Roman" w:hAnsi="Times New Roman" w:cs="Times New Roman"/>
                <w:color w:val="auto"/>
                <w:sz w:val="24"/>
                <w:szCs w:val="32"/>
                <w:highlight w:val="none"/>
                <w:vertAlign w:val="baseline"/>
                <w:lang w:val="en-US" w:eastAsia="zh-CN"/>
              </w:rPr>
              <w:t>饮用水</w:t>
            </w:r>
          </w:p>
          <w:p w14:paraId="5C8262C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净水工艺：</w:t>
            </w:r>
            <w:r>
              <w:rPr>
                <w:rFonts w:hint="default" w:ascii="Times New Roman" w:hAnsi="Times New Roman" w:cs="Times New Roman"/>
                <w:color w:val="auto"/>
                <w:sz w:val="24"/>
                <w:szCs w:val="32"/>
                <w:highlight w:val="none"/>
                <w:vertAlign w:val="baseline"/>
                <w:lang w:val="en-US" w:eastAsia="zh-CN"/>
              </w:rPr>
              <w:t>采用“</w:t>
            </w:r>
            <w:r>
              <w:rPr>
                <w:rFonts w:hint="eastAsia" w:ascii="Times New Roman" w:hAnsi="Times New Roman" w:cs="Times New Roman"/>
                <w:color w:val="auto"/>
                <w:sz w:val="24"/>
                <w:szCs w:val="32"/>
                <w:highlight w:val="none"/>
                <w:vertAlign w:val="baseline"/>
                <w:lang w:val="en-US" w:eastAsia="zh-CN"/>
              </w:rPr>
              <w:t>絮凝+沉淀+气浮+过滤+</w:t>
            </w:r>
            <w:r>
              <w:rPr>
                <w:rFonts w:hint="default" w:ascii="Times New Roman" w:hAnsi="Times New Roman" w:cs="Times New Roman"/>
                <w:color w:val="auto"/>
                <w:sz w:val="24"/>
                <w:szCs w:val="32"/>
                <w:highlight w:val="none"/>
                <w:vertAlign w:val="baseline"/>
                <w:lang w:val="en-US" w:eastAsia="zh-CN"/>
              </w:rPr>
              <w:t>二氧化氯消毒”</w:t>
            </w:r>
          </w:p>
          <w:p w14:paraId="45F2B93E">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建设内容：</w:t>
            </w:r>
            <w:r>
              <w:rPr>
                <w:rFonts w:hint="eastAsia" w:ascii="Times New Roman" w:hAnsi="Times New Roman" w:cs="Times New Roman"/>
                <w:b w:val="0"/>
                <w:bCs w:val="0"/>
                <w:color w:val="auto"/>
                <w:sz w:val="24"/>
                <w:szCs w:val="32"/>
                <w:highlight w:val="none"/>
                <w:vertAlign w:val="baseline"/>
                <w:lang w:val="en-US" w:eastAsia="zh-CN"/>
              </w:rPr>
              <w:t>扩建</w:t>
            </w:r>
            <w:r>
              <w:rPr>
                <w:rFonts w:hint="eastAsia" w:ascii="Times New Roman" w:hAnsi="Times New Roman" w:cs="Times New Roman"/>
                <w:color w:val="auto"/>
                <w:sz w:val="24"/>
                <w:szCs w:val="32"/>
                <w:highlight w:val="none"/>
                <w:vertAlign w:val="baseline"/>
                <w:lang w:val="en-US" w:eastAsia="zh-CN"/>
              </w:rPr>
              <w:t>隘口</w:t>
            </w:r>
            <w:r>
              <w:rPr>
                <w:rFonts w:hint="default" w:ascii="Times New Roman" w:hAnsi="Times New Roman" w:cs="Times New Roman"/>
                <w:color w:val="auto"/>
                <w:sz w:val="24"/>
                <w:szCs w:val="32"/>
                <w:highlight w:val="none"/>
                <w:vertAlign w:val="baseline"/>
                <w:lang w:val="en-US" w:eastAsia="zh-CN"/>
              </w:rPr>
              <w:t>水厂</w:t>
            </w:r>
            <w:r>
              <w:rPr>
                <w:rFonts w:hint="eastAsia" w:ascii="Times New Roman" w:hAnsi="Times New Roman" w:cs="Times New Roman"/>
                <w:color w:val="auto"/>
                <w:sz w:val="24"/>
                <w:szCs w:val="32"/>
                <w:highlight w:val="none"/>
                <w:vertAlign w:val="baseline"/>
                <w:lang w:val="en-US" w:eastAsia="zh-CN"/>
              </w:rPr>
              <w:t>，供水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eastAsia="宋体" w:cs="Times New Roman"/>
                <w:color w:val="auto"/>
                <w:sz w:val="24"/>
                <w:szCs w:val="24"/>
                <w:highlight w:val="none"/>
                <w:vertAlign w:val="baseline"/>
                <w:lang w:val="en-US" w:eastAsia="zh-CN"/>
              </w:rPr>
              <w:t>从220m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/d扩建到2000</w:t>
            </w:r>
            <w:r>
              <w:rPr>
                <w:rFonts w:hint="eastAsia" w:ascii="Times New Roman" w:hAnsi="Times New Roman" w:cs="Times New Roman"/>
                <w:color w:val="auto"/>
                <w:sz w:val="24"/>
                <w:szCs w:val="24"/>
                <w:highlight w:val="none"/>
                <w:vertAlign w:val="baseline"/>
                <w:lang w:val="en-US" w:eastAsia="zh-CN"/>
              </w:rPr>
              <w:t>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取水水源为</w:t>
            </w:r>
            <w:r>
              <w:rPr>
                <w:rFonts w:hint="eastAsia" w:ascii="Times New Roman" w:hAnsi="Times New Roman" w:cs="Times New Roman"/>
                <w:b w:val="0"/>
                <w:bCs w:val="0"/>
                <w:color w:val="auto"/>
                <w:sz w:val="24"/>
                <w:szCs w:val="24"/>
                <w:highlight w:val="none"/>
                <w:lang w:val="en-US" w:eastAsia="zh-CN"/>
              </w:rPr>
              <w:t>普子坪水库</w:t>
            </w:r>
            <w:r>
              <w:rPr>
                <w:rFonts w:hint="eastAsia" w:ascii="Times New Roman" w:hAnsi="Times New Roman" w:cs="Times New Roman"/>
                <w:b w:val="0"/>
                <w:bCs w:val="0"/>
                <w:color w:val="auto"/>
                <w:sz w:val="24"/>
                <w:szCs w:val="24"/>
                <w:highlight w:val="none"/>
                <w:vertAlign w:val="baseline"/>
                <w:lang w:val="en-US" w:eastAsia="zh-CN"/>
              </w:rPr>
              <w:t>，</w:t>
            </w:r>
            <w:r>
              <w:rPr>
                <w:rFonts w:hint="eastAsia" w:ascii="Times New Roman" w:hAnsi="Times New Roman" w:eastAsia="宋体" w:cs="Times New Roman"/>
                <w:bCs/>
                <w:sz w:val="24"/>
                <w:szCs w:val="24"/>
                <w:lang w:val="en-US" w:eastAsia="zh-CN"/>
              </w:rPr>
              <w:t>采用浮筒泵取水，水库两岸设立牵引支墩，</w:t>
            </w:r>
            <w:r>
              <w:rPr>
                <w:rFonts w:hint="default" w:ascii="Times New Roman" w:hAnsi="Times New Roman" w:eastAsia="宋体" w:cs="Times New Roman"/>
                <w:color w:val="auto"/>
                <w:sz w:val="24"/>
                <w:szCs w:val="24"/>
                <w:highlight w:val="none"/>
                <w:vertAlign w:val="baseline"/>
                <w:lang w:val="en-US" w:eastAsia="zh-CN"/>
              </w:rPr>
              <w:t>利用离心泵</w:t>
            </w:r>
            <w:r>
              <w:rPr>
                <w:rFonts w:hint="eastAsia" w:ascii="Times New Roman" w:hAnsi="Times New Roman" w:eastAsia="宋体" w:cs="Times New Roman"/>
                <w:bCs/>
                <w:sz w:val="24"/>
                <w:szCs w:val="24"/>
                <w:lang w:val="en-US" w:eastAsia="zh-CN"/>
              </w:rPr>
              <w:t>将</w:t>
            </w:r>
            <w:r>
              <w:rPr>
                <w:rFonts w:hint="default" w:ascii="Times New Roman" w:hAnsi="Times New Roman" w:eastAsia="宋体" w:cs="Times New Roman"/>
                <w:color w:val="auto"/>
                <w:sz w:val="24"/>
                <w:szCs w:val="24"/>
                <w:highlight w:val="none"/>
                <w:vertAlign w:val="baseline"/>
                <w:lang w:val="en-US" w:eastAsia="zh-CN"/>
              </w:rPr>
              <w:t>原水提取到水厂</w:t>
            </w:r>
            <w:r>
              <w:rPr>
                <w:rFonts w:hint="eastAsia" w:ascii="宋体" w:hAnsi="宋体" w:eastAsia="宋体" w:cs="宋体"/>
                <w:sz w:val="24"/>
                <w:szCs w:val="24"/>
              </w:rPr>
              <w:t>进行处理</w:t>
            </w:r>
            <w:r>
              <w:rPr>
                <w:rFonts w:hint="eastAsia" w:ascii="宋体" w:hAnsi="宋体" w:eastAsia="宋体" w:cs="宋体"/>
                <w:color w:val="auto"/>
                <w:sz w:val="24"/>
                <w:szCs w:val="24"/>
                <w:lang w:eastAsia="zh-CN"/>
              </w:rPr>
              <w:t>；</w:t>
            </w:r>
            <w:r>
              <w:rPr>
                <w:rFonts w:hint="default" w:ascii="Times New Roman" w:hAnsi="Times New Roman" w:eastAsia="宋体" w:cs="Times New Roman"/>
                <w:bCs/>
                <w:color w:val="auto"/>
                <w:sz w:val="24"/>
                <w:szCs w:val="24"/>
              </w:rPr>
              <w:t>设计取水规模</w:t>
            </w:r>
            <w:r>
              <w:rPr>
                <w:rFonts w:hint="eastAsia" w:ascii="Times New Roman" w:hAnsi="Times New Roman" w:eastAsia="宋体" w:cs="Times New Roman"/>
                <w:bCs/>
                <w:color w:val="auto"/>
                <w:sz w:val="24"/>
                <w:szCs w:val="24"/>
                <w:lang w:val="en-US" w:eastAsia="zh-CN"/>
              </w:rPr>
              <w:t>22</w:t>
            </w:r>
            <w:r>
              <w:rPr>
                <w:rFonts w:hint="default" w:ascii="Times New Roman" w:hAnsi="Times New Roman" w:eastAsia="宋体" w:cs="Times New Roman"/>
                <w:bCs/>
                <w:color w:val="auto"/>
                <w:sz w:val="24"/>
                <w:szCs w:val="24"/>
              </w:rPr>
              <w:t>00m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/d，原水管道漏损系数1.1</w:t>
            </w:r>
            <w:r>
              <w:rPr>
                <w:rFonts w:hint="eastAsia" w:ascii="Times New Roman" w:hAnsi="Times New Roman" w:eastAsia="宋体" w:cs="Times New Roman"/>
                <w:bCs/>
                <w:color w:val="auto"/>
                <w:sz w:val="24"/>
                <w:szCs w:val="24"/>
                <w:lang w:eastAsia="zh-CN"/>
              </w:rPr>
              <w:t>；</w:t>
            </w:r>
            <w:r>
              <w:rPr>
                <w:rFonts w:hint="eastAsia" w:ascii="Times New Roman" w:hAnsi="Times New Roman" w:cs="Times New Roman"/>
                <w:color w:val="auto"/>
                <w:sz w:val="24"/>
                <w:szCs w:val="24"/>
                <w:highlight w:val="none"/>
                <w:vertAlign w:val="baseline"/>
                <w:lang w:val="en-US" w:eastAsia="zh-CN"/>
              </w:rPr>
              <w:t>配套新建</w:t>
            </w:r>
            <w:r>
              <w:rPr>
                <w:rFonts w:hint="default" w:ascii="Times New Roman" w:hAnsi="Times New Roman" w:cs="Times New Roman"/>
                <w:b w:val="0"/>
                <w:bCs w:val="0"/>
                <w:color w:val="auto"/>
                <w:sz w:val="24"/>
                <w:szCs w:val="24"/>
                <w:highlight w:val="none"/>
                <w:vertAlign w:val="baseline"/>
                <w:lang w:val="en-US" w:eastAsia="zh-CN"/>
              </w:rPr>
              <w:t>取水管长度约</w:t>
            </w:r>
            <w:r>
              <w:rPr>
                <w:rFonts w:hint="eastAsia" w:ascii="Times New Roman" w:hAnsi="Times New Roman" w:cs="Times New Roman"/>
                <w:b w:val="0"/>
                <w:bCs w:val="0"/>
                <w:color w:val="auto"/>
                <w:sz w:val="24"/>
                <w:szCs w:val="24"/>
                <w:highlight w:val="none"/>
                <w:vertAlign w:val="baseline"/>
                <w:lang w:val="en-US" w:eastAsia="zh-CN"/>
              </w:rPr>
              <w:t>0.63k</w:t>
            </w:r>
            <w:r>
              <w:rPr>
                <w:rFonts w:hint="default" w:ascii="Times New Roman" w:hAnsi="Times New Roman" w:cs="Times New Roman"/>
                <w:b w:val="0"/>
                <w:bCs w:val="0"/>
                <w:color w:val="auto"/>
                <w:sz w:val="24"/>
                <w:szCs w:val="24"/>
                <w:highlight w:val="none"/>
                <w:vertAlign w:val="baseline"/>
                <w:lang w:val="en-US" w:eastAsia="zh-CN"/>
              </w:rPr>
              <w:t>m</w:t>
            </w:r>
            <w:r>
              <w:rPr>
                <w:rFonts w:hint="eastAsia" w:ascii="Times New Roman" w:hAnsi="Times New Roman" w:cs="Times New Roman"/>
                <w:b w:val="0"/>
                <w:bCs w:val="0"/>
                <w:color w:val="auto"/>
                <w:sz w:val="24"/>
                <w:szCs w:val="24"/>
                <w:highlight w:val="none"/>
                <w:vertAlign w:val="baseline"/>
                <w:lang w:val="en-US" w:eastAsia="zh-CN"/>
              </w:rPr>
              <w:t>；新建一座容积为200m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高位水池；</w:t>
            </w:r>
            <w:r>
              <w:rPr>
                <w:rFonts w:hint="eastAsia" w:ascii="Times New Roman" w:hAnsi="Times New Roman" w:cs="Times New Roman"/>
                <w:color w:val="auto"/>
                <w:sz w:val="24"/>
                <w:szCs w:val="32"/>
                <w:highlight w:val="none"/>
                <w:vertAlign w:val="baseline"/>
                <w:lang w:val="en-US" w:eastAsia="zh-CN"/>
              </w:rPr>
              <w:t>本次设计处理工艺为</w:t>
            </w:r>
            <w:r>
              <w:rPr>
                <w:rFonts w:hint="default" w:ascii="Times New Roman" w:hAnsi="Times New Roman" w:cs="Times New Roman"/>
                <w:color w:val="auto"/>
                <w:sz w:val="24"/>
                <w:szCs w:val="32"/>
                <w:highlight w:val="none"/>
                <w:vertAlign w:val="baseline"/>
                <w:lang w:val="en-US" w:eastAsia="zh-CN"/>
              </w:rPr>
              <w:t>“</w:t>
            </w:r>
            <w:r>
              <w:rPr>
                <w:rFonts w:hint="eastAsia" w:ascii="Times New Roman" w:hAnsi="Times New Roman" w:cs="Times New Roman"/>
                <w:color w:val="auto"/>
                <w:sz w:val="24"/>
                <w:szCs w:val="32"/>
                <w:highlight w:val="none"/>
                <w:vertAlign w:val="baseline"/>
                <w:lang w:val="en-US" w:eastAsia="zh-CN"/>
              </w:rPr>
              <w:t>絮凝+沉淀+气浮+过滤+</w:t>
            </w:r>
            <w:r>
              <w:rPr>
                <w:rFonts w:hint="default" w:ascii="Times New Roman" w:hAnsi="Times New Roman" w:cs="Times New Roman"/>
                <w:color w:val="auto"/>
                <w:sz w:val="24"/>
                <w:szCs w:val="32"/>
                <w:highlight w:val="none"/>
                <w:vertAlign w:val="baseline"/>
                <w:lang w:val="en-US" w:eastAsia="zh-CN"/>
              </w:rPr>
              <w:t>二氧化氯消毒”</w:t>
            </w:r>
            <w:r>
              <w:rPr>
                <w:rFonts w:hint="eastAsia" w:ascii="Times New Roman" w:hAnsi="Times New Roman" w:cs="Times New Roman"/>
                <w:color w:val="auto"/>
                <w:sz w:val="24"/>
                <w:szCs w:val="32"/>
                <w:highlight w:val="none"/>
                <w:vertAlign w:val="baseline"/>
                <w:lang w:val="en-US" w:eastAsia="zh-CN"/>
              </w:rPr>
              <w:t>，处理后出水水质满足《生活饮用水卫生标准》（GB5749-2022）。</w:t>
            </w:r>
          </w:p>
          <w:p w14:paraId="3E330E75">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2）马渡关水厂</w:t>
            </w:r>
          </w:p>
          <w:p w14:paraId="670B312E">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建设地点：</w:t>
            </w:r>
            <w:r>
              <w:rPr>
                <w:rFonts w:hint="eastAsia" w:ascii="Times New Roman" w:hAnsi="Times New Roman" w:eastAsia="宋体" w:cs="Times New Roman"/>
                <w:color w:val="auto"/>
                <w:sz w:val="24"/>
                <w:szCs w:val="32"/>
                <w:highlight w:val="none"/>
                <w:vertAlign w:val="baseline"/>
                <w:lang w:val="en-US" w:eastAsia="zh-CN"/>
              </w:rPr>
              <w:t>宣汉县马渡关镇长滩村</w:t>
            </w:r>
          </w:p>
          <w:p w14:paraId="297DA27F">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建设性质：</w:t>
            </w:r>
            <w:r>
              <w:rPr>
                <w:rFonts w:hint="default" w:ascii="Times New Roman" w:hAnsi="Times New Roman" w:cs="Times New Roman"/>
                <w:color w:val="auto"/>
                <w:sz w:val="24"/>
                <w:szCs w:val="32"/>
                <w:highlight w:val="none"/>
                <w:vertAlign w:val="baseline"/>
                <w:lang w:val="en-US" w:eastAsia="zh-CN"/>
              </w:rPr>
              <w:t>新建</w:t>
            </w:r>
          </w:p>
          <w:p w14:paraId="0359D874">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green"/>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服务范围：</w:t>
            </w:r>
            <w:r>
              <w:rPr>
                <w:rFonts w:hint="eastAsia" w:ascii="Times New Roman" w:hAnsi="Times New Roman" w:eastAsia="宋体" w:cs="Times New Roman"/>
                <w:color w:val="auto"/>
                <w:sz w:val="24"/>
                <w:szCs w:val="32"/>
                <w:highlight w:val="none"/>
                <w:vertAlign w:val="baseline"/>
                <w:lang w:val="en-US" w:eastAsia="zh-CN"/>
              </w:rPr>
              <w:t>马渡关镇</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庆云</w:t>
            </w:r>
            <w:r>
              <w:rPr>
                <w:rFonts w:hint="default" w:ascii="Times New Roman" w:hAnsi="Times New Roman" w:cs="Times New Roman"/>
                <w:b w:val="0"/>
                <w:bCs w:val="0"/>
                <w:color w:val="auto"/>
                <w:sz w:val="24"/>
                <w:szCs w:val="24"/>
                <w:highlight w:val="none"/>
                <w:vertAlign w:val="baseline"/>
                <w:lang w:val="en-US" w:eastAsia="zh-CN"/>
              </w:rPr>
              <w:t>社区</w:t>
            </w:r>
            <w:r>
              <w:rPr>
                <w:rFonts w:hint="default" w:ascii="Times New Roman" w:hAnsi="Times New Roman" w:cs="Times New Roman"/>
                <w:color w:val="auto"/>
                <w:sz w:val="24"/>
                <w:szCs w:val="32"/>
                <w:highlight w:val="none"/>
                <w:vertAlign w:val="baseline"/>
                <w:lang w:val="en-US" w:eastAsia="zh-CN"/>
              </w:rPr>
              <w:t>，服务人口约</w:t>
            </w:r>
            <w:r>
              <w:rPr>
                <w:rFonts w:hint="eastAsia" w:ascii="Times New Roman" w:hAnsi="Times New Roman" w:cs="Times New Roman"/>
                <w:color w:val="auto"/>
                <w:sz w:val="24"/>
                <w:szCs w:val="32"/>
                <w:highlight w:val="none"/>
                <w:vertAlign w:val="baseline"/>
                <w:lang w:val="en-US" w:eastAsia="zh-CN"/>
              </w:rPr>
              <w:t>4.1</w:t>
            </w:r>
            <w:r>
              <w:rPr>
                <w:rFonts w:hint="default" w:ascii="Times New Roman" w:hAnsi="Times New Roman" w:cs="Times New Roman"/>
                <w:color w:val="auto"/>
                <w:sz w:val="24"/>
                <w:szCs w:val="32"/>
                <w:highlight w:val="none"/>
                <w:vertAlign w:val="baseline"/>
                <w:lang w:val="en-US" w:eastAsia="zh-CN"/>
              </w:rPr>
              <w:t>万人</w:t>
            </w:r>
          </w:p>
          <w:p w14:paraId="50478076">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供水水源：</w:t>
            </w:r>
            <w:r>
              <w:rPr>
                <w:rFonts w:hint="default" w:ascii="Times New Roman" w:hAnsi="Times New Roman" w:cs="Times New Roman"/>
                <w:b w:val="0"/>
                <w:bCs w:val="0"/>
                <w:color w:val="auto"/>
                <w:sz w:val="24"/>
                <w:szCs w:val="24"/>
                <w:highlight w:val="none"/>
                <w:lang w:val="en-US" w:eastAsia="zh-CN"/>
              </w:rPr>
              <w:t>长滩河</w:t>
            </w:r>
          </w:p>
          <w:p w14:paraId="667389BF">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供水用途：</w:t>
            </w:r>
            <w:r>
              <w:rPr>
                <w:rFonts w:hint="default" w:ascii="Times New Roman" w:hAnsi="Times New Roman" w:cs="Times New Roman"/>
                <w:color w:val="auto"/>
                <w:sz w:val="24"/>
                <w:szCs w:val="32"/>
                <w:highlight w:val="none"/>
                <w:vertAlign w:val="baseline"/>
                <w:lang w:val="en-US" w:eastAsia="zh-CN"/>
              </w:rPr>
              <w:t>饮用水</w:t>
            </w:r>
          </w:p>
          <w:p w14:paraId="58068A92">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净水工艺：</w:t>
            </w:r>
            <w:r>
              <w:rPr>
                <w:rFonts w:hint="default" w:ascii="Times New Roman" w:hAnsi="Times New Roman" w:cs="Times New Roman"/>
                <w:color w:val="auto"/>
                <w:sz w:val="24"/>
                <w:szCs w:val="32"/>
                <w:highlight w:val="none"/>
                <w:vertAlign w:val="baseline"/>
                <w:lang w:val="en-US" w:eastAsia="zh-CN"/>
              </w:rPr>
              <w:t>采用“</w:t>
            </w:r>
            <w:r>
              <w:rPr>
                <w:rFonts w:hint="eastAsia" w:ascii="Times New Roman" w:hAnsi="Times New Roman" w:cs="Times New Roman"/>
                <w:color w:val="auto"/>
                <w:sz w:val="24"/>
                <w:szCs w:val="32"/>
                <w:highlight w:val="none"/>
                <w:vertAlign w:val="baseline"/>
                <w:lang w:val="en-US" w:eastAsia="zh-CN"/>
              </w:rPr>
              <w:t>预沉淀+絮凝+沉淀+过滤+</w:t>
            </w:r>
            <w:r>
              <w:rPr>
                <w:rFonts w:hint="default" w:ascii="Times New Roman" w:hAnsi="Times New Roman" w:cs="Times New Roman"/>
                <w:color w:val="auto"/>
                <w:sz w:val="24"/>
                <w:szCs w:val="32"/>
                <w:highlight w:val="none"/>
                <w:vertAlign w:val="baseline"/>
                <w:lang w:val="en-US" w:eastAsia="zh-CN"/>
              </w:rPr>
              <w:t>二氧化氯</w:t>
            </w:r>
            <w:r>
              <w:rPr>
                <w:rFonts w:hint="eastAsia" w:ascii="Times New Roman" w:hAnsi="Times New Roman" w:cs="Times New Roman"/>
                <w:color w:val="auto"/>
                <w:sz w:val="24"/>
                <w:szCs w:val="32"/>
                <w:highlight w:val="none"/>
                <w:vertAlign w:val="baseline"/>
                <w:lang w:val="en-US" w:eastAsia="zh-CN"/>
              </w:rPr>
              <w:t>消毒</w:t>
            </w:r>
            <w:r>
              <w:rPr>
                <w:rFonts w:hint="default" w:ascii="Times New Roman" w:hAnsi="Times New Roman" w:cs="Times New Roman"/>
                <w:color w:val="auto"/>
                <w:sz w:val="24"/>
                <w:szCs w:val="32"/>
                <w:highlight w:val="none"/>
                <w:vertAlign w:val="baseline"/>
                <w:lang w:val="en-US" w:eastAsia="zh-CN"/>
              </w:rPr>
              <w:t>”</w:t>
            </w:r>
          </w:p>
          <w:p w14:paraId="4B0636C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建设内容：</w:t>
            </w:r>
            <w:r>
              <w:rPr>
                <w:rFonts w:hint="default" w:ascii="Times New Roman" w:hAnsi="Times New Roman" w:cs="Times New Roman"/>
                <w:color w:val="auto"/>
                <w:sz w:val="24"/>
                <w:szCs w:val="32"/>
                <w:highlight w:val="none"/>
                <w:vertAlign w:val="baseline"/>
                <w:lang w:val="en-US" w:eastAsia="zh-CN"/>
              </w:rPr>
              <w:t>新建一座</w:t>
            </w:r>
            <w:r>
              <w:rPr>
                <w:rFonts w:hint="eastAsia" w:ascii="Times New Roman" w:hAnsi="Times New Roman" w:cs="Times New Roman"/>
                <w:color w:val="auto"/>
                <w:sz w:val="24"/>
                <w:szCs w:val="32"/>
                <w:highlight w:val="none"/>
                <w:vertAlign w:val="baseline"/>
                <w:lang w:val="en-US" w:eastAsia="zh-CN"/>
              </w:rPr>
              <w:t>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cs="Times New Roman"/>
                <w:color w:val="auto"/>
                <w:sz w:val="24"/>
                <w:szCs w:val="32"/>
                <w:highlight w:val="none"/>
                <w:vertAlign w:val="baseline"/>
                <w:lang w:val="en-US" w:eastAsia="zh-CN"/>
              </w:rPr>
              <w:t>为30</w:t>
            </w:r>
            <w:r>
              <w:rPr>
                <w:rFonts w:hint="default" w:ascii="Times New Roman" w:hAnsi="Times New Roman" w:cs="Times New Roman"/>
                <w:color w:val="auto"/>
                <w:sz w:val="24"/>
                <w:szCs w:val="32"/>
                <w:highlight w:val="none"/>
                <w:vertAlign w:val="baseline"/>
                <w:lang w:val="en-US" w:eastAsia="zh-CN"/>
              </w:rPr>
              <w:t>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的马渡关</w:t>
            </w:r>
            <w:r>
              <w:rPr>
                <w:rFonts w:hint="default" w:ascii="Times New Roman" w:hAnsi="Times New Roman" w:cs="Times New Roman"/>
                <w:color w:val="auto"/>
                <w:sz w:val="24"/>
                <w:szCs w:val="32"/>
                <w:highlight w:val="none"/>
                <w:vertAlign w:val="baseline"/>
                <w:lang w:val="en-US" w:eastAsia="zh-CN"/>
              </w:rPr>
              <w:t>水厂，</w:t>
            </w:r>
            <w:r>
              <w:rPr>
                <w:rFonts w:hint="eastAsia" w:ascii="Times New Roman" w:hAnsi="Times New Roman" w:cs="Times New Roman"/>
                <w:color w:val="auto"/>
                <w:sz w:val="24"/>
                <w:szCs w:val="32"/>
                <w:highlight w:val="none"/>
                <w:vertAlign w:val="baseline"/>
                <w:lang w:val="en-US" w:eastAsia="zh-CN"/>
              </w:rPr>
              <w:t>新建一座取水泵房，取水水源为</w:t>
            </w:r>
            <w:r>
              <w:rPr>
                <w:rFonts w:hint="default" w:ascii="Times New Roman" w:hAnsi="Times New Roman" w:cs="Times New Roman"/>
                <w:b w:val="0"/>
                <w:bCs w:val="0"/>
                <w:color w:val="auto"/>
                <w:sz w:val="24"/>
                <w:szCs w:val="24"/>
                <w:highlight w:val="none"/>
                <w:lang w:val="en-US" w:eastAsia="zh-CN"/>
              </w:rPr>
              <w:t>长滩河</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利用离心泵将原水提取到水厂</w:t>
            </w:r>
            <w:r>
              <w:rPr>
                <w:rFonts w:hint="eastAsia" w:ascii="宋体" w:hAnsi="宋体" w:eastAsia="宋体" w:cs="宋体"/>
                <w:sz w:val="24"/>
                <w:szCs w:val="24"/>
              </w:rPr>
              <w:t>进行处理</w:t>
            </w:r>
            <w:r>
              <w:rPr>
                <w:rFonts w:hint="eastAsia" w:ascii="宋体" w:hAnsi="宋体" w:eastAsia="宋体" w:cs="宋体"/>
                <w:sz w:val="24"/>
                <w:szCs w:val="24"/>
                <w:lang w:eastAsia="zh-CN"/>
              </w:rPr>
              <w:t>；</w:t>
            </w:r>
            <w:r>
              <w:rPr>
                <w:rFonts w:hint="default" w:ascii="Times New Roman" w:hAnsi="Times New Roman" w:eastAsia="宋体" w:cs="Times New Roman"/>
                <w:bCs/>
                <w:color w:val="auto"/>
                <w:sz w:val="24"/>
                <w:szCs w:val="24"/>
              </w:rPr>
              <w:t>设计取水规模</w:t>
            </w:r>
            <w:r>
              <w:rPr>
                <w:rFonts w:hint="eastAsia" w:ascii="Times New Roman" w:hAnsi="Times New Roman" w:eastAsia="宋体" w:cs="Times New Roman"/>
                <w:bCs/>
                <w:color w:val="auto"/>
                <w:sz w:val="24"/>
                <w:szCs w:val="24"/>
                <w:lang w:val="en-US" w:eastAsia="zh-CN"/>
              </w:rPr>
              <w:t>330</w:t>
            </w:r>
            <w:r>
              <w:rPr>
                <w:rFonts w:hint="default" w:ascii="Times New Roman" w:hAnsi="Times New Roman" w:eastAsia="宋体" w:cs="Times New Roman"/>
                <w:bCs/>
                <w:color w:val="auto"/>
                <w:sz w:val="24"/>
                <w:szCs w:val="24"/>
              </w:rPr>
              <w:t>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原水管道漏损系数1.1</w:t>
            </w:r>
            <w:r>
              <w:rPr>
                <w:rFonts w:hint="eastAsia" w:ascii="Times New Roman" w:hAnsi="Times New Roman" w:eastAsia="宋体" w:cs="Times New Roman"/>
                <w:bCs/>
                <w:color w:val="auto"/>
                <w:sz w:val="24"/>
                <w:szCs w:val="24"/>
                <w:lang w:eastAsia="zh-CN"/>
              </w:rPr>
              <w:t>；</w:t>
            </w:r>
            <w:r>
              <w:rPr>
                <w:rFonts w:hint="eastAsia" w:ascii="Times New Roman" w:hAnsi="Times New Roman" w:cs="Times New Roman"/>
                <w:color w:val="auto"/>
                <w:sz w:val="24"/>
                <w:szCs w:val="24"/>
                <w:highlight w:val="none"/>
                <w:vertAlign w:val="baseline"/>
                <w:lang w:val="en-US" w:eastAsia="zh-CN"/>
              </w:rPr>
              <w:t>配套新建</w:t>
            </w:r>
            <w:r>
              <w:rPr>
                <w:rFonts w:hint="default" w:ascii="Times New Roman" w:hAnsi="Times New Roman" w:cs="Times New Roman"/>
                <w:b w:val="0"/>
                <w:bCs w:val="0"/>
                <w:color w:val="auto"/>
                <w:sz w:val="24"/>
                <w:szCs w:val="24"/>
                <w:highlight w:val="none"/>
                <w:vertAlign w:val="baseline"/>
                <w:lang w:val="en-US" w:eastAsia="zh-CN"/>
              </w:rPr>
              <w:t>取水管长度约</w:t>
            </w:r>
            <w:r>
              <w:rPr>
                <w:rFonts w:hint="eastAsia" w:ascii="Times New Roman" w:hAnsi="Times New Roman" w:cs="Times New Roman"/>
                <w:b w:val="0"/>
                <w:bCs w:val="0"/>
                <w:color w:val="auto"/>
                <w:sz w:val="24"/>
                <w:szCs w:val="24"/>
                <w:highlight w:val="none"/>
                <w:vertAlign w:val="baseline"/>
                <w:lang w:val="en-US" w:eastAsia="zh-CN"/>
              </w:rPr>
              <w:t>0.9k</w:t>
            </w:r>
            <w:r>
              <w:rPr>
                <w:rFonts w:hint="default" w:ascii="Times New Roman" w:hAnsi="Times New Roman" w:cs="Times New Roman"/>
                <w:b w:val="0"/>
                <w:bCs w:val="0"/>
                <w:color w:val="auto"/>
                <w:sz w:val="24"/>
                <w:szCs w:val="24"/>
                <w:highlight w:val="none"/>
                <w:vertAlign w:val="baseline"/>
                <w:lang w:val="en-US" w:eastAsia="zh-CN"/>
              </w:rPr>
              <w:t>m</w:t>
            </w:r>
            <w:r>
              <w:rPr>
                <w:rFonts w:hint="eastAsia" w:ascii="Times New Roman" w:hAnsi="Times New Roman" w:cs="Times New Roman"/>
                <w:b w:val="0"/>
                <w:bCs w:val="0"/>
                <w:color w:val="auto"/>
                <w:sz w:val="24"/>
                <w:szCs w:val="24"/>
                <w:highlight w:val="none"/>
                <w:vertAlign w:val="baseline"/>
                <w:lang w:val="en-US" w:eastAsia="zh-CN"/>
              </w:rPr>
              <w:t>；新建两座容积均为64m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高位水池、一座容积为100m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高位水池、三座容积均为200m</w:t>
            </w:r>
            <w:r>
              <w:rPr>
                <w:rFonts w:hint="eastAsia"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高位水池；</w:t>
            </w:r>
            <w:r>
              <w:rPr>
                <w:rFonts w:hint="eastAsia" w:ascii="Times New Roman" w:hAnsi="Times New Roman" w:cs="Times New Roman"/>
                <w:color w:val="auto"/>
                <w:sz w:val="24"/>
                <w:szCs w:val="32"/>
                <w:highlight w:val="none"/>
                <w:vertAlign w:val="baseline"/>
                <w:lang w:val="en-US" w:eastAsia="zh-CN"/>
              </w:rPr>
              <w:t>本次设计处理工艺为</w:t>
            </w:r>
            <w:r>
              <w:rPr>
                <w:rFonts w:hint="default" w:ascii="Times New Roman" w:hAnsi="Times New Roman" w:cs="Times New Roman"/>
                <w:color w:val="auto"/>
                <w:sz w:val="24"/>
                <w:szCs w:val="32"/>
                <w:highlight w:val="none"/>
                <w:vertAlign w:val="baseline"/>
                <w:lang w:val="en-US" w:eastAsia="zh-CN"/>
              </w:rPr>
              <w:t>“</w:t>
            </w:r>
            <w:r>
              <w:rPr>
                <w:rFonts w:hint="eastAsia" w:ascii="Times New Roman" w:hAnsi="Times New Roman" w:cs="Times New Roman"/>
                <w:color w:val="auto"/>
                <w:sz w:val="24"/>
                <w:szCs w:val="32"/>
                <w:highlight w:val="none"/>
                <w:vertAlign w:val="baseline"/>
                <w:lang w:val="en-US" w:eastAsia="zh-CN"/>
              </w:rPr>
              <w:t>预沉淀+絮凝+沉淀+过滤+</w:t>
            </w:r>
            <w:r>
              <w:rPr>
                <w:rFonts w:hint="default" w:ascii="Times New Roman" w:hAnsi="Times New Roman" w:cs="Times New Roman"/>
                <w:color w:val="auto"/>
                <w:sz w:val="24"/>
                <w:szCs w:val="32"/>
                <w:highlight w:val="none"/>
                <w:vertAlign w:val="baseline"/>
                <w:lang w:val="en-US" w:eastAsia="zh-CN"/>
              </w:rPr>
              <w:t>二氧化氯</w:t>
            </w:r>
            <w:r>
              <w:rPr>
                <w:rFonts w:hint="eastAsia" w:ascii="Times New Roman" w:hAnsi="Times New Roman" w:cs="Times New Roman"/>
                <w:color w:val="auto"/>
                <w:sz w:val="24"/>
                <w:szCs w:val="32"/>
                <w:highlight w:val="none"/>
                <w:vertAlign w:val="baseline"/>
                <w:lang w:val="en-US" w:eastAsia="zh-CN"/>
              </w:rPr>
              <w:t>消毒</w:t>
            </w:r>
            <w:r>
              <w:rPr>
                <w:rFonts w:hint="default" w:ascii="Times New Roman" w:hAnsi="Times New Roman" w:cs="Times New Roman"/>
                <w:color w:val="auto"/>
                <w:sz w:val="24"/>
                <w:szCs w:val="32"/>
                <w:highlight w:val="none"/>
                <w:vertAlign w:val="baseline"/>
                <w:lang w:val="en-US" w:eastAsia="zh-CN"/>
              </w:rPr>
              <w:t>”</w:t>
            </w:r>
            <w:r>
              <w:rPr>
                <w:rFonts w:hint="eastAsia" w:ascii="Times New Roman" w:hAnsi="Times New Roman" w:cs="Times New Roman"/>
                <w:color w:val="auto"/>
                <w:sz w:val="24"/>
                <w:szCs w:val="32"/>
                <w:highlight w:val="none"/>
                <w:vertAlign w:val="baseline"/>
                <w:lang w:val="en-US" w:eastAsia="zh-CN"/>
              </w:rPr>
              <w:t>，处理后出水水质满足《生活饮用水卫生标准》（GB5749-2022）。</w:t>
            </w:r>
          </w:p>
          <w:p w14:paraId="0E3518C2">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3</w:t>
            </w:r>
            <w:r>
              <w:rPr>
                <w:rFonts w:hint="default" w:ascii="Times New Roman" w:hAnsi="Times New Roman" w:cs="Times New Roman"/>
                <w:b/>
                <w:bCs/>
                <w:color w:val="auto"/>
                <w:sz w:val="24"/>
                <w:szCs w:val="32"/>
                <w:highlight w:val="none"/>
                <w:vertAlign w:val="baseline"/>
                <w:lang w:val="en-US" w:eastAsia="zh-CN"/>
              </w:rPr>
              <w:t>）项目取水方案</w:t>
            </w:r>
          </w:p>
          <w:p w14:paraId="2305A146">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①隘口水厂</w:t>
            </w:r>
          </w:p>
          <w:p w14:paraId="00FD16B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inorEastAsia"/>
                <w:color w:val="auto"/>
                <w:sz w:val="24"/>
                <w:szCs w:val="24"/>
                <w:highlight w:val="none"/>
                <w:vertAlign w:val="baseline"/>
                <w:lang w:val="en-US" w:eastAsia="zh-CN"/>
              </w:rPr>
            </w:pPr>
            <w:r>
              <w:rPr>
                <w:rFonts w:hint="eastAsia" w:ascii="Times New Roman" w:hAnsi="Times New Roman" w:eastAsia="宋体" w:cs="Times New Roman"/>
                <w:bCs/>
                <w:sz w:val="24"/>
                <w:szCs w:val="24"/>
                <w:lang w:val="en-US" w:eastAsia="zh-CN"/>
              </w:rPr>
              <w:t>采用浮筒泵取水，水库两岸设立牵引支墩，</w:t>
            </w:r>
            <w:r>
              <w:rPr>
                <w:rFonts w:hint="eastAsia" w:ascii="Times New Roman" w:hAnsi="Times New Roman" w:cs="Times New Roman"/>
                <w:color w:val="auto"/>
                <w:sz w:val="24"/>
                <w:szCs w:val="32"/>
                <w:highlight w:val="none"/>
                <w:vertAlign w:val="baseline"/>
                <w:lang w:val="en-US" w:eastAsia="zh-CN"/>
              </w:rPr>
              <w:t>取水水源为</w:t>
            </w:r>
            <w:r>
              <w:rPr>
                <w:rFonts w:hint="eastAsia" w:ascii="Times New Roman" w:hAnsi="Times New Roman" w:cs="Times New Roman"/>
                <w:b w:val="0"/>
                <w:bCs w:val="0"/>
                <w:color w:val="auto"/>
                <w:sz w:val="24"/>
                <w:szCs w:val="24"/>
                <w:highlight w:val="none"/>
                <w:lang w:val="en-US" w:eastAsia="zh-CN"/>
              </w:rPr>
              <w:t>普子坪水库</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利用离心泵</w:t>
            </w:r>
            <w:r>
              <w:rPr>
                <w:rFonts w:hint="eastAsia" w:ascii="Times New Roman" w:hAnsi="Times New Roman" w:eastAsia="宋体" w:cs="Times New Roman"/>
                <w:bCs/>
                <w:sz w:val="24"/>
                <w:szCs w:val="24"/>
                <w:lang w:val="en-US" w:eastAsia="zh-CN"/>
              </w:rPr>
              <w:t>将</w:t>
            </w:r>
            <w:r>
              <w:rPr>
                <w:rFonts w:hint="default" w:ascii="Times New Roman" w:hAnsi="Times New Roman" w:eastAsia="宋体" w:cs="Times New Roman"/>
                <w:color w:val="auto"/>
                <w:sz w:val="24"/>
                <w:szCs w:val="24"/>
                <w:highlight w:val="none"/>
                <w:vertAlign w:val="baseline"/>
                <w:lang w:val="en-US" w:eastAsia="zh-CN"/>
              </w:rPr>
              <w:t>原水提取到水厂</w:t>
            </w:r>
            <w:r>
              <w:rPr>
                <w:rFonts w:hint="eastAsia" w:ascii="宋体" w:hAnsi="宋体" w:eastAsia="宋体" w:cs="宋体"/>
                <w:sz w:val="24"/>
                <w:szCs w:val="24"/>
              </w:rPr>
              <w:t>进行处理</w:t>
            </w:r>
            <w:r>
              <w:rPr>
                <w:rFonts w:hint="eastAsia" w:ascii="宋体" w:hAnsi="宋体" w:eastAsia="宋体" w:cs="宋体"/>
                <w:color w:val="auto"/>
                <w:sz w:val="24"/>
                <w:szCs w:val="24"/>
                <w:lang w:eastAsia="zh-CN"/>
              </w:rPr>
              <w:t>，</w:t>
            </w:r>
            <w:r>
              <w:rPr>
                <w:rFonts w:hint="default" w:ascii="Times New Roman" w:hAnsi="Times New Roman" w:eastAsia="宋体" w:cs="Times New Roman"/>
                <w:bCs/>
                <w:color w:val="auto"/>
                <w:sz w:val="24"/>
                <w:szCs w:val="24"/>
              </w:rPr>
              <w:t>设计取水规模</w:t>
            </w:r>
            <w:r>
              <w:rPr>
                <w:rFonts w:hint="eastAsia" w:ascii="Times New Roman" w:hAnsi="Times New Roman" w:eastAsia="宋体" w:cs="Times New Roman"/>
                <w:bCs/>
                <w:color w:val="auto"/>
                <w:sz w:val="24"/>
                <w:szCs w:val="24"/>
                <w:lang w:val="en-US" w:eastAsia="zh-CN"/>
              </w:rPr>
              <w:t>22</w:t>
            </w:r>
            <w:r>
              <w:rPr>
                <w:rFonts w:hint="default" w:ascii="Times New Roman" w:hAnsi="Times New Roman" w:eastAsia="宋体" w:cs="Times New Roman"/>
                <w:bCs/>
                <w:color w:val="auto"/>
                <w:sz w:val="24"/>
                <w:szCs w:val="24"/>
              </w:rPr>
              <w:t>00m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/d，原水管道漏损系数1.1</w:t>
            </w:r>
            <w:r>
              <w:rPr>
                <w:rFonts w:hint="eastAsia" w:ascii="Times New Roman" w:hAnsi="Times New Roman" w:eastAsia="宋体" w:cs="Times New Roman"/>
                <w:bCs/>
                <w:color w:val="auto"/>
                <w:sz w:val="24"/>
                <w:szCs w:val="24"/>
                <w:lang w:eastAsia="zh-CN"/>
              </w:rPr>
              <w:t>。</w:t>
            </w:r>
            <w:r>
              <w:rPr>
                <w:rFonts w:hint="default" w:ascii="Times New Roman" w:hAnsi="Times New Roman" w:cs="Times New Roman"/>
                <w:color w:val="auto"/>
                <w:sz w:val="24"/>
                <w:szCs w:val="24"/>
              </w:rPr>
              <w:t>取水管长度约</w:t>
            </w:r>
            <w:r>
              <w:rPr>
                <w:rFonts w:hint="eastAsia" w:ascii="Times New Roman" w:hAnsi="Times New Roman" w:cs="Times New Roman"/>
                <w:color w:val="auto"/>
                <w:sz w:val="24"/>
                <w:szCs w:val="24"/>
                <w:lang w:val="en-US" w:eastAsia="zh-CN"/>
              </w:rPr>
              <w:t>0.63k</w:t>
            </w:r>
            <w:r>
              <w:rPr>
                <w:rFonts w:hint="default" w:ascii="Times New Roman" w:hAnsi="Times New Roman" w:cs="Times New Roman"/>
                <w:color w:val="auto"/>
                <w:sz w:val="24"/>
                <w:szCs w:val="24"/>
              </w:rPr>
              <w:t>m，管径DN150</w:t>
            </w:r>
            <w:r>
              <w:rPr>
                <w:rFonts w:hint="default" w:ascii="Times New Roman" w:hAnsi="Times New Roman" w:cs="Times New Roman"/>
                <w:color w:val="auto"/>
                <w:sz w:val="24"/>
                <w:szCs w:val="24"/>
                <w:lang w:eastAsia="zh-CN"/>
              </w:rPr>
              <w:t>。</w:t>
            </w:r>
          </w:p>
          <w:p w14:paraId="23C7D7F7">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②马渡关水厂</w:t>
            </w:r>
          </w:p>
          <w:p w14:paraId="279622F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新建一座取水泵房，取水水源为</w:t>
            </w:r>
            <w:r>
              <w:rPr>
                <w:rFonts w:hint="default" w:ascii="Times New Roman" w:hAnsi="Times New Roman" w:cs="Times New Roman"/>
                <w:b w:val="0"/>
                <w:bCs w:val="0"/>
                <w:color w:val="auto"/>
                <w:sz w:val="24"/>
                <w:szCs w:val="24"/>
                <w:highlight w:val="none"/>
                <w:lang w:val="en-US" w:eastAsia="zh-CN"/>
              </w:rPr>
              <w:t>长滩河</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利用离心泵将原水提取到水厂</w:t>
            </w:r>
            <w:r>
              <w:rPr>
                <w:rFonts w:hint="eastAsia" w:ascii="宋体" w:hAnsi="宋体" w:eastAsia="宋体" w:cs="宋体"/>
                <w:sz w:val="24"/>
                <w:szCs w:val="24"/>
              </w:rPr>
              <w:t>进行处理</w:t>
            </w:r>
            <w:r>
              <w:rPr>
                <w:rFonts w:hint="default" w:ascii="Times New Roman" w:hAnsi="Times New Roman" w:eastAsia="宋体" w:cs="Times New Roman"/>
                <w:sz w:val="24"/>
                <w:szCs w:val="24"/>
              </w:rPr>
              <w:t>，</w:t>
            </w:r>
            <w:r>
              <w:rPr>
                <w:rFonts w:hint="default" w:ascii="Times New Roman" w:hAnsi="Times New Roman" w:eastAsia="宋体" w:cs="Times New Roman"/>
                <w:bCs/>
                <w:sz w:val="24"/>
                <w:szCs w:val="24"/>
              </w:rPr>
              <w:t>设计取水规模</w:t>
            </w:r>
            <w:r>
              <w:rPr>
                <w:rFonts w:hint="eastAsia" w:ascii="Times New Roman" w:hAnsi="Times New Roman" w:eastAsia="宋体" w:cs="Times New Roman"/>
                <w:bCs/>
                <w:sz w:val="24"/>
                <w:szCs w:val="24"/>
                <w:lang w:val="en-US" w:eastAsia="zh-CN"/>
              </w:rPr>
              <w:t>330</w:t>
            </w:r>
            <w:r>
              <w:rPr>
                <w:rFonts w:hint="default" w:ascii="Times New Roman" w:hAnsi="Times New Roman" w:eastAsia="宋体" w:cs="Times New Roman"/>
                <w:bCs/>
                <w:sz w:val="24"/>
                <w:szCs w:val="24"/>
              </w:rPr>
              <w:t>0m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/d</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原水管道漏损系数1.1</w:t>
            </w:r>
            <w:r>
              <w:rPr>
                <w:rFonts w:hint="default" w:ascii="Times New Roman" w:hAnsi="Times New Roman" w:eastAsia="宋体" w:cs="Times New Roman"/>
                <w:bCs/>
                <w:sz w:val="24"/>
                <w:szCs w:val="24"/>
                <w:lang w:eastAsia="zh-CN"/>
              </w:rPr>
              <w:t>。</w:t>
            </w:r>
            <w:r>
              <w:rPr>
                <w:rFonts w:hint="default" w:ascii="Times New Roman" w:hAnsi="Times New Roman" w:cs="Times New Roman"/>
                <w:color w:val="auto"/>
                <w:sz w:val="24"/>
                <w:szCs w:val="24"/>
              </w:rPr>
              <w:t>取水管长度约</w:t>
            </w:r>
            <w:r>
              <w:rPr>
                <w:rFonts w:hint="eastAsia" w:ascii="Times New Roman" w:hAnsi="Times New Roman" w:cs="Times New Roman"/>
                <w:color w:val="auto"/>
                <w:sz w:val="24"/>
                <w:szCs w:val="24"/>
                <w:lang w:val="en-US" w:eastAsia="zh-CN"/>
              </w:rPr>
              <w:t>0.9k</w:t>
            </w:r>
            <w:r>
              <w:rPr>
                <w:rFonts w:hint="default" w:ascii="Times New Roman" w:hAnsi="Times New Roman" w:cs="Times New Roman"/>
                <w:color w:val="auto"/>
                <w:sz w:val="24"/>
                <w:szCs w:val="24"/>
              </w:rPr>
              <w:t>m，管径DN</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50</w:t>
            </w:r>
            <w:r>
              <w:rPr>
                <w:rFonts w:hint="default" w:ascii="Times New Roman" w:hAnsi="Times New Roman" w:cs="Times New Roman"/>
                <w:color w:val="auto"/>
                <w:sz w:val="24"/>
                <w:szCs w:val="24"/>
                <w:lang w:eastAsia="zh-CN"/>
              </w:rPr>
              <w:t>。</w:t>
            </w:r>
          </w:p>
          <w:p w14:paraId="00F62927">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4</w:t>
            </w:r>
            <w:r>
              <w:rPr>
                <w:rFonts w:hint="default" w:ascii="Times New Roman" w:hAnsi="Times New Roman" w:cs="Times New Roman"/>
                <w:b/>
                <w:bCs/>
                <w:color w:val="auto"/>
                <w:sz w:val="24"/>
                <w:szCs w:val="32"/>
                <w:highlight w:val="none"/>
                <w:vertAlign w:val="baseline"/>
                <w:lang w:val="en-US" w:eastAsia="zh-CN"/>
              </w:rPr>
              <w:t>）水量、水质和水压目标</w:t>
            </w:r>
          </w:p>
          <w:p w14:paraId="413E50D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①水量目标</w:t>
            </w:r>
          </w:p>
          <w:p w14:paraId="17E6E76F">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A.隘口水厂</w:t>
            </w:r>
          </w:p>
          <w:p w14:paraId="4B60AD1A">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根据业主提供的可研、施工设计、水资源论证等资料综合分析可知：</w:t>
            </w:r>
            <w:r>
              <w:rPr>
                <w:rFonts w:hint="default" w:ascii="Times New Roman" w:hAnsi="Times New Roman" w:eastAsia="宋体" w:cs="Times New Roman"/>
                <w:bCs/>
                <w:sz w:val="24"/>
                <w:szCs w:val="24"/>
              </w:rPr>
              <w:t>本项目水资源论证取水量</w:t>
            </w:r>
            <w:r>
              <w:rPr>
                <w:rFonts w:hint="eastAsia" w:ascii="Times New Roman" w:hAnsi="Times New Roman" w:eastAsia="宋体" w:cs="Times New Roman"/>
                <w:bCs/>
                <w:sz w:val="24"/>
                <w:szCs w:val="24"/>
                <w:lang w:val="en-US" w:eastAsia="zh-CN"/>
              </w:rPr>
              <w:t>924.1</w:t>
            </w:r>
            <w:r>
              <w:rPr>
                <w:rFonts w:hint="default" w:ascii="Times New Roman" w:hAnsi="Times New Roman" w:eastAsia="宋体" w:cs="Times New Roman"/>
                <w:bCs/>
                <w:sz w:val="24"/>
                <w:szCs w:val="24"/>
              </w:rPr>
              <w:t>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rPr>
              <w:t>/d，年</w:t>
            </w:r>
            <w:r>
              <w:rPr>
                <w:rFonts w:hint="eastAsia" w:ascii="Times New Roman" w:hAnsi="Times New Roman" w:eastAsia="宋体" w:cs="Times New Roman"/>
                <w:bCs/>
                <w:sz w:val="24"/>
                <w:szCs w:val="24"/>
                <w:lang w:val="en-US" w:eastAsia="zh-CN"/>
              </w:rPr>
              <w:t>论证</w:t>
            </w:r>
            <w:r>
              <w:rPr>
                <w:rFonts w:hint="default" w:ascii="Times New Roman" w:hAnsi="Times New Roman" w:eastAsia="宋体" w:cs="Times New Roman"/>
                <w:bCs/>
                <w:sz w:val="24"/>
                <w:szCs w:val="24"/>
              </w:rPr>
              <w:t>取水量</w:t>
            </w:r>
            <w:r>
              <w:rPr>
                <w:rFonts w:hint="eastAsia" w:ascii="Times New Roman" w:hAnsi="Times New Roman" w:eastAsia="宋体" w:cs="Times New Roman"/>
                <w:bCs/>
                <w:sz w:val="24"/>
                <w:szCs w:val="24"/>
                <w:lang w:val="en-US" w:eastAsia="zh-CN"/>
              </w:rPr>
              <w:t>33.7</w:t>
            </w:r>
            <w:r>
              <w:rPr>
                <w:rFonts w:hint="default" w:ascii="Times New Roman" w:hAnsi="Times New Roman" w:eastAsia="宋体" w:cs="Times New Roman"/>
                <w:bCs/>
                <w:sz w:val="24"/>
                <w:szCs w:val="24"/>
              </w:rPr>
              <w:t>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本项目设计取水量为</w:t>
            </w:r>
            <w:r>
              <w:rPr>
                <w:rFonts w:hint="eastAsia" w:ascii="Times New Roman" w:hAnsi="Times New Roman" w:eastAsia="宋体" w:cs="Times New Roman"/>
                <w:bCs/>
                <w:color w:val="auto"/>
                <w:sz w:val="24"/>
                <w:szCs w:val="24"/>
                <w:lang w:val="en-US" w:eastAsia="zh-CN"/>
              </w:rPr>
              <w:t>220</w:t>
            </w:r>
            <w:r>
              <w:rPr>
                <w:rFonts w:hint="default" w:ascii="Times New Roman" w:hAnsi="Times New Roman" w:eastAsia="宋体" w:cs="Times New Roman"/>
                <w:bCs/>
                <w:color w:val="auto"/>
                <w:sz w:val="24"/>
                <w:szCs w:val="24"/>
              </w:rPr>
              <w:t>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年设计取水量80.3</w:t>
            </w:r>
            <w:r>
              <w:rPr>
                <w:rFonts w:hint="default" w:ascii="Times New Roman" w:hAnsi="Times New Roman" w:eastAsia="宋体" w:cs="Times New Roman"/>
                <w:bCs/>
                <w:sz w:val="24"/>
                <w:szCs w:val="24"/>
              </w:rPr>
              <w:t>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b w:val="0"/>
                <w:bCs/>
                <w:sz w:val="24"/>
                <w:szCs w:val="24"/>
                <w:lang w:val="en-US" w:eastAsia="zh-CN"/>
              </w:rPr>
              <w:t>本次评价要求，严格按照将来颁发的</w:t>
            </w:r>
            <w:r>
              <w:rPr>
                <w:rFonts w:hint="default" w:ascii="Times New Roman" w:hAnsi="Times New Roman" w:cs="Times New Roman"/>
                <w:b w:val="0"/>
                <w:bCs/>
                <w:color w:val="auto"/>
                <w:sz w:val="24"/>
                <w:szCs w:val="32"/>
                <w:highlight w:val="none"/>
                <w:vertAlign w:val="baseline"/>
                <w:lang w:val="en-US" w:eastAsia="zh-CN"/>
              </w:rPr>
              <w:t>取水许可证</w:t>
            </w:r>
            <w:r>
              <w:rPr>
                <w:rFonts w:hint="eastAsia" w:ascii="Times New Roman" w:hAnsi="Times New Roman" w:cs="Times New Roman"/>
                <w:b w:val="0"/>
                <w:bCs/>
                <w:color w:val="auto"/>
                <w:sz w:val="24"/>
                <w:szCs w:val="32"/>
                <w:highlight w:val="none"/>
                <w:vertAlign w:val="baseline"/>
                <w:lang w:val="en-US" w:eastAsia="zh-CN"/>
              </w:rPr>
              <w:t>许可的取水量进行取水。</w:t>
            </w:r>
          </w:p>
          <w:p w14:paraId="6C4EF547">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B.马渡关水厂</w:t>
            </w:r>
          </w:p>
          <w:p w14:paraId="7952DFFC">
            <w:pPr>
              <w:keepNext w:val="0"/>
              <w:keepLines w:val="0"/>
              <w:pageBreakBefore w:val="0"/>
              <w:kinsoku/>
              <w:wordWrap/>
              <w:overflowPunct/>
              <w:topLinePunct w:val="0"/>
              <w:autoSpaceDE/>
              <w:autoSpaceDN/>
              <w:bidi w:val="0"/>
              <w:snapToGrid/>
              <w:spacing w:line="360" w:lineRule="auto"/>
              <w:ind w:firstLine="480"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根据业主提供的可研、施工设计、水资源论证等资料综合分析可知：</w:t>
            </w:r>
            <w:r>
              <w:rPr>
                <w:rFonts w:hint="default" w:ascii="Times New Roman" w:hAnsi="Times New Roman" w:eastAsia="宋体" w:cs="Times New Roman"/>
                <w:bCs/>
                <w:sz w:val="24"/>
                <w:szCs w:val="24"/>
              </w:rPr>
              <w:t>本项目水资源论证取水量1590m</w:t>
            </w:r>
            <w:r>
              <w:rPr>
                <w:rFonts w:hint="eastAsia" w:ascii="Times New Roman" w:hAnsi="Times New Roman" w:eastAsia="宋体" w:cs="Times New Roman"/>
                <w:bCs/>
                <w:sz w:val="24"/>
                <w:szCs w:val="24"/>
                <w:vertAlign w:val="superscript"/>
                <w:lang w:val="en-US" w:eastAsia="zh-CN"/>
              </w:rPr>
              <w:t>3</w:t>
            </w:r>
            <w:r>
              <w:rPr>
                <w:rFonts w:hint="default" w:ascii="Times New Roman" w:hAnsi="Times New Roman" w:eastAsia="宋体" w:cs="Times New Roman"/>
                <w:bCs/>
                <w:sz w:val="24"/>
                <w:szCs w:val="24"/>
              </w:rPr>
              <w:t>/d，年</w:t>
            </w:r>
            <w:r>
              <w:rPr>
                <w:rFonts w:hint="eastAsia" w:ascii="Times New Roman" w:hAnsi="Times New Roman" w:eastAsia="宋体" w:cs="Times New Roman"/>
                <w:bCs/>
                <w:sz w:val="24"/>
                <w:szCs w:val="24"/>
                <w:lang w:val="en-US" w:eastAsia="zh-CN"/>
              </w:rPr>
              <w:t>论证</w:t>
            </w:r>
            <w:r>
              <w:rPr>
                <w:rFonts w:hint="default" w:ascii="Times New Roman" w:hAnsi="Times New Roman" w:eastAsia="宋体" w:cs="Times New Roman"/>
                <w:bCs/>
                <w:sz w:val="24"/>
                <w:szCs w:val="24"/>
              </w:rPr>
              <w:t>取水量58.0万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本项目设计取水量为</w:t>
            </w:r>
            <w:r>
              <w:rPr>
                <w:rFonts w:hint="eastAsia" w:ascii="Times New Roman" w:hAnsi="Times New Roman" w:eastAsia="宋体" w:cs="Times New Roman"/>
                <w:bCs/>
                <w:color w:val="auto"/>
                <w:sz w:val="24"/>
                <w:szCs w:val="24"/>
                <w:lang w:val="en-US" w:eastAsia="zh-CN"/>
              </w:rPr>
              <w:t>330</w:t>
            </w:r>
            <w:r>
              <w:rPr>
                <w:rFonts w:hint="default" w:ascii="Times New Roman" w:hAnsi="Times New Roman" w:eastAsia="宋体" w:cs="Times New Roman"/>
                <w:bCs/>
                <w:color w:val="auto"/>
                <w:sz w:val="24"/>
                <w:szCs w:val="24"/>
              </w:rPr>
              <w:t>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年设计取水量120.45</w:t>
            </w:r>
            <w:r>
              <w:rPr>
                <w:rFonts w:hint="default" w:ascii="Times New Roman" w:hAnsi="Times New Roman" w:eastAsia="宋体" w:cs="Times New Roman"/>
                <w:bCs/>
                <w:sz w:val="24"/>
                <w:szCs w:val="24"/>
              </w:rPr>
              <w:t>万</w:t>
            </w:r>
            <w:r>
              <w:rPr>
                <w:rFonts w:hint="eastAsia" w:ascii="Times New Roman" w:hAnsi="Times New Roman" w:eastAsia="宋体" w:cs="Times New Roman"/>
                <w:bCs/>
                <w:sz w:val="24"/>
                <w:szCs w:val="24"/>
                <w:lang w:val="en-US" w:eastAsia="zh-CN"/>
              </w:rPr>
              <w:t>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color w:val="auto"/>
                <w:sz w:val="24"/>
                <w:szCs w:val="24"/>
                <w:lang w:val="en-US" w:eastAsia="zh-CN"/>
              </w:rPr>
              <w:t>；</w:t>
            </w:r>
            <w:r>
              <w:rPr>
                <w:rFonts w:hint="eastAsia" w:ascii="Times New Roman" w:hAnsi="Times New Roman" w:eastAsia="宋体" w:cs="Times New Roman"/>
                <w:b w:val="0"/>
                <w:bCs/>
                <w:sz w:val="24"/>
                <w:szCs w:val="24"/>
                <w:lang w:val="en-US" w:eastAsia="zh-CN"/>
              </w:rPr>
              <w:t>本次评价要求，严格按照将来颁发的</w:t>
            </w:r>
            <w:r>
              <w:rPr>
                <w:rFonts w:hint="default" w:ascii="Times New Roman" w:hAnsi="Times New Roman" w:cs="Times New Roman"/>
                <w:b w:val="0"/>
                <w:bCs/>
                <w:color w:val="auto"/>
                <w:sz w:val="24"/>
                <w:szCs w:val="32"/>
                <w:highlight w:val="none"/>
                <w:vertAlign w:val="baseline"/>
                <w:lang w:val="en-US" w:eastAsia="zh-CN"/>
              </w:rPr>
              <w:t>取水许可证</w:t>
            </w:r>
            <w:r>
              <w:rPr>
                <w:rFonts w:hint="eastAsia" w:ascii="Times New Roman" w:hAnsi="Times New Roman" w:cs="Times New Roman"/>
                <w:b w:val="0"/>
                <w:bCs/>
                <w:color w:val="auto"/>
                <w:sz w:val="24"/>
                <w:szCs w:val="32"/>
                <w:highlight w:val="none"/>
                <w:vertAlign w:val="baseline"/>
                <w:lang w:val="en-US" w:eastAsia="zh-CN"/>
              </w:rPr>
              <w:t>许可的取水量进行取水。</w:t>
            </w:r>
          </w:p>
          <w:p w14:paraId="7C0F3FB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②水质目标</w:t>
            </w:r>
          </w:p>
          <w:p w14:paraId="062BA7AB">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本项目出厂水水质按国家卫生部《生活饮用水卫生标准》（GB5749-2022）要求执行，水厂出厂水浊度值应不超过1.0NTU。采用</w:t>
            </w:r>
            <w:r>
              <w:rPr>
                <w:rFonts w:hint="eastAsia" w:ascii="Times New Roman" w:hAnsi="Times New Roman" w:cs="Times New Roman"/>
                <w:color w:val="auto"/>
                <w:sz w:val="24"/>
                <w:szCs w:val="32"/>
                <w:highlight w:val="none"/>
                <w:vertAlign w:val="baseline"/>
                <w:lang w:val="en-US" w:eastAsia="zh-CN"/>
              </w:rPr>
              <w:t>次氯酸钠消毒</w:t>
            </w:r>
            <w:r>
              <w:rPr>
                <w:rFonts w:hint="default" w:ascii="Times New Roman" w:hAnsi="Times New Roman" w:cs="Times New Roman"/>
                <w:color w:val="auto"/>
                <w:sz w:val="24"/>
                <w:szCs w:val="32"/>
                <w:highlight w:val="none"/>
                <w:vertAlign w:val="baseline"/>
                <w:lang w:val="en-US" w:eastAsia="zh-CN"/>
              </w:rPr>
              <w:t>，出厂水余</w:t>
            </w:r>
            <w:r>
              <w:rPr>
                <w:rFonts w:hint="eastAsia" w:ascii="Times New Roman" w:hAnsi="Times New Roman" w:cs="Times New Roman"/>
                <w:color w:val="auto"/>
                <w:sz w:val="24"/>
                <w:szCs w:val="32"/>
                <w:highlight w:val="none"/>
                <w:vertAlign w:val="baseline"/>
                <w:lang w:val="en-US" w:eastAsia="zh-CN"/>
              </w:rPr>
              <w:t>量</w:t>
            </w:r>
            <w:r>
              <w:rPr>
                <w:rFonts w:hint="default" w:ascii="Times New Roman" w:hAnsi="Times New Roman" w:cs="Times New Roman"/>
                <w:color w:val="auto"/>
                <w:sz w:val="24"/>
                <w:szCs w:val="32"/>
                <w:highlight w:val="none"/>
                <w:vertAlign w:val="baseline"/>
                <w:lang w:val="en-US" w:eastAsia="zh-CN"/>
              </w:rPr>
              <w:t>游离氯（接触时间30min后）≥0.</w:t>
            </w:r>
            <w:r>
              <w:rPr>
                <w:rFonts w:hint="eastAsia" w:ascii="Times New Roman" w:hAnsi="Times New Roman" w:cs="Times New Roman"/>
                <w:color w:val="auto"/>
                <w:sz w:val="24"/>
                <w:szCs w:val="32"/>
                <w:highlight w:val="none"/>
                <w:vertAlign w:val="baseline"/>
                <w:lang w:val="en-US" w:eastAsia="zh-CN"/>
              </w:rPr>
              <w:t>3</w:t>
            </w:r>
            <w:r>
              <w:rPr>
                <w:rFonts w:hint="default" w:ascii="Times New Roman" w:hAnsi="Times New Roman" w:cs="Times New Roman"/>
                <w:color w:val="auto"/>
                <w:sz w:val="24"/>
                <w:szCs w:val="32"/>
                <w:highlight w:val="none"/>
                <w:vertAlign w:val="baseline"/>
                <w:lang w:val="en-US" w:eastAsia="zh-CN"/>
              </w:rPr>
              <w:t>mg/L，并保证管网末梢水中余氯≥0.0</w:t>
            </w:r>
            <w:r>
              <w:rPr>
                <w:rFonts w:hint="eastAsia" w:ascii="Times New Roman" w:hAnsi="Times New Roman" w:cs="Times New Roman"/>
                <w:color w:val="auto"/>
                <w:sz w:val="24"/>
                <w:szCs w:val="32"/>
                <w:highlight w:val="none"/>
                <w:vertAlign w:val="baseline"/>
                <w:lang w:val="en-US" w:eastAsia="zh-CN"/>
              </w:rPr>
              <w:t>5</w:t>
            </w:r>
            <w:r>
              <w:rPr>
                <w:rFonts w:hint="default" w:ascii="Times New Roman" w:hAnsi="Times New Roman" w:cs="Times New Roman"/>
                <w:color w:val="auto"/>
                <w:sz w:val="24"/>
                <w:szCs w:val="32"/>
                <w:highlight w:val="none"/>
                <w:vertAlign w:val="baseline"/>
                <w:lang w:val="en-US" w:eastAsia="zh-CN"/>
              </w:rPr>
              <w:t>mg/L。</w:t>
            </w:r>
          </w:p>
          <w:p w14:paraId="68183810">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③水压目标</w:t>
            </w:r>
          </w:p>
          <w:p w14:paraId="36559D4C">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场镇用水压力按满足用水区域内最不利点6层建筑用户的水压要求，即最不利点自由水头不小于28m，农村用水最不利点自由水头不小于10m，满足供水区域内大部分用户的供水水压要求。</w:t>
            </w:r>
          </w:p>
          <w:p w14:paraId="7EC9AB47">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eastAsia="宋体" w:cs="Times New Roman"/>
                <w:b/>
                <w:bCs w:val="0"/>
                <w:color w:val="auto"/>
                <w:sz w:val="24"/>
                <w:szCs w:val="24"/>
                <w:lang w:val="en-US" w:eastAsia="zh-CN"/>
              </w:rPr>
              <w:t>（2）隘口水厂</w:t>
            </w:r>
            <w:r>
              <w:rPr>
                <w:rFonts w:hint="eastAsia" w:ascii="Times New Roman" w:hAnsi="Times New Roman" w:eastAsia="宋体" w:cs="Times New Roman"/>
                <w:b/>
                <w:bCs w:val="0"/>
                <w:color w:val="auto"/>
                <w:sz w:val="24"/>
                <w:szCs w:val="24"/>
                <w:highlight w:val="none"/>
                <w:lang w:val="en-US" w:eastAsia="zh-CN"/>
              </w:rPr>
              <w:t>扩</w:t>
            </w:r>
            <w:r>
              <w:rPr>
                <w:rFonts w:hint="default" w:ascii="Times New Roman" w:hAnsi="Times New Roman" w:eastAsia="宋体" w:cs="Times New Roman"/>
                <w:b/>
                <w:bCs w:val="0"/>
                <w:color w:val="auto"/>
                <w:sz w:val="24"/>
                <w:szCs w:val="24"/>
                <w:highlight w:val="none"/>
                <w:lang w:val="en-US" w:eastAsia="zh-CN"/>
              </w:rPr>
              <w:t>建前后变化情况</w:t>
            </w:r>
          </w:p>
          <w:p w14:paraId="604BD63C">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rPr>
              <w:t>表2-</w:t>
            </w:r>
            <w:r>
              <w:rPr>
                <w:rFonts w:hint="eastAsia" w:ascii="Times New Roman" w:hAnsi="Times New Roman" w:eastAsia="黑体" w:cs="Times New Roman"/>
                <w:color w:val="auto"/>
                <w:szCs w:val="21"/>
                <w:highlight w:val="none"/>
                <w:lang w:val="en-US" w:eastAsia="zh-CN"/>
              </w:rPr>
              <w:t>1</w:t>
            </w:r>
            <w:r>
              <w:rPr>
                <w:rFonts w:hint="default" w:ascii="Times New Roman" w:hAnsi="Times New Roman" w:eastAsia="黑体" w:cs="Times New Roman"/>
                <w:color w:val="auto"/>
                <w:szCs w:val="21"/>
                <w:highlight w:val="none"/>
              </w:rPr>
              <w:t xml:space="preserve">  </w:t>
            </w:r>
            <w:r>
              <w:rPr>
                <w:rFonts w:hint="eastAsia" w:ascii="Times New Roman" w:hAnsi="Times New Roman" w:eastAsia="黑体" w:cs="Times New Roman"/>
                <w:color w:val="auto"/>
                <w:szCs w:val="21"/>
                <w:highlight w:val="none"/>
                <w:lang w:val="en-US" w:eastAsia="zh-CN"/>
              </w:rPr>
              <w:t>隘口水厂扩</w:t>
            </w:r>
            <w:r>
              <w:rPr>
                <w:rFonts w:hint="eastAsia" w:eastAsia="黑体" w:cs="Times New Roman"/>
                <w:color w:val="auto"/>
                <w:szCs w:val="21"/>
                <w:highlight w:val="none"/>
                <w:lang w:val="en-US" w:eastAsia="zh-CN"/>
              </w:rPr>
              <w:t>建前后对比表</w:t>
            </w:r>
          </w:p>
          <w:tbl>
            <w:tblPr>
              <w:tblStyle w:val="26"/>
              <w:tblW w:w="9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2741"/>
              <w:gridCol w:w="2610"/>
              <w:gridCol w:w="2735"/>
            </w:tblGrid>
            <w:tr w14:paraId="543E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505AB3F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类别</w:t>
                  </w:r>
                </w:p>
              </w:tc>
              <w:tc>
                <w:tcPr>
                  <w:tcW w:w="2741" w:type="dxa"/>
                  <w:noWrap w:val="0"/>
                  <w:vAlign w:val="center"/>
                </w:tcPr>
                <w:p w14:paraId="19F51AC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现有项目</w:t>
                  </w:r>
                </w:p>
              </w:tc>
              <w:tc>
                <w:tcPr>
                  <w:tcW w:w="2610" w:type="dxa"/>
                  <w:noWrap w:val="0"/>
                  <w:vAlign w:val="center"/>
                </w:tcPr>
                <w:p w14:paraId="085F1B6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本项目</w:t>
                  </w:r>
                </w:p>
              </w:tc>
              <w:tc>
                <w:tcPr>
                  <w:tcW w:w="2735" w:type="dxa"/>
                  <w:noWrap w:val="0"/>
                  <w:vAlign w:val="center"/>
                </w:tcPr>
                <w:p w14:paraId="2D7F736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扩建后（全厂）</w:t>
                  </w:r>
                </w:p>
              </w:tc>
            </w:tr>
            <w:tr w14:paraId="1CBF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3BFACC9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位置</w:t>
                  </w:r>
                </w:p>
              </w:tc>
              <w:tc>
                <w:tcPr>
                  <w:tcW w:w="2741" w:type="dxa"/>
                  <w:noWrap w:val="0"/>
                  <w:vAlign w:val="center"/>
                </w:tcPr>
                <w:p w14:paraId="7F62AF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宣汉县马渡关镇隘口社区</w:t>
                  </w:r>
                </w:p>
              </w:tc>
              <w:tc>
                <w:tcPr>
                  <w:tcW w:w="2610" w:type="dxa"/>
                  <w:noWrap w:val="0"/>
                  <w:vAlign w:val="center"/>
                </w:tcPr>
                <w:p w14:paraId="6C40B3A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宣汉县马渡关镇隘口社区</w:t>
                  </w:r>
                </w:p>
              </w:tc>
              <w:tc>
                <w:tcPr>
                  <w:tcW w:w="2735" w:type="dxa"/>
                  <w:noWrap w:val="0"/>
                  <w:vAlign w:val="center"/>
                </w:tcPr>
                <w:p w14:paraId="00E4AD6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宣汉县马渡关镇隘口社区</w:t>
                  </w:r>
                </w:p>
              </w:tc>
            </w:tr>
            <w:tr w14:paraId="698D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4E1974F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占地面积</w:t>
                  </w:r>
                </w:p>
              </w:tc>
              <w:tc>
                <w:tcPr>
                  <w:tcW w:w="2741" w:type="dxa"/>
                  <w:noWrap w:val="0"/>
                  <w:vAlign w:val="center"/>
                </w:tcPr>
                <w:p w14:paraId="59E27F1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0"/>
                      <w:sz w:val="21"/>
                      <w:szCs w:val="21"/>
                      <w:highlight w:val="none"/>
                      <w:vertAlign w:val="superscript"/>
                      <w:lang w:val="en-US" w:eastAsia="zh-CN" w:bidi="ar"/>
                    </w:rPr>
                  </w:pPr>
                  <w:r>
                    <w:rPr>
                      <w:rFonts w:hint="default" w:ascii="Times New Roman" w:hAnsi="Times New Roman" w:eastAsia="宋体" w:cs="Times New Roman"/>
                      <w:color w:val="auto"/>
                      <w:kern w:val="2"/>
                      <w:sz w:val="21"/>
                      <w:szCs w:val="21"/>
                      <w:highlight w:val="none"/>
                      <w:lang w:val="en-US" w:eastAsia="zh-CN" w:bidi="ar-SA"/>
                    </w:rPr>
                    <w:t>1046</w:t>
                  </w:r>
                  <w:r>
                    <w:rPr>
                      <w:rFonts w:hint="default" w:ascii="Times New Roman" w:hAnsi="Times New Roman" w:eastAsia="宋体" w:cs="Times New Roman"/>
                      <w:b w:val="0"/>
                      <w:bCs w:val="0"/>
                      <w:color w:val="auto"/>
                      <w:kern w:val="0"/>
                      <w:sz w:val="21"/>
                      <w:szCs w:val="21"/>
                      <w:highlight w:val="none"/>
                      <w:lang w:val="en-US" w:eastAsia="zh-CN" w:bidi="ar"/>
                    </w:rPr>
                    <w:t>m</w:t>
                  </w:r>
                  <w:r>
                    <w:rPr>
                      <w:rFonts w:hint="default" w:ascii="Times New Roman" w:hAnsi="Times New Roman" w:eastAsia="宋体" w:cs="Times New Roman"/>
                      <w:b w:val="0"/>
                      <w:bCs w:val="0"/>
                      <w:color w:val="auto"/>
                      <w:kern w:val="0"/>
                      <w:sz w:val="21"/>
                      <w:szCs w:val="21"/>
                      <w:highlight w:val="none"/>
                      <w:vertAlign w:val="superscript"/>
                      <w:lang w:val="en-US" w:eastAsia="zh-CN" w:bidi="ar"/>
                    </w:rPr>
                    <w:t>2</w:t>
                  </w:r>
                </w:p>
              </w:tc>
              <w:tc>
                <w:tcPr>
                  <w:tcW w:w="2610" w:type="dxa"/>
                  <w:noWrap w:val="0"/>
                  <w:vAlign w:val="center"/>
                </w:tcPr>
                <w:p w14:paraId="0242E2F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cs="Times New Roman" w:eastAsiaTheme="minorEastAsia"/>
                      <w:b w:val="0"/>
                      <w:bCs w:val="0"/>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1046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2735" w:type="dxa"/>
                  <w:noWrap w:val="0"/>
                  <w:vAlign w:val="center"/>
                </w:tcPr>
                <w:p w14:paraId="3841340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1046</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r>
            <w:tr w14:paraId="0F0A7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0C7704E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建设内容</w:t>
                  </w:r>
                </w:p>
              </w:tc>
              <w:tc>
                <w:tcPr>
                  <w:tcW w:w="2741" w:type="dxa"/>
                  <w:noWrap w:val="0"/>
                  <w:vAlign w:val="center"/>
                </w:tcPr>
                <w:p w14:paraId="2859CFA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220m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/d规模</w:t>
                  </w:r>
                  <w:r>
                    <w:rPr>
                      <w:rFonts w:hint="default" w:ascii="Times New Roman" w:hAnsi="Times New Roman" w:eastAsia="宋体" w:cs="Times New Roman"/>
                      <w:color w:val="auto"/>
                      <w:sz w:val="21"/>
                      <w:szCs w:val="21"/>
                      <w:lang w:val="en-US" w:eastAsia="zh-CN"/>
                    </w:rPr>
                    <w:t>水厂，</w:t>
                  </w:r>
                  <w:r>
                    <w:rPr>
                      <w:rFonts w:hint="default" w:ascii="Times New Roman" w:hAnsi="Times New Roman" w:eastAsia="宋体" w:cs="Times New Roman"/>
                      <w:b/>
                      <w:bCs/>
                      <w:color w:val="auto"/>
                      <w:sz w:val="21"/>
                      <w:szCs w:val="21"/>
                      <w:lang w:val="en-US" w:eastAsia="zh-CN"/>
                    </w:rPr>
                    <w:t>取水水源为</w:t>
                  </w:r>
                  <w:r>
                    <w:rPr>
                      <w:rFonts w:hint="eastAsia"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宣汉县马渡关镇肖沟山坪塘（村级）集中式饮用水水源地</w:t>
                  </w: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color w:val="auto"/>
                      <w:sz w:val="21"/>
                      <w:szCs w:val="21"/>
                      <w:lang w:val="en-US" w:eastAsia="zh-CN"/>
                    </w:rPr>
                    <w:t>采用水泵提水至净水厂，以及配套</w:t>
                  </w:r>
                  <w:r>
                    <w:rPr>
                      <w:rFonts w:hint="default" w:ascii="Times New Roman" w:hAnsi="Times New Roman" w:cs="Times New Roman"/>
                      <w:color w:val="auto"/>
                      <w:sz w:val="21"/>
                      <w:szCs w:val="21"/>
                    </w:rPr>
                    <w:t>原水取水管、清水输水配水管</w:t>
                  </w:r>
                </w:p>
              </w:tc>
              <w:tc>
                <w:tcPr>
                  <w:tcW w:w="2610" w:type="dxa"/>
                  <w:noWrap w:val="0"/>
                  <w:vAlign w:val="center"/>
                </w:tcPr>
                <w:p w14:paraId="4622009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扩建</w:t>
                  </w:r>
                  <w:r>
                    <w:rPr>
                      <w:rFonts w:hint="default" w:ascii="Times New Roman" w:hAnsi="Times New Roman" w:cs="Times New Roman"/>
                      <w:color w:val="auto"/>
                      <w:sz w:val="21"/>
                      <w:szCs w:val="21"/>
                      <w:highlight w:val="none"/>
                      <w:vertAlign w:val="baseline"/>
                      <w:lang w:val="en-US" w:eastAsia="zh-CN"/>
                    </w:rPr>
                    <w:t>隘口水厂，供水规模</w:t>
                  </w:r>
                  <w:r>
                    <w:rPr>
                      <w:rFonts w:hint="default" w:ascii="Times New Roman" w:hAnsi="Times New Roman" w:eastAsia="宋体" w:cs="Times New Roman"/>
                      <w:color w:val="auto"/>
                      <w:sz w:val="21"/>
                      <w:szCs w:val="21"/>
                      <w:highlight w:val="none"/>
                      <w:vertAlign w:val="baseline"/>
                      <w:lang w:val="en-US" w:eastAsia="zh-CN"/>
                    </w:rPr>
                    <w:t>从220m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/d扩建到2000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/d，</w:t>
                  </w:r>
                  <w:r>
                    <w:rPr>
                      <w:rFonts w:hint="default" w:ascii="Times New Roman" w:hAnsi="Times New Roman" w:cs="Times New Roman"/>
                      <w:b/>
                      <w:bCs/>
                      <w:color w:val="auto"/>
                      <w:sz w:val="21"/>
                      <w:szCs w:val="21"/>
                      <w:highlight w:val="none"/>
                      <w:vertAlign w:val="baseline"/>
                      <w:lang w:val="en-US" w:eastAsia="zh-CN"/>
                    </w:rPr>
                    <w:t>取水水源为</w:t>
                  </w:r>
                  <w:r>
                    <w:rPr>
                      <w:rFonts w:hint="default" w:ascii="Times New Roman" w:hAnsi="Times New Roman" w:cs="Times New Roman"/>
                      <w:b/>
                      <w:bCs/>
                      <w:color w:val="auto"/>
                      <w:sz w:val="21"/>
                      <w:szCs w:val="21"/>
                      <w:highlight w:val="none"/>
                      <w:lang w:val="en-US" w:eastAsia="zh-CN"/>
                    </w:rPr>
                    <w:t>普子坪水库</w:t>
                  </w:r>
                  <w:r>
                    <w:rPr>
                      <w:rFonts w:hint="default" w:ascii="Times New Roman" w:hAnsi="Times New Roman" w:cs="Times New Roman"/>
                      <w:b/>
                      <w:bCs/>
                      <w:color w:val="auto"/>
                      <w:sz w:val="21"/>
                      <w:szCs w:val="21"/>
                      <w:highlight w:val="none"/>
                      <w:vertAlign w:val="baseline"/>
                      <w:lang w:val="en-US" w:eastAsia="zh-CN"/>
                    </w:rPr>
                    <w:t>，</w:t>
                  </w:r>
                  <w:r>
                    <w:rPr>
                      <w:rFonts w:hint="default" w:ascii="Times New Roman" w:hAnsi="Times New Roman" w:eastAsia="宋体" w:cs="Times New Roman"/>
                      <w:bCs/>
                      <w:color w:val="auto"/>
                      <w:sz w:val="21"/>
                      <w:szCs w:val="21"/>
                      <w:lang w:val="en-US" w:eastAsia="zh-CN"/>
                    </w:rPr>
                    <w:t>采用浮筒泵取水</w:t>
                  </w:r>
                </w:p>
              </w:tc>
              <w:tc>
                <w:tcPr>
                  <w:tcW w:w="2735" w:type="dxa"/>
                  <w:noWrap w:val="0"/>
                  <w:vAlign w:val="center"/>
                </w:tcPr>
                <w:p w14:paraId="643632B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/d规模</w:t>
                  </w:r>
                  <w:r>
                    <w:rPr>
                      <w:rFonts w:hint="default" w:ascii="Times New Roman" w:hAnsi="Times New Roman" w:eastAsia="宋体" w:cs="Times New Roman"/>
                      <w:color w:val="auto"/>
                      <w:sz w:val="21"/>
                      <w:szCs w:val="21"/>
                      <w:lang w:val="en-US" w:eastAsia="zh-CN"/>
                    </w:rPr>
                    <w:t>水厂，</w:t>
                  </w:r>
                  <w:r>
                    <w:rPr>
                      <w:rFonts w:hint="default" w:ascii="Times New Roman" w:hAnsi="Times New Roman" w:cs="Times New Roman"/>
                      <w:color w:val="auto"/>
                      <w:sz w:val="21"/>
                      <w:szCs w:val="21"/>
                      <w:highlight w:val="none"/>
                      <w:vertAlign w:val="baseline"/>
                      <w:lang w:val="en-US" w:eastAsia="zh-CN"/>
                    </w:rPr>
                    <w:t>取水水源为</w:t>
                  </w:r>
                  <w:r>
                    <w:rPr>
                      <w:rFonts w:hint="default" w:ascii="Times New Roman" w:hAnsi="Times New Roman" w:cs="Times New Roman"/>
                      <w:b w:val="0"/>
                      <w:bCs w:val="0"/>
                      <w:color w:val="auto"/>
                      <w:sz w:val="21"/>
                      <w:szCs w:val="21"/>
                      <w:highlight w:val="none"/>
                      <w:lang w:val="en-US" w:eastAsia="zh-CN"/>
                    </w:rPr>
                    <w:t>普子坪水库</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bCs/>
                      <w:color w:val="auto"/>
                      <w:sz w:val="21"/>
                      <w:szCs w:val="21"/>
                      <w:lang w:val="en-US" w:eastAsia="zh-CN"/>
                    </w:rPr>
                    <w:t>采用浮筒泵取水，以及配套</w:t>
                  </w:r>
                  <w:r>
                    <w:rPr>
                      <w:rFonts w:hint="default" w:ascii="Times New Roman" w:hAnsi="Times New Roman" w:cs="Times New Roman"/>
                      <w:color w:val="auto"/>
                      <w:sz w:val="21"/>
                      <w:szCs w:val="21"/>
                    </w:rPr>
                    <w:t>原水取水管</w:t>
                  </w:r>
                  <w:r>
                    <w:rPr>
                      <w:rFonts w:hint="default" w:ascii="Times New Roman" w:hAnsi="Times New Roman" w:cs="Times New Roman"/>
                      <w:b w:val="0"/>
                      <w:bCs w:val="0"/>
                      <w:color w:val="auto"/>
                      <w:sz w:val="21"/>
                      <w:szCs w:val="21"/>
                      <w:highlight w:val="none"/>
                      <w:vertAlign w:val="baseline"/>
                      <w:lang w:val="en-US" w:eastAsia="zh-CN"/>
                    </w:rPr>
                    <w:t>、输配水管道</w:t>
                  </w:r>
                </w:p>
              </w:tc>
            </w:tr>
            <w:tr w14:paraId="62ECF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1DD7445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供水范围</w:t>
                  </w:r>
                </w:p>
              </w:tc>
              <w:tc>
                <w:tcPr>
                  <w:tcW w:w="2741" w:type="dxa"/>
                  <w:noWrap w:val="0"/>
                  <w:vAlign w:val="center"/>
                </w:tcPr>
                <w:p w14:paraId="655D08A1">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vertAlign w:val="baseline"/>
                      <w:lang w:val="en-US" w:eastAsia="zh-CN"/>
                    </w:rPr>
                    <w:t>隘口</w:t>
                  </w:r>
                  <w:r>
                    <w:rPr>
                      <w:rFonts w:hint="default" w:ascii="Times New Roman" w:hAnsi="Times New Roman" w:cs="Times New Roman"/>
                      <w:b w:val="0"/>
                      <w:bCs w:val="0"/>
                      <w:color w:val="auto"/>
                      <w:sz w:val="21"/>
                      <w:szCs w:val="21"/>
                      <w:highlight w:val="none"/>
                      <w:vertAlign w:val="baseline"/>
                      <w:lang w:val="en-US" w:eastAsia="zh-CN"/>
                    </w:rPr>
                    <w:t>社区，</w:t>
                  </w:r>
                  <w:r>
                    <w:rPr>
                      <w:rFonts w:hint="default" w:ascii="Times New Roman" w:hAnsi="Times New Roman" w:cs="Times New Roman"/>
                      <w:color w:val="auto"/>
                      <w:sz w:val="21"/>
                      <w:szCs w:val="21"/>
                      <w:highlight w:val="none"/>
                      <w:vertAlign w:val="baseline"/>
                      <w:lang w:val="en-US" w:eastAsia="zh-CN"/>
                    </w:rPr>
                    <w:t>服务人口约0.</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万人</w:t>
                  </w:r>
                </w:p>
              </w:tc>
              <w:tc>
                <w:tcPr>
                  <w:tcW w:w="2610" w:type="dxa"/>
                  <w:noWrap w:val="0"/>
                  <w:vAlign w:val="center"/>
                </w:tcPr>
                <w:p w14:paraId="637820D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隘口</w:t>
                  </w:r>
                  <w:r>
                    <w:rPr>
                      <w:rFonts w:hint="default" w:ascii="Times New Roman" w:hAnsi="Times New Roman" w:cs="Times New Roman"/>
                      <w:b w:val="0"/>
                      <w:bCs w:val="0"/>
                      <w:color w:val="auto"/>
                      <w:sz w:val="21"/>
                      <w:szCs w:val="21"/>
                      <w:highlight w:val="none"/>
                      <w:vertAlign w:val="baseline"/>
                      <w:lang w:val="en-US" w:eastAsia="zh-CN"/>
                    </w:rPr>
                    <w:t>社区，</w:t>
                  </w:r>
                  <w:r>
                    <w:rPr>
                      <w:rFonts w:hint="default" w:ascii="Times New Roman" w:hAnsi="Times New Roman" w:cs="Times New Roman"/>
                      <w:color w:val="auto"/>
                      <w:sz w:val="21"/>
                      <w:szCs w:val="21"/>
                      <w:highlight w:val="none"/>
                      <w:vertAlign w:val="baseline"/>
                      <w:lang w:val="en-US" w:eastAsia="zh-CN"/>
                    </w:rPr>
                    <w:t>服务人口约1.</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万人</w:t>
                  </w:r>
                </w:p>
              </w:tc>
              <w:tc>
                <w:tcPr>
                  <w:tcW w:w="2735" w:type="dxa"/>
                  <w:noWrap w:val="0"/>
                  <w:vAlign w:val="center"/>
                </w:tcPr>
                <w:p w14:paraId="6AAF317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cs="Times New Roman" w:eastAsiaTheme="minorEastAsia"/>
                      <w:b w:val="0"/>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隘口</w:t>
                  </w:r>
                  <w:r>
                    <w:rPr>
                      <w:rFonts w:hint="default" w:ascii="Times New Roman" w:hAnsi="Times New Roman" w:cs="Times New Roman"/>
                      <w:b w:val="0"/>
                      <w:bCs w:val="0"/>
                      <w:color w:val="auto"/>
                      <w:sz w:val="21"/>
                      <w:szCs w:val="21"/>
                      <w:highlight w:val="none"/>
                      <w:vertAlign w:val="baseline"/>
                      <w:lang w:val="en-US" w:eastAsia="zh-CN"/>
                    </w:rPr>
                    <w:t>社区，</w:t>
                  </w:r>
                  <w:r>
                    <w:rPr>
                      <w:rFonts w:hint="default" w:ascii="Times New Roman" w:hAnsi="Times New Roman" w:cs="Times New Roman"/>
                      <w:color w:val="auto"/>
                      <w:sz w:val="21"/>
                      <w:szCs w:val="21"/>
                      <w:highlight w:val="none"/>
                      <w:vertAlign w:val="baseline"/>
                      <w:lang w:val="en-US" w:eastAsia="zh-CN"/>
                    </w:rPr>
                    <w:t>服务人口约1.</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万人</w:t>
                  </w:r>
                </w:p>
              </w:tc>
            </w:tr>
            <w:tr w14:paraId="18D9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14B35C4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工艺</w:t>
                  </w:r>
                </w:p>
              </w:tc>
              <w:tc>
                <w:tcPr>
                  <w:tcW w:w="2741" w:type="dxa"/>
                  <w:noWrap w:val="0"/>
                  <w:vAlign w:val="center"/>
                </w:tcPr>
                <w:p w14:paraId="429AA46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“慢滤池毒+清水池+</w:t>
                  </w:r>
                  <w:r>
                    <w:rPr>
                      <w:rFonts w:hint="default" w:ascii="Times New Roman" w:hAnsi="Times New Roman" w:cs="Times New Roman"/>
                      <w:color w:val="auto"/>
                      <w:sz w:val="21"/>
                      <w:szCs w:val="21"/>
                      <w:highlight w:val="none"/>
                      <w:vertAlign w:val="baseline"/>
                      <w:lang w:val="en-US" w:eastAsia="zh-CN"/>
                    </w:rPr>
                    <w:t>次氯酸钠</w:t>
                  </w:r>
                  <w:r>
                    <w:rPr>
                      <w:rFonts w:hint="default" w:ascii="Times New Roman" w:hAnsi="Times New Roman" w:cs="Times New Roman"/>
                      <w:color w:val="auto"/>
                      <w:sz w:val="21"/>
                      <w:szCs w:val="21"/>
                      <w:lang w:val="en-US" w:eastAsia="zh-CN"/>
                    </w:rPr>
                    <w:t>消”工艺</w:t>
                  </w:r>
                </w:p>
              </w:tc>
              <w:tc>
                <w:tcPr>
                  <w:tcW w:w="2610" w:type="dxa"/>
                  <w:noWrap w:val="0"/>
                  <w:vAlign w:val="center"/>
                </w:tcPr>
                <w:p w14:paraId="1908B3F0">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highlight w:val="none"/>
                      <w:vertAlign w:val="baseline"/>
                      <w:lang w:val="en-US" w:eastAsia="zh-CN"/>
                    </w:rPr>
                    <w:t>絮凝+沉淀+气浮+过滤+二氧化氯消毒</w:t>
                  </w:r>
                  <w:r>
                    <w:rPr>
                      <w:rFonts w:hint="default" w:ascii="Times New Roman" w:hAnsi="Times New Roman" w:cs="Times New Roman"/>
                      <w:color w:val="auto"/>
                      <w:sz w:val="21"/>
                      <w:szCs w:val="21"/>
                      <w:lang w:val="en-US" w:eastAsia="zh-CN"/>
                    </w:rPr>
                    <w:t>”工艺</w:t>
                  </w:r>
                </w:p>
              </w:tc>
              <w:tc>
                <w:tcPr>
                  <w:tcW w:w="2735" w:type="dxa"/>
                  <w:noWrap w:val="0"/>
                  <w:vAlign w:val="center"/>
                </w:tcPr>
                <w:p w14:paraId="39DCF9B5">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highlight w:val="none"/>
                      <w:vertAlign w:val="baseline"/>
                      <w:lang w:val="en-US" w:eastAsia="zh-CN"/>
                    </w:rPr>
                    <w:t>絮凝+沉淀+气浮+过滤+二氧化氯消毒</w:t>
                  </w:r>
                  <w:r>
                    <w:rPr>
                      <w:rFonts w:hint="default" w:ascii="Times New Roman" w:hAnsi="Times New Roman" w:cs="Times New Roman"/>
                      <w:color w:val="auto"/>
                      <w:sz w:val="21"/>
                      <w:szCs w:val="21"/>
                      <w:lang w:val="en-US" w:eastAsia="zh-CN"/>
                    </w:rPr>
                    <w:t>”工艺</w:t>
                  </w:r>
                </w:p>
              </w:tc>
            </w:tr>
            <w:tr w14:paraId="14A3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77FA2567">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规模</w:t>
                  </w:r>
                </w:p>
              </w:tc>
              <w:tc>
                <w:tcPr>
                  <w:tcW w:w="2741" w:type="dxa"/>
                  <w:noWrap w:val="0"/>
                  <w:vAlign w:val="center"/>
                </w:tcPr>
                <w:p w14:paraId="30542529">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供水规模220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取水</w:t>
                  </w:r>
                  <w:r>
                    <w:rPr>
                      <w:rFonts w:hint="default" w:ascii="Times New Roman" w:hAnsi="Times New Roman" w:eastAsia="宋体" w:cs="Times New Roman"/>
                      <w:color w:val="auto"/>
                      <w:sz w:val="21"/>
                      <w:szCs w:val="21"/>
                      <w:lang w:val="en-US" w:eastAsia="zh-CN"/>
                    </w:rPr>
                    <w:t>规模222</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w:t>
                  </w:r>
                </w:p>
              </w:tc>
              <w:tc>
                <w:tcPr>
                  <w:tcW w:w="2610" w:type="dxa"/>
                  <w:noWrap w:val="0"/>
                  <w:vAlign w:val="center"/>
                </w:tcPr>
                <w:p w14:paraId="22C71B08">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供水规模2000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取水</w:t>
                  </w:r>
                  <w:r>
                    <w:rPr>
                      <w:rFonts w:hint="default" w:ascii="Times New Roman" w:hAnsi="Times New Roman" w:eastAsia="宋体" w:cs="Times New Roman"/>
                      <w:color w:val="auto"/>
                      <w:sz w:val="21"/>
                      <w:szCs w:val="21"/>
                      <w:lang w:val="en-US" w:eastAsia="zh-CN"/>
                    </w:rPr>
                    <w:t>规模2200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w:t>
                  </w:r>
                </w:p>
              </w:tc>
              <w:tc>
                <w:tcPr>
                  <w:tcW w:w="2735" w:type="dxa"/>
                  <w:noWrap w:val="0"/>
                  <w:vAlign w:val="center"/>
                </w:tcPr>
                <w:p w14:paraId="626A8E14">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供水规模2000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取水</w:t>
                  </w:r>
                  <w:r>
                    <w:rPr>
                      <w:rFonts w:hint="default" w:ascii="Times New Roman" w:hAnsi="Times New Roman" w:eastAsia="宋体" w:cs="Times New Roman"/>
                      <w:color w:val="auto"/>
                      <w:sz w:val="21"/>
                      <w:szCs w:val="21"/>
                      <w:lang w:val="en-US" w:eastAsia="zh-CN"/>
                    </w:rPr>
                    <w:t>规模2200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w:t>
                  </w:r>
                </w:p>
              </w:tc>
            </w:tr>
            <w:tr w14:paraId="218C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0" w:type="dxa"/>
                  <w:noWrap w:val="0"/>
                  <w:vAlign w:val="center"/>
                </w:tcPr>
                <w:p w14:paraId="427D972C">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劳动定员</w:t>
                  </w:r>
                </w:p>
              </w:tc>
              <w:tc>
                <w:tcPr>
                  <w:tcW w:w="2741" w:type="dxa"/>
                  <w:noWrap w:val="0"/>
                  <w:vAlign w:val="center"/>
                </w:tcPr>
                <w:p w14:paraId="44CC927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2人</w:t>
                  </w:r>
                </w:p>
              </w:tc>
              <w:tc>
                <w:tcPr>
                  <w:tcW w:w="2610" w:type="dxa"/>
                  <w:noWrap w:val="0"/>
                  <w:vAlign w:val="center"/>
                </w:tcPr>
                <w:p w14:paraId="27E5DD03">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4人</w:t>
                  </w:r>
                </w:p>
              </w:tc>
              <w:tc>
                <w:tcPr>
                  <w:tcW w:w="2735" w:type="dxa"/>
                  <w:noWrap w:val="0"/>
                  <w:vAlign w:val="center"/>
                </w:tcPr>
                <w:p w14:paraId="08CD890B">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4人</w:t>
                  </w:r>
                </w:p>
              </w:tc>
            </w:tr>
          </w:tbl>
          <w:p w14:paraId="29671417">
            <w:pPr>
              <w:keepNext w:val="0"/>
              <w:keepLines w:val="0"/>
              <w:pageBreakBefore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3、项目组成及主要环境问题</w:t>
            </w:r>
          </w:p>
          <w:p w14:paraId="7AC2AF4D">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（1）隘口水厂</w:t>
            </w:r>
          </w:p>
          <w:p w14:paraId="45A39BD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隘口水厂现有项目厂区全部推平重建，不新增占地，</w:t>
            </w:r>
            <w:r>
              <w:rPr>
                <w:rFonts w:hint="eastAsia" w:ascii="Times New Roman" w:hAnsi="Times New Roman" w:eastAsia="宋体" w:cs="Times New Roman"/>
                <w:b w:val="0"/>
                <w:bCs/>
                <w:color w:val="auto"/>
                <w:sz w:val="24"/>
                <w:szCs w:val="24"/>
                <w:highlight w:val="none"/>
                <w:vertAlign w:val="baseline"/>
                <w:lang w:val="en-US" w:eastAsia="zh-CN"/>
              </w:rPr>
              <w:t>扩建</w:t>
            </w:r>
            <w:r>
              <w:rPr>
                <w:rFonts w:hint="default" w:ascii="Times New Roman" w:hAnsi="Times New Roman" w:eastAsia="宋体" w:cs="Times New Roman"/>
                <w:b w:val="0"/>
                <w:bCs/>
                <w:color w:val="auto"/>
                <w:sz w:val="24"/>
                <w:szCs w:val="24"/>
                <w:highlight w:val="none"/>
                <w:vertAlign w:val="baseline"/>
                <w:lang w:val="en-US" w:eastAsia="zh-CN"/>
              </w:rPr>
              <w:t>水厂</w:t>
            </w:r>
            <w:r>
              <w:rPr>
                <w:rFonts w:hint="eastAsia" w:ascii="Times New Roman" w:hAnsi="Times New Roman" w:cs="Times New Roman"/>
                <w:b w:val="0"/>
                <w:bCs w:val="0"/>
                <w:color w:val="auto"/>
                <w:sz w:val="24"/>
                <w:szCs w:val="24"/>
                <w:highlight w:val="none"/>
                <w:vertAlign w:val="baseline"/>
                <w:lang w:val="en-US" w:eastAsia="zh-CN"/>
              </w:rPr>
              <w:t>。取水水源由原来</w:t>
            </w:r>
            <w:r>
              <w:rPr>
                <w:rFonts w:hint="eastAsia" w:ascii="Times New Roman" w:hAnsi="Times New Roman" w:eastAsia="宋体" w:cs="Times New Roman"/>
                <w:b w:val="0"/>
                <w:bCs w:val="0"/>
                <w:color w:val="auto"/>
                <w:sz w:val="24"/>
                <w:szCs w:val="24"/>
                <w:lang w:val="en-US" w:eastAsia="zh-CN"/>
              </w:rPr>
              <w:t>肖厂沟山坪塘，改为</w:t>
            </w:r>
            <w:r>
              <w:rPr>
                <w:rFonts w:hint="default" w:ascii="Times New Roman" w:hAnsi="Times New Roman" w:cs="Times New Roman"/>
                <w:b w:val="0"/>
                <w:bCs w:val="0"/>
                <w:color w:val="auto"/>
                <w:sz w:val="24"/>
                <w:szCs w:val="24"/>
                <w:highlight w:val="none"/>
                <w:lang w:val="en-US" w:eastAsia="zh-CN"/>
              </w:rPr>
              <w:t>普子坪水库</w:t>
            </w:r>
            <w:r>
              <w:rPr>
                <w:rFonts w:hint="eastAsia" w:ascii="Times New Roman" w:hAnsi="Times New Roman" w:cs="Times New Roman"/>
                <w:b w:val="0"/>
                <w:bCs w:val="0"/>
                <w:color w:val="auto"/>
                <w:sz w:val="24"/>
                <w:szCs w:val="24"/>
                <w:highlight w:val="none"/>
                <w:lang w:val="en-US" w:eastAsia="zh-CN"/>
              </w:rPr>
              <w:t>，新建取水设施。</w:t>
            </w:r>
            <w:r>
              <w:rPr>
                <w:rFonts w:hint="eastAsia" w:ascii="Times New Roman" w:hAnsi="Times New Roman" w:cs="Times New Roman"/>
                <w:color w:val="auto"/>
                <w:sz w:val="24"/>
                <w:szCs w:val="24"/>
                <w:highlight w:val="none"/>
                <w:vertAlign w:val="baseline"/>
                <w:lang w:val="en-US" w:eastAsia="zh-CN"/>
              </w:rPr>
              <w:t>隘口水厂</w:t>
            </w:r>
            <w:r>
              <w:rPr>
                <w:rFonts w:hint="eastAsia" w:ascii="Times New Roman" w:hAnsi="Times New Roman" w:cs="Times New Roman"/>
                <w:color w:val="auto"/>
                <w:sz w:val="24"/>
                <w:szCs w:val="32"/>
                <w:highlight w:val="none"/>
                <w:vertAlign w:val="baseline"/>
                <w:lang w:val="en-US" w:eastAsia="zh-CN"/>
              </w:rPr>
              <w:t>所需管理人员较少，仅日常办公值班，为当地居民，厂区不设置食堂。</w:t>
            </w:r>
            <w:r>
              <w:rPr>
                <w:rFonts w:hint="default" w:ascii="Times New Roman" w:hAnsi="Times New Roman" w:cs="Times New Roman"/>
                <w:color w:val="auto"/>
                <w:sz w:val="24"/>
                <w:szCs w:val="32"/>
                <w:highlight w:val="none"/>
                <w:vertAlign w:val="baseline"/>
                <w:lang w:val="en-US" w:eastAsia="zh-CN"/>
              </w:rPr>
              <w:t>项目组成及主要环境问题见</w:t>
            </w:r>
            <w:r>
              <w:rPr>
                <w:rFonts w:hint="eastAsia" w:ascii="Times New Roman" w:hAnsi="Times New Roman" w:cs="Times New Roman"/>
                <w:color w:val="auto"/>
                <w:sz w:val="24"/>
                <w:szCs w:val="32"/>
                <w:highlight w:val="none"/>
                <w:vertAlign w:val="baseline"/>
                <w:lang w:val="en-US" w:eastAsia="zh-CN"/>
              </w:rPr>
              <w:t>下表</w:t>
            </w:r>
            <w:r>
              <w:rPr>
                <w:rFonts w:hint="default" w:ascii="Times New Roman" w:hAnsi="Times New Roman" w:cs="Times New Roman"/>
                <w:color w:val="auto"/>
                <w:sz w:val="24"/>
                <w:szCs w:val="32"/>
                <w:highlight w:val="none"/>
                <w:vertAlign w:val="baseline"/>
                <w:lang w:val="en-US" w:eastAsia="zh-CN"/>
              </w:rPr>
              <w:t>。</w:t>
            </w:r>
          </w:p>
          <w:p w14:paraId="7CBC7B2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eastAsia" w:ascii="Times New Roman" w:hAnsi="Times New Roman" w:eastAsia="黑体" w:cs="Times New Roman"/>
                <w:color w:val="auto"/>
                <w:szCs w:val="21"/>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2 </w:t>
            </w:r>
            <w:r>
              <w:rPr>
                <w:rFonts w:hint="default" w:ascii="Times New Roman" w:hAnsi="Times New Roman" w:eastAsia="黑体" w:cs="Times New Roman"/>
                <w:color w:val="auto"/>
                <w:szCs w:val="21"/>
                <w:highlight w:val="none"/>
              </w:rPr>
              <w:t>项目组成及主要环境问题</w:t>
            </w:r>
            <w:r>
              <w:rPr>
                <w:rFonts w:hint="eastAsia" w:ascii="Times New Roman" w:hAnsi="Times New Roman" w:eastAsia="黑体" w:cs="Times New Roman"/>
                <w:color w:val="auto"/>
                <w:szCs w:val="21"/>
                <w:highlight w:val="none"/>
                <w:lang w:eastAsia="zh-CN"/>
              </w:rPr>
              <w:t>（</w:t>
            </w:r>
            <w:r>
              <w:rPr>
                <w:rFonts w:hint="eastAsia" w:ascii="Times New Roman" w:hAnsi="Times New Roman" w:eastAsia="黑体" w:cs="Times New Roman"/>
                <w:color w:val="auto"/>
                <w:szCs w:val="21"/>
                <w:highlight w:val="none"/>
                <w:lang w:val="en-US" w:eastAsia="zh-CN"/>
              </w:rPr>
              <w:t>隘口水厂</w:t>
            </w:r>
            <w:r>
              <w:rPr>
                <w:rFonts w:hint="eastAsia" w:ascii="Times New Roman" w:hAnsi="Times New Roman" w:eastAsia="黑体" w:cs="Times New Roman"/>
                <w:color w:val="auto"/>
                <w:szCs w:val="21"/>
                <w:highlight w:val="none"/>
                <w:lang w:eastAsia="zh-CN"/>
              </w:rPr>
              <w:t>）</w:t>
            </w:r>
          </w:p>
          <w:tbl>
            <w:tblPr>
              <w:tblStyle w:val="25"/>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57"/>
              <w:gridCol w:w="419"/>
              <w:gridCol w:w="829"/>
              <w:gridCol w:w="5263"/>
              <w:gridCol w:w="762"/>
              <w:gridCol w:w="762"/>
              <w:gridCol w:w="603"/>
            </w:tblGrid>
            <w:tr w14:paraId="066A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shd w:val="clear" w:color="auto" w:fill="auto"/>
                  <w:vAlign w:val="center"/>
                </w:tcPr>
                <w:p w14:paraId="17FD58A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工程分类</w:t>
                  </w:r>
                </w:p>
              </w:tc>
              <w:tc>
                <w:tcPr>
                  <w:tcW w:w="678" w:type="pct"/>
                  <w:gridSpan w:val="2"/>
                  <w:vMerge w:val="restart"/>
                  <w:vAlign w:val="center"/>
                </w:tcPr>
                <w:p w14:paraId="4A56F92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p w14:paraId="7643457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861" w:type="pct"/>
                  <w:vMerge w:val="restart"/>
                  <w:vAlign w:val="center"/>
                </w:tcPr>
                <w:p w14:paraId="24C8973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建设内容及规模</w:t>
                  </w:r>
                </w:p>
              </w:tc>
              <w:tc>
                <w:tcPr>
                  <w:tcW w:w="828" w:type="pct"/>
                  <w:gridSpan w:val="2"/>
                  <w:vAlign w:val="center"/>
                </w:tcPr>
                <w:p w14:paraId="6155B46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可能产生的环境问题</w:t>
                  </w:r>
                </w:p>
              </w:tc>
              <w:tc>
                <w:tcPr>
                  <w:tcW w:w="327" w:type="pct"/>
                  <w:vMerge w:val="restart"/>
                  <w:vAlign w:val="center"/>
                </w:tcPr>
                <w:p w14:paraId="66F048F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14:paraId="5B09F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2B7CB4E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p>
              </w:tc>
              <w:tc>
                <w:tcPr>
                  <w:tcW w:w="678" w:type="pct"/>
                  <w:gridSpan w:val="2"/>
                  <w:vMerge w:val="continue"/>
                  <w:vAlign w:val="center"/>
                </w:tcPr>
                <w:p w14:paraId="628116A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p>
              </w:tc>
              <w:tc>
                <w:tcPr>
                  <w:tcW w:w="2861" w:type="pct"/>
                  <w:vMerge w:val="continue"/>
                  <w:vAlign w:val="center"/>
                </w:tcPr>
                <w:p w14:paraId="378F3A3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p>
              </w:tc>
              <w:tc>
                <w:tcPr>
                  <w:tcW w:w="414" w:type="pct"/>
                  <w:vAlign w:val="center"/>
                </w:tcPr>
                <w:p w14:paraId="4A24682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施工期</w:t>
                  </w:r>
                </w:p>
              </w:tc>
              <w:tc>
                <w:tcPr>
                  <w:tcW w:w="414" w:type="pct"/>
                  <w:vAlign w:val="center"/>
                </w:tcPr>
                <w:p w14:paraId="0ED08F8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rPr>
                    <w:t>运营期</w:t>
                  </w:r>
                </w:p>
              </w:tc>
              <w:tc>
                <w:tcPr>
                  <w:tcW w:w="327" w:type="pct"/>
                  <w:vMerge w:val="continue"/>
                  <w:vAlign w:val="center"/>
                </w:tcPr>
                <w:p w14:paraId="61D3665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p>
              </w:tc>
            </w:tr>
            <w:tr w14:paraId="379D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shd w:val="clear" w:color="auto" w:fill="auto"/>
                  <w:vAlign w:val="center"/>
                </w:tcPr>
                <w:p w14:paraId="44D0088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主体工程</w:t>
                  </w:r>
                </w:p>
              </w:tc>
              <w:tc>
                <w:tcPr>
                  <w:tcW w:w="678" w:type="pct"/>
                  <w:gridSpan w:val="2"/>
                  <w:vAlign w:val="center"/>
                </w:tcPr>
                <w:p w14:paraId="3E681F4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取水水源</w:t>
                  </w:r>
                </w:p>
              </w:tc>
              <w:tc>
                <w:tcPr>
                  <w:tcW w:w="2861" w:type="pct"/>
                  <w:vAlign w:val="center"/>
                </w:tcPr>
                <w:p w14:paraId="18E7D1C4">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普子坪水库</w:t>
                  </w:r>
                  <w:r>
                    <w:rPr>
                      <w:rFonts w:hint="default" w:ascii="Times New Roman" w:hAnsi="Times New Roman" w:cs="Times New Roman"/>
                      <w:b w:val="0"/>
                      <w:bCs w:val="0"/>
                      <w:color w:val="auto"/>
                      <w:sz w:val="21"/>
                      <w:szCs w:val="21"/>
                      <w:highlight w:val="none"/>
                      <w:vertAlign w:val="baseline"/>
                      <w:lang w:val="en-US" w:eastAsia="zh-CN"/>
                    </w:rPr>
                    <w:t>。</w:t>
                  </w:r>
                </w:p>
              </w:tc>
              <w:tc>
                <w:tcPr>
                  <w:tcW w:w="414" w:type="pct"/>
                  <w:vMerge w:val="restart"/>
                  <w:vAlign w:val="center"/>
                </w:tcPr>
                <w:p w14:paraId="086BCE4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施工废气</w:t>
                  </w:r>
                </w:p>
                <w:p w14:paraId="4EEAE17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w:t>
                  </w:r>
                </w:p>
                <w:p w14:paraId="66F6A96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p w14:paraId="66980F9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施工噪声</w:t>
                  </w:r>
                </w:p>
                <w:p w14:paraId="0445654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p w14:paraId="1AEDB40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水土流失</w:t>
                  </w:r>
                </w:p>
              </w:tc>
              <w:tc>
                <w:tcPr>
                  <w:tcW w:w="414" w:type="pct"/>
                  <w:vAlign w:val="center"/>
                </w:tcPr>
                <w:p w14:paraId="5945315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0ED34EE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6494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0B64F7B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650BCAE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取水</w:t>
                  </w:r>
                  <w:r>
                    <w:rPr>
                      <w:rFonts w:hint="eastAsia" w:ascii="Times New Roman" w:hAnsi="Times New Roman" w:eastAsia="宋体" w:cs="Times New Roman"/>
                      <w:color w:val="auto"/>
                      <w:sz w:val="21"/>
                      <w:szCs w:val="21"/>
                      <w:highlight w:val="none"/>
                      <w:vertAlign w:val="baseline"/>
                      <w:lang w:val="en-US" w:eastAsia="zh-CN"/>
                    </w:rPr>
                    <w:t>设施</w:t>
                  </w:r>
                </w:p>
              </w:tc>
              <w:tc>
                <w:tcPr>
                  <w:tcW w:w="2861" w:type="pct"/>
                  <w:shd w:val="clear" w:color="auto" w:fill="auto"/>
                  <w:vAlign w:val="center"/>
                </w:tcPr>
                <w:p w14:paraId="056B9C09">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sz w:val="21"/>
                      <w:szCs w:val="21"/>
                      <w:lang w:val="en-US" w:eastAsia="zh-CN"/>
                    </w:rPr>
                    <w:t>采用浮筒泵取水，水库两岸设立牵引支墩，</w:t>
                  </w:r>
                  <w:r>
                    <w:rPr>
                      <w:rFonts w:hint="default" w:ascii="Times New Roman" w:hAnsi="Times New Roman" w:eastAsia="宋体" w:cs="Times New Roman"/>
                      <w:color w:val="auto"/>
                      <w:sz w:val="21"/>
                      <w:szCs w:val="21"/>
                      <w:highlight w:val="none"/>
                      <w:vertAlign w:val="baseline"/>
                      <w:lang w:val="en-US" w:eastAsia="zh-CN"/>
                    </w:rPr>
                    <w:t>利用离心泵</w:t>
                  </w:r>
                  <w:r>
                    <w:rPr>
                      <w:rFonts w:hint="eastAsia" w:ascii="Times New Roman" w:hAnsi="Times New Roman" w:eastAsia="宋体" w:cs="Times New Roman"/>
                      <w:bCs/>
                      <w:sz w:val="21"/>
                      <w:szCs w:val="21"/>
                      <w:lang w:val="en-US" w:eastAsia="zh-CN"/>
                    </w:rPr>
                    <w:t>将</w:t>
                  </w:r>
                  <w:r>
                    <w:rPr>
                      <w:rFonts w:hint="default" w:ascii="Times New Roman" w:hAnsi="Times New Roman" w:eastAsia="宋体" w:cs="Times New Roman"/>
                      <w:color w:val="auto"/>
                      <w:sz w:val="21"/>
                      <w:szCs w:val="21"/>
                      <w:highlight w:val="none"/>
                      <w:vertAlign w:val="baseline"/>
                      <w:lang w:val="en-US" w:eastAsia="zh-CN"/>
                    </w:rPr>
                    <w:t>原水提取到水厂</w:t>
                  </w:r>
                  <w:r>
                    <w:rPr>
                      <w:rFonts w:hint="eastAsia" w:ascii="宋体" w:hAnsi="宋体" w:eastAsia="宋体" w:cs="宋体"/>
                      <w:sz w:val="21"/>
                      <w:szCs w:val="21"/>
                    </w:rPr>
                    <w:t>进行处理</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val="en-US" w:eastAsia="zh-CN"/>
                    </w:rPr>
                    <w:t>设计浮筒潜水取水泵3台，2用一备；</w:t>
                  </w:r>
                  <w:r>
                    <w:rPr>
                      <w:rFonts w:hint="default" w:ascii="Times New Roman" w:hAnsi="Times New Roman" w:eastAsia="宋体" w:cs="Times New Roman"/>
                      <w:bCs/>
                      <w:color w:val="auto"/>
                      <w:sz w:val="21"/>
                      <w:szCs w:val="21"/>
                    </w:rPr>
                    <w:t>设计取水规模</w:t>
                  </w:r>
                  <w:r>
                    <w:rPr>
                      <w:rFonts w:hint="eastAsia" w:ascii="Times New Roman" w:hAnsi="Times New Roman" w:eastAsia="宋体" w:cs="Times New Roman"/>
                      <w:bCs/>
                      <w:color w:val="auto"/>
                      <w:sz w:val="21"/>
                      <w:szCs w:val="21"/>
                      <w:lang w:val="en-US" w:eastAsia="zh-CN"/>
                    </w:rPr>
                    <w:t>22</w:t>
                  </w:r>
                  <w:r>
                    <w:rPr>
                      <w:rFonts w:hint="default" w:ascii="Times New Roman" w:hAnsi="Times New Roman" w:eastAsia="宋体" w:cs="Times New Roman"/>
                      <w:bCs/>
                      <w:color w:val="auto"/>
                      <w:sz w:val="21"/>
                      <w:szCs w:val="21"/>
                    </w:rPr>
                    <w:t>00m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/d，原水管道漏损系数1.1</w:t>
                  </w:r>
                  <w:r>
                    <w:rPr>
                      <w:rFonts w:hint="eastAsia" w:ascii="Times New Roman" w:hAnsi="Times New Roman" w:eastAsia="宋体" w:cs="Times New Roman"/>
                      <w:bCs/>
                      <w:color w:val="auto"/>
                      <w:sz w:val="21"/>
                      <w:szCs w:val="21"/>
                      <w:lang w:eastAsia="zh-CN"/>
                    </w:rPr>
                    <w:t>；</w:t>
                  </w:r>
                  <w:r>
                    <w:rPr>
                      <w:rFonts w:hint="eastAsia" w:ascii="Times New Roman" w:hAnsi="Times New Roman" w:cs="Times New Roman"/>
                      <w:color w:val="auto"/>
                      <w:sz w:val="21"/>
                      <w:szCs w:val="21"/>
                      <w:highlight w:val="none"/>
                      <w:vertAlign w:val="baseline"/>
                      <w:lang w:val="en-US" w:eastAsia="zh-CN"/>
                    </w:rPr>
                    <w:t>配套新建</w:t>
                  </w:r>
                  <w:r>
                    <w:rPr>
                      <w:rFonts w:hint="default" w:ascii="Times New Roman" w:hAnsi="Times New Roman" w:cs="Times New Roman"/>
                      <w:b w:val="0"/>
                      <w:bCs w:val="0"/>
                      <w:color w:val="auto"/>
                      <w:sz w:val="21"/>
                      <w:szCs w:val="21"/>
                      <w:highlight w:val="none"/>
                      <w:vertAlign w:val="baseline"/>
                      <w:lang w:val="en-US" w:eastAsia="zh-CN"/>
                    </w:rPr>
                    <w:t>取水管长度约</w:t>
                  </w:r>
                  <w:r>
                    <w:rPr>
                      <w:rFonts w:hint="eastAsia" w:ascii="Times New Roman" w:hAnsi="Times New Roman" w:cs="Times New Roman"/>
                      <w:b w:val="0"/>
                      <w:bCs w:val="0"/>
                      <w:color w:val="auto"/>
                      <w:sz w:val="21"/>
                      <w:szCs w:val="21"/>
                      <w:highlight w:val="none"/>
                      <w:vertAlign w:val="baseline"/>
                      <w:lang w:val="en-US" w:eastAsia="zh-CN"/>
                    </w:rPr>
                    <w:t>0.63k</w:t>
                  </w:r>
                  <w:r>
                    <w:rPr>
                      <w:rFonts w:hint="default" w:ascii="Times New Roman" w:hAnsi="Times New Roman" w:cs="Times New Roman"/>
                      <w:b w:val="0"/>
                      <w:bCs w:val="0"/>
                      <w:color w:val="auto"/>
                      <w:sz w:val="21"/>
                      <w:szCs w:val="21"/>
                      <w:highlight w:val="none"/>
                      <w:vertAlign w:val="baseline"/>
                      <w:lang w:val="en-US" w:eastAsia="zh-CN"/>
                    </w:rPr>
                    <w:t>m</w:t>
                  </w:r>
                  <w:r>
                    <w:rPr>
                      <w:rFonts w:hint="eastAsia" w:ascii="Times New Roman" w:hAnsi="Times New Roman" w:cs="Times New Roman"/>
                      <w:b w:val="0"/>
                      <w:bCs w:val="0"/>
                      <w:color w:val="auto"/>
                      <w:sz w:val="21"/>
                      <w:szCs w:val="21"/>
                      <w:highlight w:val="none"/>
                      <w:vertAlign w:val="baseline"/>
                      <w:lang w:val="en-US" w:eastAsia="zh-CN"/>
                    </w:rPr>
                    <w:t>，钢管，</w:t>
                  </w:r>
                  <w:r>
                    <w:rPr>
                      <w:rFonts w:hint="default" w:ascii="Times New Roman" w:hAnsi="Times New Roman" w:cs="Times New Roman"/>
                      <w:color w:val="auto"/>
                      <w:sz w:val="21"/>
                      <w:szCs w:val="21"/>
                    </w:rPr>
                    <w:t>管径DN150</w:t>
                  </w:r>
                  <w:r>
                    <w:rPr>
                      <w:rFonts w:hint="eastAsia"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u w:val="single"/>
                      <w:vertAlign w:val="baseline"/>
                      <w:lang w:val="en-US" w:eastAsia="zh-CN"/>
                    </w:rPr>
                    <w:t>注：</w:t>
                  </w:r>
                  <w:r>
                    <w:rPr>
                      <w:rFonts w:hint="default" w:ascii="Times New Roman" w:hAnsi="Times New Roman" w:eastAsia="宋体" w:cs="Times New Roman"/>
                      <w:bCs/>
                      <w:sz w:val="21"/>
                      <w:szCs w:val="21"/>
                      <w:u w:val="single"/>
                    </w:rPr>
                    <w:t>本项目水资源论证取水量</w:t>
                  </w:r>
                  <w:r>
                    <w:rPr>
                      <w:rFonts w:hint="eastAsia" w:ascii="Times New Roman" w:hAnsi="Times New Roman" w:eastAsia="宋体" w:cs="Times New Roman"/>
                      <w:bCs/>
                      <w:sz w:val="21"/>
                      <w:szCs w:val="21"/>
                      <w:u w:val="single"/>
                      <w:lang w:val="en-US" w:eastAsia="zh-CN"/>
                    </w:rPr>
                    <w:t>924.1</w:t>
                  </w:r>
                  <w:r>
                    <w:rPr>
                      <w:rFonts w:hint="default" w:ascii="Times New Roman" w:hAnsi="Times New Roman" w:eastAsia="宋体" w:cs="Times New Roman"/>
                      <w:bCs/>
                      <w:sz w:val="21"/>
                      <w:szCs w:val="21"/>
                      <w:u w:val="single"/>
                    </w:rPr>
                    <w:t>m</w:t>
                  </w:r>
                  <w:r>
                    <w:rPr>
                      <w:rFonts w:hint="eastAsia" w:ascii="Times New Roman" w:hAnsi="Times New Roman" w:eastAsia="宋体" w:cs="Times New Roman"/>
                      <w:bCs/>
                      <w:sz w:val="21"/>
                      <w:szCs w:val="21"/>
                      <w:u w:val="single"/>
                      <w:vertAlign w:val="superscript"/>
                      <w:lang w:val="en-US" w:eastAsia="zh-CN"/>
                    </w:rPr>
                    <w:t>3</w:t>
                  </w:r>
                  <w:r>
                    <w:rPr>
                      <w:rFonts w:hint="default" w:ascii="Times New Roman" w:hAnsi="Times New Roman" w:eastAsia="宋体" w:cs="Times New Roman"/>
                      <w:bCs/>
                      <w:sz w:val="21"/>
                      <w:szCs w:val="21"/>
                      <w:u w:val="single"/>
                    </w:rPr>
                    <w:t>/d，年</w:t>
                  </w:r>
                  <w:r>
                    <w:rPr>
                      <w:rFonts w:hint="eastAsia" w:ascii="Times New Roman" w:hAnsi="Times New Roman" w:eastAsia="宋体" w:cs="Times New Roman"/>
                      <w:bCs/>
                      <w:sz w:val="21"/>
                      <w:szCs w:val="21"/>
                      <w:u w:val="single"/>
                      <w:lang w:val="en-US" w:eastAsia="zh-CN"/>
                    </w:rPr>
                    <w:t>论证</w:t>
                  </w:r>
                  <w:r>
                    <w:rPr>
                      <w:rFonts w:hint="default" w:ascii="Times New Roman" w:hAnsi="Times New Roman" w:eastAsia="宋体" w:cs="Times New Roman"/>
                      <w:bCs/>
                      <w:sz w:val="21"/>
                      <w:szCs w:val="21"/>
                      <w:u w:val="single"/>
                    </w:rPr>
                    <w:t>取水量</w:t>
                  </w:r>
                  <w:r>
                    <w:rPr>
                      <w:rFonts w:hint="eastAsia" w:ascii="Times New Roman" w:hAnsi="Times New Roman" w:eastAsia="宋体" w:cs="Times New Roman"/>
                      <w:bCs/>
                      <w:sz w:val="21"/>
                      <w:szCs w:val="21"/>
                      <w:u w:val="single"/>
                      <w:lang w:val="en-US" w:eastAsia="zh-CN"/>
                    </w:rPr>
                    <w:t>33.7</w:t>
                  </w:r>
                  <w:r>
                    <w:rPr>
                      <w:rFonts w:hint="default" w:ascii="Times New Roman" w:hAnsi="Times New Roman" w:eastAsia="宋体" w:cs="Times New Roman"/>
                      <w:bCs/>
                      <w:sz w:val="21"/>
                      <w:szCs w:val="21"/>
                      <w:u w:val="single"/>
                    </w:rPr>
                    <w:t>万</w:t>
                  </w:r>
                  <w:r>
                    <w:rPr>
                      <w:rFonts w:hint="eastAsia" w:ascii="Times New Roman" w:hAnsi="Times New Roman" w:eastAsia="宋体" w:cs="Times New Roman"/>
                      <w:bCs/>
                      <w:sz w:val="21"/>
                      <w:szCs w:val="21"/>
                      <w:u w:val="single"/>
                      <w:lang w:val="en-US" w:eastAsia="zh-CN"/>
                    </w:rPr>
                    <w:t>m</w:t>
                  </w:r>
                  <w:r>
                    <w:rPr>
                      <w:rFonts w:hint="eastAsia" w:ascii="Times New Roman" w:hAnsi="Times New Roman" w:eastAsia="宋体" w:cs="Times New Roman"/>
                      <w:bCs/>
                      <w:sz w:val="21"/>
                      <w:szCs w:val="21"/>
                      <w:u w:val="single"/>
                      <w:vertAlign w:val="superscript"/>
                      <w:lang w:val="en-US" w:eastAsia="zh-CN"/>
                    </w:rPr>
                    <w:t>3</w:t>
                  </w:r>
                  <w:r>
                    <w:rPr>
                      <w:rFonts w:hint="eastAsia" w:ascii="Times New Roman" w:hAnsi="Times New Roman" w:eastAsia="宋体" w:cs="Times New Roman"/>
                      <w:bCs/>
                      <w:color w:val="auto"/>
                      <w:sz w:val="21"/>
                      <w:szCs w:val="21"/>
                      <w:u w:val="single"/>
                      <w:lang w:val="en-US" w:eastAsia="zh-CN"/>
                    </w:rPr>
                    <w:t>。运行方式为一年365天，24小时运行，三班制。</w:t>
                  </w:r>
                </w:p>
              </w:tc>
              <w:tc>
                <w:tcPr>
                  <w:tcW w:w="414" w:type="pct"/>
                  <w:vMerge w:val="continue"/>
                  <w:vAlign w:val="center"/>
                </w:tcPr>
                <w:p w14:paraId="3A61068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shd w:val="clear" w:color="auto" w:fill="auto"/>
                  <w:vAlign w:val="center"/>
                </w:tcPr>
                <w:p w14:paraId="3526CA3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噪声</w:t>
                  </w:r>
                </w:p>
              </w:tc>
              <w:tc>
                <w:tcPr>
                  <w:tcW w:w="327" w:type="pct"/>
                  <w:shd w:val="clear" w:color="auto" w:fill="auto"/>
                  <w:vAlign w:val="center"/>
                </w:tcPr>
                <w:p w14:paraId="1F4178C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新建</w:t>
                  </w:r>
                </w:p>
              </w:tc>
            </w:tr>
            <w:tr w14:paraId="3236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71A13A5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27" w:type="pct"/>
                  <w:vMerge w:val="restart"/>
                  <w:vAlign w:val="center"/>
                </w:tcPr>
                <w:p w14:paraId="33E0296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供水厂</w:t>
                  </w:r>
                </w:p>
              </w:tc>
              <w:tc>
                <w:tcPr>
                  <w:tcW w:w="450" w:type="pct"/>
                  <w:shd w:val="clear" w:color="auto" w:fill="auto"/>
                  <w:vAlign w:val="center"/>
                </w:tcPr>
                <w:p w14:paraId="16BB5F2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供水厂</w:t>
                  </w:r>
                </w:p>
              </w:tc>
              <w:tc>
                <w:tcPr>
                  <w:tcW w:w="2861" w:type="pct"/>
                  <w:vAlign w:val="center"/>
                </w:tcPr>
                <w:p w14:paraId="18494254">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1座，占地面积</w:t>
                  </w:r>
                  <w:r>
                    <w:rPr>
                      <w:rFonts w:hint="eastAsia" w:ascii="Times New Roman" w:hAnsi="Times New Roman" w:cs="Times New Roman"/>
                      <w:color w:val="auto"/>
                      <w:sz w:val="21"/>
                      <w:szCs w:val="21"/>
                      <w:highlight w:val="none"/>
                      <w:lang w:val="en-US" w:eastAsia="zh-CN"/>
                    </w:rPr>
                    <w:t>1046m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vertAlign w:val="baseline"/>
                      <w:lang w:val="en-US" w:eastAsia="zh-CN"/>
                    </w:rPr>
                    <w:t>供水</w:t>
                  </w:r>
                  <w:r>
                    <w:rPr>
                      <w:rFonts w:hint="default" w:ascii="Times New Roman" w:hAnsi="Times New Roman" w:cs="Times New Roman"/>
                      <w:color w:val="auto"/>
                      <w:sz w:val="21"/>
                      <w:szCs w:val="21"/>
                      <w:highlight w:val="none"/>
                      <w:vertAlign w:val="baseline"/>
                      <w:lang w:val="en-US" w:eastAsia="zh-CN"/>
                    </w:rPr>
                    <w:t>规模</w:t>
                  </w:r>
                  <w:r>
                    <w:rPr>
                      <w:rFonts w:hint="eastAsia" w:ascii="Times New Roman" w:hAnsi="Times New Roman" w:cs="Times New Roman"/>
                      <w:color w:val="auto"/>
                      <w:sz w:val="21"/>
                      <w:szCs w:val="21"/>
                      <w:highlight w:val="none"/>
                      <w:vertAlign w:val="baseline"/>
                      <w:lang w:val="en-US" w:eastAsia="zh-CN"/>
                    </w:rPr>
                    <w:t>从220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/d</w:t>
                  </w:r>
                  <w:r>
                    <w:rPr>
                      <w:rFonts w:hint="eastAsia" w:ascii="Times New Roman" w:hAnsi="Times New Roman" w:cs="Times New Roman"/>
                      <w:color w:val="auto"/>
                      <w:sz w:val="21"/>
                      <w:szCs w:val="21"/>
                      <w:highlight w:val="none"/>
                      <w:vertAlign w:val="baseline"/>
                      <w:lang w:val="en-US" w:eastAsia="zh-CN"/>
                    </w:rPr>
                    <w:t>扩建至20</w:t>
                  </w:r>
                  <w:r>
                    <w:rPr>
                      <w:rFonts w:hint="default" w:ascii="Times New Roman" w:hAnsi="Times New Roman" w:cs="Times New Roman"/>
                      <w:color w:val="auto"/>
                      <w:sz w:val="21"/>
                      <w:szCs w:val="21"/>
                      <w:highlight w:val="none"/>
                      <w:vertAlign w:val="baseline"/>
                      <w:lang w:val="en-US" w:eastAsia="zh-CN"/>
                    </w:rPr>
                    <w:t>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vertAlign w:val="baseline"/>
                      <w:lang w:val="en-US" w:eastAsia="zh-CN"/>
                    </w:rPr>
                    <w:t>/d</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vertAlign w:val="baseline"/>
                      <w:lang w:val="en-US" w:eastAsia="zh-CN"/>
                    </w:rPr>
                    <w:t>“絮凝+沉淀+气浮+过滤+二氧化氯消毒”净水工艺，</w:t>
                  </w:r>
                  <w:r>
                    <w:rPr>
                      <w:rFonts w:hint="default" w:ascii="Times New Roman" w:hAnsi="Times New Roman" w:cs="Times New Roman"/>
                      <w:color w:val="auto"/>
                      <w:sz w:val="21"/>
                      <w:szCs w:val="21"/>
                      <w:highlight w:val="none"/>
                      <w:lang w:val="en-US" w:eastAsia="zh-CN"/>
                    </w:rPr>
                    <w:t>主要</w:t>
                  </w:r>
                  <w:r>
                    <w:rPr>
                      <w:rFonts w:hint="eastAsia" w:ascii="Times New Roman" w:hAnsi="Times New Roman" w:cs="Times New Roman"/>
                      <w:color w:val="auto"/>
                      <w:sz w:val="21"/>
                      <w:szCs w:val="21"/>
                      <w:highlight w:val="none"/>
                      <w:lang w:val="en-US" w:eastAsia="zh-CN"/>
                    </w:rPr>
                    <w:t>布置有净水综合体（包含絮凝沉淀气浮砂滤一体化设备、清水池、排水排泥池、送水泵房、反冲洗泵房、加药间）、加氯间、管理用房等</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lang w:val="en-US" w:eastAsia="zh-CN"/>
                    </w:rPr>
                    <w:t>并在供水厂外</w:t>
                  </w:r>
                  <w:r>
                    <w:rPr>
                      <w:rFonts w:hint="default" w:ascii="Times New Roman" w:hAnsi="Times New Roman" w:cs="Times New Roman"/>
                      <w:b w:val="0"/>
                      <w:bCs w:val="0"/>
                      <w:color w:val="auto"/>
                      <w:sz w:val="21"/>
                      <w:szCs w:val="21"/>
                      <w:highlight w:val="none"/>
                      <w:vertAlign w:val="baseline"/>
                      <w:lang w:val="en-US" w:eastAsia="zh-CN"/>
                    </w:rPr>
                    <w:t>新建</w:t>
                  </w:r>
                  <w:r>
                    <w:rPr>
                      <w:rFonts w:hint="eastAsia" w:ascii="Times New Roman" w:hAnsi="Times New Roman" w:cs="Times New Roman"/>
                      <w:b w:val="0"/>
                      <w:bCs w:val="0"/>
                      <w:color w:val="auto"/>
                      <w:sz w:val="21"/>
                      <w:szCs w:val="21"/>
                      <w:highlight w:val="none"/>
                      <w:vertAlign w:val="baseline"/>
                      <w:lang w:val="en-US" w:eastAsia="zh-CN"/>
                    </w:rPr>
                    <w:t>一座容积为200m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高位水池</w:t>
                  </w:r>
                  <w:r>
                    <w:rPr>
                      <w:rFonts w:hint="default" w:ascii="Times New Roman" w:hAnsi="Times New Roman" w:cs="Times New Roman"/>
                      <w:b w:val="0"/>
                      <w:bCs w:val="0"/>
                      <w:color w:val="auto"/>
                      <w:sz w:val="21"/>
                      <w:szCs w:val="21"/>
                      <w:highlight w:val="none"/>
                      <w:vertAlign w:val="baseline"/>
                      <w:lang w:val="en-US" w:eastAsia="zh-CN"/>
                    </w:rPr>
                    <w:t>。</w:t>
                  </w:r>
                </w:p>
              </w:tc>
              <w:tc>
                <w:tcPr>
                  <w:tcW w:w="414" w:type="pct"/>
                  <w:vMerge w:val="continue"/>
                  <w:vAlign w:val="center"/>
                </w:tcPr>
                <w:p w14:paraId="70FD9C3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67BFCD4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61CDC93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545606D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vAlign w:val="center"/>
                </w:tcPr>
                <w:p w14:paraId="24EC985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扩建</w:t>
                  </w:r>
                </w:p>
              </w:tc>
            </w:tr>
            <w:tr w14:paraId="64AC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3110548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69B177D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shd w:val="clear" w:color="auto" w:fill="auto"/>
                  <w:vAlign w:val="center"/>
                </w:tcPr>
                <w:p w14:paraId="3AA6082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絮凝沉淀气浮砂滤一体化设备</w:t>
                  </w:r>
                </w:p>
              </w:tc>
              <w:tc>
                <w:tcPr>
                  <w:tcW w:w="2861" w:type="pct"/>
                  <w:vAlign w:val="center"/>
                </w:tcPr>
                <w:p w14:paraId="6713CEB8">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eastAsia="宋体" w:cs="Times New Roman"/>
                    </w:rPr>
                    <w:t>受用地条件限制，本工程将絮凝沉淀气浮砂滤池一体化设备、清水池、排水排泥池、送水泵房、反冲洗泵房、加药间合建于一体，设净水综合体1座，设计规模2000m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/d，自用水系数1.1，</w:t>
                  </w:r>
                  <w:r>
                    <w:rPr>
                      <w:rFonts w:hint="default" w:ascii="Times New Roman" w:hAnsi="Times New Roman" w:eastAsia="宋体" w:cs="Times New Roman"/>
                      <w:color w:val="auto"/>
                    </w:rPr>
                    <w:t>土建尺寸A</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rPr>
                    <w:t>B</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rPr>
                    <w:t>H=19.9</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rPr>
                    <w:t>14.8</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rPr>
                    <w:t>（4.4+4.8）m，土建为钢筋砼+框架结构。</w:t>
                  </w:r>
                </w:p>
                <w:p w14:paraId="6E86662D">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color w:val="auto"/>
                    </w:rPr>
                    <w:t>共设置1套设备，内部分2组，每组可独立运行，设计每日运行时间24h，设备总尺寸：L</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rPr>
                    <w:t>B</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rPr>
                    <w:t>H=14.7</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rPr>
                    <w:t>5.8</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rPr>
                    <w:t>3.0~4.5（m）。各单元主要设计参数</w:t>
                  </w:r>
                  <w:r>
                    <w:rPr>
                      <w:rFonts w:hint="default" w:ascii="Times New Roman" w:hAnsi="Times New Roman" w:cs="Times New Roman"/>
                    </w:rPr>
                    <w:t>如下：</w:t>
                  </w:r>
                </w:p>
                <w:p w14:paraId="66822DF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1）混合絮凝区</w:t>
                  </w:r>
                </w:p>
                <w:p w14:paraId="3891B9A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采用机械混合+栅条絮凝，每组分为九格，第一格为混合池，混合时间90s；第二至第九格为絮凝池，絮凝时间26.4min，设备排泥采用电动阀自动排泥。</w:t>
                  </w:r>
                </w:p>
                <w:p w14:paraId="308F59A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lang w:eastAsia="zh-CN"/>
                    </w:rPr>
                  </w:pPr>
                  <w:r>
                    <w:rPr>
                      <w:rFonts w:hint="default" w:ascii="Times New Roman" w:hAnsi="Times New Roman" w:cs="Times New Roman"/>
                      <w:lang w:eastAsia="zh-CN"/>
                    </w:rPr>
                    <w:t>（2）斜管沉淀区</w:t>
                  </w:r>
                </w:p>
                <w:p w14:paraId="2E2BEC1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lang w:eastAsia="zh-CN"/>
                    </w:rPr>
                    <w:t>采用上向流斜管沉淀池，清水区上升流速1.67mm/s，表面负荷6.0m</w:t>
                  </w:r>
                  <w:r>
                    <w:rPr>
                      <w:rFonts w:hint="default" w:ascii="Times New Roman" w:hAnsi="Times New Roman" w:cs="Times New Roman"/>
                      <w:vertAlign w:val="superscript"/>
                      <w:lang w:eastAsia="zh-CN"/>
                    </w:rPr>
                    <w:t>3</w:t>
                  </w:r>
                  <w:r>
                    <w:rPr>
                      <w:rFonts w:hint="default" w:ascii="Times New Roman" w:hAnsi="Times New Roman" w:cs="Times New Roman"/>
                      <w:lang w:eastAsia="zh-CN"/>
                    </w:rPr>
                    <w:t>/m</w:t>
                  </w:r>
                  <w:r>
                    <w:rPr>
                      <w:rFonts w:hint="default" w:ascii="Times New Roman" w:hAnsi="Times New Roman" w:cs="Times New Roman"/>
                      <w:vertAlign w:val="superscript"/>
                      <w:lang w:eastAsia="zh-CN"/>
                    </w:rPr>
                    <w:t>2</w:t>
                  </w:r>
                  <w:r>
                    <w:rPr>
                      <w:rFonts w:hint="default" w:ascii="Times New Roman" w:hAnsi="Times New Roman" w:cs="Times New Roman"/>
                      <w:lang w:eastAsia="zh-CN"/>
                    </w:rPr>
                    <w:t>.h，设备排泥</w:t>
                  </w:r>
                  <w:r>
                    <w:rPr>
                      <w:rFonts w:hint="default" w:ascii="Times New Roman" w:hAnsi="Times New Roman" w:cs="Times New Roman"/>
                    </w:rPr>
                    <w:t>采用电动阀自动排泥。</w:t>
                  </w:r>
                </w:p>
                <w:p w14:paraId="5E647CF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3）气浮池</w:t>
                  </w:r>
                </w:p>
                <w:p w14:paraId="35E58C8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气浮池采用部分回流溶气气浮池，最大回流比按12%设计。气浮池接触室上升流速10.6mm/s，分离室向下流速1.6mm/s，液面负荷5.6</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/m</w:t>
                  </w:r>
                  <w:r>
                    <w:rPr>
                      <w:rFonts w:hint="default" w:ascii="Times New Roman" w:hAnsi="Times New Roman" w:cs="Times New Roman"/>
                      <w:vertAlign w:val="superscript"/>
                      <w:lang w:eastAsia="zh-CN"/>
                    </w:rPr>
                    <w:t>2</w:t>
                  </w:r>
                  <w:r>
                    <w:rPr>
                      <w:rFonts w:hint="default" w:ascii="Times New Roman" w:hAnsi="Times New Roman" w:cs="Times New Roman"/>
                      <w:lang w:eastAsia="zh-CN"/>
                    </w:rPr>
                    <w:t>.h</w:t>
                  </w:r>
                  <w:r>
                    <w:rPr>
                      <w:rFonts w:hint="default" w:ascii="Times New Roman" w:hAnsi="Times New Roman" w:cs="Times New Roman"/>
                    </w:rPr>
                    <w:t>；排泥方式为穿孔管电动阀自动排泥。液面排渣采用刮渣机</w:t>
                  </w:r>
                  <w:r>
                    <w:rPr>
                      <w:rFonts w:hint="eastAsia" w:ascii="Times New Roman" w:hAnsi="Times New Roman" w:cs="Times New Roman"/>
                      <w:lang w:eastAsia="zh-CN"/>
                    </w:rPr>
                    <w:t>，</w:t>
                  </w:r>
                  <w:r>
                    <w:rPr>
                      <w:rFonts w:hint="default" w:ascii="Times New Roman" w:hAnsi="Times New Roman" w:cs="Times New Roman"/>
                    </w:rPr>
                    <w:t>每格设置1套</w:t>
                  </w:r>
                  <w:r>
                    <w:rPr>
                      <w:rFonts w:hint="eastAsia" w:ascii="Times New Roman" w:hAnsi="Times New Roman" w:cs="Times New Roman"/>
                      <w:lang w:eastAsia="zh-CN"/>
                    </w:rPr>
                    <w:t>，</w:t>
                  </w:r>
                  <w:r>
                    <w:rPr>
                      <w:rFonts w:hint="default" w:ascii="Times New Roman" w:hAnsi="Times New Roman" w:cs="Times New Roman"/>
                    </w:rPr>
                    <w:t>配套工作桥及轨道。</w:t>
                  </w:r>
                </w:p>
                <w:p w14:paraId="75FD033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4）滤池</w:t>
                  </w:r>
                </w:p>
                <w:p w14:paraId="1B514E5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滤池采用砂滤池，滤池共2组，单组过滤面8.1m</w:t>
                  </w:r>
                  <w:r>
                    <w:rPr>
                      <w:rFonts w:hint="eastAsia" w:ascii="Times New Roman" w:hAnsi="Times New Roman" w:cs="Times New Roman"/>
                      <w:vertAlign w:val="superscript"/>
                      <w:lang w:val="en-US" w:eastAsia="zh-CN"/>
                    </w:rPr>
                    <w:t>2</w:t>
                  </w:r>
                  <w:r>
                    <w:rPr>
                      <w:rFonts w:hint="default" w:ascii="Times New Roman" w:hAnsi="Times New Roman" w:cs="Times New Roman"/>
                    </w:rPr>
                    <w:t>，设计滤速5.6m/</w:t>
                  </w:r>
                  <w:r>
                    <w:rPr>
                      <w:rFonts w:hint="eastAsia" w:ascii="Times New Roman" w:hAnsi="Times New Roman" w:cs="Times New Roman"/>
                      <w:lang w:val="en-US" w:eastAsia="zh-CN"/>
                    </w:rPr>
                    <w:t>h</w:t>
                  </w:r>
                  <w:r>
                    <w:rPr>
                      <w:rFonts w:hint="default" w:ascii="Times New Roman" w:hAnsi="Times New Roman" w:cs="Times New Roman"/>
                    </w:rPr>
                    <w:t>，强制滤速11.1m/h。其参数如下：</w:t>
                  </w:r>
                </w:p>
                <w:p w14:paraId="0035E2FA">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滤料：天然石英砂，d=0.8~1.2mm，厚1200mm</w:t>
                  </w:r>
                </w:p>
                <w:p w14:paraId="598B93D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ascii="Times New Roman" w:hAnsi="Times New Roman" w:cs="Times New Roman"/>
                    </w:rPr>
                  </w:pPr>
                  <w:r>
                    <w:rPr>
                      <w:rFonts w:hint="default" w:ascii="Times New Roman" w:hAnsi="Times New Roman" w:cs="Times New Roman"/>
                    </w:rPr>
                    <w:t>承托层：天然卵石，d=2~4mm，厚50mm</w:t>
                  </w:r>
                </w:p>
                <w:p w14:paraId="46A64B9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 xml:space="preserve">    冲洗方式：先气冲，再气水联冲，后水冲，全程扫洗。</w:t>
                  </w:r>
                </w:p>
                <w:p w14:paraId="2FAAD5E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r>
                    <w:rPr>
                      <w:rFonts w:hint="default" w:ascii="Times New Roman" w:hAnsi="Times New Roman" w:cs="Times New Roman"/>
                    </w:rPr>
                    <w:t xml:space="preserve">    冲洗流量：Q气=7.3m</w:t>
                  </w:r>
                  <w:r>
                    <w:rPr>
                      <w:rFonts w:hint="default" w:ascii="Times New Roman" w:hAnsi="Times New Roman" w:cs="Times New Roman"/>
                      <w:vertAlign w:val="superscript"/>
                      <w:lang w:val="en-US" w:eastAsia="zh-CN"/>
                    </w:rPr>
                    <w:t>3</w:t>
                  </w:r>
                  <w:r>
                    <w:rPr>
                      <w:rFonts w:hint="default" w:ascii="Times New Roman" w:hAnsi="Times New Roman" w:cs="Times New Roman"/>
                    </w:rPr>
                    <w:t>/min，Q单水=176m</w:t>
                  </w:r>
                  <w:r>
                    <w:rPr>
                      <w:rFonts w:hint="default" w:ascii="Times New Roman" w:hAnsi="Times New Roman" w:cs="Times New Roman"/>
                      <w:vertAlign w:val="superscript"/>
                      <w:lang w:val="en-US" w:eastAsia="zh-CN"/>
                    </w:rPr>
                    <w:t>3</w:t>
                  </w:r>
                  <w:r>
                    <w:rPr>
                      <w:rFonts w:hint="default" w:ascii="Times New Roman" w:hAnsi="Times New Roman" w:cs="Times New Roman"/>
                    </w:rPr>
                    <w:t>/h。</w:t>
                  </w:r>
                </w:p>
                <w:p w14:paraId="6519C7A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rPr>
                    <w:t xml:space="preserve">    滤池出水浊度＜0.5NTU。</w:t>
                  </w:r>
                </w:p>
              </w:tc>
              <w:tc>
                <w:tcPr>
                  <w:tcW w:w="414" w:type="pct"/>
                  <w:vMerge w:val="continue"/>
                  <w:vAlign w:val="center"/>
                </w:tcPr>
                <w:p w14:paraId="1644156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1F7CC01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0AE2A5D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4DBDCA8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vAlign w:val="center"/>
                </w:tcPr>
                <w:p w14:paraId="02EAB9C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41DB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7C2AB98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364292F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shd w:val="clear" w:color="auto" w:fill="auto"/>
                  <w:vAlign w:val="center"/>
                </w:tcPr>
                <w:p w14:paraId="1E9C1B7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rPr>
                    <w:t>清水池</w:t>
                  </w:r>
                </w:p>
              </w:tc>
              <w:tc>
                <w:tcPr>
                  <w:tcW w:w="2861" w:type="pct"/>
                  <w:vAlign w:val="center"/>
                </w:tcPr>
                <w:p w14:paraId="46EFDD3B">
                  <w:pP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rPr>
                    <w:t>设清水池1座，分为2组，总设计规模2000m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/d，有效水深2.0m，有效容积约270m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，占总规模的13.5%。</w:t>
                  </w:r>
                </w:p>
              </w:tc>
              <w:tc>
                <w:tcPr>
                  <w:tcW w:w="414" w:type="pct"/>
                  <w:vMerge w:val="continue"/>
                  <w:vAlign w:val="center"/>
                </w:tcPr>
                <w:p w14:paraId="0634A8D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B958E7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tc>
              <w:tc>
                <w:tcPr>
                  <w:tcW w:w="327" w:type="pct"/>
                  <w:vAlign w:val="center"/>
                </w:tcPr>
                <w:p w14:paraId="593B8D4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0B4B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14FAD5E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653BBBB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shd w:val="clear" w:color="auto" w:fill="auto"/>
                  <w:vAlign w:val="center"/>
                </w:tcPr>
                <w:p w14:paraId="1CC27AA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rPr>
                  </w:pPr>
                  <w:r>
                    <w:rPr>
                      <w:rFonts w:hint="eastAsia"/>
                    </w:rPr>
                    <w:t>排水排泥池</w:t>
                  </w:r>
                </w:p>
              </w:tc>
              <w:tc>
                <w:tcPr>
                  <w:tcW w:w="2861" w:type="pct"/>
                  <w:vAlign w:val="center"/>
                </w:tcPr>
                <w:p w14:paraId="1DD2874A">
                  <w:pPr>
                    <w:rPr>
                      <w:rFonts w:hint="default" w:ascii="Times New Roman" w:hAnsi="Times New Roman" w:eastAsia="宋体" w:cs="Times New Roman"/>
                      <w:lang w:val="en-US" w:eastAsia="zh-CN"/>
                    </w:rPr>
                  </w:pPr>
                  <w:r>
                    <w:rPr>
                      <w:rFonts w:hint="default" w:ascii="Times New Roman" w:hAnsi="Times New Roman" w:eastAsia="宋体" w:cs="Times New Roman"/>
                    </w:rPr>
                    <w:t>排水池设1座，最大有效容积约44m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，通过提升泵提升至絮凝沉淀设备与原水一起净化处理</w:t>
                  </w:r>
                  <w:r>
                    <w:rPr>
                      <w:rFonts w:hint="default" w:ascii="Times New Roman" w:hAnsi="Times New Roman" w:eastAsia="宋体" w:cs="Times New Roman"/>
                      <w:lang w:eastAsia="zh-CN"/>
                    </w:rPr>
                    <w:t>。</w:t>
                  </w:r>
                </w:p>
                <w:p w14:paraId="67C90669">
                  <w:pPr>
                    <w:rPr>
                      <w:rFonts w:hint="default" w:ascii="Times New Roman" w:hAnsi="Times New Roman" w:eastAsia="宋体" w:cs="Times New Roman"/>
                    </w:rPr>
                  </w:pPr>
                  <w:r>
                    <w:rPr>
                      <w:rFonts w:hint="default" w:ascii="Times New Roman" w:hAnsi="Times New Roman" w:eastAsia="宋体" w:cs="Times New Roman"/>
                    </w:rPr>
                    <w:t>排泥池设1座，有效容积约23m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rPr>
                    <w:t>，收集絮凝沉淀气浮池排泥水，可收集设计工况1天的排泥水量，最终通过</w:t>
                  </w:r>
                  <w:r>
                    <w:rPr>
                      <w:rFonts w:hint="eastAsia" w:ascii="Times New Roman" w:hAnsi="Times New Roman" w:eastAsia="宋体" w:cs="Times New Roman"/>
                      <w:lang w:val="en-US" w:eastAsia="zh-CN"/>
                    </w:rPr>
                    <w:t>沉淀后回用</w:t>
                  </w:r>
                  <w:r>
                    <w:rPr>
                      <w:rFonts w:hint="default" w:ascii="Times New Roman" w:hAnsi="Times New Roman" w:eastAsia="宋体" w:cs="Times New Roman"/>
                    </w:rPr>
                    <w:t>。</w:t>
                  </w:r>
                </w:p>
              </w:tc>
              <w:tc>
                <w:tcPr>
                  <w:tcW w:w="414" w:type="pct"/>
                  <w:vMerge w:val="continue"/>
                  <w:vAlign w:val="center"/>
                </w:tcPr>
                <w:p w14:paraId="4C5FA24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shd w:val="clear" w:color="auto" w:fill="auto"/>
                  <w:vAlign w:val="center"/>
                </w:tcPr>
                <w:p w14:paraId="3AC7EC4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6DDDC6D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74EA5E7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shd w:val="clear" w:color="auto" w:fill="auto"/>
                  <w:vAlign w:val="center"/>
                </w:tcPr>
                <w:p w14:paraId="5EC2AC7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新建</w:t>
                  </w:r>
                </w:p>
              </w:tc>
            </w:tr>
            <w:tr w14:paraId="0ECF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43B894F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39EA542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shd w:val="clear" w:color="auto" w:fill="auto"/>
                  <w:vAlign w:val="center"/>
                </w:tcPr>
                <w:p w14:paraId="07D884F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rPr>
                    <w:t>送水泵房、反冲洗泵房及加药间</w:t>
                  </w:r>
                </w:p>
              </w:tc>
              <w:tc>
                <w:tcPr>
                  <w:tcW w:w="2861" w:type="pct"/>
                  <w:vAlign w:val="center"/>
                </w:tcPr>
                <w:p w14:paraId="3001C036">
                  <w:pPr>
                    <w:rPr>
                      <w:rFonts w:hint="default" w:ascii="Times New Roman" w:hAnsi="Times New Roman" w:cs="Times New Roman"/>
                    </w:rPr>
                  </w:pPr>
                  <w:r>
                    <w:rPr>
                      <w:rFonts w:hint="default" w:ascii="Times New Roman" w:hAnsi="Times New Roman" w:cs="Times New Roman"/>
                    </w:rPr>
                    <w:t>设</w:t>
                  </w:r>
                  <w:r>
                    <w:rPr>
                      <w:rFonts w:hint="default" w:ascii="Times New Roman" w:hAnsi="Times New Roman" w:cs="Times New Roman"/>
                      <w:lang w:val="en-US" w:eastAsia="zh-CN"/>
                    </w:rPr>
                    <w:t>合建的</w:t>
                  </w:r>
                  <w:r>
                    <w:rPr>
                      <w:rFonts w:hint="default" w:ascii="Times New Roman" w:hAnsi="Times New Roman" w:cs="Times New Roman"/>
                    </w:rPr>
                    <w:t>送水泵房、反冲洗泵房及加药间1座，土建尺寸AxBxH=19.9</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rPr>
                    <w:t>5.0</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rPr>
                    <w:t>（4.4+4.8）m，钢筋砼+框架结构。</w:t>
                  </w:r>
                </w:p>
                <w:p w14:paraId="6AD7EA59">
                  <w:pPr>
                    <w:ind w:firstLine="42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1）送水泵房设计规模2000m</w:t>
                  </w:r>
                  <w:r>
                    <w:rPr>
                      <w:rFonts w:hint="default" w:ascii="Times New Roman" w:hAnsi="Times New Roman" w:cs="Times New Roman"/>
                      <w:vertAlign w:val="superscript"/>
                      <w:lang w:val="en-US" w:eastAsia="zh-CN"/>
                    </w:rPr>
                    <w:t>3</w:t>
                  </w:r>
                  <w:r>
                    <w:rPr>
                      <w:rFonts w:hint="default" w:ascii="Times New Roman" w:hAnsi="Times New Roman" w:cs="Times New Roman"/>
                    </w:rPr>
                    <w:t>/d，由于厂外设计有高位水池，因此本次送水泵房时变化系数取1.2，向厂外高位水池输水。</w:t>
                  </w:r>
                </w:p>
                <w:p w14:paraId="0E5F4A97">
                  <w:pPr>
                    <w:ind w:firstLine="42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rPr>
                    <w:t>2）反冲洗泵房主要为气浮池和砂滤池一体化设备配套，包括反冲洗水泵室、反冲洗风机室和溶气回流室。</w:t>
                  </w:r>
                </w:p>
                <w:p w14:paraId="7E08B6AC">
                  <w:pPr>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lang w:eastAsia="zh-CN"/>
                    </w:rPr>
                    <w:t>（</w:t>
                  </w:r>
                  <w:r>
                    <w:rPr>
                      <w:rFonts w:hint="default" w:ascii="Times New Roman" w:hAnsi="Times New Roman" w:cs="Times New Roman"/>
                    </w:rPr>
                    <w:t>3）加药间主要为絮凝池投加絮凝剂，絮凝剂采用聚合氯化铝（PAC），投加点位于絮凝池混合区。以固体商品（纯度30%）计，设计投加量20~30mg/L，配置一体化PAC投加装置1套，投加量1~5kg/h，N=3.75kW。</w:t>
                  </w:r>
                </w:p>
              </w:tc>
              <w:tc>
                <w:tcPr>
                  <w:tcW w:w="414" w:type="pct"/>
                  <w:vMerge w:val="continue"/>
                  <w:vAlign w:val="center"/>
                </w:tcPr>
                <w:p w14:paraId="1E8CA85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502227A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3D3D9A9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23BC04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vAlign w:val="center"/>
                </w:tcPr>
                <w:p w14:paraId="0A2ADF5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6342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shd w:val="clear" w:color="auto" w:fill="auto"/>
                  <w:vAlign w:val="center"/>
                </w:tcPr>
                <w:p w14:paraId="309F7A1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32F1CBC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shd w:val="clear" w:color="auto" w:fill="auto"/>
                  <w:vAlign w:val="center"/>
                </w:tcPr>
                <w:p w14:paraId="4C2537E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eastAsia"/>
                    </w:rPr>
                  </w:pPr>
                  <w:r>
                    <w:rPr>
                      <w:rFonts w:hint="default" w:ascii="Times New Roman" w:hAnsi="Times New Roman" w:cs="Times New Roman"/>
                      <w:lang w:eastAsia="zh-CN"/>
                    </w:rPr>
                    <w:t>加氯间</w:t>
                  </w:r>
                </w:p>
              </w:tc>
              <w:tc>
                <w:tcPr>
                  <w:tcW w:w="2861" w:type="pct"/>
                  <w:vAlign w:val="center"/>
                </w:tcPr>
                <w:p w14:paraId="75DA5C8D">
                  <w:pPr>
                    <w:rPr>
                      <w:rFonts w:hint="default" w:ascii="Times New Roman" w:hAnsi="Times New Roman" w:cs="Times New Roman"/>
                      <w:lang w:eastAsia="zh-CN"/>
                    </w:rPr>
                  </w:pPr>
                  <w:r>
                    <w:rPr>
                      <w:rFonts w:hint="default" w:ascii="Times New Roman" w:hAnsi="Times New Roman" w:cs="Times New Roman"/>
                      <w:lang w:eastAsia="zh-CN"/>
                    </w:rPr>
                    <w:t>设加氯间1座，土建尺寸A</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lang w:eastAsia="zh-CN"/>
                    </w:rPr>
                    <w:t>B</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lang w:eastAsia="zh-CN"/>
                    </w:rPr>
                    <w:t>H=12.0</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lang w:eastAsia="zh-CN"/>
                    </w:rPr>
                    <w:t>4.2</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lang w:eastAsia="zh-CN"/>
                    </w:rPr>
                    <w:t>4.2m，框架结构。投加点位于清水池进水管道上，设计最大投加量2.0mg/L，设二氧化氯制备投加系统1套，包含2台二氧化氯发生器（1用1备）、5m</w:t>
                  </w:r>
                  <w:r>
                    <w:rPr>
                      <w:rFonts w:hint="eastAsia" w:ascii="Times New Roman" w:hAnsi="Times New Roman" w:cs="Times New Roman"/>
                      <w:vertAlign w:val="superscript"/>
                      <w:lang w:val="en-US" w:eastAsia="zh-CN"/>
                    </w:rPr>
                    <w:t>3</w:t>
                  </w:r>
                  <w:r>
                    <w:rPr>
                      <w:rFonts w:hint="default" w:ascii="Times New Roman" w:hAnsi="Times New Roman" w:cs="Times New Roman"/>
                      <w:lang w:eastAsia="zh-CN"/>
                    </w:rPr>
                    <w:t>复合氯酸钠溶液储罐1套、5m</w:t>
                  </w:r>
                  <w:r>
                    <w:rPr>
                      <w:rFonts w:hint="eastAsia" w:ascii="Times New Roman" w:hAnsi="Times New Roman" w:cs="Times New Roman"/>
                      <w:vertAlign w:val="superscript"/>
                      <w:lang w:val="en-US" w:eastAsia="zh-CN"/>
                    </w:rPr>
                    <w:t>3</w:t>
                  </w:r>
                  <w:r>
                    <w:rPr>
                      <w:rFonts w:hint="default" w:ascii="Times New Roman" w:hAnsi="Times New Roman" w:cs="Times New Roman"/>
                      <w:lang w:eastAsia="zh-CN"/>
                    </w:rPr>
                    <w:t>复合硫酸氢钠溶液储罐1套及隔膜计量泵、背压阀、Y型过滤器、隔膜压力表、卸料泵、集成智能控制器、漏氯监测报警系统、喷淋装置（带洗眼器）、应急工具箱（含防毒护具），配套阀门、管路管件、电线电缆等。</w:t>
                  </w:r>
                </w:p>
              </w:tc>
              <w:tc>
                <w:tcPr>
                  <w:tcW w:w="414" w:type="pct"/>
                  <w:vMerge w:val="continue"/>
                  <w:vAlign w:val="center"/>
                </w:tcPr>
                <w:p w14:paraId="72F35F3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7CACC6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327" w:type="pct"/>
                  <w:vAlign w:val="center"/>
                </w:tcPr>
                <w:p w14:paraId="1E7A7D1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新建</w:t>
                  </w:r>
                </w:p>
              </w:tc>
            </w:tr>
            <w:tr w14:paraId="599A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vAlign w:val="center"/>
                </w:tcPr>
                <w:p w14:paraId="3456B65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辅助工程</w:t>
                  </w:r>
                </w:p>
              </w:tc>
              <w:tc>
                <w:tcPr>
                  <w:tcW w:w="678" w:type="pct"/>
                  <w:gridSpan w:val="2"/>
                  <w:vAlign w:val="center"/>
                </w:tcPr>
                <w:p w14:paraId="2695395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管理</w:t>
                  </w:r>
                  <w:r>
                    <w:rPr>
                      <w:rFonts w:hint="default" w:ascii="Times New Roman" w:hAnsi="Times New Roman" w:cs="Times New Roman"/>
                      <w:b w:val="0"/>
                      <w:bCs w:val="0"/>
                      <w:color w:val="auto"/>
                      <w:sz w:val="21"/>
                      <w:szCs w:val="21"/>
                      <w:highlight w:val="none"/>
                      <w:lang w:val="en-US" w:eastAsia="zh-CN"/>
                    </w:rPr>
                    <w:t>用房</w:t>
                  </w:r>
                </w:p>
              </w:tc>
              <w:tc>
                <w:tcPr>
                  <w:tcW w:w="2861" w:type="pct"/>
                  <w:vAlign w:val="center"/>
                </w:tcPr>
                <w:p w14:paraId="2E489F20">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1座，</w:t>
                  </w:r>
                  <w:r>
                    <w:rPr>
                      <w:rFonts w:hint="default" w:ascii="Times New Roman" w:hAnsi="Times New Roman" w:eastAsia="宋体" w:cs="Times New Roman"/>
                      <w:color w:val="auto"/>
                      <w:sz w:val="21"/>
                      <w:szCs w:val="21"/>
                    </w:rPr>
                    <w:t>框架结构，</w:t>
                  </w:r>
                  <w:r>
                    <w:rPr>
                      <w:rFonts w:hint="eastAsia" w:ascii="Times New Roman" w:hAnsi="Times New Roman" w:eastAsia="宋体" w:cs="Times New Roman"/>
                      <w:color w:val="auto"/>
                      <w:sz w:val="21"/>
                      <w:szCs w:val="21"/>
                      <w:lang w:val="en-US" w:eastAsia="zh-CN"/>
                    </w:rPr>
                    <w:t>占地面积约100m</w:t>
                  </w:r>
                  <w:r>
                    <w:rPr>
                      <w:rFonts w:hint="eastAsia"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。包括化验室、办公室、值班室、休息室、卫生间。</w:t>
                  </w:r>
                </w:p>
              </w:tc>
              <w:tc>
                <w:tcPr>
                  <w:tcW w:w="414" w:type="pct"/>
                  <w:vMerge w:val="continue"/>
                  <w:vAlign w:val="center"/>
                </w:tcPr>
                <w:p w14:paraId="2644B03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726B5B0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生活污水、生活垃圾</w:t>
                  </w:r>
                </w:p>
              </w:tc>
              <w:tc>
                <w:tcPr>
                  <w:tcW w:w="327" w:type="pct"/>
                  <w:vAlign w:val="center"/>
                </w:tcPr>
                <w:p w14:paraId="6DF7701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558E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0DEF24D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185B1CE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化验室</w:t>
                  </w:r>
                </w:p>
              </w:tc>
              <w:tc>
                <w:tcPr>
                  <w:tcW w:w="2861" w:type="pct"/>
                  <w:vAlign w:val="center"/>
                </w:tcPr>
                <w:p w14:paraId="0E248CAA">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位于管理用房，</w:t>
                  </w:r>
                  <w:r>
                    <w:rPr>
                      <w:rFonts w:hint="default" w:ascii="Times New Roman" w:hAnsi="Times New Roman" w:cs="Times New Roman"/>
                      <w:color w:val="auto"/>
                      <w:kern w:val="2"/>
                      <w:sz w:val="21"/>
                      <w:szCs w:val="21"/>
                      <w:highlight w:val="none"/>
                      <w:lang w:val="en-US" w:eastAsia="zh-CN" w:bidi="ar-SA"/>
                    </w:rPr>
                    <w:t>化验室主要检测pH、嗅和味、肉眼可见物、浑浊度、余氯等指标，</w:t>
                  </w:r>
                  <w:r>
                    <w:rPr>
                      <w:rFonts w:hint="default" w:ascii="Times New Roman" w:hAnsi="Times New Roman" w:cs="Times New Roman"/>
                      <w:color w:val="auto"/>
                      <w:sz w:val="21"/>
                      <w:szCs w:val="21"/>
                      <w:highlight w:val="none"/>
                    </w:rPr>
                    <w:t>其中嗅和味、肉眼可见物通过人的感官检验，pH</w:t>
                  </w:r>
                  <w:r>
                    <w:rPr>
                      <w:rFonts w:hint="eastAsia" w:ascii="Times New Roman" w:hAnsi="Times New Roman"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rPr>
                    <w:t>便携式pH计</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浑浊度采用浑浊</w:t>
                  </w:r>
                  <w:r>
                    <w:rPr>
                      <w:rFonts w:hint="eastAsia" w:ascii="Times New Roman" w:hAnsi="Times New Roman" w:cs="Times New Roman"/>
                      <w:color w:val="auto"/>
                      <w:sz w:val="21"/>
                      <w:szCs w:val="21"/>
                      <w:highlight w:val="none"/>
                      <w:lang w:val="en-US" w:eastAsia="zh-CN"/>
                    </w:rPr>
                    <w:t>仪检测</w:t>
                  </w:r>
                  <w:r>
                    <w:rPr>
                      <w:rFonts w:hint="default" w:ascii="Times New Roman" w:hAnsi="Times New Roman" w:cs="Times New Roman"/>
                      <w:color w:val="auto"/>
                      <w:sz w:val="21"/>
                      <w:szCs w:val="21"/>
                      <w:highlight w:val="none"/>
                    </w:rPr>
                    <w:t>，余氯采用便携式余氯检测仪检测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kern w:val="2"/>
                      <w:sz w:val="21"/>
                      <w:szCs w:val="21"/>
                      <w:highlight w:val="none"/>
                      <w:lang w:val="en-US" w:eastAsia="zh-CN" w:bidi="ar-SA"/>
                    </w:rPr>
                    <w:t>不涉及其他化学试剂</w:t>
                  </w:r>
                  <w:r>
                    <w:rPr>
                      <w:rFonts w:hint="eastAsia" w:ascii="Times New Roman" w:hAnsi="Times New Roman" w:cs="Times New Roman"/>
                      <w:color w:val="auto"/>
                      <w:kern w:val="2"/>
                      <w:sz w:val="21"/>
                      <w:szCs w:val="21"/>
                      <w:highlight w:val="none"/>
                      <w:lang w:val="en-US" w:eastAsia="zh-CN" w:bidi="ar-SA"/>
                    </w:rPr>
                    <w:t>，</w:t>
                  </w:r>
                  <w:r>
                    <w:rPr>
                      <w:rFonts w:hint="eastAsia" w:ascii="Times New Roman" w:hAnsi="Times New Roman" w:cs="Times New Roman"/>
                      <w:color w:val="auto"/>
                      <w:sz w:val="21"/>
                      <w:szCs w:val="21"/>
                      <w:highlight w:val="none"/>
                      <w:lang w:val="en-US" w:eastAsia="zh-CN"/>
                    </w:rPr>
                    <w:t>不产生实验废水。</w:t>
                  </w:r>
                </w:p>
              </w:tc>
              <w:tc>
                <w:tcPr>
                  <w:tcW w:w="414" w:type="pct"/>
                  <w:vMerge w:val="continue"/>
                  <w:vAlign w:val="center"/>
                </w:tcPr>
                <w:p w14:paraId="3B59D15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094512E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327" w:type="pct"/>
                  <w:vAlign w:val="center"/>
                </w:tcPr>
                <w:p w14:paraId="45F6F35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新建</w:t>
                  </w:r>
                </w:p>
              </w:tc>
            </w:tr>
            <w:tr w14:paraId="43B9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0599860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28BD170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消毒</w:t>
                  </w:r>
                </w:p>
              </w:tc>
              <w:tc>
                <w:tcPr>
                  <w:tcW w:w="2861" w:type="pct"/>
                  <w:vAlign w:val="center"/>
                </w:tcPr>
                <w:p w14:paraId="4053C5C0">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本项目设置有2套高纯一体式二氧化氯发生器（1用1备），采用二氧化氯消毒方式，</w:t>
                  </w:r>
                  <w:r>
                    <w:rPr>
                      <w:rFonts w:hint="eastAsia"/>
                    </w:rPr>
                    <w:t>投加点位于清水池进水管道上</w:t>
                  </w:r>
                  <w:r>
                    <w:rPr>
                      <w:rFonts w:hint="eastAsia"/>
                      <w:lang w:eastAsia="zh-CN"/>
                    </w:rPr>
                    <w:t>，</w:t>
                  </w:r>
                  <w:r>
                    <w:rPr>
                      <w:rFonts w:hint="default" w:ascii="Times New Roman" w:hAnsi="Times New Roman" w:cs="Times New Roman"/>
                      <w:lang w:eastAsia="zh-CN"/>
                    </w:rPr>
                    <w:t>设计最大投加量2.0mg/L</w:t>
                  </w:r>
                  <w:r>
                    <w:rPr>
                      <w:rFonts w:hint="eastAsia" w:ascii="Times New Roman" w:hAnsi="Times New Roman" w:cs="Times New Roman"/>
                      <w:lang w:eastAsia="zh-CN"/>
                    </w:rPr>
                    <w:t>。</w:t>
                  </w:r>
                </w:p>
              </w:tc>
              <w:tc>
                <w:tcPr>
                  <w:tcW w:w="414" w:type="pct"/>
                  <w:vMerge w:val="continue"/>
                  <w:vAlign w:val="center"/>
                </w:tcPr>
                <w:p w14:paraId="5F9A475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1D7326F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c>
                <w:tcPr>
                  <w:tcW w:w="327" w:type="pct"/>
                  <w:vAlign w:val="center"/>
                </w:tcPr>
                <w:p w14:paraId="18FFFC8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新建</w:t>
                  </w:r>
                </w:p>
              </w:tc>
            </w:tr>
            <w:tr w14:paraId="3DF8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7" w:hRule="atLeast"/>
                <w:jc w:val="center"/>
              </w:trPr>
              <w:tc>
                <w:tcPr>
                  <w:tcW w:w="302" w:type="pct"/>
                  <w:vMerge w:val="restart"/>
                  <w:vAlign w:val="center"/>
                </w:tcPr>
                <w:p w14:paraId="3036494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临时工程</w:t>
                  </w:r>
                </w:p>
              </w:tc>
              <w:tc>
                <w:tcPr>
                  <w:tcW w:w="678" w:type="pct"/>
                  <w:gridSpan w:val="2"/>
                  <w:shd w:val="clear" w:color="auto" w:fill="auto"/>
                  <w:vAlign w:val="center"/>
                </w:tcPr>
                <w:p w14:paraId="736923F3">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施工导流</w:t>
                  </w:r>
                </w:p>
              </w:tc>
              <w:tc>
                <w:tcPr>
                  <w:tcW w:w="2861" w:type="pct"/>
                  <w:shd w:val="clear" w:color="auto" w:fill="auto"/>
                  <w:vAlign w:val="center"/>
                </w:tcPr>
                <w:p w14:paraId="100FDEDF">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hAnsi="Times New Roman" w:cs="Times New Roman"/>
                      <w:color w:val="auto"/>
                      <w:kern w:val="0"/>
                      <w:sz w:val="21"/>
                      <w:szCs w:val="21"/>
                      <w:lang w:val="en-US" w:eastAsia="zh-CN" w:bidi="ar"/>
                    </w:rPr>
                    <w:t>隘口水厂新建取水口</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color w:val="auto"/>
                      <w:kern w:val="2"/>
                      <w:sz w:val="21"/>
                      <w:szCs w:val="21"/>
                      <w:highlight w:val="none"/>
                      <w:lang w:val="en-US" w:eastAsia="zh-CN" w:bidi="ar-SA"/>
                    </w:rPr>
                    <w:t>涉及涉水施工，</w:t>
                  </w:r>
                  <w:r>
                    <w:rPr>
                      <w:rFonts w:hint="default" w:ascii="Times New Roman" w:hAnsi="Times New Roman" w:eastAsia="宋体" w:cs="Times New Roman"/>
                      <w:color w:val="auto"/>
                      <w:kern w:val="0"/>
                      <w:sz w:val="21"/>
                      <w:szCs w:val="21"/>
                      <w:lang w:val="en-US" w:eastAsia="zh-CN" w:bidi="ar"/>
                    </w:rPr>
                    <w:t>其导流围堰采用土石围堰结构型式，</w:t>
                  </w:r>
                  <w:r>
                    <w:rPr>
                      <w:rFonts w:hint="default" w:ascii="Times New Roman" w:hAnsi="Times New Roman" w:eastAsia="宋体" w:cs="Times New Roman"/>
                      <w:color w:val="auto"/>
                      <w:kern w:val="0"/>
                      <w:sz w:val="21"/>
                      <w:szCs w:val="21"/>
                      <w:highlight w:val="none"/>
                      <w:lang w:val="en-US" w:eastAsia="zh-CN" w:bidi="ar"/>
                    </w:rPr>
                    <w:t>围堰利用工程开挖的土石方进行填筑，迎水面铺设土工膜防渗，围堰挡水期间，采用埋设导流管过流并配备必要的抽排设施。</w:t>
                  </w:r>
                  <w:r>
                    <w:rPr>
                      <w:rFonts w:hint="default" w:ascii="Times New Roman" w:hAnsi="Times New Roman" w:cs="Times New Roman"/>
                      <w:color w:val="auto"/>
                      <w:kern w:val="0"/>
                      <w:sz w:val="21"/>
                      <w:szCs w:val="21"/>
                      <w:highlight w:val="none"/>
                      <w:lang w:val="en-US" w:eastAsia="zh-CN" w:bidi="ar"/>
                    </w:rPr>
                    <w:t>选择在枯水期。</w:t>
                  </w:r>
                </w:p>
              </w:tc>
              <w:tc>
                <w:tcPr>
                  <w:tcW w:w="414" w:type="pct"/>
                  <w:vMerge w:val="continue"/>
                  <w:vAlign w:val="center"/>
                </w:tcPr>
                <w:p w14:paraId="0019D67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6356411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3A2453C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624C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7" w:hRule="atLeast"/>
                <w:jc w:val="center"/>
              </w:trPr>
              <w:tc>
                <w:tcPr>
                  <w:tcW w:w="302" w:type="pct"/>
                  <w:vMerge w:val="continue"/>
                  <w:vAlign w:val="center"/>
                </w:tcPr>
                <w:p w14:paraId="698D9FA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678" w:type="pct"/>
                  <w:gridSpan w:val="2"/>
                  <w:vAlign w:val="center"/>
                </w:tcPr>
                <w:p w14:paraId="6D4554B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施工便道</w:t>
                  </w:r>
                </w:p>
              </w:tc>
              <w:tc>
                <w:tcPr>
                  <w:tcW w:w="2861" w:type="pct"/>
                  <w:vAlign w:val="center"/>
                </w:tcPr>
                <w:p w14:paraId="59DFB9E9">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利用周边现状道路。</w:t>
                  </w:r>
                </w:p>
              </w:tc>
              <w:tc>
                <w:tcPr>
                  <w:tcW w:w="414" w:type="pct"/>
                  <w:vMerge w:val="continue"/>
                  <w:vAlign w:val="center"/>
                </w:tcPr>
                <w:p w14:paraId="203F717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22E9F6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121442C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175A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7" w:hRule="atLeast"/>
                <w:jc w:val="center"/>
              </w:trPr>
              <w:tc>
                <w:tcPr>
                  <w:tcW w:w="302" w:type="pct"/>
                  <w:vMerge w:val="continue"/>
                  <w:vAlign w:val="center"/>
                </w:tcPr>
                <w:p w14:paraId="380B4BF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678" w:type="pct"/>
                  <w:gridSpan w:val="2"/>
                  <w:shd w:val="clear" w:color="auto" w:fill="auto"/>
                  <w:vAlign w:val="center"/>
                </w:tcPr>
                <w:p w14:paraId="5F6574C5">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施工营地</w:t>
                  </w:r>
                </w:p>
              </w:tc>
              <w:tc>
                <w:tcPr>
                  <w:tcW w:w="2861" w:type="pct"/>
                  <w:shd w:val="clear" w:color="auto" w:fill="auto"/>
                  <w:vAlign w:val="center"/>
                </w:tcPr>
                <w:p w14:paraId="10375A58">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不新建施工营地，施工人员办公、住宿租用沿线民房，不新增占地。</w:t>
                  </w:r>
                </w:p>
              </w:tc>
              <w:tc>
                <w:tcPr>
                  <w:tcW w:w="414" w:type="pct"/>
                  <w:vMerge w:val="continue"/>
                  <w:vAlign w:val="center"/>
                </w:tcPr>
                <w:p w14:paraId="6BE1690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1366F2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12444DE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64C8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7" w:hRule="atLeast"/>
                <w:jc w:val="center"/>
              </w:trPr>
              <w:tc>
                <w:tcPr>
                  <w:tcW w:w="302" w:type="pct"/>
                  <w:vMerge w:val="continue"/>
                  <w:vAlign w:val="center"/>
                </w:tcPr>
                <w:p w14:paraId="47946FC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474AC21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临时</w:t>
                  </w:r>
                  <w:r>
                    <w:rPr>
                      <w:rFonts w:hint="default" w:ascii="Times New Roman" w:hAnsi="Times New Roman" w:cs="Times New Roman"/>
                      <w:color w:val="auto"/>
                      <w:sz w:val="21"/>
                      <w:szCs w:val="21"/>
                      <w:highlight w:val="none"/>
                      <w:lang w:val="en-US" w:eastAsia="zh-CN"/>
                    </w:rPr>
                    <w:t>施工</w:t>
                  </w:r>
                  <w:r>
                    <w:rPr>
                      <w:rFonts w:hint="default" w:ascii="Times New Roman" w:hAnsi="Times New Roman" w:cs="Times New Roman"/>
                      <w:color w:val="auto"/>
                      <w:kern w:val="2"/>
                      <w:sz w:val="21"/>
                      <w:szCs w:val="21"/>
                      <w:highlight w:val="none"/>
                      <w:lang w:val="en-US" w:eastAsia="zh-CN" w:bidi="ar-SA"/>
                    </w:rPr>
                    <w:t>工地</w:t>
                  </w:r>
                </w:p>
              </w:tc>
              <w:tc>
                <w:tcPr>
                  <w:tcW w:w="2861" w:type="pct"/>
                  <w:vAlign w:val="center"/>
                </w:tcPr>
                <w:p w14:paraId="4D3BD51D">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设置</w:t>
                  </w:r>
                  <w:r>
                    <w:rPr>
                      <w:rFonts w:hint="eastAsia" w:ascii="Times New Roman" w:hAnsi="Times New Roman" w:cs="Times New Roman"/>
                      <w:color w:val="auto"/>
                      <w:kern w:val="2"/>
                      <w:sz w:val="21"/>
                      <w:szCs w:val="21"/>
                      <w:highlight w:val="none"/>
                      <w:lang w:val="en-US" w:eastAsia="zh-CN" w:bidi="ar-SA"/>
                    </w:rPr>
                    <w:t>1</w:t>
                  </w:r>
                  <w:r>
                    <w:rPr>
                      <w:rFonts w:hint="default" w:ascii="Times New Roman" w:hAnsi="Times New Roman" w:cs="Times New Roman"/>
                      <w:color w:val="auto"/>
                      <w:kern w:val="2"/>
                      <w:sz w:val="21"/>
                      <w:szCs w:val="21"/>
                      <w:highlight w:val="none"/>
                      <w:lang w:val="en-US" w:eastAsia="zh-CN" w:bidi="ar-SA"/>
                    </w:rPr>
                    <w:t>个临时工地，500m</w:t>
                  </w:r>
                  <w:r>
                    <w:rPr>
                      <w:rFonts w:hint="default" w:ascii="Times New Roman" w:hAnsi="Times New Roman" w:cs="Times New Roman"/>
                      <w:color w:val="auto"/>
                      <w:kern w:val="2"/>
                      <w:sz w:val="21"/>
                      <w:szCs w:val="21"/>
                      <w:highlight w:val="none"/>
                      <w:vertAlign w:val="superscript"/>
                      <w:lang w:val="en-US" w:eastAsia="zh-CN" w:bidi="ar-SA"/>
                    </w:rPr>
                    <w:t>2</w:t>
                  </w:r>
                  <w:r>
                    <w:rPr>
                      <w:rFonts w:hint="default" w:ascii="Times New Roman" w:hAnsi="Times New Roman" w:cs="Times New Roman"/>
                      <w:color w:val="auto"/>
                      <w:kern w:val="2"/>
                      <w:sz w:val="21"/>
                      <w:szCs w:val="21"/>
                      <w:highlight w:val="none"/>
                      <w:lang w:val="en-US" w:eastAsia="zh-CN" w:bidi="ar-SA"/>
                    </w:rPr>
                    <w:t>，位于</w:t>
                  </w:r>
                  <w:r>
                    <w:rPr>
                      <w:rFonts w:hint="eastAsia" w:ascii="Times New Roman" w:hAnsi="Times New Roman" w:cs="Times New Roman"/>
                      <w:color w:val="auto"/>
                      <w:kern w:val="2"/>
                      <w:sz w:val="21"/>
                      <w:szCs w:val="21"/>
                      <w:highlight w:val="none"/>
                      <w:lang w:val="en-US" w:eastAsia="zh-CN" w:bidi="ar-SA"/>
                    </w:rPr>
                    <w:t>隘口</w:t>
                  </w:r>
                  <w:r>
                    <w:rPr>
                      <w:rFonts w:hint="default" w:ascii="Times New Roman" w:hAnsi="Times New Roman" w:cs="Times New Roman"/>
                      <w:color w:val="auto"/>
                      <w:kern w:val="2"/>
                      <w:sz w:val="21"/>
                      <w:szCs w:val="21"/>
                      <w:highlight w:val="none"/>
                      <w:lang w:val="en-US" w:eastAsia="zh-CN" w:bidi="ar-SA"/>
                    </w:rPr>
                    <w:t>净水厂处，用于堆放</w:t>
                  </w:r>
                  <w:r>
                    <w:rPr>
                      <w:rFonts w:hint="eastAsia" w:ascii="Times New Roman" w:hAnsi="Times New Roman" w:cs="Times New Roman"/>
                      <w:color w:val="auto"/>
                      <w:kern w:val="2"/>
                      <w:sz w:val="21"/>
                      <w:szCs w:val="21"/>
                      <w:highlight w:val="none"/>
                      <w:lang w:val="en-US" w:eastAsia="zh-CN" w:bidi="ar-SA"/>
                    </w:rPr>
                    <w:t>材料</w:t>
                  </w:r>
                  <w:r>
                    <w:rPr>
                      <w:rFonts w:hint="default" w:ascii="Times New Roman" w:hAnsi="Times New Roman" w:cs="Times New Roman"/>
                      <w:color w:val="auto"/>
                      <w:kern w:val="2"/>
                      <w:sz w:val="21"/>
                      <w:szCs w:val="21"/>
                      <w:highlight w:val="none"/>
                      <w:lang w:val="en-US" w:eastAsia="zh-CN" w:bidi="ar-SA"/>
                    </w:rPr>
                    <w:t>、施工设备、施工车辆等，施工结束后，立即恢复原貌。本项目不设置临时堆场。</w:t>
                  </w:r>
                </w:p>
              </w:tc>
              <w:tc>
                <w:tcPr>
                  <w:tcW w:w="414" w:type="pct"/>
                  <w:vMerge w:val="continue"/>
                  <w:vAlign w:val="center"/>
                </w:tcPr>
                <w:p w14:paraId="172D6CB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E02DCF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粉尘</w:t>
                  </w:r>
                </w:p>
              </w:tc>
              <w:tc>
                <w:tcPr>
                  <w:tcW w:w="327" w:type="pct"/>
                  <w:vAlign w:val="center"/>
                </w:tcPr>
                <w:p w14:paraId="5DB89DA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3D55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vAlign w:val="center"/>
                </w:tcPr>
                <w:p w14:paraId="5133FE5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公用工程</w:t>
                  </w:r>
                </w:p>
              </w:tc>
              <w:tc>
                <w:tcPr>
                  <w:tcW w:w="678" w:type="pct"/>
                  <w:gridSpan w:val="2"/>
                  <w:vAlign w:val="center"/>
                </w:tcPr>
                <w:p w14:paraId="2AF2DF2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2861" w:type="pct"/>
                  <w:vAlign w:val="center"/>
                </w:tcPr>
                <w:p w14:paraId="70C78F8F">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乡镇</w:t>
                  </w:r>
                  <w:r>
                    <w:rPr>
                      <w:rFonts w:hint="default" w:ascii="Times New Roman" w:hAnsi="Times New Roman" w:eastAsia="宋体" w:cs="Times New Roman"/>
                      <w:color w:val="auto"/>
                      <w:sz w:val="21"/>
                      <w:szCs w:val="21"/>
                      <w:highlight w:val="none"/>
                    </w:rPr>
                    <w:t>供电管网供给</w:t>
                  </w:r>
                  <w:r>
                    <w:rPr>
                      <w:rFonts w:hint="default" w:ascii="Times New Roman" w:hAnsi="Times New Roman" w:eastAsia="宋体" w:cs="Times New Roman"/>
                      <w:color w:val="auto"/>
                      <w:sz w:val="21"/>
                      <w:szCs w:val="21"/>
                      <w:highlight w:val="none"/>
                      <w:lang w:eastAsia="zh-CN"/>
                    </w:rPr>
                    <w:t>。</w:t>
                  </w:r>
                </w:p>
              </w:tc>
              <w:tc>
                <w:tcPr>
                  <w:tcW w:w="414" w:type="pct"/>
                  <w:vMerge w:val="continue"/>
                  <w:vAlign w:val="center"/>
                </w:tcPr>
                <w:p w14:paraId="4E471CF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06BEDF4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7108795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w:t>
                  </w:r>
                </w:p>
              </w:tc>
            </w:tr>
            <w:tr w14:paraId="0A80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6749A11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4C5412D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2861" w:type="pct"/>
                  <w:vAlign w:val="center"/>
                </w:tcPr>
                <w:p w14:paraId="703FD8AE">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厂区办公用水来自厂区供水系统。</w:t>
                  </w:r>
                </w:p>
              </w:tc>
              <w:tc>
                <w:tcPr>
                  <w:tcW w:w="414" w:type="pct"/>
                  <w:vMerge w:val="continue"/>
                  <w:vAlign w:val="center"/>
                </w:tcPr>
                <w:p w14:paraId="3B9C27B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FA1D82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4B5E01F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4CAF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7E6FFDE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76765BB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排水</w:t>
                  </w:r>
                </w:p>
              </w:tc>
              <w:tc>
                <w:tcPr>
                  <w:tcW w:w="2861" w:type="pct"/>
                  <w:vAlign w:val="center"/>
                </w:tcPr>
                <w:p w14:paraId="2572F216">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雨污分流，雨水经厂区雨水管网收集后直接外排</w:t>
                  </w:r>
                  <w:r>
                    <w:rPr>
                      <w:rFonts w:hint="default" w:ascii="Times New Roman" w:hAnsi="Times New Roman" w:eastAsia="宋体" w:cs="Times New Roman"/>
                      <w:color w:val="auto"/>
                      <w:kern w:val="0"/>
                      <w:sz w:val="21"/>
                      <w:szCs w:val="21"/>
                      <w:lang w:val="en-US" w:eastAsia="zh-CN" w:bidi="ar"/>
                    </w:rPr>
                    <w:t>周边自然径流系统</w:t>
                  </w:r>
                  <w:r>
                    <w:rPr>
                      <w:rFonts w:hint="default" w:ascii="Times New Roman" w:hAnsi="Times New Roman" w:cs="Times New Roman"/>
                      <w:color w:val="auto"/>
                      <w:sz w:val="21"/>
                      <w:szCs w:val="21"/>
                      <w:highlight w:val="none"/>
                      <w:lang w:val="en-US" w:eastAsia="zh-CN"/>
                    </w:rPr>
                    <w:t>。</w:t>
                  </w:r>
                </w:p>
              </w:tc>
              <w:tc>
                <w:tcPr>
                  <w:tcW w:w="414" w:type="pct"/>
                  <w:vMerge w:val="continue"/>
                  <w:vAlign w:val="center"/>
                </w:tcPr>
                <w:p w14:paraId="718FE7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A67F5B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69E1DB0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6567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vAlign w:val="center"/>
                </w:tcPr>
                <w:p w14:paraId="3CCE042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环保工程</w:t>
                  </w:r>
                </w:p>
              </w:tc>
              <w:tc>
                <w:tcPr>
                  <w:tcW w:w="227" w:type="pct"/>
                  <w:vMerge w:val="restart"/>
                  <w:vAlign w:val="center"/>
                </w:tcPr>
                <w:p w14:paraId="423EE97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运营期</w:t>
                  </w:r>
                </w:p>
              </w:tc>
              <w:tc>
                <w:tcPr>
                  <w:tcW w:w="450" w:type="pct"/>
                  <w:vAlign w:val="center"/>
                </w:tcPr>
                <w:p w14:paraId="6FB077D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2861" w:type="pct"/>
                  <w:vAlign w:val="center"/>
                </w:tcPr>
                <w:p w14:paraId="6051855A">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不涉及废气排放。</w:t>
                  </w:r>
                </w:p>
              </w:tc>
              <w:tc>
                <w:tcPr>
                  <w:tcW w:w="414" w:type="pct"/>
                  <w:vMerge w:val="continue"/>
                  <w:vAlign w:val="center"/>
                </w:tcPr>
                <w:p w14:paraId="2DCDE2E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10CED3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047F44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3A506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7A965B1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152CCE2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vMerge w:val="restart"/>
                  <w:vAlign w:val="center"/>
                </w:tcPr>
                <w:p w14:paraId="5E1883B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2861" w:type="pct"/>
                  <w:vAlign w:val="center"/>
                </w:tcPr>
                <w:p w14:paraId="1E7A4636">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经化粪池处理后用于农肥，不外排。</w:t>
                  </w:r>
                </w:p>
              </w:tc>
              <w:tc>
                <w:tcPr>
                  <w:tcW w:w="414" w:type="pct"/>
                  <w:vMerge w:val="continue"/>
                  <w:vAlign w:val="center"/>
                </w:tcPr>
                <w:p w14:paraId="4BCBAF3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F54179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44A5EDD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226C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4D4413B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6652A7D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vMerge w:val="continue"/>
                  <w:vAlign w:val="center"/>
                </w:tcPr>
                <w:p w14:paraId="0EE33A0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861" w:type="pct"/>
                  <w:shd w:val="clear" w:color="auto" w:fill="auto"/>
                  <w:vAlign w:val="center"/>
                </w:tcPr>
                <w:p w14:paraId="5482B336">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vertAlign w:val="baseline"/>
                      <w:lang w:val="en-US" w:eastAsia="zh-CN"/>
                    </w:rPr>
                    <w:t>排泥水：</w:t>
                  </w:r>
                  <w:r>
                    <w:rPr>
                      <w:rFonts w:hint="default" w:ascii="Times New Roman" w:hAnsi="Times New Roman" w:cs="Times New Roman"/>
                      <w:color w:val="auto"/>
                      <w:sz w:val="21"/>
                      <w:szCs w:val="21"/>
                      <w:highlight w:val="none"/>
                      <w:vertAlign w:val="baseline"/>
                      <w:lang w:val="en-US" w:eastAsia="zh-CN"/>
                    </w:rPr>
                    <w:t>经</w:t>
                  </w:r>
                  <w:r>
                    <w:rPr>
                      <w:rFonts w:hint="eastAsia" w:ascii="Times New Roman" w:hAnsi="Times New Roman" w:cs="Times New Roman"/>
                      <w:color w:val="auto"/>
                      <w:sz w:val="21"/>
                      <w:szCs w:val="21"/>
                      <w:highlight w:val="none"/>
                      <w:vertAlign w:val="baseline"/>
                      <w:lang w:val="en-US" w:eastAsia="zh-CN"/>
                    </w:rPr>
                    <w:t>沉淀后回用于厂区绿化</w:t>
                  </w:r>
                  <w:r>
                    <w:rPr>
                      <w:rFonts w:hint="default" w:ascii="Times New Roman" w:hAnsi="Times New Roman" w:cs="Times New Roman"/>
                      <w:color w:val="auto"/>
                      <w:sz w:val="21"/>
                      <w:szCs w:val="21"/>
                      <w:highlight w:val="none"/>
                      <w:vertAlign w:val="baseline"/>
                      <w:lang w:val="en-US" w:eastAsia="zh-CN"/>
                    </w:rPr>
                    <w:t>。</w:t>
                  </w:r>
                </w:p>
              </w:tc>
              <w:tc>
                <w:tcPr>
                  <w:tcW w:w="414" w:type="pct"/>
                  <w:vMerge w:val="continue"/>
                  <w:vAlign w:val="center"/>
                </w:tcPr>
                <w:p w14:paraId="431DD21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9B2C0B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污泥</w:t>
                  </w:r>
                </w:p>
              </w:tc>
              <w:tc>
                <w:tcPr>
                  <w:tcW w:w="327" w:type="pct"/>
                  <w:vAlign w:val="center"/>
                </w:tcPr>
                <w:p w14:paraId="660EE62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新建</w:t>
                  </w:r>
                </w:p>
              </w:tc>
            </w:tr>
            <w:tr w14:paraId="509FC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54D87EA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6715543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vMerge w:val="continue"/>
                  <w:vAlign w:val="center"/>
                </w:tcPr>
                <w:p w14:paraId="2E3B9FB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861" w:type="pct"/>
                  <w:shd w:val="clear" w:color="auto" w:fill="auto"/>
                  <w:vAlign w:val="center"/>
                </w:tcPr>
                <w:p w14:paraId="12D58707">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vertAlign w:val="baseline"/>
                      <w:lang w:val="en-US" w:eastAsia="zh-CN"/>
                    </w:rPr>
                    <w:t>反冲洗水：</w:t>
                  </w:r>
                  <w:r>
                    <w:rPr>
                      <w:rFonts w:hint="default" w:ascii="Times New Roman" w:hAnsi="Times New Roman" w:cs="Times New Roman"/>
                      <w:color w:val="auto"/>
                      <w:sz w:val="21"/>
                      <w:szCs w:val="21"/>
                      <w:highlight w:val="none"/>
                      <w:vertAlign w:val="baseline"/>
                      <w:lang w:val="en-US" w:eastAsia="zh-CN"/>
                    </w:rPr>
                    <w:t>经排水池收集后全部返回供水厂净水设施处理。</w:t>
                  </w:r>
                </w:p>
              </w:tc>
              <w:tc>
                <w:tcPr>
                  <w:tcW w:w="414" w:type="pct"/>
                  <w:vMerge w:val="continue"/>
                  <w:vAlign w:val="center"/>
                </w:tcPr>
                <w:p w14:paraId="14D90D3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51792F0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污泥</w:t>
                  </w:r>
                </w:p>
              </w:tc>
              <w:tc>
                <w:tcPr>
                  <w:tcW w:w="327" w:type="pct"/>
                  <w:vAlign w:val="center"/>
                </w:tcPr>
                <w:p w14:paraId="568F127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7BB9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5B6657F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7A64FF00">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Merge w:val="restart"/>
                  <w:vAlign w:val="center"/>
                </w:tcPr>
                <w:p w14:paraId="47C4C7C2">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2861" w:type="pct"/>
                  <w:shd w:val="clear" w:color="auto" w:fill="auto"/>
                  <w:vAlign w:val="center"/>
                </w:tcPr>
                <w:p w14:paraId="6A1AC0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生活垃圾：</w:t>
                  </w:r>
                  <w:r>
                    <w:rPr>
                      <w:rFonts w:hint="default" w:ascii="Times New Roman" w:hAnsi="Times New Roman" w:cs="Times New Roman"/>
                      <w:color w:val="auto"/>
                      <w:sz w:val="21"/>
                      <w:szCs w:val="21"/>
                      <w:highlight w:val="none"/>
                    </w:rPr>
                    <w:t>经装袋收集后</w:t>
                  </w:r>
                  <w:r>
                    <w:rPr>
                      <w:rFonts w:hint="default" w:ascii="Times New Roman" w:hAnsi="Times New Roman" w:cs="Times New Roman"/>
                      <w:b w:val="0"/>
                      <w:bCs w:val="0"/>
                      <w:snapToGrid w:val="0"/>
                      <w:color w:val="auto"/>
                      <w:kern w:val="0"/>
                      <w:sz w:val="21"/>
                      <w:szCs w:val="21"/>
                      <w:highlight w:val="none"/>
                      <w:lang w:eastAsia="zh-CN"/>
                    </w:rPr>
                    <w:t>定期运至</w:t>
                  </w:r>
                  <w:r>
                    <w:rPr>
                      <w:rFonts w:hint="default" w:ascii="Times New Roman" w:hAnsi="Times New Roman" w:eastAsia="宋体" w:cs="Times New Roman"/>
                      <w:b w:val="0"/>
                      <w:bCs w:val="0"/>
                      <w:snapToGrid w:val="0"/>
                      <w:color w:val="auto"/>
                      <w:kern w:val="0"/>
                      <w:sz w:val="21"/>
                      <w:szCs w:val="21"/>
                      <w:highlight w:val="none"/>
                      <w:lang w:eastAsia="zh-CN"/>
                    </w:rPr>
                    <w:t>村上设置的垃圾收集池</w:t>
                  </w:r>
                  <w:r>
                    <w:rPr>
                      <w:rFonts w:hint="default" w:ascii="Times New Roman" w:hAnsi="Times New Roman" w:cs="Times New Roman"/>
                      <w:b w:val="0"/>
                      <w:bCs w:val="0"/>
                      <w:snapToGrid w:val="0"/>
                      <w:color w:val="auto"/>
                      <w:kern w:val="0"/>
                      <w:sz w:val="21"/>
                      <w:szCs w:val="21"/>
                      <w:highlight w:val="none"/>
                      <w:lang w:val="en-US" w:eastAsia="zh-CN"/>
                    </w:rPr>
                    <w:t>暂存，</w:t>
                  </w:r>
                  <w:r>
                    <w:rPr>
                      <w:rFonts w:hint="default" w:ascii="Times New Roman" w:hAnsi="Times New Roman" w:cs="Times New Roman"/>
                      <w:color w:val="auto"/>
                      <w:sz w:val="21"/>
                      <w:szCs w:val="21"/>
                      <w:highlight w:val="none"/>
                    </w:rPr>
                    <w:t>最终</w:t>
                  </w:r>
                  <w:r>
                    <w:rPr>
                      <w:rFonts w:hint="default" w:ascii="Times New Roman" w:hAnsi="Times New Roman" w:cs="Times New Roman"/>
                      <w:color w:val="auto"/>
                      <w:sz w:val="21"/>
                      <w:szCs w:val="21"/>
                      <w:highlight w:val="none"/>
                      <w:lang w:val="en-US" w:eastAsia="zh-CN"/>
                    </w:rPr>
                    <w:t>交由</w:t>
                  </w:r>
                  <w:r>
                    <w:rPr>
                      <w:rFonts w:hint="default" w:ascii="Times New Roman" w:hAnsi="Times New Roman" w:cs="Times New Roman"/>
                      <w:color w:val="auto"/>
                      <w:sz w:val="21"/>
                      <w:szCs w:val="21"/>
                      <w:highlight w:val="none"/>
                    </w:rPr>
                    <w:t>乡镇环卫统一处理</w:t>
                  </w:r>
                  <w:r>
                    <w:rPr>
                      <w:rFonts w:hint="default" w:ascii="Times New Roman" w:hAnsi="Times New Roman" w:eastAsia="宋体" w:cs="Times New Roman"/>
                      <w:color w:val="auto"/>
                      <w:kern w:val="2"/>
                      <w:sz w:val="21"/>
                      <w:szCs w:val="21"/>
                      <w:highlight w:val="none"/>
                      <w:lang w:val="en-US" w:eastAsia="zh-CN" w:bidi="ar-SA"/>
                    </w:rPr>
                    <w:t>。</w:t>
                  </w:r>
                </w:p>
              </w:tc>
              <w:tc>
                <w:tcPr>
                  <w:tcW w:w="414" w:type="pct"/>
                  <w:vMerge w:val="continue"/>
                  <w:vAlign w:val="center"/>
                </w:tcPr>
                <w:p w14:paraId="151C610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06EFFAB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4D3433D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依托</w:t>
                  </w:r>
                </w:p>
              </w:tc>
            </w:tr>
            <w:tr w14:paraId="0691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3A02CFE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49C4F4A6">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Merge w:val="continue"/>
                  <w:vAlign w:val="center"/>
                </w:tcPr>
                <w:p w14:paraId="235DF0BC">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11768C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栅渣及沉砂：</w:t>
                  </w:r>
                  <w:r>
                    <w:rPr>
                      <w:rFonts w:hint="default" w:ascii="Times New Roman" w:hAnsi="Times New Roman" w:cs="Times New Roman"/>
                      <w:color w:val="auto"/>
                      <w:sz w:val="21"/>
                      <w:szCs w:val="21"/>
                      <w:highlight w:val="none"/>
                      <w:lang w:val="en-US" w:eastAsia="zh-CN"/>
                    </w:rPr>
                    <w:t>定期还田处理。</w:t>
                  </w:r>
                </w:p>
              </w:tc>
              <w:tc>
                <w:tcPr>
                  <w:tcW w:w="414" w:type="pct"/>
                  <w:vMerge w:val="continue"/>
                  <w:vAlign w:val="center"/>
                </w:tcPr>
                <w:p w14:paraId="519C87E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67C9EE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2B8E98A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021C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03C8975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64A6148D">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Merge w:val="continue"/>
                  <w:vAlign w:val="center"/>
                </w:tcPr>
                <w:p w14:paraId="2F628A36">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06C968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污泥</w:t>
                  </w:r>
                  <w:r>
                    <w:rPr>
                      <w:rFonts w:hint="default" w:ascii="Times New Roman" w:hAnsi="Times New Roman" w:cs="Times New Roman"/>
                      <w:b/>
                      <w:bCs/>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干化后</w:t>
                  </w:r>
                  <w:r>
                    <w:rPr>
                      <w:rFonts w:hint="default" w:ascii="Times New Roman" w:hAnsi="Times New Roman" w:cs="Times New Roman"/>
                      <w:color w:val="auto"/>
                      <w:sz w:val="21"/>
                      <w:szCs w:val="21"/>
                      <w:highlight w:val="none"/>
                      <w:lang w:val="en-US" w:eastAsia="zh-CN"/>
                    </w:rPr>
                    <w:t>含水率＜60%</w:t>
                  </w:r>
                  <w:r>
                    <w:rPr>
                      <w:rFonts w:hint="eastAsia" w:ascii="宋体" w:hAnsi="宋体" w:eastAsia="宋体" w:cs="宋体"/>
                      <w:color w:val="auto"/>
                      <w:kern w:val="0"/>
                      <w:sz w:val="21"/>
                      <w:szCs w:val="21"/>
                      <w:lang w:val="en-US" w:eastAsia="zh-CN" w:bidi="ar"/>
                    </w:rPr>
                    <w:t>送</w:t>
                  </w:r>
                  <w:r>
                    <w:rPr>
                      <w:rFonts w:hint="eastAsia" w:ascii="宋体" w:hAnsi="宋体" w:eastAsia="宋体" w:cs="宋体"/>
                      <w:color w:val="auto"/>
                      <w:sz w:val="21"/>
                      <w:szCs w:val="21"/>
                    </w:rPr>
                    <w:t>宣汉海诺尔环保发电有限公司焚烧处理</w:t>
                  </w:r>
                  <w:r>
                    <w:rPr>
                      <w:rFonts w:hint="default" w:ascii="Times New Roman" w:hAnsi="Times New Roman" w:cs="Times New Roman"/>
                      <w:color w:val="auto"/>
                      <w:sz w:val="21"/>
                      <w:szCs w:val="21"/>
                      <w:lang w:eastAsia="zh-CN"/>
                    </w:rPr>
                    <w:t>。</w:t>
                  </w:r>
                </w:p>
              </w:tc>
              <w:tc>
                <w:tcPr>
                  <w:tcW w:w="414" w:type="pct"/>
                  <w:vMerge w:val="continue"/>
                  <w:vAlign w:val="center"/>
                </w:tcPr>
                <w:p w14:paraId="1C01498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71E49D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7EEE102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依托</w:t>
                  </w:r>
                </w:p>
              </w:tc>
            </w:tr>
            <w:tr w14:paraId="2A97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223225F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08FFCD62">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Merge w:val="continue"/>
                  <w:vAlign w:val="center"/>
                </w:tcPr>
                <w:p w14:paraId="646B373D">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25FB1C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废</w:t>
                  </w:r>
                  <w:r>
                    <w:rPr>
                      <w:rFonts w:hint="eastAsia" w:ascii="Times New Roman" w:hAnsi="Times New Roman" w:cs="Times New Roman"/>
                      <w:b/>
                      <w:bCs/>
                      <w:color w:val="auto"/>
                      <w:sz w:val="21"/>
                      <w:szCs w:val="21"/>
                      <w:highlight w:val="none"/>
                      <w:lang w:val="en-US" w:eastAsia="zh-CN"/>
                    </w:rPr>
                    <w:t>填料</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交由厂商回收处理。</w:t>
                  </w:r>
                </w:p>
              </w:tc>
              <w:tc>
                <w:tcPr>
                  <w:tcW w:w="414" w:type="pct"/>
                  <w:vMerge w:val="continue"/>
                  <w:vAlign w:val="center"/>
                </w:tcPr>
                <w:p w14:paraId="672AFE1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3A5AFA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7A4486B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65C3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0D073B5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635263FB">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Merge w:val="continue"/>
                  <w:vAlign w:val="center"/>
                </w:tcPr>
                <w:p w14:paraId="3AF42610">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616A56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废包装材料</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交由废品收购站回收。</w:t>
                  </w:r>
                </w:p>
              </w:tc>
              <w:tc>
                <w:tcPr>
                  <w:tcW w:w="414" w:type="pct"/>
                  <w:vMerge w:val="continue"/>
                  <w:vAlign w:val="center"/>
                </w:tcPr>
                <w:p w14:paraId="2E42557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792DC92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4B262EA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7C2A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5473343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57229B37">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Align w:val="center"/>
                </w:tcPr>
                <w:p w14:paraId="6F95D501">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2861" w:type="pct"/>
                  <w:vAlign w:val="center"/>
                </w:tcPr>
                <w:p w14:paraId="35ABBE57">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rPr>
                    <w:t>选用低噪声设备；各类污水泵采用潜水泵，噪声源位于液面以下；安装设备减震器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消音器</w:t>
                  </w:r>
                  <w:r>
                    <w:rPr>
                      <w:rFonts w:hint="default" w:ascii="Times New Roman" w:hAnsi="Times New Roman" w:cs="Times New Roman"/>
                      <w:color w:val="auto"/>
                      <w:sz w:val="21"/>
                      <w:szCs w:val="21"/>
                      <w:highlight w:val="none"/>
                    </w:rPr>
                    <w:t>加强管理，通过隔声和距离衰减使噪声达标</w:t>
                  </w:r>
                  <w:r>
                    <w:rPr>
                      <w:rFonts w:hint="default" w:ascii="Times New Roman" w:hAnsi="Times New Roman" w:cs="Times New Roman"/>
                      <w:color w:val="auto"/>
                      <w:sz w:val="21"/>
                      <w:szCs w:val="21"/>
                      <w:highlight w:val="none"/>
                      <w:lang w:eastAsia="zh-CN"/>
                    </w:rPr>
                    <w:t>。</w:t>
                  </w:r>
                </w:p>
              </w:tc>
              <w:tc>
                <w:tcPr>
                  <w:tcW w:w="414" w:type="pct"/>
                  <w:vMerge w:val="continue"/>
                  <w:vAlign w:val="center"/>
                </w:tcPr>
                <w:p w14:paraId="2BD8EE7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5FAD53E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290FDC1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232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1C5F55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1C92982A">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Merge w:val="restart"/>
                  <w:vAlign w:val="center"/>
                </w:tcPr>
                <w:p w14:paraId="68735CDF">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地下水防渗</w:t>
                  </w:r>
                </w:p>
              </w:tc>
              <w:tc>
                <w:tcPr>
                  <w:tcW w:w="2861" w:type="pct"/>
                  <w:shd w:val="clear" w:color="auto" w:fill="auto"/>
                  <w:vAlign w:val="center"/>
                </w:tcPr>
                <w:p w14:paraId="5042EE9E">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一般防渗区</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包括</w:t>
                  </w:r>
                  <w:r>
                    <w:rPr>
                      <w:rFonts w:hint="eastAsia" w:ascii="Times New Roman" w:hAnsi="Times New Roman" w:eastAsia="宋体" w:cs="Times New Roman"/>
                      <w:color w:val="auto"/>
                      <w:sz w:val="21"/>
                      <w:szCs w:val="21"/>
                      <w:highlight w:val="none"/>
                      <w:vertAlign w:val="baseline"/>
                      <w:lang w:val="en-US" w:eastAsia="zh-CN"/>
                    </w:rPr>
                    <w:t>净水</w:t>
                  </w:r>
                  <w:r>
                    <w:rPr>
                      <w:rFonts w:hint="default" w:ascii="Times New Roman" w:hAnsi="Times New Roman" w:eastAsia="宋体" w:cs="Times New Roman"/>
                      <w:color w:val="auto"/>
                      <w:sz w:val="21"/>
                      <w:szCs w:val="21"/>
                      <w:highlight w:val="none"/>
                      <w:vertAlign w:val="baseline"/>
                      <w:lang w:val="en-US" w:eastAsia="zh-CN"/>
                    </w:rPr>
                    <w:t>一体化设备、清水池、排水排泥池、送水泵房</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采用</w:t>
                  </w:r>
                  <w:r>
                    <w:rPr>
                      <w:rFonts w:hint="default" w:ascii="Times New Roman" w:hAnsi="Times New Roman" w:cs="Times New Roman"/>
                      <w:color w:val="auto"/>
                      <w:sz w:val="21"/>
                      <w:szCs w:val="21"/>
                      <w:highlight w:val="none"/>
                      <w:lang w:val="en-US" w:eastAsia="zh-CN" w:bidi="ar"/>
                    </w:rPr>
                    <w:t>25cmC30</w:t>
                  </w:r>
                  <w:r>
                    <w:rPr>
                      <w:rFonts w:hint="default" w:ascii="Times New Roman" w:hAnsi="Times New Roman" w:cs="Times New Roman" w:eastAsiaTheme="minorEastAsia"/>
                      <w:color w:val="auto"/>
                      <w:sz w:val="21"/>
                      <w:szCs w:val="21"/>
                      <w:highlight w:val="none"/>
                    </w:rPr>
                    <w:t>防渗混凝土+黏土防渗层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rPr>
                    <w:t>确保防渗性能与1.5m厚黏土防渗层等效，防渗系数K≤1×10</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tc>
              <w:tc>
                <w:tcPr>
                  <w:tcW w:w="414" w:type="pct"/>
                  <w:vMerge w:val="continue"/>
                  <w:vAlign w:val="center"/>
                </w:tcPr>
                <w:p w14:paraId="2FF3680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334ED9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3C3CA4E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36FC9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07504F5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7BB92FCF">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50" w:type="pct"/>
                  <w:vMerge w:val="continue"/>
                  <w:vAlign w:val="center"/>
                </w:tcPr>
                <w:p w14:paraId="180FB7C2">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4FFF104F">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简单防渗区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采取</w:t>
                  </w:r>
                  <w:r>
                    <w:rPr>
                      <w:rFonts w:hint="default" w:ascii="Times New Roman" w:hAnsi="Times New Roman" w:cs="Times New Roman"/>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rPr>
                    <w:t>地面硬化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包括</w:t>
                  </w:r>
                  <w:r>
                    <w:rPr>
                      <w:rFonts w:hint="eastAsia" w:ascii="Times New Roman" w:hAnsi="Times New Roman" w:cs="Times New Roman"/>
                      <w:color w:val="auto"/>
                      <w:sz w:val="21"/>
                      <w:szCs w:val="21"/>
                      <w:highlight w:val="none"/>
                      <w:lang w:val="en-US" w:eastAsia="zh-CN"/>
                    </w:rPr>
                    <w:t>管理</w:t>
                  </w:r>
                  <w:r>
                    <w:rPr>
                      <w:rFonts w:hint="default" w:ascii="Times New Roman" w:hAnsi="Times New Roman" w:cs="Times New Roman"/>
                      <w:color w:val="auto"/>
                      <w:sz w:val="21"/>
                      <w:szCs w:val="21"/>
                      <w:highlight w:val="none"/>
                      <w:lang w:val="en-US" w:eastAsia="zh-CN"/>
                    </w:rPr>
                    <w:t>用房、厂区道路、除一般防渗区以外的区域</w:t>
                  </w:r>
                  <w:r>
                    <w:rPr>
                      <w:rFonts w:hint="default" w:ascii="Times New Roman" w:hAnsi="Times New Roman" w:cs="Times New Roman"/>
                      <w:color w:val="auto"/>
                      <w:sz w:val="21"/>
                      <w:szCs w:val="21"/>
                      <w:highlight w:val="none"/>
                      <w:lang w:eastAsia="zh-CN"/>
                    </w:rPr>
                    <w:t>。</w:t>
                  </w:r>
                </w:p>
              </w:tc>
              <w:tc>
                <w:tcPr>
                  <w:tcW w:w="414" w:type="pct"/>
                  <w:vMerge w:val="continue"/>
                  <w:vAlign w:val="center"/>
                </w:tcPr>
                <w:p w14:paraId="662DA0E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65397D7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1C55D0B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46D6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6431D80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27" w:type="pct"/>
                  <w:vMerge w:val="continue"/>
                  <w:vAlign w:val="center"/>
                </w:tcPr>
                <w:p w14:paraId="3735452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50" w:type="pct"/>
                  <w:vAlign w:val="center"/>
                </w:tcPr>
                <w:p w14:paraId="3E5E217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饮用水源保护</w:t>
                  </w:r>
                </w:p>
              </w:tc>
              <w:tc>
                <w:tcPr>
                  <w:tcW w:w="2861" w:type="pct"/>
                  <w:vAlign w:val="center"/>
                </w:tcPr>
                <w:p w14:paraId="7E884A62">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rPr>
                    <w:t>按照</w:t>
                  </w:r>
                  <w:r>
                    <w:rPr>
                      <w:rFonts w:hint="eastAsia"/>
                      <w:lang w:val="en-US" w:eastAsia="zh-CN"/>
                    </w:rPr>
                    <w:t>《饮用水水源保护区划分技术规范》（HJ338-2018）</w:t>
                  </w:r>
                  <w:r>
                    <w:rPr>
                      <w:rFonts w:hint="eastAsia"/>
                    </w:rPr>
                    <w:t>划定饮用水源保护区</w:t>
                  </w:r>
                  <w:r>
                    <w:rPr>
                      <w:rFonts w:hint="eastAsia"/>
                      <w:lang w:eastAsia="zh-CN"/>
                    </w:rPr>
                    <w:t>；</w:t>
                  </w:r>
                  <w:r>
                    <w:rPr>
                      <w:rFonts w:hint="default" w:ascii="Times New Roman" w:hAnsi="Times New Roman" w:cs="Times New Roman"/>
                      <w:b w:val="0"/>
                      <w:bCs w:val="0"/>
                      <w:color w:val="auto"/>
                      <w:sz w:val="21"/>
                      <w:szCs w:val="21"/>
                      <w:highlight w:val="none"/>
                      <w:lang w:val="en-US" w:eastAsia="zh-CN"/>
                    </w:rPr>
                    <w:t>通过定期巡查、突击巡查、专项巡查和重点巡查等方式，监视水源保护区内的饮用水、水域、水工程及其他设施的变化状态，掌握工程的安全情况，为正确管理运行提供科学依据，及时发现工程的不正常迹象，防止事件发生，查处各类水事违法案件。并在保护区内设置</w:t>
                  </w:r>
                  <w:r>
                    <w:rPr>
                      <w:rFonts w:hint="default" w:ascii="Times New Roman" w:hAnsi="Times New Roman" w:cs="Times New Roman"/>
                      <w:color w:val="auto"/>
                      <w:sz w:val="21"/>
                      <w:szCs w:val="21"/>
                      <w:highlight w:val="none"/>
                      <w:lang w:val="en-US" w:eastAsia="zh-CN"/>
                    </w:rPr>
                    <w:t>隔离围网、警示牌等。</w:t>
                  </w:r>
                </w:p>
              </w:tc>
              <w:tc>
                <w:tcPr>
                  <w:tcW w:w="414" w:type="pct"/>
                  <w:vMerge w:val="continue"/>
                  <w:vAlign w:val="center"/>
                </w:tcPr>
                <w:p w14:paraId="53513AC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043C676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70F1F4B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bl>
          <w:p w14:paraId="30B14D8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（2）马渡关水厂</w:t>
            </w:r>
          </w:p>
          <w:p w14:paraId="149EDB1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马渡关水厂为新建工程，利用原废弃学校，</w:t>
            </w:r>
            <w:r>
              <w:rPr>
                <w:rFonts w:hint="default" w:ascii="Times New Roman" w:hAnsi="Times New Roman" w:cs="Times New Roman"/>
                <w:color w:val="auto"/>
                <w:sz w:val="24"/>
                <w:szCs w:val="32"/>
                <w:highlight w:val="none"/>
                <w:vertAlign w:val="baseline"/>
                <w:lang w:val="en-US" w:eastAsia="zh-CN"/>
              </w:rPr>
              <w:t>新建</w:t>
            </w:r>
            <w:r>
              <w:rPr>
                <w:rFonts w:hint="eastAsia" w:ascii="Times New Roman" w:hAnsi="Times New Roman" w:cs="Times New Roman"/>
                <w:color w:val="auto"/>
                <w:sz w:val="24"/>
                <w:szCs w:val="32"/>
                <w:highlight w:val="none"/>
                <w:vertAlign w:val="baseline"/>
                <w:lang w:val="en-US" w:eastAsia="zh-CN"/>
              </w:rPr>
              <w:t>一座供水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cs="Times New Roman"/>
                <w:color w:val="auto"/>
                <w:sz w:val="24"/>
                <w:szCs w:val="32"/>
                <w:highlight w:val="none"/>
                <w:vertAlign w:val="baseline"/>
                <w:lang w:val="en-US" w:eastAsia="zh-CN"/>
              </w:rPr>
              <w:t>为30</w:t>
            </w:r>
            <w:r>
              <w:rPr>
                <w:rFonts w:hint="default" w:ascii="Times New Roman" w:hAnsi="Times New Roman" w:cs="Times New Roman"/>
                <w:color w:val="auto"/>
                <w:sz w:val="24"/>
                <w:szCs w:val="32"/>
                <w:highlight w:val="none"/>
                <w:vertAlign w:val="baseline"/>
                <w:lang w:val="en-US" w:eastAsia="zh-CN"/>
              </w:rPr>
              <w:t>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的水厂。马渡关水厂所需管理人员较少，仅日常办公值班，为当地居民，厂区不设置食堂。</w:t>
            </w:r>
            <w:r>
              <w:rPr>
                <w:rFonts w:hint="default" w:ascii="Times New Roman" w:hAnsi="Times New Roman" w:cs="Times New Roman"/>
                <w:color w:val="auto"/>
                <w:sz w:val="24"/>
                <w:szCs w:val="32"/>
                <w:highlight w:val="none"/>
                <w:vertAlign w:val="baseline"/>
                <w:lang w:val="en-US" w:eastAsia="zh-CN"/>
              </w:rPr>
              <w:t>项目组成及主要环境问题见</w:t>
            </w:r>
            <w:r>
              <w:rPr>
                <w:rFonts w:hint="eastAsia" w:ascii="Times New Roman" w:hAnsi="Times New Roman" w:cs="Times New Roman"/>
                <w:color w:val="auto"/>
                <w:sz w:val="24"/>
                <w:szCs w:val="32"/>
                <w:highlight w:val="none"/>
                <w:vertAlign w:val="baseline"/>
                <w:lang w:val="en-US" w:eastAsia="zh-CN"/>
              </w:rPr>
              <w:t>下表</w:t>
            </w:r>
            <w:r>
              <w:rPr>
                <w:rFonts w:hint="default" w:ascii="Times New Roman" w:hAnsi="Times New Roman" w:cs="Times New Roman"/>
                <w:color w:val="auto"/>
                <w:sz w:val="24"/>
                <w:szCs w:val="32"/>
                <w:highlight w:val="none"/>
                <w:vertAlign w:val="baseline"/>
                <w:lang w:val="en-US" w:eastAsia="zh-CN"/>
              </w:rPr>
              <w:t>。</w:t>
            </w:r>
          </w:p>
          <w:p w14:paraId="1885CAD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eastAsia" w:ascii="Times New Roman" w:hAnsi="Times New Roman" w:eastAsia="黑体" w:cs="Times New Roman"/>
                <w:color w:val="auto"/>
                <w:szCs w:val="21"/>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 xml:space="preserve">3 </w:t>
            </w:r>
            <w:r>
              <w:rPr>
                <w:rFonts w:hint="default" w:ascii="Times New Roman" w:hAnsi="Times New Roman" w:eastAsia="黑体" w:cs="Times New Roman"/>
                <w:color w:val="auto"/>
                <w:szCs w:val="21"/>
                <w:highlight w:val="none"/>
              </w:rPr>
              <w:t>项目组成及主要环境问题</w:t>
            </w:r>
            <w:r>
              <w:rPr>
                <w:rFonts w:hint="eastAsia" w:ascii="Times New Roman" w:hAnsi="Times New Roman" w:eastAsia="黑体" w:cs="Times New Roman"/>
                <w:color w:val="auto"/>
                <w:szCs w:val="21"/>
                <w:highlight w:val="none"/>
                <w:lang w:eastAsia="zh-CN"/>
              </w:rPr>
              <w:t>（</w:t>
            </w:r>
            <w:r>
              <w:rPr>
                <w:rFonts w:hint="eastAsia" w:ascii="Times New Roman" w:hAnsi="Times New Roman" w:eastAsia="黑体" w:cs="Times New Roman"/>
                <w:color w:val="auto"/>
                <w:szCs w:val="21"/>
                <w:highlight w:val="none"/>
                <w:lang w:val="en-US" w:eastAsia="zh-CN"/>
              </w:rPr>
              <w:t>马渡关水厂</w:t>
            </w:r>
            <w:r>
              <w:rPr>
                <w:rFonts w:hint="eastAsia" w:ascii="Times New Roman" w:hAnsi="Times New Roman" w:eastAsia="黑体" w:cs="Times New Roman"/>
                <w:color w:val="auto"/>
                <w:szCs w:val="21"/>
                <w:highlight w:val="none"/>
                <w:lang w:eastAsia="zh-CN"/>
              </w:rPr>
              <w:t>）</w:t>
            </w:r>
          </w:p>
          <w:tbl>
            <w:tblPr>
              <w:tblStyle w:val="25"/>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57"/>
              <w:gridCol w:w="479"/>
              <w:gridCol w:w="769"/>
              <w:gridCol w:w="5263"/>
              <w:gridCol w:w="762"/>
              <w:gridCol w:w="762"/>
              <w:gridCol w:w="603"/>
            </w:tblGrid>
            <w:tr w14:paraId="375D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shd w:val="clear" w:color="auto" w:fill="auto"/>
                  <w:vAlign w:val="center"/>
                </w:tcPr>
                <w:p w14:paraId="59EBF89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工程分类</w:t>
                  </w:r>
                </w:p>
              </w:tc>
              <w:tc>
                <w:tcPr>
                  <w:tcW w:w="678" w:type="pct"/>
                  <w:gridSpan w:val="2"/>
                  <w:vMerge w:val="restart"/>
                  <w:vAlign w:val="center"/>
                </w:tcPr>
                <w:p w14:paraId="2BFD2F1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p w14:paraId="28C05B6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861" w:type="pct"/>
                  <w:vMerge w:val="restart"/>
                  <w:vAlign w:val="center"/>
                </w:tcPr>
                <w:p w14:paraId="256AF14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建设内容及规模</w:t>
                  </w:r>
                </w:p>
              </w:tc>
              <w:tc>
                <w:tcPr>
                  <w:tcW w:w="828" w:type="pct"/>
                  <w:gridSpan w:val="2"/>
                  <w:vAlign w:val="center"/>
                </w:tcPr>
                <w:p w14:paraId="7ACF37D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可能产生的环境问题</w:t>
                  </w:r>
                </w:p>
              </w:tc>
              <w:tc>
                <w:tcPr>
                  <w:tcW w:w="327" w:type="pct"/>
                  <w:vMerge w:val="restart"/>
                  <w:vAlign w:val="center"/>
                </w:tcPr>
                <w:p w14:paraId="4EB8A75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备注</w:t>
                  </w:r>
                </w:p>
              </w:tc>
            </w:tr>
            <w:tr w14:paraId="51A3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0EE4EE2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p>
              </w:tc>
              <w:tc>
                <w:tcPr>
                  <w:tcW w:w="678" w:type="pct"/>
                  <w:gridSpan w:val="2"/>
                  <w:vMerge w:val="continue"/>
                  <w:vAlign w:val="center"/>
                </w:tcPr>
                <w:p w14:paraId="67239CF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p>
              </w:tc>
              <w:tc>
                <w:tcPr>
                  <w:tcW w:w="2861" w:type="pct"/>
                  <w:vMerge w:val="continue"/>
                  <w:vAlign w:val="center"/>
                </w:tcPr>
                <w:p w14:paraId="43D188B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p>
              </w:tc>
              <w:tc>
                <w:tcPr>
                  <w:tcW w:w="414" w:type="pct"/>
                  <w:vAlign w:val="center"/>
                </w:tcPr>
                <w:p w14:paraId="481D820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施工期</w:t>
                  </w:r>
                </w:p>
              </w:tc>
              <w:tc>
                <w:tcPr>
                  <w:tcW w:w="414" w:type="pct"/>
                  <w:vAlign w:val="center"/>
                </w:tcPr>
                <w:p w14:paraId="6979D6C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sz w:val="21"/>
                      <w:szCs w:val="21"/>
                      <w:highlight w:val="none"/>
                    </w:rPr>
                    <w:t>运营期</w:t>
                  </w:r>
                </w:p>
              </w:tc>
              <w:tc>
                <w:tcPr>
                  <w:tcW w:w="327" w:type="pct"/>
                  <w:vMerge w:val="continue"/>
                  <w:vAlign w:val="center"/>
                </w:tcPr>
                <w:p w14:paraId="6CD2E41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rPr>
                  </w:pPr>
                </w:p>
              </w:tc>
            </w:tr>
            <w:tr w14:paraId="73F3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shd w:val="clear" w:color="auto" w:fill="auto"/>
                  <w:vAlign w:val="center"/>
                </w:tcPr>
                <w:p w14:paraId="73A0106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主体工程</w:t>
                  </w:r>
                </w:p>
              </w:tc>
              <w:tc>
                <w:tcPr>
                  <w:tcW w:w="678" w:type="pct"/>
                  <w:gridSpan w:val="2"/>
                  <w:vAlign w:val="center"/>
                </w:tcPr>
                <w:p w14:paraId="481ECD9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取水水源</w:t>
                  </w:r>
                </w:p>
              </w:tc>
              <w:tc>
                <w:tcPr>
                  <w:tcW w:w="2861" w:type="pct"/>
                  <w:vAlign w:val="center"/>
                </w:tcPr>
                <w:p w14:paraId="1ED34418">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长滩河</w:t>
                  </w:r>
                  <w:r>
                    <w:rPr>
                      <w:rFonts w:hint="default" w:ascii="Times New Roman" w:hAnsi="Times New Roman" w:cs="Times New Roman"/>
                      <w:b w:val="0"/>
                      <w:bCs w:val="0"/>
                      <w:color w:val="auto"/>
                      <w:sz w:val="21"/>
                      <w:szCs w:val="21"/>
                      <w:highlight w:val="none"/>
                      <w:vertAlign w:val="baseline"/>
                      <w:lang w:val="en-US" w:eastAsia="zh-CN"/>
                    </w:rPr>
                    <w:t>。</w:t>
                  </w:r>
                </w:p>
              </w:tc>
              <w:tc>
                <w:tcPr>
                  <w:tcW w:w="414" w:type="pct"/>
                  <w:vMerge w:val="restart"/>
                  <w:vAlign w:val="center"/>
                </w:tcPr>
                <w:p w14:paraId="4335E86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施工废气</w:t>
                  </w:r>
                </w:p>
                <w:p w14:paraId="5C0B482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施工废水</w:t>
                  </w:r>
                </w:p>
                <w:p w14:paraId="30F2997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p w14:paraId="3FDFDE5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施工噪声</w:t>
                  </w:r>
                </w:p>
                <w:p w14:paraId="4B0B31B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p w14:paraId="4BC742A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水土流失</w:t>
                  </w:r>
                </w:p>
              </w:tc>
              <w:tc>
                <w:tcPr>
                  <w:tcW w:w="414" w:type="pct"/>
                  <w:vAlign w:val="center"/>
                </w:tcPr>
                <w:p w14:paraId="65B94BB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1E25F69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01A9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404114B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3F96D9A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取水设施</w:t>
                  </w:r>
                </w:p>
              </w:tc>
              <w:tc>
                <w:tcPr>
                  <w:tcW w:w="2861" w:type="pct"/>
                  <w:shd w:val="clear" w:color="auto" w:fill="auto"/>
                  <w:vAlign w:val="center"/>
                </w:tcPr>
                <w:p w14:paraId="1430B897">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vertAlign w:val="baseline"/>
                      <w:lang w:val="en-US" w:eastAsia="zh-CN"/>
                    </w:rPr>
                    <w:t>新建一座取水泵房，</w:t>
                  </w:r>
                  <w:r>
                    <w:rPr>
                      <w:rFonts w:hint="default" w:ascii="Times New Roman" w:hAnsi="Times New Roman" w:cs="Times New Roman"/>
                      <w:color w:val="auto"/>
                      <w:sz w:val="21"/>
                      <w:szCs w:val="21"/>
                      <w:highlight w:val="none"/>
                      <w:lang w:val="en-US" w:eastAsia="zh-CN"/>
                    </w:rPr>
                    <w:t>位于长滩村长滩河左岸，</w:t>
                  </w:r>
                  <w:r>
                    <w:rPr>
                      <w:rFonts w:hint="default" w:ascii="Times New Roman" w:hAnsi="Times New Roman" w:cs="Times New Roman"/>
                      <w:color w:val="auto"/>
                      <w:sz w:val="21"/>
                      <w:szCs w:val="21"/>
                      <w:highlight w:val="none"/>
                      <w:vertAlign w:val="baseline"/>
                      <w:lang w:val="en-US" w:eastAsia="zh-CN"/>
                    </w:rPr>
                    <w:t>占地面积714.3m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利用离心泵将原水提取到水厂</w:t>
                  </w:r>
                  <w:r>
                    <w:rPr>
                      <w:rFonts w:hint="default" w:ascii="Times New Roman" w:hAnsi="Times New Roman" w:eastAsia="宋体" w:cs="Times New Roman"/>
                      <w:color w:val="auto"/>
                      <w:sz w:val="21"/>
                      <w:szCs w:val="21"/>
                    </w:rPr>
                    <w:t>进行处理</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设计离心泵3台，2用一备；</w:t>
                  </w:r>
                  <w:r>
                    <w:rPr>
                      <w:rFonts w:hint="default" w:ascii="Times New Roman" w:hAnsi="Times New Roman" w:eastAsia="宋体" w:cs="Times New Roman"/>
                      <w:bCs/>
                      <w:color w:val="auto"/>
                      <w:sz w:val="21"/>
                      <w:szCs w:val="21"/>
                    </w:rPr>
                    <w:t>设计取水规模</w:t>
                  </w:r>
                  <w:r>
                    <w:rPr>
                      <w:rFonts w:hint="default" w:ascii="Times New Roman" w:hAnsi="Times New Roman" w:eastAsia="宋体" w:cs="Times New Roman"/>
                      <w:bCs/>
                      <w:color w:val="auto"/>
                      <w:sz w:val="21"/>
                      <w:szCs w:val="21"/>
                      <w:lang w:val="en-US" w:eastAsia="zh-CN"/>
                    </w:rPr>
                    <w:t>330</w:t>
                  </w:r>
                  <w:r>
                    <w:rPr>
                      <w:rFonts w:hint="default" w:ascii="Times New Roman" w:hAnsi="Times New Roman" w:eastAsia="宋体" w:cs="Times New Roman"/>
                      <w:bCs/>
                      <w:color w:val="auto"/>
                      <w:sz w:val="21"/>
                      <w:szCs w:val="21"/>
                    </w:rPr>
                    <w:t>0m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/d</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原水管道漏损系数1.1</w:t>
                  </w:r>
                  <w:r>
                    <w:rPr>
                      <w:rFonts w:hint="eastAsia" w:ascii="Times New Roman" w:hAnsi="Times New Roman" w:eastAsia="宋体" w:cs="Times New Roman"/>
                      <w:bCs/>
                      <w:color w:val="auto"/>
                      <w:sz w:val="21"/>
                      <w:szCs w:val="21"/>
                      <w:lang w:eastAsia="zh-CN"/>
                    </w:rPr>
                    <w:t>；</w:t>
                  </w:r>
                  <w:r>
                    <w:rPr>
                      <w:rFonts w:hint="eastAsia" w:ascii="Times New Roman" w:hAnsi="Times New Roman" w:cs="Times New Roman"/>
                      <w:color w:val="auto"/>
                      <w:sz w:val="21"/>
                      <w:szCs w:val="21"/>
                      <w:highlight w:val="none"/>
                      <w:vertAlign w:val="baseline"/>
                      <w:lang w:val="en-US" w:eastAsia="zh-CN"/>
                    </w:rPr>
                    <w:t>配套新建</w:t>
                  </w:r>
                  <w:r>
                    <w:rPr>
                      <w:rFonts w:hint="default" w:ascii="Times New Roman" w:hAnsi="Times New Roman" w:cs="Times New Roman"/>
                      <w:b w:val="0"/>
                      <w:bCs w:val="0"/>
                      <w:color w:val="auto"/>
                      <w:sz w:val="21"/>
                      <w:szCs w:val="21"/>
                      <w:highlight w:val="none"/>
                      <w:vertAlign w:val="baseline"/>
                      <w:lang w:val="en-US" w:eastAsia="zh-CN"/>
                    </w:rPr>
                    <w:t>取水管长度约</w:t>
                  </w:r>
                  <w:r>
                    <w:rPr>
                      <w:rFonts w:hint="eastAsia" w:ascii="Times New Roman" w:hAnsi="Times New Roman" w:cs="Times New Roman"/>
                      <w:b w:val="0"/>
                      <w:bCs w:val="0"/>
                      <w:color w:val="auto"/>
                      <w:sz w:val="21"/>
                      <w:szCs w:val="21"/>
                      <w:highlight w:val="none"/>
                      <w:vertAlign w:val="baseline"/>
                      <w:lang w:val="en-US" w:eastAsia="zh-CN"/>
                    </w:rPr>
                    <w:t>0.9k</w:t>
                  </w:r>
                  <w:r>
                    <w:rPr>
                      <w:rFonts w:hint="default" w:ascii="Times New Roman" w:hAnsi="Times New Roman" w:cs="Times New Roman"/>
                      <w:b w:val="0"/>
                      <w:bCs w:val="0"/>
                      <w:color w:val="auto"/>
                      <w:sz w:val="21"/>
                      <w:szCs w:val="21"/>
                      <w:highlight w:val="none"/>
                      <w:vertAlign w:val="baseline"/>
                      <w:lang w:val="en-US" w:eastAsia="zh-CN"/>
                    </w:rPr>
                    <w:t>m</w:t>
                  </w:r>
                  <w:r>
                    <w:rPr>
                      <w:rFonts w:hint="eastAsia" w:ascii="Times New Roman" w:hAnsi="Times New Roman" w:cs="Times New Roman"/>
                      <w:b w:val="0"/>
                      <w:bCs w:val="0"/>
                      <w:color w:val="auto"/>
                      <w:sz w:val="21"/>
                      <w:szCs w:val="21"/>
                      <w:highlight w:val="none"/>
                      <w:vertAlign w:val="baseline"/>
                      <w:lang w:val="en-US" w:eastAsia="zh-CN"/>
                    </w:rPr>
                    <w:t>，钢管，</w:t>
                  </w:r>
                  <w:r>
                    <w:rPr>
                      <w:rFonts w:hint="default" w:ascii="Times New Roman" w:hAnsi="Times New Roman" w:cs="Times New Roman"/>
                      <w:color w:val="auto"/>
                      <w:sz w:val="21"/>
                      <w:szCs w:val="21"/>
                    </w:rPr>
                    <w:t>管径DN</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50</w:t>
                  </w:r>
                  <w:r>
                    <w:rPr>
                      <w:rFonts w:hint="eastAsia" w:ascii="Times New Roman" w:hAnsi="Times New Roman" w:cs="Times New Roman"/>
                      <w:b w:val="0"/>
                      <w:bCs w:val="0"/>
                      <w:color w:val="auto"/>
                      <w:sz w:val="21"/>
                      <w:szCs w:val="21"/>
                      <w:highlight w:val="none"/>
                      <w:vertAlign w:val="baseline"/>
                      <w:lang w:val="en-US" w:eastAsia="zh-CN"/>
                    </w:rPr>
                    <w:t>。</w:t>
                  </w:r>
                  <w:r>
                    <w:rPr>
                      <w:rFonts w:hint="eastAsia" w:ascii="Times New Roman" w:hAnsi="Times New Roman" w:cs="Times New Roman"/>
                      <w:b w:val="0"/>
                      <w:bCs w:val="0"/>
                      <w:color w:val="auto"/>
                      <w:sz w:val="21"/>
                      <w:szCs w:val="21"/>
                      <w:highlight w:val="none"/>
                      <w:u w:val="single"/>
                      <w:vertAlign w:val="baseline"/>
                      <w:lang w:val="en-US" w:eastAsia="zh-CN"/>
                    </w:rPr>
                    <w:t>注：</w:t>
                  </w:r>
                  <w:r>
                    <w:rPr>
                      <w:rFonts w:hint="default" w:ascii="Times New Roman" w:hAnsi="Times New Roman" w:eastAsia="宋体" w:cs="Times New Roman"/>
                      <w:bCs/>
                      <w:sz w:val="21"/>
                      <w:szCs w:val="21"/>
                      <w:u w:val="single"/>
                    </w:rPr>
                    <w:t>本项目水资源论证取水量1590m</w:t>
                  </w:r>
                  <w:r>
                    <w:rPr>
                      <w:rFonts w:hint="eastAsia" w:ascii="Times New Roman" w:hAnsi="Times New Roman" w:eastAsia="宋体" w:cs="Times New Roman"/>
                      <w:bCs/>
                      <w:sz w:val="21"/>
                      <w:szCs w:val="21"/>
                      <w:u w:val="single"/>
                      <w:vertAlign w:val="superscript"/>
                      <w:lang w:val="en-US" w:eastAsia="zh-CN"/>
                    </w:rPr>
                    <w:t>3</w:t>
                  </w:r>
                  <w:r>
                    <w:rPr>
                      <w:rFonts w:hint="default" w:ascii="Times New Roman" w:hAnsi="Times New Roman" w:eastAsia="宋体" w:cs="Times New Roman"/>
                      <w:bCs/>
                      <w:sz w:val="21"/>
                      <w:szCs w:val="21"/>
                      <w:u w:val="single"/>
                    </w:rPr>
                    <w:t>/d，年</w:t>
                  </w:r>
                  <w:r>
                    <w:rPr>
                      <w:rFonts w:hint="eastAsia" w:ascii="Times New Roman" w:hAnsi="Times New Roman" w:eastAsia="宋体" w:cs="Times New Roman"/>
                      <w:bCs/>
                      <w:sz w:val="21"/>
                      <w:szCs w:val="21"/>
                      <w:u w:val="single"/>
                      <w:lang w:val="en-US" w:eastAsia="zh-CN"/>
                    </w:rPr>
                    <w:t>论证</w:t>
                  </w:r>
                  <w:r>
                    <w:rPr>
                      <w:rFonts w:hint="default" w:ascii="Times New Roman" w:hAnsi="Times New Roman" w:eastAsia="宋体" w:cs="Times New Roman"/>
                      <w:bCs/>
                      <w:sz w:val="21"/>
                      <w:szCs w:val="21"/>
                      <w:u w:val="single"/>
                    </w:rPr>
                    <w:t>取水量58.0万</w:t>
                  </w:r>
                  <w:r>
                    <w:rPr>
                      <w:rFonts w:hint="eastAsia" w:ascii="Times New Roman" w:hAnsi="Times New Roman" w:eastAsia="宋体" w:cs="Times New Roman"/>
                      <w:bCs/>
                      <w:sz w:val="21"/>
                      <w:szCs w:val="21"/>
                      <w:u w:val="single"/>
                      <w:lang w:val="en-US" w:eastAsia="zh-CN"/>
                    </w:rPr>
                    <w:t>m</w:t>
                  </w:r>
                  <w:r>
                    <w:rPr>
                      <w:rFonts w:hint="eastAsia" w:ascii="Times New Roman" w:hAnsi="Times New Roman" w:eastAsia="宋体" w:cs="Times New Roman"/>
                      <w:bCs/>
                      <w:sz w:val="21"/>
                      <w:szCs w:val="21"/>
                      <w:u w:val="single"/>
                      <w:vertAlign w:val="superscript"/>
                      <w:lang w:val="en-US" w:eastAsia="zh-CN"/>
                    </w:rPr>
                    <w:t>3</w:t>
                  </w:r>
                  <w:r>
                    <w:rPr>
                      <w:rFonts w:hint="eastAsia" w:ascii="Times New Roman" w:hAnsi="Times New Roman" w:eastAsia="宋体" w:cs="Times New Roman"/>
                      <w:bCs/>
                      <w:sz w:val="21"/>
                      <w:szCs w:val="21"/>
                      <w:u w:val="single"/>
                      <w:lang w:eastAsia="zh-CN"/>
                    </w:rPr>
                    <w:t>。</w:t>
                  </w:r>
                  <w:r>
                    <w:rPr>
                      <w:rFonts w:hint="eastAsia" w:ascii="Times New Roman" w:hAnsi="Times New Roman" w:eastAsia="宋体" w:cs="Times New Roman"/>
                      <w:bCs/>
                      <w:color w:val="auto"/>
                      <w:sz w:val="21"/>
                      <w:szCs w:val="21"/>
                      <w:u w:val="single"/>
                      <w:lang w:val="en-US" w:eastAsia="zh-CN"/>
                    </w:rPr>
                    <w:t>运行方式为一年365天，24小时运行，三班制。</w:t>
                  </w:r>
                </w:p>
              </w:tc>
              <w:tc>
                <w:tcPr>
                  <w:tcW w:w="414" w:type="pct"/>
                  <w:vMerge w:val="continue"/>
                  <w:vAlign w:val="center"/>
                </w:tcPr>
                <w:p w14:paraId="3EC3C89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shd w:val="clear" w:color="auto" w:fill="auto"/>
                  <w:vAlign w:val="center"/>
                </w:tcPr>
                <w:p w14:paraId="769E568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噪声</w:t>
                  </w:r>
                </w:p>
              </w:tc>
              <w:tc>
                <w:tcPr>
                  <w:tcW w:w="327" w:type="pct"/>
                  <w:shd w:val="clear" w:color="auto" w:fill="auto"/>
                  <w:vAlign w:val="center"/>
                </w:tcPr>
                <w:p w14:paraId="0F48243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新建</w:t>
                  </w:r>
                </w:p>
              </w:tc>
            </w:tr>
            <w:tr w14:paraId="064C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4536E37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restart"/>
                  <w:vAlign w:val="center"/>
                </w:tcPr>
                <w:p w14:paraId="2C0464A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供水厂</w:t>
                  </w:r>
                </w:p>
              </w:tc>
              <w:tc>
                <w:tcPr>
                  <w:tcW w:w="418" w:type="pct"/>
                  <w:shd w:val="clear" w:color="auto" w:fill="auto"/>
                  <w:vAlign w:val="center"/>
                </w:tcPr>
                <w:p w14:paraId="36BE9AC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供水厂</w:t>
                  </w:r>
                </w:p>
              </w:tc>
              <w:tc>
                <w:tcPr>
                  <w:tcW w:w="2861" w:type="pct"/>
                  <w:vAlign w:val="center"/>
                </w:tcPr>
                <w:p w14:paraId="01AF16B6">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1座，占地面积</w:t>
                  </w:r>
                  <w:r>
                    <w:rPr>
                      <w:rFonts w:hint="default" w:ascii="Times New Roman" w:hAnsi="Times New Roman" w:eastAsia="宋体" w:cs="Times New Roman"/>
                      <w:color w:val="auto"/>
                      <w:kern w:val="2"/>
                      <w:sz w:val="21"/>
                      <w:szCs w:val="21"/>
                      <w:highlight w:val="none"/>
                      <w:lang w:val="en-US" w:eastAsia="zh-CN" w:bidi="ar-SA"/>
                    </w:rPr>
                    <w:t>2085.32m</w:t>
                  </w:r>
                  <w:r>
                    <w:rPr>
                      <w:rFonts w:hint="default" w:ascii="Times New Roman" w:hAnsi="Times New Roman" w:eastAsia="宋体" w:cs="Times New Roman"/>
                      <w:color w:val="auto"/>
                      <w:kern w:val="2"/>
                      <w:sz w:val="21"/>
                      <w:szCs w:val="21"/>
                      <w:highlight w:val="none"/>
                      <w:vertAlign w:val="superscript"/>
                      <w:lang w:val="en-US" w:eastAsia="zh-CN" w:bidi="ar-SA"/>
                    </w:rPr>
                    <w:t>2</w:t>
                  </w:r>
                  <w:r>
                    <w:rPr>
                      <w:rFonts w:hint="default" w:ascii="Times New Roman" w:hAnsi="Times New Roman" w:cs="Times New Roman"/>
                      <w:color w:val="auto"/>
                      <w:sz w:val="21"/>
                      <w:szCs w:val="21"/>
                      <w:highlight w:val="none"/>
                      <w:lang w:val="en-US" w:eastAsia="zh-CN"/>
                    </w:rPr>
                    <w:t>，建设规模3000m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/d，采用</w:t>
                  </w:r>
                  <w:r>
                    <w:rPr>
                      <w:rFonts w:hint="default" w:ascii="Times New Roman" w:hAnsi="Times New Roman" w:cs="Times New Roman"/>
                      <w:color w:val="auto"/>
                      <w:sz w:val="21"/>
                      <w:szCs w:val="21"/>
                      <w:highlight w:val="none"/>
                      <w:vertAlign w:val="baseline"/>
                      <w:lang w:val="en-US" w:eastAsia="zh-CN"/>
                    </w:rPr>
                    <w:t>“预沉淀+絮凝+沉淀+过滤+二氧化氯消毒”净水工艺，</w:t>
                  </w:r>
                  <w:r>
                    <w:rPr>
                      <w:rFonts w:hint="default" w:ascii="Times New Roman" w:hAnsi="Times New Roman" w:cs="Times New Roman"/>
                      <w:color w:val="auto"/>
                      <w:sz w:val="21"/>
                      <w:szCs w:val="21"/>
                      <w:highlight w:val="none"/>
                      <w:lang w:val="en-US" w:eastAsia="zh-CN"/>
                    </w:rPr>
                    <w:t>主要布置有净水综合体（包含预沉絮凝沉淀砂滤一体化设备、清水池、排水排泥池、送水泵房、反冲洗泵房、加药间）、加药及配电间、管理用房等。并在供水厂外</w:t>
                  </w:r>
                  <w:r>
                    <w:rPr>
                      <w:rFonts w:hint="default" w:ascii="Times New Roman" w:hAnsi="Times New Roman" w:cs="Times New Roman"/>
                      <w:b w:val="0"/>
                      <w:bCs w:val="0"/>
                      <w:color w:val="auto"/>
                      <w:sz w:val="21"/>
                      <w:szCs w:val="21"/>
                      <w:highlight w:val="none"/>
                      <w:vertAlign w:val="baseline"/>
                      <w:lang w:val="en-US" w:eastAsia="zh-CN"/>
                    </w:rPr>
                    <w:t>新建</w:t>
                  </w:r>
                  <w:r>
                    <w:rPr>
                      <w:rFonts w:hint="eastAsia" w:ascii="Times New Roman" w:hAnsi="Times New Roman" w:cs="Times New Roman"/>
                      <w:b w:val="0"/>
                      <w:bCs w:val="0"/>
                      <w:color w:val="auto"/>
                      <w:sz w:val="21"/>
                      <w:szCs w:val="21"/>
                      <w:highlight w:val="none"/>
                      <w:vertAlign w:val="baseline"/>
                      <w:lang w:val="en-US" w:eastAsia="zh-CN"/>
                    </w:rPr>
                    <w:t>两座容积均为64m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高位水池、一座容积为100m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高位水池、三座容积均为200m</w:t>
                  </w:r>
                  <w:r>
                    <w:rPr>
                      <w:rFonts w:hint="eastAsia" w:ascii="Times New Roman" w:hAnsi="Times New Roman" w:cs="Times New Roman"/>
                      <w:b w:val="0"/>
                      <w:bCs w:val="0"/>
                      <w:color w:val="auto"/>
                      <w:sz w:val="21"/>
                      <w:szCs w:val="21"/>
                      <w:highlight w:val="none"/>
                      <w:vertAlign w:val="superscript"/>
                      <w:lang w:val="en-US" w:eastAsia="zh-CN"/>
                    </w:rPr>
                    <w:t>3</w:t>
                  </w:r>
                  <w:r>
                    <w:rPr>
                      <w:rFonts w:hint="eastAsia" w:ascii="Times New Roman" w:hAnsi="Times New Roman" w:cs="Times New Roman"/>
                      <w:b w:val="0"/>
                      <w:bCs w:val="0"/>
                      <w:color w:val="auto"/>
                      <w:sz w:val="21"/>
                      <w:szCs w:val="21"/>
                      <w:highlight w:val="none"/>
                      <w:vertAlign w:val="baseline"/>
                      <w:lang w:val="en-US" w:eastAsia="zh-CN"/>
                    </w:rPr>
                    <w:t>高位水池。</w:t>
                  </w:r>
                </w:p>
              </w:tc>
              <w:tc>
                <w:tcPr>
                  <w:tcW w:w="414" w:type="pct"/>
                  <w:vMerge w:val="continue"/>
                  <w:vAlign w:val="center"/>
                </w:tcPr>
                <w:p w14:paraId="261A8EB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57DB16C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292B18F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7116255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vAlign w:val="center"/>
                </w:tcPr>
                <w:p w14:paraId="6B8E29B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3F42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39F0757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390E22D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8" w:type="pct"/>
                  <w:shd w:val="clear" w:color="auto" w:fill="auto"/>
                  <w:vAlign w:val="center"/>
                </w:tcPr>
                <w:p w14:paraId="5282251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预沉絮凝沉淀砂滤一体化设备</w:t>
                  </w:r>
                </w:p>
              </w:tc>
              <w:tc>
                <w:tcPr>
                  <w:tcW w:w="2861" w:type="pct"/>
                  <w:vAlign w:val="center"/>
                </w:tcPr>
                <w:p w14:paraId="50EDE20A">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受用地条件限制，本工程将预沉淀絮凝沉淀</w:t>
                  </w:r>
                  <w:r>
                    <w:rPr>
                      <w:rFonts w:hint="default" w:ascii="Times New Roman" w:hAnsi="Times New Roman" w:cs="Times New Roman" w:eastAsiaTheme="minorEastAsia"/>
                      <w:color w:val="auto"/>
                      <w:sz w:val="21"/>
                      <w:szCs w:val="21"/>
                      <w:highlight w:val="none"/>
                      <w:lang w:val="en-US" w:eastAsia="zh-CN"/>
                    </w:rPr>
                    <w:t>砂滤一体化设备</w:t>
                  </w:r>
                  <w:r>
                    <w:rPr>
                      <w:rFonts w:hint="default" w:ascii="Times New Roman" w:hAnsi="Times New Roman" w:cs="Times New Roman" w:eastAsiaTheme="minorEastAsia"/>
                      <w:color w:val="auto"/>
                      <w:sz w:val="21"/>
                      <w:szCs w:val="21"/>
                    </w:rPr>
                    <w:t>、清水池、排水排泥池、送水泵房、反冲洗泵房合建于一体，设净水综合体1座，设计规模3000m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rPr>
                    <w:t>/d，自用水系数1.1，土建为钢筋砼+框架结构。</w:t>
                  </w:r>
                </w:p>
                <w:p w14:paraId="73A3C81C">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共设置1套设备，内部分2组，每组可独立运行，设计每日运行时间24h，设备总尺寸：L</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B</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H=16.0</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6.0</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4.5m+进水渠L</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B</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H=1.0</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6.0</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eastAsiaTheme="minorEastAsia"/>
                      <w:color w:val="auto"/>
                      <w:sz w:val="21"/>
                      <w:szCs w:val="21"/>
                    </w:rPr>
                    <w:t>1.5m。各单元主要设计参数如下：</w:t>
                  </w:r>
                </w:p>
                <w:p w14:paraId="3954BC6C">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1）进水渠、预斜管沉淀区</w:t>
                  </w:r>
                </w:p>
                <w:p w14:paraId="747BCCBD">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原水、排水池回流水经进水渠混合后进入预斜管沉淀区。</w:t>
                  </w:r>
                </w:p>
                <w:p w14:paraId="3EBCB8DC">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预斜管沉淀区采用上向流斜管沉淀池，清水区上升流速2.12mm/s，表面负荷7.6m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rPr>
                    <w:t>.h，设备排泥采用电动角式排泥阀自动排泥。</w:t>
                  </w:r>
                </w:p>
                <w:p w14:paraId="3CA647FE">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2）预混合絮凝区</w:t>
                  </w:r>
                </w:p>
                <w:p w14:paraId="71F379B2">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采用机械混合+栅条絮凝，每组分为九格，第一格为混合池，混合时间187s；第二至第九格为絮凝池，絮凝时间24.4min，设备排泥采用电动角式排泥阀自动排泥。</w:t>
                  </w:r>
                  <w:r>
                    <w:rPr>
                      <w:rFonts w:hint="default" w:ascii="Times New Roman" w:hAnsi="Times New Roman" w:cs="Times New Roman" w:eastAsiaTheme="minorEastAsia"/>
                      <w:color w:val="auto"/>
                      <w:sz w:val="21"/>
                      <w:szCs w:val="21"/>
                      <w:lang w:val="en-US" w:eastAsia="zh-CN"/>
                    </w:rPr>
                    <w:t xml:space="preserve">   </w:t>
                  </w:r>
                </w:p>
                <w:p w14:paraId="163150FE">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3）斜管沉淀区</w:t>
                  </w:r>
                </w:p>
                <w:p w14:paraId="73CDEEF3">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采用上向流斜管沉淀池，清水区上升流速1.59mm/s，表面负荷5.73m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rPr>
                    <w:t>.h，设备排泥采用电动角式排泥阀自动排泥。</w:t>
                  </w:r>
                </w:p>
                <w:p w14:paraId="24148E1F">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4）滤池</w:t>
                  </w:r>
                </w:p>
                <w:p w14:paraId="53B4EB64">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滤池采用V型滤池，滤池共2组，单组过滤面10.5m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rPr>
                    <w:t>，设计滤速6.6m/h，强制滤速13.1m/h。其参数如下：</w:t>
                  </w:r>
                </w:p>
                <w:p w14:paraId="2F1E2097">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 xml:space="preserve">    滤料：天然石英砂，d=0.8~1.2mm，厚1200mm</w:t>
                  </w:r>
                  <w:r>
                    <w:rPr>
                      <w:rFonts w:hint="default" w:ascii="Times New Roman" w:hAnsi="Times New Roman" w:cs="Times New Roman" w:eastAsiaTheme="minorEastAsia"/>
                      <w:color w:val="auto"/>
                      <w:sz w:val="21"/>
                      <w:szCs w:val="21"/>
                      <w:lang w:eastAsia="zh-CN"/>
                    </w:rPr>
                    <w:t>。</w:t>
                  </w:r>
                </w:p>
                <w:p w14:paraId="2B63C9C2">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 xml:space="preserve">    承托层：天然卵石，d=2~4mm，厚50mm</w:t>
                  </w:r>
                  <w:r>
                    <w:rPr>
                      <w:rFonts w:hint="default" w:ascii="Times New Roman" w:hAnsi="Times New Roman" w:cs="Times New Roman" w:eastAsiaTheme="minorEastAsia"/>
                      <w:color w:val="auto"/>
                      <w:sz w:val="21"/>
                      <w:szCs w:val="21"/>
                      <w:lang w:eastAsia="zh-CN"/>
                    </w:rPr>
                    <w:t>。</w:t>
                  </w:r>
                </w:p>
                <w:p w14:paraId="49E4BD35">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 xml:space="preserve">    冲洗方式：先气冲，再气水联冲，后水冲，全程扫洗。</w:t>
                  </w:r>
                </w:p>
                <w:p w14:paraId="77A148CA">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color w:val="auto"/>
                      <w:sz w:val="21"/>
                      <w:szCs w:val="21"/>
                    </w:rPr>
                    <w:t xml:space="preserve">    滤池出水浊度＜0.5NTU。</w:t>
                  </w:r>
                </w:p>
              </w:tc>
              <w:tc>
                <w:tcPr>
                  <w:tcW w:w="414" w:type="pct"/>
                  <w:vMerge w:val="continue"/>
                  <w:vAlign w:val="center"/>
                </w:tcPr>
                <w:p w14:paraId="172DE0F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834B6B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3A7152B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64FBB39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vAlign w:val="center"/>
                </w:tcPr>
                <w:p w14:paraId="2F92440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502B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54EF81A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38BD8D8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8" w:type="pct"/>
                  <w:shd w:val="clear" w:color="auto" w:fill="auto"/>
                  <w:vAlign w:val="center"/>
                </w:tcPr>
                <w:p w14:paraId="28D3FF5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清水池</w:t>
                  </w:r>
                </w:p>
              </w:tc>
              <w:tc>
                <w:tcPr>
                  <w:tcW w:w="2861" w:type="pct"/>
                  <w:vAlign w:val="center"/>
                </w:tcPr>
                <w:p w14:paraId="620CE17A">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设清水池1座，分为2组，总设计规模3000m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/d，有效水深2.20m，有效容积约380m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，占总规模的12.6%。</w:t>
                  </w:r>
                </w:p>
              </w:tc>
              <w:tc>
                <w:tcPr>
                  <w:tcW w:w="414" w:type="pct"/>
                  <w:vMerge w:val="continue"/>
                  <w:vAlign w:val="center"/>
                </w:tcPr>
                <w:p w14:paraId="673D2D8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2C4065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tc>
              <w:tc>
                <w:tcPr>
                  <w:tcW w:w="327" w:type="pct"/>
                  <w:vAlign w:val="center"/>
                </w:tcPr>
                <w:p w14:paraId="550EEA4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68DD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0431FC1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12D17E5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8" w:type="pct"/>
                  <w:shd w:val="clear" w:color="auto" w:fill="auto"/>
                  <w:vAlign w:val="center"/>
                </w:tcPr>
                <w:p w14:paraId="3E087A7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排水排泥池</w:t>
                  </w:r>
                </w:p>
              </w:tc>
              <w:tc>
                <w:tcPr>
                  <w:tcW w:w="2861" w:type="pct"/>
                  <w:vAlign w:val="center"/>
                </w:tcPr>
                <w:p w14:paraId="115F0487">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排水池设1座，最大有效容积约51m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，通过提升泵提升至一体化净水设备进水渠与原水一起净化处理</w:t>
                  </w:r>
                  <w:r>
                    <w:rPr>
                      <w:rFonts w:hint="default" w:ascii="Times New Roman" w:hAnsi="Times New Roman" w:cs="Times New Roman"/>
                      <w:color w:val="auto"/>
                      <w:sz w:val="21"/>
                      <w:szCs w:val="21"/>
                      <w:lang w:eastAsia="zh-CN"/>
                    </w:rPr>
                    <w:t>。</w:t>
                  </w:r>
                </w:p>
                <w:p w14:paraId="399E0CB3">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排泥池设1座，有效容积约33.5m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，收集絮凝沉淀气浮池排泥水，可收集设计工况1天的排泥水量，最终</w:t>
                  </w:r>
                  <w:r>
                    <w:rPr>
                      <w:rFonts w:hint="default" w:ascii="Times New Roman" w:hAnsi="Times New Roman" w:cs="Times New Roman"/>
                      <w:color w:val="auto"/>
                      <w:sz w:val="21"/>
                      <w:szCs w:val="21"/>
                      <w:lang w:val="en-US" w:eastAsia="zh-CN"/>
                    </w:rPr>
                    <w:t>沉淀后回用</w:t>
                  </w:r>
                  <w:r>
                    <w:rPr>
                      <w:rFonts w:hint="default" w:ascii="Times New Roman" w:hAnsi="Times New Roman" w:cs="Times New Roman"/>
                      <w:color w:val="auto"/>
                      <w:sz w:val="21"/>
                      <w:szCs w:val="21"/>
                    </w:rPr>
                    <w:t>。</w:t>
                  </w:r>
                </w:p>
              </w:tc>
              <w:tc>
                <w:tcPr>
                  <w:tcW w:w="414" w:type="pct"/>
                  <w:vMerge w:val="continue"/>
                  <w:vAlign w:val="center"/>
                </w:tcPr>
                <w:p w14:paraId="000D71C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shd w:val="clear" w:color="auto" w:fill="auto"/>
                  <w:vAlign w:val="center"/>
                </w:tcPr>
                <w:p w14:paraId="55EB56E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048685B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74BD65F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shd w:val="clear" w:color="auto" w:fill="auto"/>
                  <w:vAlign w:val="center"/>
                </w:tcPr>
                <w:p w14:paraId="29939A7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新建</w:t>
                  </w:r>
                </w:p>
              </w:tc>
            </w:tr>
            <w:tr w14:paraId="7AFE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6F2357E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7823F33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8" w:type="pct"/>
                  <w:shd w:val="clear" w:color="auto" w:fill="auto"/>
                  <w:vAlign w:val="center"/>
                </w:tcPr>
                <w:p w14:paraId="0C054E4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送水泵房、反冲洗泵房</w:t>
                  </w:r>
                </w:p>
              </w:tc>
              <w:tc>
                <w:tcPr>
                  <w:tcW w:w="2861" w:type="pct"/>
                  <w:vAlign w:val="center"/>
                </w:tcPr>
                <w:p w14:paraId="5FA05D84">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设送水泵房、反冲洗泵房1座，土建尺寸A</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B</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H=17.1</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5.4</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（5.4+5.1）m，钢筋砼+框架结构。</w:t>
                  </w:r>
                </w:p>
                <w:p w14:paraId="4154BE66">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1）送水泵房设计规模1080m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/d，由于厂外设计有高位水池，因此本次送水泵房时变化系数取1.2，向厂外高位水池输水。</w:t>
                  </w:r>
                </w:p>
                <w:p w14:paraId="37A6454D">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2）反冲洗泵房主要为气浮池和砂滤池一体化设备配套，包括反冲洗水泵室、反冲洗风机室和溶气回流室。</w:t>
                  </w:r>
                </w:p>
              </w:tc>
              <w:tc>
                <w:tcPr>
                  <w:tcW w:w="414" w:type="pct"/>
                  <w:vMerge w:val="continue"/>
                  <w:vAlign w:val="center"/>
                </w:tcPr>
                <w:p w14:paraId="704EBB8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shd w:val="clear" w:color="auto" w:fill="auto"/>
                  <w:vAlign w:val="center"/>
                </w:tcPr>
                <w:p w14:paraId="4A17731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4E57080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6ADD5B4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shd w:val="clear" w:color="auto" w:fill="auto"/>
                  <w:vAlign w:val="center"/>
                </w:tcPr>
                <w:p w14:paraId="58B7FDC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新建</w:t>
                  </w:r>
                </w:p>
              </w:tc>
            </w:tr>
            <w:tr w14:paraId="4630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shd w:val="clear" w:color="auto" w:fill="auto"/>
                  <w:vAlign w:val="center"/>
                </w:tcPr>
                <w:p w14:paraId="4376D80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40D716C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418" w:type="pct"/>
                  <w:shd w:val="clear" w:color="auto" w:fill="auto"/>
                  <w:vAlign w:val="center"/>
                </w:tcPr>
                <w:p w14:paraId="265996C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rPr>
                    <w:t>加氯及配电间</w:t>
                  </w:r>
                </w:p>
              </w:tc>
              <w:tc>
                <w:tcPr>
                  <w:tcW w:w="2861" w:type="pct"/>
                  <w:vAlign w:val="center"/>
                </w:tcPr>
                <w:p w14:paraId="1E721197">
                  <w:pPr>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 xml:space="preserve"> </w:t>
                  </w:r>
                  <w:r>
                    <w:rPr>
                      <w:rFonts w:hint="default" w:ascii="Times New Roman" w:hAnsi="Times New Roman" w:cs="Times New Roman"/>
                      <w:color w:val="auto"/>
                      <w:sz w:val="21"/>
                      <w:szCs w:val="21"/>
                    </w:rPr>
                    <w:t>加氯及配电间合建，土建尺寸AxBxH=17.1x6.9x5.4m，框架结构。</w:t>
                  </w:r>
                </w:p>
                <w:p w14:paraId="65801413">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1）PAC</w:t>
                  </w:r>
                </w:p>
                <w:p w14:paraId="50F82759">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主要为絮凝池投加絮凝剂，絮凝剂采用聚合氯化铝（PAC），投加点位于絮凝池混合区。以固体商品（纯度30%）计，设计投加量20~30mg/L，配置一体化PAC投加装置1套，投加量1~10kg/h。</w:t>
                  </w:r>
                </w:p>
                <w:p w14:paraId="1F6AC84F">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2）二氧化氯</w:t>
                  </w:r>
                </w:p>
                <w:p w14:paraId="28F3B094">
                  <w:pPr>
                    <w:keepNext w:val="0"/>
                    <w:keepLines w:val="0"/>
                    <w:pageBreakBefore w:val="0"/>
                    <w:kinsoku/>
                    <w:wordWrap/>
                    <w:overflowPunct/>
                    <w:topLinePunct w:val="0"/>
                    <w:autoSpaceDE/>
                    <w:autoSpaceDN/>
                    <w:bidi w:val="0"/>
                    <w:adjustRightInd/>
                    <w:snapToGrid/>
                    <w:ind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rPr>
                    <w:t>二氧化氯投加点位于清水池进水管道上，设计最大投加量2.0mg/L，设二氧化氯制备投加系统1套，包含2台二氧化氯发生器（1用1备）、5m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复合氯酸钠溶液储罐1套、5m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复合硫酸氢钠溶液储罐1套及隔膜计量泵、背压阀、Y型过滤器、隔膜压力表、卸料泵、集成智能控制器、漏氯监测报警系统、喷淋装置（带洗眼器）、应急工具箱（含防毒护具），配套阀门、管路管件、电线电缆等。</w:t>
                  </w:r>
                </w:p>
              </w:tc>
              <w:tc>
                <w:tcPr>
                  <w:tcW w:w="414" w:type="pct"/>
                  <w:vMerge w:val="continue"/>
                  <w:vAlign w:val="center"/>
                </w:tcPr>
                <w:p w14:paraId="5097D4A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617167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w:t>
                  </w:r>
                </w:p>
                <w:p w14:paraId="2C051B1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噪声</w:t>
                  </w:r>
                </w:p>
                <w:p w14:paraId="1ED1C21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固废</w:t>
                  </w:r>
                </w:p>
              </w:tc>
              <w:tc>
                <w:tcPr>
                  <w:tcW w:w="327" w:type="pct"/>
                  <w:vAlign w:val="center"/>
                </w:tcPr>
                <w:p w14:paraId="5D933D0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16E0D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vAlign w:val="center"/>
                </w:tcPr>
                <w:p w14:paraId="54A712B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辅助工程</w:t>
                  </w:r>
                </w:p>
              </w:tc>
              <w:tc>
                <w:tcPr>
                  <w:tcW w:w="678" w:type="pct"/>
                  <w:gridSpan w:val="2"/>
                  <w:shd w:val="clear" w:color="auto" w:fill="auto"/>
                  <w:vAlign w:val="center"/>
                </w:tcPr>
                <w:p w14:paraId="350EF38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管理用房</w:t>
                  </w:r>
                </w:p>
              </w:tc>
              <w:tc>
                <w:tcPr>
                  <w:tcW w:w="2861" w:type="pct"/>
                  <w:shd w:val="clear" w:color="auto" w:fill="auto"/>
                  <w:vAlign w:val="center"/>
                </w:tcPr>
                <w:p w14:paraId="55F458E8">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1座，</w:t>
                  </w:r>
                  <w:r>
                    <w:rPr>
                      <w:rFonts w:hint="default" w:ascii="Times New Roman" w:hAnsi="Times New Roman" w:eastAsia="宋体" w:cs="Times New Roman"/>
                      <w:color w:val="auto"/>
                      <w:sz w:val="21"/>
                      <w:szCs w:val="21"/>
                    </w:rPr>
                    <w:t>框架结构，土建尺寸：L</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B</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25×5.2×4.5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包括化验室、办公室、值班室、休息室、卫生间。</w:t>
                  </w:r>
                </w:p>
              </w:tc>
              <w:tc>
                <w:tcPr>
                  <w:tcW w:w="414" w:type="pct"/>
                  <w:vMerge w:val="continue"/>
                  <w:vAlign w:val="center"/>
                </w:tcPr>
                <w:p w14:paraId="717717A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0BA96DE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生活污水、生活垃圾</w:t>
                  </w:r>
                </w:p>
              </w:tc>
              <w:tc>
                <w:tcPr>
                  <w:tcW w:w="327" w:type="pct"/>
                  <w:vAlign w:val="center"/>
                </w:tcPr>
                <w:p w14:paraId="5C40AFB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1D80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59FB640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shd w:val="clear" w:color="auto" w:fill="auto"/>
                  <w:vAlign w:val="center"/>
                </w:tcPr>
                <w:p w14:paraId="0C2FDFE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化验室</w:t>
                  </w:r>
                </w:p>
              </w:tc>
              <w:tc>
                <w:tcPr>
                  <w:tcW w:w="2861" w:type="pct"/>
                  <w:shd w:val="clear" w:color="auto" w:fill="auto"/>
                  <w:vAlign w:val="center"/>
                </w:tcPr>
                <w:p w14:paraId="643468DE">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位于管理用房，</w:t>
                  </w:r>
                  <w:r>
                    <w:rPr>
                      <w:rFonts w:hint="default" w:ascii="Times New Roman" w:hAnsi="Times New Roman" w:cs="Times New Roman"/>
                      <w:color w:val="auto"/>
                      <w:kern w:val="2"/>
                      <w:sz w:val="21"/>
                      <w:szCs w:val="21"/>
                      <w:highlight w:val="none"/>
                      <w:lang w:val="en-US" w:eastAsia="zh-CN" w:bidi="ar-SA"/>
                    </w:rPr>
                    <w:t>化验室主要检测pH、嗅和味、肉眼可见物、浑浊度、余氯等指标，</w:t>
                  </w:r>
                  <w:r>
                    <w:rPr>
                      <w:rFonts w:hint="default" w:ascii="Times New Roman" w:hAnsi="Times New Roman" w:cs="Times New Roman"/>
                      <w:color w:val="auto"/>
                      <w:sz w:val="21"/>
                      <w:szCs w:val="21"/>
                      <w:highlight w:val="none"/>
                    </w:rPr>
                    <w:t>其中嗅和味、肉眼可见物通过人的感官检验，pH</w:t>
                  </w:r>
                  <w:r>
                    <w:rPr>
                      <w:rFonts w:hint="default" w:ascii="Times New Roman" w:hAnsi="Times New Roman"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rPr>
                    <w:t>便携式pH计</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浑浊度采用浑浊</w:t>
                  </w:r>
                  <w:r>
                    <w:rPr>
                      <w:rFonts w:hint="default" w:ascii="Times New Roman" w:hAnsi="Times New Roman" w:cs="Times New Roman"/>
                      <w:color w:val="auto"/>
                      <w:sz w:val="21"/>
                      <w:szCs w:val="21"/>
                      <w:highlight w:val="none"/>
                      <w:lang w:val="en-US" w:eastAsia="zh-CN"/>
                    </w:rPr>
                    <w:t>仪检测</w:t>
                  </w:r>
                  <w:r>
                    <w:rPr>
                      <w:rFonts w:hint="default" w:ascii="Times New Roman" w:hAnsi="Times New Roman" w:cs="Times New Roman"/>
                      <w:color w:val="auto"/>
                      <w:sz w:val="21"/>
                      <w:szCs w:val="21"/>
                      <w:highlight w:val="none"/>
                    </w:rPr>
                    <w:t>，余氯采用便携式余氯检测仪检测</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kern w:val="2"/>
                      <w:sz w:val="21"/>
                      <w:szCs w:val="21"/>
                      <w:highlight w:val="none"/>
                      <w:lang w:val="en-US" w:eastAsia="zh-CN" w:bidi="ar-SA"/>
                    </w:rPr>
                    <w:t>不涉及其他化学试剂，</w:t>
                  </w:r>
                  <w:r>
                    <w:rPr>
                      <w:rFonts w:hint="default" w:ascii="Times New Roman" w:hAnsi="Times New Roman" w:cs="Times New Roman"/>
                      <w:color w:val="auto"/>
                      <w:sz w:val="21"/>
                      <w:szCs w:val="21"/>
                      <w:highlight w:val="none"/>
                      <w:lang w:val="en-US" w:eastAsia="zh-CN"/>
                    </w:rPr>
                    <w:t>不产生实验废水。</w:t>
                  </w:r>
                </w:p>
              </w:tc>
              <w:tc>
                <w:tcPr>
                  <w:tcW w:w="414" w:type="pct"/>
                  <w:vMerge w:val="continue"/>
                  <w:vAlign w:val="center"/>
                </w:tcPr>
                <w:p w14:paraId="526CC1B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58C6E12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584A733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559A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5269EDE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shd w:val="clear" w:color="auto" w:fill="auto"/>
                  <w:vAlign w:val="center"/>
                </w:tcPr>
                <w:p w14:paraId="5B0CC45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消毒</w:t>
                  </w:r>
                </w:p>
              </w:tc>
              <w:tc>
                <w:tcPr>
                  <w:tcW w:w="2861" w:type="pct"/>
                  <w:shd w:val="clear" w:color="auto" w:fill="auto"/>
                  <w:vAlign w:val="center"/>
                </w:tcPr>
                <w:p w14:paraId="715C24B2">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本项目设置有2套高纯一体式二氧化氯发生器（1用1备），采用二氧化氯消毒方式，</w:t>
                  </w:r>
                  <w:r>
                    <w:rPr>
                      <w:rFonts w:hint="default" w:ascii="Times New Roman" w:hAnsi="Times New Roman" w:cs="Times New Roman"/>
                      <w:color w:val="auto"/>
                      <w:sz w:val="21"/>
                      <w:szCs w:val="21"/>
                    </w:rPr>
                    <w:t>投加点位于清水池进水管道上</w:t>
                  </w:r>
                  <w:r>
                    <w:rPr>
                      <w:rFonts w:hint="default" w:ascii="Times New Roman" w:hAnsi="Times New Roman" w:cs="Times New Roman"/>
                      <w:color w:val="auto"/>
                      <w:sz w:val="21"/>
                      <w:szCs w:val="21"/>
                      <w:lang w:eastAsia="zh-CN"/>
                    </w:rPr>
                    <w:t>，设计最大投加量2.0mg/L。</w:t>
                  </w:r>
                </w:p>
              </w:tc>
              <w:tc>
                <w:tcPr>
                  <w:tcW w:w="414" w:type="pct"/>
                  <w:vMerge w:val="continue"/>
                  <w:vAlign w:val="center"/>
                </w:tcPr>
                <w:p w14:paraId="364506B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5B667A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3BB4FC0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5CD5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7" w:hRule="atLeast"/>
                <w:jc w:val="center"/>
              </w:trPr>
              <w:tc>
                <w:tcPr>
                  <w:tcW w:w="302" w:type="pct"/>
                  <w:vMerge w:val="restart"/>
                  <w:vAlign w:val="center"/>
                </w:tcPr>
                <w:p w14:paraId="30FFFF9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临时工程</w:t>
                  </w:r>
                </w:p>
              </w:tc>
              <w:tc>
                <w:tcPr>
                  <w:tcW w:w="678" w:type="pct"/>
                  <w:gridSpan w:val="2"/>
                  <w:shd w:val="clear" w:color="auto" w:fill="auto"/>
                  <w:vAlign w:val="center"/>
                </w:tcPr>
                <w:p w14:paraId="4C1964F3">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施工导流</w:t>
                  </w:r>
                </w:p>
              </w:tc>
              <w:tc>
                <w:tcPr>
                  <w:tcW w:w="2861" w:type="pct"/>
                  <w:shd w:val="clear" w:color="auto" w:fill="auto"/>
                  <w:vAlign w:val="center"/>
                </w:tcPr>
                <w:p w14:paraId="04CFD9DE">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lang w:val="en-US" w:eastAsia="zh-CN" w:bidi="ar"/>
                    </w:rPr>
                    <w:t>马渡关水厂新建取水口</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color w:val="auto"/>
                      <w:kern w:val="2"/>
                      <w:sz w:val="21"/>
                      <w:szCs w:val="21"/>
                      <w:highlight w:val="none"/>
                      <w:lang w:val="en-US" w:eastAsia="zh-CN" w:bidi="ar-SA"/>
                    </w:rPr>
                    <w:t>涉及涉水施工，</w:t>
                  </w:r>
                  <w:r>
                    <w:rPr>
                      <w:rFonts w:hint="default" w:ascii="Times New Roman" w:hAnsi="Times New Roman" w:eastAsia="宋体" w:cs="Times New Roman"/>
                      <w:color w:val="auto"/>
                      <w:kern w:val="0"/>
                      <w:sz w:val="21"/>
                      <w:szCs w:val="21"/>
                      <w:lang w:val="en-US" w:eastAsia="zh-CN" w:bidi="ar"/>
                    </w:rPr>
                    <w:t>其导流围堰采用土石围堰结构型式，</w:t>
                  </w:r>
                  <w:r>
                    <w:rPr>
                      <w:rFonts w:hint="default" w:ascii="Times New Roman" w:hAnsi="Times New Roman" w:eastAsia="宋体" w:cs="Times New Roman"/>
                      <w:color w:val="auto"/>
                      <w:kern w:val="0"/>
                      <w:sz w:val="21"/>
                      <w:szCs w:val="21"/>
                      <w:highlight w:val="none"/>
                      <w:lang w:val="en-US" w:eastAsia="zh-CN" w:bidi="ar"/>
                    </w:rPr>
                    <w:t>围堰利用工程开挖的土石方进行填筑，迎水面铺设土工膜防渗，围堰挡水期间，采用埋设导流管过流并配备必要的抽排设施。</w:t>
                  </w:r>
                  <w:r>
                    <w:rPr>
                      <w:rFonts w:hint="default" w:ascii="Times New Roman" w:hAnsi="Times New Roman" w:cs="Times New Roman"/>
                      <w:color w:val="auto"/>
                      <w:kern w:val="0"/>
                      <w:sz w:val="21"/>
                      <w:szCs w:val="21"/>
                      <w:highlight w:val="none"/>
                      <w:lang w:val="en-US" w:eastAsia="zh-CN" w:bidi="ar"/>
                    </w:rPr>
                    <w:t>选择在枯水期。</w:t>
                  </w:r>
                </w:p>
              </w:tc>
              <w:tc>
                <w:tcPr>
                  <w:tcW w:w="414" w:type="pct"/>
                  <w:vMerge w:val="continue"/>
                  <w:vAlign w:val="center"/>
                </w:tcPr>
                <w:p w14:paraId="5926D2C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06B27A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65A4D02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01ED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7" w:hRule="atLeast"/>
                <w:jc w:val="center"/>
              </w:trPr>
              <w:tc>
                <w:tcPr>
                  <w:tcW w:w="302" w:type="pct"/>
                  <w:vMerge w:val="continue"/>
                  <w:vAlign w:val="center"/>
                </w:tcPr>
                <w:p w14:paraId="5AA46C0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678" w:type="pct"/>
                  <w:gridSpan w:val="2"/>
                  <w:vAlign w:val="center"/>
                </w:tcPr>
                <w:p w14:paraId="4C4FB43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施工便道</w:t>
                  </w:r>
                </w:p>
              </w:tc>
              <w:tc>
                <w:tcPr>
                  <w:tcW w:w="2861" w:type="pct"/>
                  <w:vAlign w:val="center"/>
                </w:tcPr>
                <w:p w14:paraId="7CEACF9D">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利用周边现状道路。</w:t>
                  </w:r>
                </w:p>
              </w:tc>
              <w:tc>
                <w:tcPr>
                  <w:tcW w:w="414" w:type="pct"/>
                  <w:vMerge w:val="continue"/>
                  <w:vAlign w:val="center"/>
                </w:tcPr>
                <w:p w14:paraId="5E488F0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2B8EC8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45513B2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1C03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7" w:hRule="atLeast"/>
                <w:jc w:val="center"/>
              </w:trPr>
              <w:tc>
                <w:tcPr>
                  <w:tcW w:w="302" w:type="pct"/>
                  <w:vMerge w:val="continue"/>
                  <w:vAlign w:val="center"/>
                </w:tcPr>
                <w:p w14:paraId="0E24AA7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678" w:type="pct"/>
                  <w:gridSpan w:val="2"/>
                  <w:shd w:val="clear" w:color="auto" w:fill="auto"/>
                  <w:vAlign w:val="center"/>
                </w:tcPr>
                <w:p w14:paraId="54FF750C">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施工营地</w:t>
                  </w:r>
                </w:p>
              </w:tc>
              <w:tc>
                <w:tcPr>
                  <w:tcW w:w="2861" w:type="pct"/>
                  <w:shd w:val="clear" w:color="auto" w:fill="auto"/>
                  <w:vAlign w:val="center"/>
                </w:tcPr>
                <w:p w14:paraId="625300DA">
                  <w:pPr>
                    <w:pStyle w:val="2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不新建施工营地，施工人员办公、住宿租用沿线民房，不新增占地。</w:t>
                  </w:r>
                </w:p>
              </w:tc>
              <w:tc>
                <w:tcPr>
                  <w:tcW w:w="414" w:type="pct"/>
                  <w:vMerge w:val="continue"/>
                  <w:vAlign w:val="center"/>
                </w:tcPr>
                <w:p w14:paraId="507AB7F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E615E5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0B58027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3122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57" w:hRule="atLeast"/>
                <w:jc w:val="center"/>
              </w:trPr>
              <w:tc>
                <w:tcPr>
                  <w:tcW w:w="302" w:type="pct"/>
                  <w:vMerge w:val="continue"/>
                  <w:vAlign w:val="center"/>
                </w:tcPr>
                <w:p w14:paraId="2441460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709BA6A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管网临时</w:t>
                  </w:r>
                  <w:r>
                    <w:rPr>
                      <w:rFonts w:hint="default" w:ascii="Times New Roman" w:hAnsi="Times New Roman" w:cs="Times New Roman"/>
                      <w:color w:val="auto"/>
                      <w:sz w:val="21"/>
                      <w:szCs w:val="21"/>
                      <w:highlight w:val="none"/>
                      <w:lang w:val="en-US" w:eastAsia="zh-CN"/>
                    </w:rPr>
                    <w:t>施工</w:t>
                  </w:r>
                  <w:r>
                    <w:rPr>
                      <w:rFonts w:hint="default" w:ascii="Times New Roman" w:hAnsi="Times New Roman" w:cs="Times New Roman"/>
                      <w:color w:val="auto"/>
                      <w:kern w:val="2"/>
                      <w:sz w:val="21"/>
                      <w:szCs w:val="21"/>
                      <w:highlight w:val="none"/>
                      <w:lang w:val="en-US" w:eastAsia="zh-CN" w:bidi="ar-SA"/>
                    </w:rPr>
                    <w:t>工地</w:t>
                  </w:r>
                </w:p>
              </w:tc>
              <w:tc>
                <w:tcPr>
                  <w:tcW w:w="2861" w:type="pct"/>
                  <w:vAlign w:val="center"/>
                </w:tcPr>
                <w:p w14:paraId="075A0ED5">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设置1个临时工地，500m</w:t>
                  </w:r>
                  <w:r>
                    <w:rPr>
                      <w:rFonts w:hint="default" w:ascii="Times New Roman" w:hAnsi="Times New Roman" w:cs="Times New Roman"/>
                      <w:color w:val="auto"/>
                      <w:kern w:val="2"/>
                      <w:sz w:val="21"/>
                      <w:szCs w:val="21"/>
                      <w:highlight w:val="none"/>
                      <w:vertAlign w:val="superscript"/>
                      <w:lang w:val="en-US" w:eastAsia="zh-CN" w:bidi="ar-SA"/>
                    </w:rPr>
                    <w:t>2</w:t>
                  </w:r>
                  <w:r>
                    <w:rPr>
                      <w:rFonts w:hint="default" w:ascii="Times New Roman" w:hAnsi="Times New Roman" w:cs="Times New Roman"/>
                      <w:color w:val="auto"/>
                      <w:kern w:val="2"/>
                      <w:sz w:val="21"/>
                      <w:szCs w:val="21"/>
                      <w:highlight w:val="none"/>
                      <w:lang w:val="en-US" w:eastAsia="zh-CN" w:bidi="ar-SA"/>
                    </w:rPr>
                    <w:t>，位于马渡关水厂处，用于堆放材料、施工设备、施工车辆等，施工结束后，立即恢复原貌。本项目不设置临时堆场。</w:t>
                  </w:r>
                </w:p>
              </w:tc>
              <w:tc>
                <w:tcPr>
                  <w:tcW w:w="414" w:type="pct"/>
                  <w:vMerge w:val="continue"/>
                  <w:vAlign w:val="center"/>
                </w:tcPr>
                <w:p w14:paraId="0335844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0FA8EB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粉尘</w:t>
                  </w:r>
                </w:p>
              </w:tc>
              <w:tc>
                <w:tcPr>
                  <w:tcW w:w="327" w:type="pct"/>
                  <w:vAlign w:val="center"/>
                </w:tcPr>
                <w:p w14:paraId="189D550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5CAD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vAlign w:val="center"/>
                </w:tcPr>
                <w:p w14:paraId="51AA13D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公用工程</w:t>
                  </w:r>
                </w:p>
              </w:tc>
              <w:tc>
                <w:tcPr>
                  <w:tcW w:w="678" w:type="pct"/>
                  <w:gridSpan w:val="2"/>
                  <w:vAlign w:val="center"/>
                </w:tcPr>
                <w:p w14:paraId="4C30BD7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供电</w:t>
                  </w:r>
                </w:p>
              </w:tc>
              <w:tc>
                <w:tcPr>
                  <w:tcW w:w="2861" w:type="pct"/>
                  <w:vAlign w:val="center"/>
                </w:tcPr>
                <w:p w14:paraId="7D821148">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乡镇</w:t>
                  </w:r>
                  <w:r>
                    <w:rPr>
                      <w:rFonts w:hint="default" w:ascii="Times New Roman" w:hAnsi="Times New Roman" w:eastAsia="宋体" w:cs="Times New Roman"/>
                      <w:color w:val="auto"/>
                      <w:sz w:val="21"/>
                      <w:szCs w:val="21"/>
                      <w:highlight w:val="none"/>
                    </w:rPr>
                    <w:t>供电管网供给</w:t>
                  </w:r>
                  <w:r>
                    <w:rPr>
                      <w:rFonts w:hint="default" w:ascii="Times New Roman" w:hAnsi="Times New Roman" w:eastAsia="宋体" w:cs="Times New Roman"/>
                      <w:color w:val="auto"/>
                      <w:sz w:val="21"/>
                      <w:szCs w:val="21"/>
                      <w:highlight w:val="none"/>
                      <w:lang w:eastAsia="zh-CN"/>
                    </w:rPr>
                    <w:t>。</w:t>
                  </w:r>
                </w:p>
              </w:tc>
              <w:tc>
                <w:tcPr>
                  <w:tcW w:w="414" w:type="pct"/>
                  <w:vMerge w:val="continue"/>
                  <w:vAlign w:val="center"/>
                </w:tcPr>
                <w:p w14:paraId="1FD1973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E72830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7FAE932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w:t>
                  </w:r>
                </w:p>
              </w:tc>
            </w:tr>
            <w:tr w14:paraId="4B79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1E055F1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0E433D2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供水</w:t>
                  </w:r>
                </w:p>
              </w:tc>
              <w:tc>
                <w:tcPr>
                  <w:tcW w:w="2861" w:type="pct"/>
                  <w:vAlign w:val="center"/>
                </w:tcPr>
                <w:p w14:paraId="58B69E46">
                  <w:pPr>
                    <w:keepNext w:val="0"/>
                    <w:keepLines w:val="0"/>
                    <w:pageBreakBefore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厂区办公用水来自厂区供水系统。</w:t>
                  </w:r>
                </w:p>
              </w:tc>
              <w:tc>
                <w:tcPr>
                  <w:tcW w:w="414" w:type="pct"/>
                  <w:vMerge w:val="continue"/>
                  <w:vAlign w:val="center"/>
                </w:tcPr>
                <w:p w14:paraId="6318019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1F8F067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53E5117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5D5E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2B6753D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678" w:type="pct"/>
                  <w:gridSpan w:val="2"/>
                  <w:vAlign w:val="center"/>
                </w:tcPr>
                <w:p w14:paraId="3347A6A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排水</w:t>
                  </w:r>
                </w:p>
              </w:tc>
              <w:tc>
                <w:tcPr>
                  <w:tcW w:w="2861" w:type="pct"/>
                  <w:vAlign w:val="center"/>
                </w:tcPr>
                <w:p w14:paraId="2DD1A039">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雨污分流，雨水经厂区雨水管网收集后直接外排</w:t>
                  </w:r>
                  <w:r>
                    <w:rPr>
                      <w:rFonts w:hint="default" w:ascii="Times New Roman" w:hAnsi="Times New Roman" w:eastAsia="宋体" w:cs="Times New Roman"/>
                      <w:color w:val="auto"/>
                      <w:kern w:val="0"/>
                      <w:sz w:val="21"/>
                      <w:szCs w:val="21"/>
                      <w:lang w:val="en-US" w:eastAsia="zh-CN" w:bidi="ar"/>
                    </w:rPr>
                    <w:t>周边自然径流系统</w:t>
                  </w:r>
                  <w:r>
                    <w:rPr>
                      <w:rFonts w:hint="default" w:ascii="Times New Roman" w:hAnsi="Times New Roman" w:cs="Times New Roman"/>
                      <w:color w:val="auto"/>
                      <w:sz w:val="21"/>
                      <w:szCs w:val="21"/>
                      <w:highlight w:val="none"/>
                      <w:lang w:val="en-US" w:eastAsia="zh-CN"/>
                    </w:rPr>
                    <w:t>。</w:t>
                  </w:r>
                </w:p>
              </w:tc>
              <w:tc>
                <w:tcPr>
                  <w:tcW w:w="414" w:type="pct"/>
                  <w:vMerge w:val="continue"/>
                  <w:vAlign w:val="center"/>
                </w:tcPr>
                <w:p w14:paraId="57E5CFC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9E27DE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623A696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49AC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restart"/>
                  <w:vAlign w:val="center"/>
                </w:tcPr>
                <w:p w14:paraId="21DB7F0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环保工程</w:t>
                  </w:r>
                </w:p>
              </w:tc>
              <w:tc>
                <w:tcPr>
                  <w:tcW w:w="260" w:type="pct"/>
                  <w:vMerge w:val="restart"/>
                  <w:vAlign w:val="center"/>
                </w:tcPr>
                <w:p w14:paraId="5F6C415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运营期</w:t>
                  </w:r>
                </w:p>
              </w:tc>
              <w:tc>
                <w:tcPr>
                  <w:tcW w:w="418" w:type="pct"/>
                  <w:vAlign w:val="center"/>
                </w:tcPr>
                <w:p w14:paraId="4D37FAE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2861" w:type="pct"/>
                  <w:vAlign w:val="center"/>
                </w:tcPr>
                <w:p w14:paraId="2C03631F">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不涉及废气排放。</w:t>
                  </w:r>
                </w:p>
              </w:tc>
              <w:tc>
                <w:tcPr>
                  <w:tcW w:w="414" w:type="pct"/>
                  <w:vMerge w:val="continue"/>
                  <w:vAlign w:val="center"/>
                </w:tcPr>
                <w:p w14:paraId="3CC9225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0233B1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5281D86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5B5EF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1BF9F59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08597F9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18" w:type="pct"/>
                  <w:vMerge w:val="restart"/>
                  <w:vAlign w:val="center"/>
                </w:tcPr>
                <w:p w14:paraId="583537F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2861" w:type="pct"/>
                  <w:vAlign w:val="center"/>
                </w:tcPr>
                <w:p w14:paraId="3B89076D">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经化粪池处理后用于农肥，不外排。</w:t>
                  </w:r>
                </w:p>
              </w:tc>
              <w:tc>
                <w:tcPr>
                  <w:tcW w:w="414" w:type="pct"/>
                  <w:vMerge w:val="continue"/>
                  <w:vAlign w:val="center"/>
                </w:tcPr>
                <w:p w14:paraId="19F7300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08E8D39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0DEEE61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49CA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754F236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27BFB955">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18" w:type="pct"/>
                  <w:vMerge w:val="continue"/>
                  <w:vAlign w:val="center"/>
                </w:tcPr>
                <w:p w14:paraId="66C66C7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861" w:type="pct"/>
                  <w:shd w:val="clear" w:color="auto" w:fill="auto"/>
                  <w:vAlign w:val="center"/>
                </w:tcPr>
                <w:p w14:paraId="11E98DB1">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vertAlign w:val="baseline"/>
                      <w:lang w:val="en-US" w:eastAsia="zh-CN"/>
                    </w:rPr>
                    <w:t>排泥水：</w:t>
                  </w:r>
                  <w:r>
                    <w:rPr>
                      <w:rFonts w:hint="default" w:ascii="Times New Roman" w:hAnsi="Times New Roman" w:cs="Times New Roman"/>
                      <w:color w:val="auto"/>
                      <w:sz w:val="21"/>
                      <w:szCs w:val="21"/>
                      <w:highlight w:val="none"/>
                      <w:vertAlign w:val="baseline"/>
                      <w:lang w:val="en-US" w:eastAsia="zh-CN"/>
                    </w:rPr>
                    <w:t>经沉淀后回用于厂区绿化。</w:t>
                  </w:r>
                </w:p>
              </w:tc>
              <w:tc>
                <w:tcPr>
                  <w:tcW w:w="414" w:type="pct"/>
                  <w:vMerge w:val="continue"/>
                  <w:vAlign w:val="center"/>
                </w:tcPr>
                <w:p w14:paraId="263BD11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1346EF5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污泥</w:t>
                  </w:r>
                </w:p>
              </w:tc>
              <w:tc>
                <w:tcPr>
                  <w:tcW w:w="327" w:type="pct"/>
                  <w:vAlign w:val="center"/>
                </w:tcPr>
                <w:p w14:paraId="156D6FA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62B0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4983CD7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1D9466A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18" w:type="pct"/>
                  <w:vMerge w:val="continue"/>
                  <w:vAlign w:val="center"/>
                </w:tcPr>
                <w:p w14:paraId="09918E6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861" w:type="pct"/>
                  <w:shd w:val="clear" w:color="auto" w:fill="auto"/>
                  <w:vAlign w:val="center"/>
                </w:tcPr>
                <w:p w14:paraId="7F2B9A47">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vertAlign w:val="baseline"/>
                      <w:lang w:val="en-US" w:eastAsia="zh-CN"/>
                    </w:rPr>
                    <w:t>反冲洗水：</w:t>
                  </w:r>
                  <w:r>
                    <w:rPr>
                      <w:rFonts w:hint="default" w:ascii="Times New Roman" w:hAnsi="Times New Roman" w:cs="Times New Roman"/>
                      <w:color w:val="auto"/>
                      <w:sz w:val="21"/>
                      <w:szCs w:val="21"/>
                      <w:highlight w:val="none"/>
                      <w:vertAlign w:val="baseline"/>
                      <w:lang w:val="en-US" w:eastAsia="zh-CN"/>
                    </w:rPr>
                    <w:t>经排水池收集后全部返回供水厂净水设施处理。</w:t>
                  </w:r>
                </w:p>
              </w:tc>
              <w:tc>
                <w:tcPr>
                  <w:tcW w:w="414" w:type="pct"/>
                  <w:vMerge w:val="continue"/>
                  <w:vAlign w:val="center"/>
                </w:tcPr>
                <w:p w14:paraId="09AD7EF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1566A82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污泥</w:t>
                  </w:r>
                </w:p>
              </w:tc>
              <w:tc>
                <w:tcPr>
                  <w:tcW w:w="327" w:type="pct"/>
                  <w:vAlign w:val="center"/>
                </w:tcPr>
                <w:p w14:paraId="4152EA8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71D6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76EBBAFC">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2FBBD97B">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Merge w:val="restart"/>
                  <w:vAlign w:val="center"/>
                </w:tcPr>
                <w:p w14:paraId="2911AD94">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2861" w:type="pct"/>
                  <w:shd w:val="clear" w:color="auto" w:fill="auto"/>
                  <w:vAlign w:val="center"/>
                </w:tcPr>
                <w:p w14:paraId="04DE06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生活垃圾：</w:t>
                  </w:r>
                  <w:r>
                    <w:rPr>
                      <w:rFonts w:hint="default" w:ascii="Times New Roman" w:hAnsi="Times New Roman" w:cs="Times New Roman"/>
                      <w:color w:val="auto"/>
                      <w:sz w:val="21"/>
                      <w:szCs w:val="21"/>
                      <w:highlight w:val="none"/>
                    </w:rPr>
                    <w:t>经装袋收集后</w:t>
                  </w:r>
                  <w:r>
                    <w:rPr>
                      <w:rFonts w:hint="default" w:ascii="Times New Roman" w:hAnsi="Times New Roman" w:cs="Times New Roman"/>
                      <w:b w:val="0"/>
                      <w:bCs w:val="0"/>
                      <w:snapToGrid w:val="0"/>
                      <w:color w:val="auto"/>
                      <w:kern w:val="0"/>
                      <w:sz w:val="21"/>
                      <w:szCs w:val="21"/>
                      <w:highlight w:val="none"/>
                      <w:lang w:eastAsia="zh-CN"/>
                    </w:rPr>
                    <w:t>定期运至</w:t>
                  </w:r>
                  <w:r>
                    <w:rPr>
                      <w:rFonts w:hint="default" w:ascii="Times New Roman" w:hAnsi="Times New Roman" w:eastAsia="宋体" w:cs="Times New Roman"/>
                      <w:b w:val="0"/>
                      <w:bCs w:val="0"/>
                      <w:snapToGrid w:val="0"/>
                      <w:color w:val="auto"/>
                      <w:kern w:val="0"/>
                      <w:sz w:val="21"/>
                      <w:szCs w:val="21"/>
                      <w:highlight w:val="none"/>
                      <w:lang w:eastAsia="zh-CN"/>
                    </w:rPr>
                    <w:t>村上设置的垃圾收集池</w:t>
                  </w:r>
                  <w:r>
                    <w:rPr>
                      <w:rFonts w:hint="default" w:ascii="Times New Roman" w:hAnsi="Times New Roman" w:cs="Times New Roman"/>
                      <w:b w:val="0"/>
                      <w:bCs w:val="0"/>
                      <w:snapToGrid w:val="0"/>
                      <w:color w:val="auto"/>
                      <w:kern w:val="0"/>
                      <w:sz w:val="21"/>
                      <w:szCs w:val="21"/>
                      <w:highlight w:val="none"/>
                      <w:lang w:val="en-US" w:eastAsia="zh-CN"/>
                    </w:rPr>
                    <w:t>暂存，</w:t>
                  </w:r>
                  <w:r>
                    <w:rPr>
                      <w:rFonts w:hint="default" w:ascii="Times New Roman" w:hAnsi="Times New Roman" w:cs="Times New Roman"/>
                      <w:color w:val="auto"/>
                      <w:sz w:val="21"/>
                      <w:szCs w:val="21"/>
                      <w:highlight w:val="none"/>
                    </w:rPr>
                    <w:t>最终</w:t>
                  </w:r>
                  <w:r>
                    <w:rPr>
                      <w:rFonts w:hint="default" w:ascii="Times New Roman" w:hAnsi="Times New Roman" w:cs="Times New Roman"/>
                      <w:color w:val="auto"/>
                      <w:sz w:val="21"/>
                      <w:szCs w:val="21"/>
                      <w:highlight w:val="none"/>
                      <w:lang w:val="en-US" w:eastAsia="zh-CN"/>
                    </w:rPr>
                    <w:t>交由</w:t>
                  </w:r>
                  <w:r>
                    <w:rPr>
                      <w:rFonts w:hint="default" w:ascii="Times New Roman" w:hAnsi="Times New Roman" w:cs="Times New Roman"/>
                      <w:color w:val="auto"/>
                      <w:sz w:val="21"/>
                      <w:szCs w:val="21"/>
                      <w:highlight w:val="none"/>
                    </w:rPr>
                    <w:t>乡镇环卫统一处理</w:t>
                  </w:r>
                  <w:r>
                    <w:rPr>
                      <w:rFonts w:hint="default" w:ascii="Times New Roman" w:hAnsi="Times New Roman" w:eastAsia="宋体" w:cs="Times New Roman"/>
                      <w:color w:val="auto"/>
                      <w:kern w:val="2"/>
                      <w:sz w:val="21"/>
                      <w:szCs w:val="21"/>
                      <w:highlight w:val="none"/>
                      <w:lang w:val="en-US" w:eastAsia="zh-CN" w:bidi="ar-SA"/>
                    </w:rPr>
                    <w:t>。</w:t>
                  </w:r>
                </w:p>
              </w:tc>
              <w:tc>
                <w:tcPr>
                  <w:tcW w:w="414" w:type="pct"/>
                  <w:vMerge w:val="continue"/>
                  <w:vAlign w:val="center"/>
                </w:tcPr>
                <w:p w14:paraId="472BAE6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B46302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5042B04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依托</w:t>
                  </w:r>
                </w:p>
              </w:tc>
            </w:tr>
            <w:tr w14:paraId="500A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4B5DC5E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4E42467D">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Merge w:val="continue"/>
                  <w:vAlign w:val="center"/>
                </w:tcPr>
                <w:p w14:paraId="2F24C1C8">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594B8A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栅渣及沉砂：</w:t>
                  </w:r>
                  <w:r>
                    <w:rPr>
                      <w:rFonts w:hint="default" w:ascii="Times New Roman" w:hAnsi="Times New Roman" w:cs="Times New Roman"/>
                      <w:color w:val="auto"/>
                      <w:sz w:val="21"/>
                      <w:szCs w:val="21"/>
                      <w:highlight w:val="none"/>
                      <w:lang w:val="en-US" w:eastAsia="zh-CN"/>
                    </w:rPr>
                    <w:t>定期还田处理。</w:t>
                  </w:r>
                </w:p>
              </w:tc>
              <w:tc>
                <w:tcPr>
                  <w:tcW w:w="414" w:type="pct"/>
                  <w:vMerge w:val="continue"/>
                  <w:vAlign w:val="center"/>
                </w:tcPr>
                <w:p w14:paraId="2F87983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34B1CEB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38943A7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3167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687EBC2E">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7700ECFF">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Merge w:val="continue"/>
                  <w:vAlign w:val="center"/>
                </w:tcPr>
                <w:p w14:paraId="400E48B0">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4FE598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污泥</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干化后</w:t>
                  </w:r>
                  <w:r>
                    <w:rPr>
                      <w:rFonts w:hint="default" w:ascii="Times New Roman" w:hAnsi="Times New Roman" w:eastAsia="宋体" w:cs="Times New Roman"/>
                      <w:color w:val="auto"/>
                      <w:kern w:val="0"/>
                      <w:sz w:val="21"/>
                      <w:szCs w:val="21"/>
                      <w:lang w:val="en-US" w:eastAsia="zh-CN" w:bidi="ar"/>
                    </w:rPr>
                    <w:t>送</w:t>
                  </w:r>
                  <w:r>
                    <w:rPr>
                      <w:rFonts w:hint="default" w:ascii="Times New Roman" w:hAnsi="Times New Roman" w:eastAsia="宋体" w:cs="Times New Roman"/>
                      <w:color w:val="auto"/>
                      <w:sz w:val="21"/>
                      <w:szCs w:val="21"/>
                    </w:rPr>
                    <w:t>宣汉海诺尔环保发电有限公司焚烧处理</w:t>
                  </w:r>
                  <w:r>
                    <w:rPr>
                      <w:rFonts w:hint="default" w:ascii="Times New Roman" w:hAnsi="Times New Roman" w:cs="Times New Roman"/>
                      <w:color w:val="auto"/>
                      <w:sz w:val="21"/>
                      <w:szCs w:val="21"/>
                      <w:lang w:eastAsia="zh-CN"/>
                    </w:rPr>
                    <w:t>。</w:t>
                  </w:r>
                </w:p>
              </w:tc>
              <w:tc>
                <w:tcPr>
                  <w:tcW w:w="414" w:type="pct"/>
                  <w:vMerge w:val="continue"/>
                  <w:vAlign w:val="center"/>
                </w:tcPr>
                <w:p w14:paraId="2D3DB6A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168D3A0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253FB14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依托</w:t>
                  </w:r>
                </w:p>
              </w:tc>
            </w:tr>
            <w:tr w14:paraId="24C3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4E65579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128DCB3E">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Merge w:val="continue"/>
                  <w:vAlign w:val="center"/>
                </w:tcPr>
                <w:p w14:paraId="6153843C">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49C1C4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废</w:t>
                  </w:r>
                  <w:r>
                    <w:rPr>
                      <w:rFonts w:hint="eastAsia" w:ascii="Times New Roman" w:hAnsi="Times New Roman" w:cs="Times New Roman"/>
                      <w:b/>
                      <w:bCs/>
                      <w:color w:val="auto"/>
                      <w:sz w:val="21"/>
                      <w:szCs w:val="21"/>
                      <w:highlight w:val="none"/>
                      <w:lang w:val="en-US" w:eastAsia="zh-CN"/>
                    </w:rPr>
                    <w:t>填料</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交由厂商回收处理。</w:t>
                  </w:r>
                </w:p>
              </w:tc>
              <w:tc>
                <w:tcPr>
                  <w:tcW w:w="414" w:type="pct"/>
                  <w:vMerge w:val="continue"/>
                  <w:vAlign w:val="center"/>
                </w:tcPr>
                <w:p w14:paraId="63973B0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16AC3FD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5B12421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7B99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4F6A228D">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2657A045">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Merge w:val="continue"/>
                  <w:vAlign w:val="center"/>
                </w:tcPr>
                <w:p w14:paraId="2596D04F">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6E9AD4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rPr>
                    <w:t>废包装材料</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交由废品收购站回收。</w:t>
                  </w:r>
                </w:p>
              </w:tc>
              <w:tc>
                <w:tcPr>
                  <w:tcW w:w="414" w:type="pct"/>
                  <w:vMerge w:val="continue"/>
                  <w:vAlign w:val="center"/>
                </w:tcPr>
                <w:p w14:paraId="0EE6D41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BD9DCD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2CD3390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r w14:paraId="6E1A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49F5F9E8">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52BD4B7B">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Align w:val="center"/>
                </w:tcPr>
                <w:p w14:paraId="3997CF7C">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噪声</w:t>
                  </w:r>
                </w:p>
              </w:tc>
              <w:tc>
                <w:tcPr>
                  <w:tcW w:w="2861" w:type="pct"/>
                  <w:vAlign w:val="center"/>
                </w:tcPr>
                <w:p w14:paraId="02A04AF6">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left"/>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rPr>
                    <w:t>选用低噪声设备；各类污水泵采用潜水泵，噪声源位于液面以下；安装设备减震器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消音器</w:t>
                  </w:r>
                  <w:r>
                    <w:rPr>
                      <w:rFonts w:hint="default" w:ascii="Times New Roman" w:hAnsi="Times New Roman" w:cs="Times New Roman"/>
                      <w:color w:val="auto"/>
                      <w:sz w:val="21"/>
                      <w:szCs w:val="21"/>
                      <w:highlight w:val="none"/>
                    </w:rPr>
                    <w:t>加强管理，通过隔声和距离衰减使噪声达标</w:t>
                  </w:r>
                  <w:r>
                    <w:rPr>
                      <w:rFonts w:hint="default" w:ascii="Times New Roman" w:hAnsi="Times New Roman" w:cs="Times New Roman"/>
                      <w:color w:val="auto"/>
                      <w:sz w:val="21"/>
                      <w:szCs w:val="21"/>
                      <w:highlight w:val="none"/>
                      <w:lang w:eastAsia="zh-CN"/>
                    </w:rPr>
                    <w:t>。</w:t>
                  </w:r>
                </w:p>
              </w:tc>
              <w:tc>
                <w:tcPr>
                  <w:tcW w:w="414" w:type="pct"/>
                  <w:vMerge w:val="continue"/>
                  <w:vAlign w:val="center"/>
                </w:tcPr>
                <w:p w14:paraId="097E99F7">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4579F07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70A97D36">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1E9B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697F222A">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5C9166D4">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Merge w:val="restart"/>
                  <w:vAlign w:val="center"/>
                </w:tcPr>
                <w:p w14:paraId="69025BA5">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地下水防渗</w:t>
                  </w:r>
                </w:p>
              </w:tc>
              <w:tc>
                <w:tcPr>
                  <w:tcW w:w="2861" w:type="pct"/>
                  <w:shd w:val="clear" w:color="auto" w:fill="auto"/>
                  <w:vAlign w:val="center"/>
                </w:tcPr>
                <w:p w14:paraId="77E44124">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一般防渗区</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包括</w:t>
                  </w:r>
                  <w:r>
                    <w:rPr>
                      <w:rFonts w:hint="eastAsia" w:ascii="Times New Roman" w:hAnsi="Times New Roman" w:eastAsia="宋体" w:cs="Times New Roman"/>
                      <w:color w:val="auto"/>
                      <w:sz w:val="21"/>
                      <w:szCs w:val="21"/>
                      <w:highlight w:val="none"/>
                      <w:vertAlign w:val="baseline"/>
                      <w:lang w:val="en-US" w:eastAsia="zh-CN"/>
                    </w:rPr>
                    <w:t>净水</w:t>
                  </w:r>
                  <w:r>
                    <w:rPr>
                      <w:rFonts w:hint="default" w:ascii="Times New Roman" w:hAnsi="Times New Roman" w:eastAsia="宋体" w:cs="Times New Roman"/>
                      <w:color w:val="auto"/>
                      <w:sz w:val="21"/>
                      <w:szCs w:val="21"/>
                      <w:highlight w:val="none"/>
                      <w:vertAlign w:val="baseline"/>
                      <w:lang w:val="en-US" w:eastAsia="zh-CN"/>
                    </w:rPr>
                    <w:t>一体化设备</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清水池、排水排泥池、送水泵房</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采用</w:t>
                  </w:r>
                  <w:r>
                    <w:rPr>
                      <w:rFonts w:hint="default" w:ascii="Times New Roman" w:hAnsi="Times New Roman" w:cs="Times New Roman"/>
                      <w:color w:val="auto"/>
                      <w:sz w:val="21"/>
                      <w:szCs w:val="21"/>
                      <w:highlight w:val="none"/>
                      <w:lang w:val="en-US" w:eastAsia="zh-CN" w:bidi="ar"/>
                    </w:rPr>
                    <w:t>25cmC30</w:t>
                  </w:r>
                  <w:r>
                    <w:rPr>
                      <w:rFonts w:hint="default" w:ascii="Times New Roman" w:hAnsi="Times New Roman" w:cs="Times New Roman" w:eastAsiaTheme="minorEastAsia"/>
                      <w:color w:val="auto"/>
                      <w:sz w:val="21"/>
                      <w:szCs w:val="21"/>
                      <w:highlight w:val="none"/>
                    </w:rPr>
                    <w:t>防渗混凝土+黏土防渗层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rPr>
                    <w:t>确保防渗性能与1.5m厚黏土防渗层等效，防渗系数K≤1×10</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tc>
              <w:tc>
                <w:tcPr>
                  <w:tcW w:w="414" w:type="pct"/>
                  <w:vMerge w:val="continue"/>
                  <w:vAlign w:val="center"/>
                </w:tcPr>
                <w:p w14:paraId="1C9F6BF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299D4352">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277162C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44F5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2C16D86F">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7E257318">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18" w:type="pct"/>
                  <w:vMerge w:val="continue"/>
                  <w:vAlign w:val="center"/>
                </w:tcPr>
                <w:p w14:paraId="67A594F9">
                  <w:pPr>
                    <w:keepNext w:val="0"/>
                    <w:keepLines w:val="0"/>
                    <w:pageBreakBefore w:val="0"/>
                    <w:tabs>
                      <w:tab w:val="left" w:pos="993"/>
                      <w:tab w:val="left" w:pos="1134"/>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861" w:type="pct"/>
                  <w:shd w:val="clear" w:color="auto" w:fill="auto"/>
                  <w:vAlign w:val="center"/>
                </w:tcPr>
                <w:p w14:paraId="01603E10">
                  <w:pPr>
                    <w:keepNext w:val="0"/>
                    <w:keepLines w:val="0"/>
                    <w:pageBreakBefore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简单防渗区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采取</w:t>
                  </w:r>
                  <w:r>
                    <w:rPr>
                      <w:rFonts w:hint="default" w:ascii="Times New Roman" w:hAnsi="Times New Roman" w:cs="Times New Roman"/>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rPr>
                    <w:t>地面硬化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包括</w:t>
                  </w:r>
                  <w:r>
                    <w:rPr>
                      <w:rFonts w:hint="eastAsia" w:ascii="Times New Roman" w:hAnsi="Times New Roman" w:cs="Times New Roman"/>
                      <w:color w:val="auto"/>
                      <w:sz w:val="21"/>
                      <w:szCs w:val="21"/>
                      <w:highlight w:val="none"/>
                      <w:lang w:val="en-US" w:eastAsia="zh-CN"/>
                    </w:rPr>
                    <w:t>管理</w:t>
                  </w:r>
                  <w:r>
                    <w:rPr>
                      <w:rFonts w:hint="default" w:ascii="Times New Roman" w:hAnsi="Times New Roman" w:cs="Times New Roman"/>
                      <w:color w:val="auto"/>
                      <w:sz w:val="21"/>
                      <w:szCs w:val="21"/>
                      <w:highlight w:val="none"/>
                      <w:lang w:val="en-US" w:eastAsia="zh-CN"/>
                    </w:rPr>
                    <w:t>用房、厂区道路、除一般防渗区以外的区域</w:t>
                  </w:r>
                  <w:r>
                    <w:rPr>
                      <w:rFonts w:hint="default" w:ascii="Times New Roman" w:hAnsi="Times New Roman" w:cs="Times New Roman"/>
                      <w:color w:val="auto"/>
                      <w:sz w:val="21"/>
                      <w:szCs w:val="21"/>
                      <w:highlight w:val="none"/>
                      <w:lang w:eastAsia="zh-CN"/>
                    </w:rPr>
                    <w:t>。</w:t>
                  </w:r>
                </w:p>
              </w:tc>
              <w:tc>
                <w:tcPr>
                  <w:tcW w:w="414" w:type="pct"/>
                  <w:vMerge w:val="continue"/>
                  <w:vAlign w:val="center"/>
                </w:tcPr>
                <w:p w14:paraId="4F4ED54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6E7D2223">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515959A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新建</w:t>
                  </w:r>
                </w:p>
              </w:tc>
            </w:tr>
            <w:tr w14:paraId="3933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302" w:type="pct"/>
                  <w:vMerge w:val="continue"/>
                  <w:vAlign w:val="center"/>
                </w:tcPr>
                <w:p w14:paraId="7BA8116B">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260" w:type="pct"/>
                  <w:vMerge w:val="continue"/>
                  <w:vAlign w:val="center"/>
                </w:tcPr>
                <w:p w14:paraId="360A7ED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p>
              </w:tc>
              <w:tc>
                <w:tcPr>
                  <w:tcW w:w="418" w:type="pct"/>
                  <w:vAlign w:val="center"/>
                </w:tcPr>
                <w:p w14:paraId="2CD24000">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饮用水源保护</w:t>
                  </w:r>
                </w:p>
              </w:tc>
              <w:tc>
                <w:tcPr>
                  <w:tcW w:w="2861" w:type="pct"/>
                  <w:vAlign w:val="center"/>
                </w:tcPr>
                <w:p w14:paraId="18487DEA">
                  <w:pPr>
                    <w:pStyle w:val="10"/>
                    <w:rPr>
                      <w:rFonts w:hint="default" w:ascii="Times New Roman" w:hAnsi="Times New Roman" w:eastAsia="宋体" w:cs="Times New Roman"/>
                      <w:color w:val="auto"/>
                      <w:kern w:val="2"/>
                      <w:sz w:val="21"/>
                      <w:szCs w:val="21"/>
                      <w:highlight w:val="none"/>
                      <w:lang w:val="en-US" w:eastAsia="zh-CN" w:bidi="ar-SA"/>
                    </w:rPr>
                  </w:pPr>
                  <w:r>
                    <w:rPr>
                      <w:rFonts w:hint="eastAsia"/>
                    </w:rPr>
                    <w:t>按照</w:t>
                  </w:r>
                  <w:r>
                    <w:rPr>
                      <w:rFonts w:hint="eastAsia"/>
                      <w:lang w:val="en-US" w:eastAsia="zh-CN"/>
                    </w:rPr>
                    <w:t>《饮用水水源保护区划分技术规范》（HJ338-2018）</w:t>
                  </w:r>
                  <w:r>
                    <w:rPr>
                      <w:rFonts w:hint="eastAsia"/>
                    </w:rPr>
                    <w:t>划定饮用水源保护区</w:t>
                  </w:r>
                  <w:r>
                    <w:rPr>
                      <w:rFonts w:hint="eastAsia"/>
                      <w:lang w:eastAsia="zh-CN"/>
                    </w:rPr>
                    <w:t>；</w:t>
                  </w:r>
                  <w:r>
                    <w:rPr>
                      <w:rFonts w:hint="default"/>
                      <w:lang w:val="en-US" w:eastAsia="zh-CN"/>
                    </w:rPr>
                    <w:t>通过</w:t>
                  </w:r>
                  <w:r>
                    <w:rPr>
                      <w:rFonts w:hint="default" w:ascii="Times New Roman" w:hAnsi="Times New Roman" w:cs="Times New Roman"/>
                      <w:b w:val="0"/>
                      <w:bCs w:val="0"/>
                      <w:color w:val="auto"/>
                      <w:sz w:val="21"/>
                      <w:szCs w:val="21"/>
                      <w:highlight w:val="none"/>
                      <w:lang w:val="en-US" w:eastAsia="zh-CN"/>
                    </w:rPr>
                    <w:t>定期巡查、突击巡查、专项巡查和重点巡查等方式，监视水源保护区内的饮用水、水域、水工程及其他设施的变化状态，掌握工程的安全情况，为正确管理运行提供科学依据，及时发现工程的不正常迹象，防止事件发生，查处各类水事违法案件。并在保护区内设置</w:t>
                  </w:r>
                  <w:r>
                    <w:rPr>
                      <w:rFonts w:hint="default" w:ascii="Times New Roman" w:hAnsi="Times New Roman" w:cs="Times New Roman"/>
                      <w:color w:val="auto"/>
                      <w:sz w:val="21"/>
                      <w:szCs w:val="21"/>
                      <w:highlight w:val="none"/>
                      <w:lang w:val="en-US" w:eastAsia="zh-CN"/>
                    </w:rPr>
                    <w:t>隔离围网、警示牌等。</w:t>
                  </w:r>
                </w:p>
              </w:tc>
              <w:tc>
                <w:tcPr>
                  <w:tcW w:w="414" w:type="pct"/>
                  <w:vMerge w:val="continue"/>
                  <w:vAlign w:val="center"/>
                </w:tcPr>
                <w:p w14:paraId="66E67889">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414" w:type="pct"/>
                  <w:vAlign w:val="center"/>
                </w:tcPr>
                <w:p w14:paraId="6E5AF824">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327" w:type="pct"/>
                  <w:vAlign w:val="center"/>
                </w:tcPr>
                <w:p w14:paraId="4AD75231">
                  <w:pPr>
                    <w:keepNext w:val="0"/>
                    <w:keepLines w:val="0"/>
                    <w:pageBreakBefore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r>
          </w:tbl>
          <w:p w14:paraId="7C9C38D5">
            <w:pPr>
              <w:keepNext w:val="0"/>
              <w:keepLines w:val="0"/>
              <w:pageBreakBefore w:val="0"/>
              <w:kinsoku/>
              <w:wordWrap/>
              <w:overflowPunct/>
              <w:topLinePunct w:val="0"/>
              <w:autoSpaceDE/>
              <w:autoSpaceDN/>
              <w:bidi w:val="0"/>
              <w:snapToGrid/>
              <w:spacing w:line="360" w:lineRule="auto"/>
              <w:ind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4</w:t>
            </w:r>
            <w:r>
              <w:rPr>
                <w:rFonts w:hint="default" w:ascii="Times New Roman" w:hAnsi="Times New Roman" w:cs="Times New Roman"/>
                <w:b/>
                <w:bCs/>
                <w:color w:val="auto"/>
                <w:sz w:val="24"/>
                <w:szCs w:val="32"/>
                <w:highlight w:val="none"/>
                <w:vertAlign w:val="baseline"/>
                <w:lang w:val="en-US" w:eastAsia="zh-CN"/>
              </w:rPr>
              <w:t>、项目主要设备</w:t>
            </w:r>
          </w:p>
          <w:p w14:paraId="70ED954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隘口</w:t>
            </w:r>
            <w:r>
              <w:rPr>
                <w:rFonts w:hint="default" w:ascii="Times New Roman" w:hAnsi="Times New Roman" w:cs="Times New Roman"/>
                <w:color w:val="auto"/>
                <w:sz w:val="24"/>
                <w:szCs w:val="32"/>
                <w:highlight w:val="none"/>
                <w:vertAlign w:val="baseline"/>
                <w:lang w:val="en-US" w:eastAsia="zh-CN"/>
              </w:rPr>
              <w:t>水厂主要设备见下表。</w:t>
            </w:r>
          </w:p>
          <w:p w14:paraId="650F478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eastAsia" w:ascii="Times New Roman" w:hAnsi="Times New Roman" w:eastAsia="黑体" w:cs="Times New Roman"/>
                <w:color w:val="auto"/>
                <w:szCs w:val="21"/>
                <w:highlight w:val="none"/>
                <w:lang w:val="en-US" w:eastAsia="zh-CN"/>
              </w:rPr>
              <w:t>-4 隘口</w:t>
            </w:r>
            <w:r>
              <w:rPr>
                <w:rFonts w:hint="default" w:ascii="Times New Roman" w:hAnsi="Times New Roman" w:eastAsia="黑体" w:cs="Times New Roman"/>
                <w:color w:val="auto"/>
                <w:szCs w:val="21"/>
                <w:highlight w:val="none"/>
                <w:lang w:val="en-US" w:eastAsia="zh-CN"/>
              </w:rPr>
              <w:t>水厂主要设备一览表</w:t>
            </w:r>
          </w:p>
          <w:tbl>
            <w:tblPr>
              <w:tblStyle w:val="25"/>
              <w:tblW w:w="91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28"/>
              <w:gridCol w:w="1536"/>
              <w:gridCol w:w="2477"/>
              <w:gridCol w:w="660"/>
              <w:gridCol w:w="675"/>
              <w:gridCol w:w="2893"/>
            </w:tblGrid>
            <w:tr w14:paraId="24029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26945D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编号</w:t>
                  </w:r>
                </w:p>
              </w:tc>
              <w:tc>
                <w:tcPr>
                  <w:tcW w:w="1536" w:type="dxa"/>
                  <w:tcBorders>
                    <w:tl2br w:val="nil"/>
                    <w:tr2bl w:val="nil"/>
                  </w:tcBorders>
                  <w:shd w:val="clear" w:color="auto" w:fill="auto"/>
                  <w:noWrap/>
                  <w:vAlign w:val="center"/>
                </w:tcPr>
                <w:p w14:paraId="08B1FB5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名　称</w:t>
                  </w:r>
                </w:p>
              </w:tc>
              <w:tc>
                <w:tcPr>
                  <w:tcW w:w="2477" w:type="dxa"/>
                  <w:tcBorders>
                    <w:tl2br w:val="nil"/>
                    <w:tr2bl w:val="nil"/>
                  </w:tcBorders>
                  <w:shd w:val="clear" w:color="auto" w:fill="auto"/>
                  <w:noWrap/>
                  <w:vAlign w:val="center"/>
                </w:tcPr>
                <w:p w14:paraId="2A46573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规　格</w:t>
                  </w:r>
                </w:p>
              </w:tc>
              <w:tc>
                <w:tcPr>
                  <w:tcW w:w="660" w:type="dxa"/>
                  <w:tcBorders>
                    <w:tl2br w:val="nil"/>
                    <w:tr2bl w:val="nil"/>
                  </w:tcBorders>
                  <w:shd w:val="clear" w:color="auto" w:fill="auto"/>
                  <w:noWrap/>
                  <w:vAlign w:val="center"/>
                </w:tcPr>
                <w:p w14:paraId="66A8150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675" w:type="dxa"/>
                  <w:tcBorders>
                    <w:tl2br w:val="nil"/>
                    <w:tr2bl w:val="nil"/>
                  </w:tcBorders>
                  <w:shd w:val="clear" w:color="auto" w:fill="auto"/>
                  <w:noWrap/>
                  <w:vAlign w:val="center"/>
                </w:tcPr>
                <w:p w14:paraId="6F119E6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2893" w:type="dxa"/>
                  <w:tcBorders>
                    <w:tl2br w:val="nil"/>
                    <w:tr2bl w:val="nil"/>
                  </w:tcBorders>
                  <w:shd w:val="clear" w:color="auto" w:fill="auto"/>
                  <w:noWrap/>
                  <w:vAlign w:val="center"/>
                </w:tcPr>
                <w:p w14:paraId="293A42F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备　注</w:t>
                  </w:r>
                </w:p>
              </w:tc>
            </w:tr>
            <w:tr w14:paraId="4ACDB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4137BCD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一</w:t>
                  </w:r>
                </w:p>
              </w:tc>
              <w:tc>
                <w:tcPr>
                  <w:tcW w:w="8241" w:type="dxa"/>
                  <w:gridSpan w:val="5"/>
                  <w:tcBorders>
                    <w:tl2br w:val="nil"/>
                    <w:tr2bl w:val="nil"/>
                  </w:tcBorders>
                  <w:shd w:val="clear" w:color="auto" w:fill="auto"/>
                  <w:noWrap/>
                  <w:vAlign w:val="center"/>
                </w:tcPr>
                <w:p w14:paraId="07CF4F0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一体化净水设备（表中明细设备由一体化净水设备成套提供）</w:t>
                  </w:r>
                </w:p>
              </w:tc>
            </w:tr>
            <w:tr w14:paraId="187B2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0B5F5F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1536" w:type="dxa"/>
                  <w:tcBorders>
                    <w:tl2br w:val="nil"/>
                    <w:tr2bl w:val="nil"/>
                  </w:tcBorders>
                  <w:shd w:val="clear" w:color="auto" w:fill="auto"/>
                  <w:noWrap/>
                  <w:vAlign w:val="center"/>
                </w:tcPr>
                <w:p w14:paraId="21E268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絮凝沉淀气浮滤池</w:t>
                  </w:r>
                </w:p>
              </w:tc>
              <w:tc>
                <w:tcPr>
                  <w:tcW w:w="2477" w:type="dxa"/>
                  <w:tcBorders>
                    <w:tl2br w:val="nil"/>
                    <w:tr2bl w:val="nil"/>
                  </w:tcBorders>
                  <w:shd w:val="clear" w:color="auto" w:fill="auto"/>
                  <w:noWrap/>
                  <w:vAlign w:val="center"/>
                </w:tcPr>
                <w:p w14:paraId="1FE069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LxBxH=14.7x5.8x4.5m</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 xml:space="preserve"> 处理规模2000m[3]/d，P=1.5kW</w:t>
                  </w:r>
                </w:p>
              </w:tc>
              <w:tc>
                <w:tcPr>
                  <w:tcW w:w="660" w:type="dxa"/>
                  <w:tcBorders>
                    <w:tl2br w:val="nil"/>
                    <w:tr2bl w:val="nil"/>
                  </w:tcBorders>
                  <w:shd w:val="clear" w:color="auto" w:fill="auto"/>
                  <w:noWrap/>
                  <w:vAlign w:val="center"/>
                </w:tcPr>
                <w:p w14:paraId="33E79D1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noWrap/>
                  <w:vAlign w:val="center"/>
                </w:tcPr>
                <w:p w14:paraId="7CF092F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noWrap/>
                  <w:vAlign w:val="center"/>
                </w:tcPr>
                <w:p w14:paraId="555F47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分2格，配套搅拌机、絮凝池、斜管沉淀池、滤池、配电系统、控制系统、全池遮阳棚等</w:t>
                  </w:r>
                </w:p>
              </w:tc>
            </w:tr>
            <w:tr w14:paraId="19F1E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066059A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1536" w:type="dxa"/>
                  <w:tcBorders>
                    <w:tl2br w:val="nil"/>
                    <w:tr2bl w:val="nil"/>
                  </w:tcBorders>
                  <w:shd w:val="clear" w:color="auto" w:fill="auto"/>
                  <w:noWrap/>
                  <w:vAlign w:val="center"/>
                </w:tcPr>
                <w:p w14:paraId="10E9F5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回流水泵</w:t>
                  </w:r>
                </w:p>
              </w:tc>
              <w:tc>
                <w:tcPr>
                  <w:tcW w:w="2477" w:type="dxa"/>
                  <w:tcBorders>
                    <w:tl2br w:val="nil"/>
                    <w:tr2bl w:val="nil"/>
                  </w:tcBorders>
                  <w:shd w:val="clear" w:color="auto" w:fill="auto"/>
                  <w:noWrap/>
                  <w:vAlign w:val="center"/>
                </w:tcPr>
                <w:p w14:paraId="2BF85F9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Q=11m[3]/h，H=50m，P=5.5kW</w:t>
                  </w:r>
                </w:p>
              </w:tc>
              <w:tc>
                <w:tcPr>
                  <w:tcW w:w="660" w:type="dxa"/>
                  <w:tcBorders>
                    <w:tl2br w:val="nil"/>
                    <w:tr2bl w:val="nil"/>
                  </w:tcBorders>
                  <w:shd w:val="clear" w:color="auto" w:fill="auto"/>
                  <w:noWrap/>
                  <w:vAlign w:val="center"/>
                </w:tcPr>
                <w:p w14:paraId="0CAF63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noWrap/>
                  <w:vAlign w:val="center"/>
                </w:tcPr>
                <w:p w14:paraId="2E47447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114C8D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1用1备，变频 </w:t>
                  </w:r>
                </w:p>
              </w:tc>
            </w:tr>
            <w:tr w14:paraId="2980C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56FF3A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1536" w:type="dxa"/>
                  <w:tcBorders>
                    <w:tl2br w:val="nil"/>
                    <w:tr2bl w:val="nil"/>
                  </w:tcBorders>
                  <w:shd w:val="clear" w:color="auto" w:fill="auto"/>
                  <w:noWrap/>
                  <w:vAlign w:val="center"/>
                </w:tcPr>
                <w:p w14:paraId="195545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溶气水罐</w:t>
                  </w:r>
                </w:p>
              </w:tc>
              <w:tc>
                <w:tcPr>
                  <w:tcW w:w="2477" w:type="dxa"/>
                  <w:tcBorders>
                    <w:tl2br w:val="nil"/>
                    <w:tr2bl w:val="nil"/>
                  </w:tcBorders>
                  <w:shd w:val="clear" w:color="auto" w:fill="auto"/>
                  <w:noWrap/>
                  <w:vAlign w:val="center"/>
                </w:tcPr>
                <w:p w14:paraId="6D8AE2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φ0.3m，H=3.18m</w:t>
                  </w:r>
                </w:p>
              </w:tc>
              <w:tc>
                <w:tcPr>
                  <w:tcW w:w="660" w:type="dxa"/>
                  <w:tcBorders>
                    <w:tl2br w:val="nil"/>
                    <w:tr2bl w:val="nil"/>
                  </w:tcBorders>
                  <w:shd w:val="clear" w:color="auto" w:fill="auto"/>
                  <w:noWrap/>
                  <w:vAlign w:val="center"/>
                </w:tcPr>
                <w:p w14:paraId="22A0207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noWrap/>
                  <w:vAlign w:val="center"/>
                </w:tcPr>
                <w:p w14:paraId="141AB8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noWrap/>
                  <w:vAlign w:val="center"/>
                </w:tcPr>
                <w:p w14:paraId="3A7EBCE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带控制、监测仪表及安全阀等</w:t>
                  </w:r>
                </w:p>
              </w:tc>
            </w:tr>
            <w:tr w14:paraId="377E1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55D8C15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w:t>
                  </w:r>
                </w:p>
              </w:tc>
              <w:tc>
                <w:tcPr>
                  <w:tcW w:w="1536" w:type="dxa"/>
                  <w:tcBorders>
                    <w:tl2br w:val="nil"/>
                    <w:tr2bl w:val="nil"/>
                  </w:tcBorders>
                  <w:shd w:val="clear" w:color="auto" w:fill="auto"/>
                  <w:noWrap/>
                  <w:vAlign w:val="center"/>
                </w:tcPr>
                <w:p w14:paraId="349CE7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无油空气压缩机</w:t>
                  </w:r>
                </w:p>
              </w:tc>
              <w:tc>
                <w:tcPr>
                  <w:tcW w:w="2477" w:type="dxa"/>
                  <w:tcBorders>
                    <w:tl2br w:val="nil"/>
                    <w:tr2bl w:val="nil"/>
                  </w:tcBorders>
                  <w:shd w:val="clear" w:color="auto" w:fill="auto"/>
                  <w:noWrap/>
                  <w:vAlign w:val="center"/>
                </w:tcPr>
                <w:p w14:paraId="07482F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Q=0.2m[3]/min，H=0.8MPa，P=1.5kW</w:t>
                  </w:r>
                </w:p>
              </w:tc>
              <w:tc>
                <w:tcPr>
                  <w:tcW w:w="660" w:type="dxa"/>
                  <w:tcBorders>
                    <w:tl2br w:val="nil"/>
                    <w:tr2bl w:val="nil"/>
                  </w:tcBorders>
                  <w:shd w:val="clear" w:color="auto" w:fill="auto"/>
                  <w:noWrap/>
                  <w:vAlign w:val="center"/>
                </w:tcPr>
                <w:p w14:paraId="73FEE1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noWrap/>
                  <w:vAlign w:val="center"/>
                </w:tcPr>
                <w:p w14:paraId="39D9CD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1E2632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1用1备，气浮池用</w:t>
                  </w:r>
                </w:p>
              </w:tc>
            </w:tr>
            <w:tr w14:paraId="5CD2D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1AB4BD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5</w:t>
                  </w:r>
                </w:p>
              </w:tc>
              <w:tc>
                <w:tcPr>
                  <w:tcW w:w="1536" w:type="dxa"/>
                  <w:tcBorders>
                    <w:tl2br w:val="nil"/>
                    <w:tr2bl w:val="nil"/>
                  </w:tcBorders>
                  <w:shd w:val="clear" w:color="auto" w:fill="auto"/>
                  <w:noWrap/>
                  <w:vAlign w:val="center"/>
                </w:tcPr>
                <w:p w14:paraId="7DB341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反冲洗水泵</w:t>
                  </w:r>
                </w:p>
              </w:tc>
              <w:tc>
                <w:tcPr>
                  <w:tcW w:w="2477" w:type="dxa"/>
                  <w:tcBorders>
                    <w:tl2br w:val="nil"/>
                    <w:tr2bl w:val="nil"/>
                  </w:tcBorders>
                  <w:shd w:val="clear" w:color="auto" w:fill="auto"/>
                  <w:noWrap/>
                  <w:vAlign w:val="center"/>
                </w:tcPr>
                <w:p w14:paraId="243A76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Q=88m[3]/h，H=11m，P=4.0kW</w:t>
                  </w:r>
                </w:p>
              </w:tc>
              <w:tc>
                <w:tcPr>
                  <w:tcW w:w="660" w:type="dxa"/>
                  <w:tcBorders>
                    <w:tl2br w:val="nil"/>
                    <w:tr2bl w:val="nil"/>
                  </w:tcBorders>
                  <w:shd w:val="clear" w:color="auto" w:fill="auto"/>
                  <w:noWrap/>
                  <w:vAlign w:val="center"/>
                </w:tcPr>
                <w:p w14:paraId="5FC662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noWrap/>
                  <w:vAlign w:val="center"/>
                </w:tcPr>
                <w:p w14:paraId="32CD10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0BFCE1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2用1备</w:t>
                  </w:r>
                </w:p>
              </w:tc>
            </w:tr>
            <w:tr w14:paraId="0BB18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239DD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6</w:t>
                  </w:r>
                </w:p>
              </w:tc>
              <w:tc>
                <w:tcPr>
                  <w:tcW w:w="1536" w:type="dxa"/>
                  <w:tcBorders>
                    <w:tl2br w:val="nil"/>
                    <w:tr2bl w:val="nil"/>
                  </w:tcBorders>
                  <w:shd w:val="clear" w:color="auto" w:fill="auto"/>
                  <w:noWrap/>
                  <w:vAlign w:val="center"/>
                </w:tcPr>
                <w:p w14:paraId="05601A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罗茨风机</w:t>
                  </w:r>
                </w:p>
              </w:tc>
              <w:tc>
                <w:tcPr>
                  <w:tcW w:w="2477" w:type="dxa"/>
                  <w:tcBorders>
                    <w:tl2br w:val="nil"/>
                    <w:tr2bl w:val="nil"/>
                  </w:tcBorders>
                  <w:shd w:val="clear" w:color="auto" w:fill="auto"/>
                  <w:noWrap/>
                  <w:vAlign w:val="center"/>
                </w:tcPr>
                <w:p w14:paraId="00CE24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Q=7.3m[3]/min，P=49KPa，P=15kW</w:t>
                  </w:r>
                </w:p>
              </w:tc>
              <w:tc>
                <w:tcPr>
                  <w:tcW w:w="660" w:type="dxa"/>
                  <w:tcBorders>
                    <w:tl2br w:val="nil"/>
                    <w:tr2bl w:val="nil"/>
                  </w:tcBorders>
                  <w:shd w:val="clear" w:color="auto" w:fill="auto"/>
                  <w:noWrap/>
                  <w:vAlign w:val="center"/>
                </w:tcPr>
                <w:p w14:paraId="610BA86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noWrap/>
                  <w:vAlign w:val="center"/>
                </w:tcPr>
                <w:p w14:paraId="4B86B2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7AD58B0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1用1备</w:t>
                  </w:r>
                </w:p>
              </w:tc>
            </w:tr>
            <w:tr w14:paraId="3AE44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035CF76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7</w:t>
                  </w:r>
                </w:p>
              </w:tc>
              <w:tc>
                <w:tcPr>
                  <w:tcW w:w="1536" w:type="dxa"/>
                  <w:tcBorders>
                    <w:tl2br w:val="nil"/>
                    <w:tr2bl w:val="nil"/>
                  </w:tcBorders>
                  <w:shd w:val="clear" w:color="auto" w:fill="auto"/>
                  <w:noWrap/>
                  <w:vAlign w:val="center"/>
                </w:tcPr>
                <w:p w14:paraId="4C3BE0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无油空气压缩机</w:t>
                  </w:r>
                </w:p>
              </w:tc>
              <w:tc>
                <w:tcPr>
                  <w:tcW w:w="2477" w:type="dxa"/>
                  <w:tcBorders>
                    <w:tl2br w:val="nil"/>
                    <w:tr2bl w:val="nil"/>
                  </w:tcBorders>
                  <w:shd w:val="clear" w:color="auto" w:fill="auto"/>
                  <w:noWrap/>
                  <w:vAlign w:val="center"/>
                </w:tcPr>
                <w:p w14:paraId="53C823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Q=0.8m[3]/min，H=0.7MPa，P=7.5kW</w:t>
                  </w:r>
                </w:p>
              </w:tc>
              <w:tc>
                <w:tcPr>
                  <w:tcW w:w="660" w:type="dxa"/>
                  <w:tcBorders>
                    <w:tl2br w:val="nil"/>
                    <w:tr2bl w:val="nil"/>
                  </w:tcBorders>
                  <w:shd w:val="clear" w:color="auto" w:fill="auto"/>
                  <w:noWrap/>
                  <w:vAlign w:val="center"/>
                </w:tcPr>
                <w:p w14:paraId="116E42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noWrap/>
                  <w:vAlign w:val="center"/>
                </w:tcPr>
                <w:p w14:paraId="3C57BB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314AB6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1用1备，滤池用，配套干燥器、过滤器、管路及阀门阀件等</w:t>
                  </w:r>
                </w:p>
              </w:tc>
            </w:tr>
            <w:tr w14:paraId="183EE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4E8629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8</w:t>
                  </w:r>
                </w:p>
              </w:tc>
              <w:tc>
                <w:tcPr>
                  <w:tcW w:w="1536" w:type="dxa"/>
                  <w:tcBorders>
                    <w:tl2br w:val="nil"/>
                    <w:tr2bl w:val="nil"/>
                  </w:tcBorders>
                  <w:shd w:val="clear" w:color="auto" w:fill="auto"/>
                  <w:noWrap/>
                  <w:vAlign w:val="center"/>
                </w:tcPr>
                <w:p w14:paraId="586AB7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储气罐</w:t>
                  </w:r>
                </w:p>
              </w:tc>
              <w:tc>
                <w:tcPr>
                  <w:tcW w:w="2477" w:type="dxa"/>
                  <w:tcBorders>
                    <w:tl2br w:val="nil"/>
                    <w:tr2bl w:val="nil"/>
                  </w:tcBorders>
                  <w:shd w:val="clear" w:color="auto" w:fill="auto"/>
                  <w:noWrap/>
                  <w:vAlign w:val="center"/>
                </w:tcPr>
                <w:p w14:paraId="76F734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V=1m[3]</w:t>
                  </w:r>
                </w:p>
              </w:tc>
              <w:tc>
                <w:tcPr>
                  <w:tcW w:w="660" w:type="dxa"/>
                  <w:tcBorders>
                    <w:tl2br w:val="nil"/>
                    <w:tr2bl w:val="nil"/>
                  </w:tcBorders>
                  <w:shd w:val="clear" w:color="auto" w:fill="auto"/>
                  <w:noWrap/>
                  <w:vAlign w:val="center"/>
                </w:tcPr>
                <w:p w14:paraId="72F74C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923AB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noWrap/>
                  <w:vAlign w:val="center"/>
                </w:tcPr>
                <w:p w14:paraId="1A8DB7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54746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64614A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9</w:t>
                  </w:r>
                </w:p>
              </w:tc>
              <w:tc>
                <w:tcPr>
                  <w:tcW w:w="1536" w:type="dxa"/>
                  <w:tcBorders>
                    <w:tl2br w:val="nil"/>
                    <w:tr2bl w:val="nil"/>
                  </w:tcBorders>
                  <w:shd w:val="clear" w:color="auto" w:fill="auto"/>
                  <w:noWrap/>
                  <w:vAlign w:val="center"/>
                </w:tcPr>
                <w:p w14:paraId="2E54FC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电动双法兰软密封蝶阀</w:t>
                  </w:r>
                </w:p>
              </w:tc>
              <w:tc>
                <w:tcPr>
                  <w:tcW w:w="2477" w:type="dxa"/>
                  <w:tcBorders>
                    <w:tl2br w:val="nil"/>
                    <w:tr2bl w:val="nil"/>
                  </w:tcBorders>
                  <w:shd w:val="clear" w:color="auto" w:fill="auto"/>
                  <w:noWrap/>
                  <w:vAlign w:val="center"/>
                </w:tcPr>
                <w:p w14:paraId="1E79C2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DN150/50，PN1.0MPa，D941X-10Q</w:t>
                  </w:r>
                </w:p>
              </w:tc>
              <w:tc>
                <w:tcPr>
                  <w:tcW w:w="660" w:type="dxa"/>
                  <w:tcBorders>
                    <w:tl2br w:val="nil"/>
                    <w:tr2bl w:val="nil"/>
                  </w:tcBorders>
                  <w:shd w:val="clear" w:color="auto" w:fill="auto"/>
                  <w:noWrap/>
                  <w:vAlign w:val="center"/>
                </w:tcPr>
                <w:p w14:paraId="368B6F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0FBBE8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3/2</w:t>
                  </w:r>
                </w:p>
              </w:tc>
              <w:tc>
                <w:tcPr>
                  <w:tcW w:w="2893" w:type="dxa"/>
                  <w:tcBorders>
                    <w:tl2br w:val="nil"/>
                    <w:tr2bl w:val="nil"/>
                  </w:tcBorders>
                  <w:shd w:val="clear" w:color="auto" w:fill="auto"/>
                  <w:noWrap/>
                  <w:vAlign w:val="center"/>
                </w:tcPr>
                <w:p w14:paraId="4A1EFFB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反冲洗水泵/回流水泵出口</w:t>
                  </w:r>
                </w:p>
              </w:tc>
            </w:tr>
            <w:tr w14:paraId="10055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40AD8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10</w:t>
                  </w:r>
                </w:p>
              </w:tc>
              <w:tc>
                <w:tcPr>
                  <w:tcW w:w="1536" w:type="dxa"/>
                  <w:tcBorders>
                    <w:tl2br w:val="nil"/>
                    <w:tr2bl w:val="nil"/>
                  </w:tcBorders>
                  <w:shd w:val="clear" w:color="auto" w:fill="auto"/>
                  <w:noWrap/>
                  <w:vAlign w:val="center"/>
                </w:tcPr>
                <w:p w14:paraId="0805E0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手动双法兰软密封蝶阀</w:t>
                  </w:r>
                </w:p>
              </w:tc>
              <w:tc>
                <w:tcPr>
                  <w:tcW w:w="2477" w:type="dxa"/>
                  <w:tcBorders>
                    <w:tl2br w:val="nil"/>
                    <w:tr2bl w:val="nil"/>
                  </w:tcBorders>
                  <w:shd w:val="clear" w:color="auto" w:fill="auto"/>
                  <w:noWrap/>
                  <w:vAlign w:val="center"/>
                </w:tcPr>
                <w:p w14:paraId="0C9B904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DN200/150，PN1.0MPa，D341X-10Q</w:t>
                  </w:r>
                </w:p>
              </w:tc>
              <w:tc>
                <w:tcPr>
                  <w:tcW w:w="660" w:type="dxa"/>
                  <w:tcBorders>
                    <w:tl2br w:val="nil"/>
                    <w:tr2bl w:val="nil"/>
                  </w:tcBorders>
                  <w:shd w:val="clear" w:color="auto" w:fill="auto"/>
                  <w:noWrap/>
                  <w:vAlign w:val="center"/>
                </w:tcPr>
                <w:p w14:paraId="4E3236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92F88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3/3</w:t>
                  </w:r>
                </w:p>
              </w:tc>
              <w:tc>
                <w:tcPr>
                  <w:tcW w:w="2893" w:type="dxa"/>
                  <w:tcBorders>
                    <w:tl2br w:val="nil"/>
                    <w:tr2bl w:val="nil"/>
                  </w:tcBorders>
                  <w:shd w:val="clear" w:color="auto" w:fill="auto"/>
                  <w:noWrap/>
                  <w:vAlign w:val="center"/>
                </w:tcPr>
                <w:p w14:paraId="4E6C94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反冲洗水泵进出口</w:t>
                  </w:r>
                </w:p>
              </w:tc>
            </w:tr>
            <w:tr w14:paraId="26F97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22CAE9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11</w:t>
                  </w:r>
                </w:p>
              </w:tc>
              <w:tc>
                <w:tcPr>
                  <w:tcW w:w="1536" w:type="dxa"/>
                  <w:tcBorders>
                    <w:tl2br w:val="nil"/>
                    <w:tr2bl w:val="nil"/>
                  </w:tcBorders>
                  <w:shd w:val="clear" w:color="auto" w:fill="auto"/>
                  <w:noWrap/>
                  <w:vAlign w:val="center"/>
                </w:tcPr>
                <w:p w14:paraId="650076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手动双法兰软密封蝶阀</w:t>
                  </w:r>
                </w:p>
              </w:tc>
              <w:tc>
                <w:tcPr>
                  <w:tcW w:w="2477" w:type="dxa"/>
                  <w:tcBorders>
                    <w:tl2br w:val="nil"/>
                    <w:tr2bl w:val="nil"/>
                  </w:tcBorders>
                  <w:shd w:val="clear" w:color="auto" w:fill="auto"/>
                  <w:noWrap/>
                  <w:vAlign w:val="center"/>
                </w:tcPr>
                <w:p w14:paraId="4FC4700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DN100/50，PN1.6MPa，D341X-16Q</w:t>
                  </w:r>
                </w:p>
              </w:tc>
              <w:tc>
                <w:tcPr>
                  <w:tcW w:w="660" w:type="dxa"/>
                  <w:tcBorders>
                    <w:tl2br w:val="nil"/>
                    <w:tr2bl w:val="nil"/>
                  </w:tcBorders>
                  <w:shd w:val="clear" w:color="auto" w:fill="auto"/>
                  <w:noWrap/>
                  <w:vAlign w:val="center"/>
                </w:tcPr>
                <w:p w14:paraId="6A4424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8EC87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2/4</w:t>
                  </w:r>
                </w:p>
              </w:tc>
              <w:tc>
                <w:tcPr>
                  <w:tcW w:w="2893" w:type="dxa"/>
                  <w:tcBorders>
                    <w:tl2br w:val="nil"/>
                    <w:tr2bl w:val="nil"/>
                  </w:tcBorders>
                  <w:shd w:val="clear" w:color="auto" w:fill="auto"/>
                  <w:noWrap/>
                  <w:vAlign w:val="center"/>
                </w:tcPr>
                <w:p w14:paraId="2DEB44A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罗茨风机出口/回流水泵进出口</w:t>
                  </w:r>
                </w:p>
              </w:tc>
            </w:tr>
            <w:tr w14:paraId="0B0A9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08D06B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12</w:t>
                  </w:r>
                </w:p>
              </w:tc>
              <w:tc>
                <w:tcPr>
                  <w:tcW w:w="1536" w:type="dxa"/>
                  <w:tcBorders>
                    <w:tl2br w:val="nil"/>
                    <w:tr2bl w:val="nil"/>
                  </w:tcBorders>
                  <w:shd w:val="clear" w:color="auto" w:fill="auto"/>
                  <w:noWrap/>
                  <w:vAlign w:val="center"/>
                </w:tcPr>
                <w:p w14:paraId="5DA8F6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橡胶瓣止回阀</w:t>
                  </w:r>
                </w:p>
              </w:tc>
              <w:tc>
                <w:tcPr>
                  <w:tcW w:w="2477" w:type="dxa"/>
                  <w:tcBorders>
                    <w:tl2br w:val="nil"/>
                    <w:tr2bl w:val="nil"/>
                  </w:tcBorders>
                  <w:shd w:val="clear" w:color="auto" w:fill="auto"/>
                  <w:noWrap/>
                  <w:vAlign w:val="center"/>
                </w:tcPr>
                <w:p w14:paraId="55B2E5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DN150/50，PN1.6MPa，HC44X-16Q</w:t>
                  </w:r>
                </w:p>
              </w:tc>
              <w:tc>
                <w:tcPr>
                  <w:tcW w:w="660" w:type="dxa"/>
                  <w:tcBorders>
                    <w:tl2br w:val="nil"/>
                    <w:tr2bl w:val="nil"/>
                  </w:tcBorders>
                  <w:shd w:val="clear" w:color="auto" w:fill="auto"/>
                  <w:noWrap/>
                  <w:vAlign w:val="center"/>
                </w:tcPr>
                <w:p w14:paraId="2534D5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2126381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3/2</w:t>
                  </w:r>
                </w:p>
              </w:tc>
              <w:tc>
                <w:tcPr>
                  <w:tcW w:w="2893" w:type="dxa"/>
                  <w:tcBorders>
                    <w:tl2br w:val="nil"/>
                    <w:tr2bl w:val="nil"/>
                  </w:tcBorders>
                  <w:shd w:val="clear" w:color="auto" w:fill="auto"/>
                  <w:noWrap/>
                  <w:vAlign w:val="center"/>
                </w:tcPr>
                <w:p w14:paraId="693078E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61787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5568204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13</w:t>
                  </w:r>
                </w:p>
              </w:tc>
              <w:tc>
                <w:tcPr>
                  <w:tcW w:w="1536" w:type="dxa"/>
                  <w:tcBorders>
                    <w:tl2br w:val="nil"/>
                    <w:tr2bl w:val="nil"/>
                  </w:tcBorders>
                  <w:shd w:val="clear" w:color="auto" w:fill="auto"/>
                  <w:noWrap/>
                  <w:vAlign w:val="center"/>
                </w:tcPr>
                <w:p w14:paraId="3D6F7D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气动出水蝶阀</w:t>
                  </w:r>
                </w:p>
              </w:tc>
              <w:tc>
                <w:tcPr>
                  <w:tcW w:w="2477" w:type="dxa"/>
                  <w:tcBorders>
                    <w:tl2br w:val="nil"/>
                    <w:tr2bl w:val="nil"/>
                  </w:tcBorders>
                  <w:shd w:val="clear" w:color="auto" w:fill="auto"/>
                  <w:noWrap/>
                  <w:vAlign w:val="center"/>
                </w:tcPr>
                <w:p w14:paraId="199CC8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DN150，PN1.0MPa，D641X-10Q</w:t>
                  </w:r>
                </w:p>
              </w:tc>
              <w:tc>
                <w:tcPr>
                  <w:tcW w:w="660" w:type="dxa"/>
                  <w:tcBorders>
                    <w:tl2br w:val="nil"/>
                    <w:tr2bl w:val="nil"/>
                  </w:tcBorders>
                  <w:shd w:val="clear" w:color="auto" w:fill="auto"/>
                  <w:noWrap/>
                  <w:vAlign w:val="center"/>
                </w:tcPr>
                <w:p w14:paraId="2383A6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95680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6806FD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660C3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AA2A64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14</w:t>
                  </w:r>
                </w:p>
              </w:tc>
              <w:tc>
                <w:tcPr>
                  <w:tcW w:w="1536" w:type="dxa"/>
                  <w:tcBorders>
                    <w:tl2br w:val="nil"/>
                    <w:tr2bl w:val="nil"/>
                  </w:tcBorders>
                  <w:shd w:val="clear" w:color="auto" w:fill="auto"/>
                  <w:noWrap/>
                  <w:vAlign w:val="center"/>
                </w:tcPr>
                <w:p w14:paraId="69C969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气动反冲洗进水蝶阀</w:t>
                  </w:r>
                </w:p>
              </w:tc>
              <w:tc>
                <w:tcPr>
                  <w:tcW w:w="2477" w:type="dxa"/>
                  <w:tcBorders>
                    <w:tl2br w:val="nil"/>
                    <w:tr2bl w:val="nil"/>
                  </w:tcBorders>
                  <w:shd w:val="clear" w:color="auto" w:fill="auto"/>
                  <w:noWrap/>
                  <w:vAlign w:val="center"/>
                </w:tcPr>
                <w:p w14:paraId="79213E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DN200，PN1.0MPa，D641X-10Q</w:t>
                  </w:r>
                </w:p>
              </w:tc>
              <w:tc>
                <w:tcPr>
                  <w:tcW w:w="660" w:type="dxa"/>
                  <w:tcBorders>
                    <w:tl2br w:val="nil"/>
                    <w:tr2bl w:val="nil"/>
                  </w:tcBorders>
                  <w:shd w:val="clear" w:color="auto" w:fill="auto"/>
                  <w:noWrap/>
                  <w:vAlign w:val="center"/>
                </w:tcPr>
                <w:p w14:paraId="219E67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6BB16F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147D4A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62A4B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5EE656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15</w:t>
                  </w:r>
                </w:p>
              </w:tc>
              <w:tc>
                <w:tcPr>
                  <w:tcW w:w="1536" w:type="dxa"/>
                  <w:tcBorders>
                    <w:tl2br w:val="nil"/>
                    <w:tr2bl w:val="nil"/>
                  </w:tcBorders>
                  <w:shd w:val="clear" w:color="auto" w:fill="auto"/>
                  <w:noWrap/>
                  <w:vAlign w:val="center"/>
                </w:tcPr>
                <w:p w14:paraId="4E48E0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气动反冲洗进气蝶阀</w:t>
                  </w:r>
                </w:p>
              </w:tc>
              <w:tc>
                <w:tcPr>
                  <w:tcW w:w="2477" w:type="dxa"/>
                  <w:tcBorders>
                    <w:tl2br w:val="nil"/>
                    <w:tr2bl w:val="nil"/>
                  </w:tcBorders>
                  <w:shd w:val="clear" w:color="auto" w:fill="auto"/>
                  <w:noWrap/>
                  <w:vAlign w:val="center"/>
                </w:tcPr>
                <w:p w14:paraId="22700AA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DN100，PN1.6MPa，D641X-10Q</w:t>
                  </w:r>
                </w:p>
              </w:tc>
              <w:tc>
                <w:tcPr>
                  <w:tcW w:w="660" w:type="dxa"/>
                  <w:tcBorders>
                    <w:tl2br w:val="nil"/>
                    <w:tr2bl w:val="nil"/>
                  </w:tcBorders>
                  <w:shd w:val="clear" w:color="auto" w:fill="auto"/>
                  <w:noWrap/>
                  <w:vAlign w:val="center"/>
                </w:tcPr>
                <w:p w14:paraId="7527A8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AFC64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652B3D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4C953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7078BE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16</w:t>
                  </w:r>
                </w:p>
              </w:tc>
              <w:tc>
                <w:tcPr>
                  <w:tcW w:w="1536" w:type="dxa"/>
                  <w:tcBorders>
                    <w:tl2br w:val="nil"/>
                    <w:tr2bl w:val="nil"/>
                  </w:tcBorders>
                  <w:shd w:val="clear" w:color="auto" w:fill="auto"/>
                  <w:noWrap/>
                  <w:vAlign w:val="center"/>
                </w:tcPr>
                <w:p w14:paraId="7EEFDC2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气动反冲洗排水蝶阀</w:t>
                  </w:r>
                </w:p>
              </w:tc>
              <w:tc>
                <w:tcPr>
                  <w:tcW w:w="2477" w:type="dxa"/>
                  <w:tcBorders>
                    <w:tl2br w:val="nil"/>
                    <w:tr2bl w:val="nil"/>
                  </w:tcBorders>
                  <w:shd w:val="clear" w:color="auto" w:fill="auto"/>
                  <w:noWrap/>
                  <w:vAlign w:val="center"/>
                </w:tcPr>
                <w:p w14:paraId="2298CB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DN250，PN1.0MPa，D641X-10Q</w:t>
                  </w:r>
                </w:p>
              </w:tc>
              <w:tc>
                <w:tcPr>
                  <w:tcW w:w="660" w:type="dxa"/>
                  <w:tcBorders>
                    <w:tl2br w:val="nil"/>
                    <w:tr2bl w:val="nil"/>
                  </w:tcBorders>
                  <w:shd w:val="clear" w:color="auto" w:fill="auto"/>
                  <w:noWrap/>
                  <w:vAlign w:val="center"/>
                </w:tcPr>
                <w:p w14:paraId="524ED23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A60FA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35392B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32383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67FFFD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17</w:t>
                  </w:r>
                </w:p>
              </w:tc>
              <w:tc>
                <w:tcPr>
                  <w:tcW w:w="1536" w:type="dxa"/>
                  <w:tcBorders>
                    <w:tl2br w:val="nil"/>
                    <w:tr2bl w:val="nil"/>
                  </w:tcBorders>
                  <w:shd w:val="clear" w:color="auto" w:fill="auto"/>
                  <w:noWrap/>
                  <w:vAlign w:val="center"/>
                </w:tcPr>
                <w:p w14:paraId="1EE5A6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气动初滤水蝶阀</w:t>
                  </w:r>
                </w:p>
              </w:tc>
              <w:tc>
                <w:tcPr>
                  <w:tcW w:w="2477" w:type="dxa"/>
                  <w:tcBorders>
                    <w:tl2br w:val="nil"/>
                    <w:tr2bl w:val="nil"/>
                  </w:tcBorders>
                  <w:shd w:val="clear" w:color="auto" w:fill="auto"/>
                  <w:noWrap/>
                  <w:vAlign w:val="center"/>
                </w:tcPr>
                <w:p w14:paraId="2534AB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DN150，PN1.0MPa，D641X-10Q</w:t>
                  </w:r>
                </w:p>
              </w:tc>
              <w:tc>
                <w:tcPr>
                  <w:tcW w:w="660" w:type="dxa"/>
                  <w:tcBorders>
                    <w:tl2br w:val="nil"/>
                    <w:tr2bl w:val="nil"/>
                  </w:tcBorders>
                  <w:shd w:val="clear" w:color="auto" w:fill="auto"/>
                  <w:noWrap/>
                  <w:vAlign w:val="center"/>
                </w:tcPr>
                <w:p w14:paraId="6E17F4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23F97B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41D039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63578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14EA2B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18</w:t>
                  </w:r>
                </w:p>
              </w:tc>
              <w:tc>
                <w:tcPr>
                  <w:tcW w:w="1536" w:type="dxa"/>
                  <w:tcBorders>
                    <w:tl2br w:val="nil"/>
                    <w:tr2bl w:val="nil"/>
                  </w:tcBorders>
                  <w:shd w:val="clear" w:color="auto" w:fill="auto"/>
                  <w:noWrap/>
                  <w:vAlign w:val="center"/>
                </w:tcPr>
                <w:p w14:paraId="5EA421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气动进水闸板</w:t>
                  </w:r>
                </w:p>
              </w:tc>
              <w:tc>
                <w:tcPr>
                  <w:tcW w:w="2477" w:type="dxa"/>
                  <w:tcBorders>
                    <w:tl2br w:val="nil"/>
                    <w:tr2bl w:val="nil"/>
                  </w:tcBorders>
                  <w:shd w:val="clear" w:color="auto" w:fill="auto"/>
                  <w:noWrap/>
                  <w:vAlign w:val="center"/>
                </w:tcPr>
                <w:p w14:paraId="0B97B3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300x300</w:t>
                  </w:r>
                </w:p>
              </w:tc>
              <w:tc>
                <w:tcPr>
                  <w:tcW w:w="660" w:type="dxa"/>
                  <w:tcBorders>
                    <w:tl2br w:val="nil"/>
                    <w:tr2bl w:val="nil"/>
                  </w:tcBorders>
                  <w:shd w:val="clear" w:color="auto" w:fill="auto"/>
                  <w:noWrap/>
                  <w:vAlign w:val="center"/>
                </w:tcPr>
                <w:p w14:paraId="2ECAB02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6DC372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0A047E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6EBE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045BCE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19</w:t>
                  </w:r>
                </w:p>
              </w:tc>
              <w:tc>
                <w:tcPr>
                  <w:tcW w:w="1536" w:type="dxa"/>
                  <w:tcBorders>
                    <w:tl2br w:val="nil"/>
                    <w:tr2bl w:val="nil"/>
                  </w:tcBorders>
                  <w:shd w:val="clear" w:color="auto" w:fill="auto"/>
                  <w:noWrap/>
                  <w:vAlign w:val="center"/>
                </w:tcPr>
                <w:p w14:paraId="69E714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477" w:type="dxa"/>
                  <w:tcBorders>
                    <w:tl2br w:val="nil"/>
                    <w:tr2bl w:val="nil"/>
                  </w:tcBorders>
                  <w:shd w:val="clear" w:color="auto" w:fill="auto"/>
                  <w:noWrap/>
                  <w:vAlign w:val="center"/>
                </w:tcPr>
                <w:p w14:paraId="6E8C1E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DN250/200，PN1.0MPa</w:t>
                  </w:r>
                </w:p>
              </w:tc>
              <w:tc>
                <w:tcPr>
                  <w:tcW w:w="660" w:type="dxa"/>
                  <w:tcBorders>
                    <w:tl2br w:val="nil"/>
                    <w:tr2bl w:val="nil"/>
                  </w:tcBorders>
                  <w:shd w:val="clear" w:color="auto" w:fill="auto"/>
                  <w:noWrap/>
                  <w:vAlign w:val="center"/>
                </w:tcPr>
                <w:p w14:paraId="025EB0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20F4C4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2/5</w:t>
                  </w:r>
                </w:p>
              </w:tc>
              <w:tc>
                <w:tcPr>
                  <w:tcW w:w="2893" w:type="dxa"/>
                  <w:tcBorders>
                    <w:tl2br w:val="nil"/>
                    <w:tr2bl w:val="nil"/>
                  </w:tcBorders>
                  <w:shd w:val="clear" w:color="auto" w:fill="auto"/>
                  <w:noWrap/>
                  <w:vAlign w:val="center"/>
                </w:tcPr>
                <w:p w14:paraId="5ADFF3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7FFD1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0988326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20</w:t>
                  </w:r>
                </w:p>
              </w:tc>
              <w:tc>
                <w:tcPr>
                  <w:tcW w:w="1536" w:type="dxa"/>
                  <w:tcBorders>
                    <w:tl2br w:val="nil"/>
                    <w:tr2bl w:val="nil"/>
                  </w:tcBorders>
                  <w:shd w:val="clear" w:color="auto" w:fill="auto"/>
                  <w:noWrap/>
                  <w:vAlign w:val="center"/>
                </w:tcPr>
                <w:p w14:paraId="6BEBD0A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477" w:type="dxa"/>
                  <w:tcBorders>
                    <w:tl2br w:val="nil"/>
                    <w:tr2bl w:val="nil"/>
                  </w:tcBorders>
                  <w:shd w:val="clear" w:color="auto" w:fill="auto"/>
                  <w:noWrap/>
                  <w:vAlign w:val="center"/>
                </w:tcPr>
                <w:p w14:paraId="5ABB3F7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DN150/100，PN1.0MPa</w:t>
                  </w:r>
                </w:p>
              </w:tc>
              <w:tc>
                <w:tcPr>
                  <w:tcW w:w="660" w:type="dxa"/>
                  <w:tcBorders>
                    <w:tl2br w:val="nil"/>
                    <w:tr2bl w:val="nil"/>
                  </w:tcBorders>
                  <w:shd w:val="clear" w:color="auto" w:fill="auto"/>
                  <w:noWrap/>
                  <w:vAlign w:val="center"/>
                </w:tcPr>
                <w:p w14:paraId="0FC6E7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565899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4/2</w:t>
                  </w:r>
                </w:p>
              </w:tc>
              <w:tc>
                <w:tcPr>
                  <w:tcW w:w="2893" w:type="dxa"/>
                  <w:tcBorders>
                    <w:tl2br w:val="nil"/>
                    <w:tr2bl w:val="nil"/>
                  </w:tcBorders>
                  <w:shd w:val="clear" w:color="auto" w:fill="auto"/>
                  <w:noWrap/>
                  <w:vAlign w:val="center"/>
                </w:tcPr>
                <w:p w14:paraId="17AE14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2A935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16E102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21</w:t>
                  </w:r>
                </w:p>
              </w:tc>
              <w:tc>
                <w:tcPr>
                  <w:tcW w:w="1536" w:type="dxa"/>
                  <w:tcBorders>
                    <w:tl2br w:val="nil"/>
                    <w:tr2bl w:val="nil"/>
                  </w:tcBorders>
                  <w:shd w:val="clear" w:color="auto" w:fill="auto"/>
                  <w:noWrap/>
                  <w:vAlign w:val="center"/>
                </w:tcPr>
                <w:p w14:paraId="066AB8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双法兰传力接头</w:t>
                  </w:r>
                </w:p>
              </w:tc>
              <w:tc>
                <w:tcPr>
                  <w:tcW w:w="2477" w:type="dxa"/>
                  <w:tcBorders>
                    <w:tl2br w:val="nil"/>
                    <w:tr2bl w:val="nil"/>
                  </w:tcBorders>
                  <w:shd w:val="clear" w:color="auto" w:fill="auto"/>
                  <w:noWrap/>
                  <w:vAlign w:val="center"/>
                </w:tcPr>
                <w:p w14:paraId="5AFD99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DN150，PN1.0MPa</w:t>
                  </w:r>
                </w:p>
              </w:tc>
              <w:tc>
                <w:tcPr>
                  <w:tcW w:w="660" w:type="dxa"/>
                  <w:tcBorders>
                    <w:tl2br w:val="nil"/>
                    <w:tr2bl w:val="nil"/>
                  </w:tcBorders>
                  <w:shd w:val="clear" w:color="auto" w:fill="auto"/>
                  <w:noWrap/>
                  <w:vAlign w:val="center"/>
                </w:tcPr>
                <w:p w14:paraId="2DA825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1FDE19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61AA6B3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10AA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7F7587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22</w:t>
                  </w:r>
                </w:p>
              </w:tc>
              <w:tc>
                <w:tcPr>
                  <w:tcW w:w="1536" w:type="dxa"/>
                  <w:tcBorders>
                    <w:tl2br w:val="nil"/>
                    <w:tr2bl w:val="nil"/>
                  </w:tcBorders>
                  <w:shd w:val="clear" w:color="auto" w:fill="auto"/>
                  <w:noWrap/>
                  <w:vAlign w:val="center"/>
                </w:tcPr>
                <w:p w14:paraId="1C2372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电磁阀岛</w:t>
                  </w:r>
                </w:p>
              </w:tc>
              <w:tc>
                <w:tcPr>
                  <w:tcW w:w="2477" w:type="dxa"/>
                  <w:tcBorders>
                    <w:tl2br w:val="nil"/>
                    <w:tr2bl w:val="nil"/>
                  </w:tcBorders>
                  <w:shd w:val="clear" w:color="auto" w:fill="auto"/>
                  <w:noWrap/>
                  <w:vAlign w:val="center"/>
                </w:tcPr>
                <w:p w14:paraId="206041B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60" w:type="dxa"/>
                  <w:tcBorders>
                    <w:tl2br w:val="nil"/>
                    <w:tr2bl w:val="nil"/>
                  </w:tcBorders>
                  <w:shd w:val="clear" w:color="auto" w:fill="auto"/>
                  <w:noWrap/>
                  <w:vAlign w:val="center"/>
                </w:tcPr>
                <w:p w14:paraId="3F7B181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noWrap/>
                  <w:vAlign w:val="center"/>
                </w:tcPr>
                <w:p w14:paraId="20FEED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noWrap/>
                  <w:vAlign w:val="center"/>
                </w:tcPr>
                <w:p w14:paraId="02084B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252B7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6DB9CB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23</w:t>
                  </w:r>
                </w:p>
              </w:tc>
              <w:tc>
                <w:tcPr>
                  <w:tcW w:w="1536" w:type="dxa"/>
                  <w:tcBorders>
                    <w:tl2br w:val="nil"/>
                    <w:tr2bl w:val="nil"/>
                  </w:tcBorders>
                  <w:shd w:val="clear" w:color="auto" w:fill="auto"/>
                  <w:noWrap/>
                  <w:vAlign w:val="center"/>
                </w:tcPr>
                <w:p w14:paraId="6D040E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角式排泥阀</w:t>
                  </w:r>
                </w:p>
              </w:tc>
              <w:tc>
                <w:tcPr>
                  <w:tcW w:w="2477" w:type="dxa"/>
                  <w:tcBorders>
                    <w:tl2br w:val="nil"/>
                    <w:tr2bl w:val="nil"/>
                  </w:tcBorders>
                  <w:shd w:val="clear" w:color="auto" w:fill="auto"/>
                  <w:noWrap/>
                  <w:vAlign w:val="center"/>
                </w:tcPr>
                <w:p w14:paraId="1FF532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DN100，PN1.6MPa</w:t>
                  </w:r>
                </w:p>
              </w:tc>
              <w:tc>
                <w:tcPr>
                  <w:tcW w:w="660" w:type="dxa"/>
                  <w:tcBorders>
                    <w:tl2br w:val="nil"/>
                    <w:tr2bl w:val="nil"/>
                  </w:tcBorders>
                  <w:shd w:val="clear" w:color="auto" w:fill="auto"/>
                  <w:noWrap/>
                  <w:vAlign w:val="center"/>
                </w:tcPr>
                <w:p w14:paraId="69DF09E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4ECF1A8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44</w:t>
                  </w:r>
                </w:p>
              </w:tc>
              <w:tc>
                <w:tcPr>
                  <w:tcW w:w="2893" w:type="dxa"/>
                  <w:tcBorders>
                    <w:tl2br w:val="nil"/>
                    <w:tr2bl w:val="nil"/>
                  </w:tcBorders>
                  <w:shd w:val="clear" w:color="auto" w:fill="auto"/>
                  <w:noWrap/>
                  <w:vAlign w:val="center"/>
                </w:tcPr>
                <w:p w14:paraId="308F51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絮凝沉淀气浮设备排泥</w:t>
                  </w:r>
                </w:p>
              </w:tc>
            </w:tr>
            <w:tr w14:paraId="50534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2523BDE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24</w:t>
                  </w:r>
                </w:p>
              </w:tc>
              <w:tc>
                <w:tcPr>
                  <w:tcW w:w="1536" w:type="dxa"/>
                  <w:tcBorders>
                    <w:tl2br w:val="nil"/>
                    <w:tr2bl w:val="nil"/>
                  </w:tcBorders>
                  <w:shd w:val="clear" w:color="auto" w:fill="auto"/>
                  <w:noWrap/>
                  <w:vAlign w:val="center"/>
                </w:tcPr>
                <w:p w14:paraId="5C4500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手动双法兰弹性座封闸阀</w:t>
                  </w:r>
                </w:p>
              </w:tc>
              <w:tc>
                <w:tcPr>
                  <w:tcW w:w="2477" w:type="dxa"/>
                  <w:tcBorders>
                    <w:tl2br w:val="nil"/>
                    <w:tr2bl w:val="nil"/>
                  </w:tcBorders>
                  <w:shd w:val="clear" w:color="auto" w:fill="auto"/>
                  <w:noWrap/>
                  <w:vAlign w:val="center"/>
                </w:tcPr>
                <w:p w14:paraId="21F39A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DN100，PN1.6MPa，Z45X-16Q</w:t>
                  </w:r>
                </w:p>
              </w:tc>
              <w:tc>
                <w:tcPr>
                  <w:tcW w:w="660" w:type="dxa"/>
                  <w:tcBorders>
                    <w:tl2br w:val="nil"/>
                    <w:tr2bl w:val="nil"/>
                  </w:tcBorders>
                  <w:shd w:val="clear" w:color="auto" w:fill="auto"/>
                  <w:noWrap/>
                  <w:vAlign w:val="center"/>
                </w:tcPr>
                <w:p w14:paraId="23DA2C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21BDD8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44</w:t>
                  </w:r>
                </w:p>
              </w:tc>
              <w:tc>
                <w:tcPr>
                  <w:tcW w:w="2893" w:type="dxa"/>
                  <w:tcBorders>
                    <w:tl2br w:val="nil"/>
                    <w:tr2bl w:val="nil"/>
                  </w:tcBorders>
                  <w:shd w:val="clear" w:color="auto" w:fill="auto"/>
                  <w:noWrap/>
                  <w:vAlign w:val="center"/>
                </w:tcPr>
                <w:p w14:paraId="64C99A9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絮凝沉淀气浮设备排泥</w:t>
                  </w:r>
                </w:p>
              </w:tc>
            </w:tr>
            <w:tr w14:paraId="6D140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40F858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25</w:t>
                  </w:r>
                </w:p>
              </w:tc>
              <w:tc>
                <w:tcPr>
                  <w:tcW w:w="1536" w:type="dxa"/>
                  <w:tcBorders>
                    <w:tl2br w:val="nil"/>
                    <w:tr2bl w:val="nil"/>
                  </w:tcBorders>
                  <w:shd w:val="clear" w:color="auto" w:fill="auto"/>
                  <w:noWrap/>
                  <w:vAlign w:val="center"/>
                </w:tcPr>
                <w:p w14:paraId="67612C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二位五通电磁阀</w:t>
                  </w:r>
                </w:p>
              </w:tc>
              <w:tc>
                <w:tcPr>
                  <w:tcW w:w="2477" w:type="dxa"/>
                  <w:tcBorders>
                    <w:tl2br w:val="nil"/>
                    <w:tr2bl w:val="nil"/>
                  </w:tcBorders>
                  <w:shd w:val="clear" w:color="auto" w:fill="auto"/>
                  <w:noWrap/>
                  <w:vAlign w:val="center"/>
                </w:tcPr>
                <w:p w14:paraId="171BD3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60" w:type="dxa"/>
                  <w:tcBorders>
                    <w:tl2br w:val="nil"/>
                    <w:tr2bl w:val="nil"/>
                  </w:tcBorders>
                  <w:shd w:val="clear" w:color="auto" w:fill="auto"/>
                  <w:noWrap/>
                  <w:vAlign w:val="center"/>
                </w:tcPr>
                <w:p w14:paraId="142AF1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noWrap/>
                  <w:vAlign w:val="center"/>
                </w:tcPr>
                <w:p w14:paraId="7628859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44</w:t>
                  </w:r>
                </w:p>
              </w:tc>
              <w:tc>
                <w:tcPr>
                  <w:tcW w:w="2893" w:type="dxa"/>
                  <w:tcBorders>
                    <w:tl2br w:val="nil"/>
                    <w:tr2bl w:val="nil"/>
                  </w:tcBorders>
                  <w:shd w:val="clear" w:color="auto" w:fill="auto"/>
                  <w:noWrap/>
                  <w:vAlign w:val="center"/>
                </w:tcPr>
                <w:p w14:paraId="148714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41510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24915FA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26</w:t>
                  </w:r>
                </w:p>
              </w:tc>
              <w:tc>
                <w:tcPr>
                  <w:tcW w:w="1536" w:type="dxa"/>
                  <w:tcBorders>
                    <w:tl2br w:val="nil"/>
                    <w:tr2bl w:val="nil"/>
                  </w:tcBorders>
                  <w:shd w:val="clear" w:color="auto" w:fill="auto"/>
                  <w:noWrap/>
                  <w:vAlign w:val="center"/>
                </w:tcPr>
                <w:p w14:paraId="0E791D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管道及附件</w:t>
                  </w:r>
                </w:p>
              </w:tc>
              <w:tc>
                <w:tcPr>
                  <w:tcW w:w="2477" w:type="dxa"/>
                  <w:tcBorders>
                    <w:tl2br w:val="nil"/>
                    <w:tr2bl w:val="nil"/>
                  </w:tcBorders>
                  <w:shd w:val="clear" w:color="auto" w:fill="auto"/>
                  <w:noWrap/>
                  <w:vAlign w:val="center"/>
                </w:tcPr>
                <w:p w14:paraId="4E5FEC5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660" w:type="dxa"/>
                  <w:tcBorders>
                    <w:tl2br w:val="nil"/>
                    <w:tr2bl w:val="nil"/>
                  </w:tcBorders>
                  <w:shd w:val="clear" w:color="auto" w:fill="auto"/>
                  <w:noWrap/>
                  <w:vAlign w:val="center"/>
                </w:tcPr>
                <w:p w14:paraId="62C29C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批</w:t>
                  </w:r>
                </w:p>
              </w:tc>
              <w:tc>
                <w:tcPr>
                  <w:tcW w:w="675" w:type="dxa"/>
                  <w:tcBorders>
                    <w:tl2br w:val="nil"/>
                    <w:tr2bl w:val="nil"/>
                  </w:tcBorders>
                  <w:shd w:val="clear" w:color="auto" w:fill="auto"/>
                  <w:noWrap/>
                  <w:vAlign w:val="center"/>
                </w:tcPr>
                <w:p w14:paraId="664FB56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noWrap/>
                  <w:vAlign w:val="center"/>
                </w:tcPr>
                <w:p w14:paraId="70A8CF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统计至设备外1米</w:t>
                  </w:r>
                </w:p>
              </w:tc>
            </w:tr>
            <w:tr w14:paraId="465F2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49E59D1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二</w:t>
                  </w:r>
                </w:p>
              </w:tc>
              <w:tc>
                <w:tcPr>
                  <w:tcW w:w="8241" w:type="dxa"/>
                  <w:gridSpan w:val="5"/>
                  <w:tcBorders>
                    <w:tl2br w:val="nil"/>
                    <w:tr2bl w:val="nil"/>
                  </w:tcBorders>
                  <w:shd w:val="clear" w:color="auto" w:fill="auto"/>
                  <w:noWrap/>
                  <w:vAlign w:val="center"/>
                </w:tcPr>
                <w:p w14:paraId="4FCE855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 xml:space="preserve"> 清水池及送水泵房</w:t>
                  </w:r>
                </w:p>
              </w:tc>
            </w:tr>
            <w:tr w14:paraId="752A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B068D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27</w:t>
                  </w:r>
                </w:p>
              </w:tc>
              <w:tc>
                <w:tcPr>
                  <w:tcW w:w="1536" w:type="dxa"/>
                  <w:tcBorders>
                    <w:tl2br w:val="nil"/>
                    <w:tr2bl w:val="nil"/>
                  </w:tcBorders>
                  <w:shd w:val="clear" w:color="auto" w:fill="auto"/>
                  <w:noWrap/>
                  <w:vAlign w:val="center"/>
                </w:tcPr>
                <w:p w14:paraId="7FAEC4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手动双法兰弹性座封闸阀</w:t>
                  </w:r>
                </w:p>
              </w:tc>
              <w:tc>
                <w:tcPr>
                  <w:tcW w:w="2477" w:type="dxa"/>
                  <w:tcBorders>
                    <w:tl2br w:val="nil"/>
                    <w:tr2bl w:val="nil"/>
                  </w:tcBorders>
                  <w:shd w:val="clear" w:color="auto" w:fill="auto"/>
                  <w:noWrap/>
                  <w:vAlign w:val="center"/>
                </w:tcPr>
                <w:p w14:paraId="7394E8B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DN200/150，PN1.0MPa，Z45X-10Q</w:t>
                  </w:r>
                </w:p>
              </w:tc>
              <w:tc>
                <w:tcPr>
                  <w:tcW w:w="660" w:type="dxa"/>
                  <w:tcBorders>
                    <w:tl2br w:val="nil"/>
                    <w:tr2bl w:val="nil"/>
                  </w:tcBorders>
                  <w:shd w:val="clear" w:color="auto" w:fill="auto"/>
                  <w:noWrap/>
                  <w:vAlign w:val="center"/>
                </w:tcPr>
                <w:p w14:paraId="0D579E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5153C4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4/2</w:t>
                  </w:r>
                </w:p>
              </w:tc>
              <w:tc>
                <w:tcPr>
                  <w:tcW w:w="2893" w:type="dxa"/>
                  <w:tcBorders>
                    <w:tl2br w:val="nil"/>
                    <w:tr2bl w:val="nil"/>
                  </w:tcBorders>
                  <w:shd w:val="clear" w:color="auto" w:fill="auto"/>
                  <w:noWrap/>
                  <w:vAlign w:val="center"/>
                </w:tcPr>
                <w:p w14:paraId="4AAD5A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清水池进出水、放空阀门</w:t>
                  </w:r>
                </w:p>
              </w:tc>
            </w:tr>
            <w:tr w14:paraId="0018D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0CAA4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28</w:t>
                  </w:r>
                </w:p>
              </w:tc>
              <w:tc>
                <w:tcPr>
                  <w:tcW w:w="1536" w:type="dxa"/>
                  <w:tcBorders>
                    <w:tl2br w:val="nil"/>
                    <w:tr2bl w:val="nil"/>
                  </w:tcBorders>
                  <w:shd w:val="clear" w:color="auto" w:fill="auto"/>
                  <w:noWrap/>
                  <w:vAlign w:val="center"/>
                </w:tcPr>
                <w:p w14:paraId="1205B5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卧式多级离心泵</w:t>
                  </w:r>
                </w:p>
              </w:tc>
              <w:tc>
                <w:tcPr>
                  <w:tcW w:w="2477" w:type="dxa"/>
                  <w:tcBorders>
                    <w:tl2br w:val="nil"/>
                    <w:tr2bl w:val="nil"/>
                  </w:tcBorders>
                  <w:shd w:val="clear" w:color="auto" w:fill="auto"/>
                  <w:noWrap/>
                  <w:vAlign w:val="center"/>
                </w:tcPr>
                <w:p w14:paraId="395ECF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Q=50m[3]/h，H=210m，P=55kW，n=8级</w:t>
                  </w:r>
                </w:p>
              </w:tc>
              <w:tc>
                <w:tcPr>
                  <w:tcW w:w="660" w:type="dxa"/>
                  <w:tcBorders>
                    <w:tl2br w:val="nil"/>
                    <w:tr2bl w:val="nil"/>
                  </w:tcBorders>
                  <w:shd w:val="clear" w:color="auto" w:fill="auto"/>
                  <w:noWrap/>
                  <w:vAlign w:val="center"/>
                </w:tcPr>
                <w:p w14:paraId="0BAE9A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noWrap/>
                  <w:vAlign w:val="center"/>
                </w:tcPr>
                <w:p w14:paraId="3A2C34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2CAD7B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2用1备，变频</w:t>
                  </w:r>
                </w:p>
              </w:tc>
            </w:tr>
            <w:tr w14:paraId="5FFA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258159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29</w:t>
                  </w:r>
                </w:p>
              </w:tc>
              <w:tc>
                <w:tcPr>
                  <w:tcW w:w="1536" w:type="dxa"/>
                  <w:tcBorders>
                    <w:tl2br w:val="nil"/>
                    <w:tr2bl w:val="nil"/>
                  </w:tcBorders>
                  <w:shd w:val="clear" w:color="auto" w:fill="auto"/>
                  <w:noWrap/>
                  <w:vAlign w:val="center"/>
                </w:tcPr>
                <w:p w14:paraId="276984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电动双法兰软密封球阀</w:t>
                  </w:r>
                </w:p>
              </w:tc>
              <w:tc>
                <w:tcPr>
                  <w:tcW w:w="2477" w:type="dxa"/>
                  <w:tcBorders>
                    <w:tl2br w:val="nil"/>
                    <w:tr2bl w:val="nil"/>
                  </w:tcBorders>
                  <w:shd w:val="clear" w:color="auto" w:fill="auto"/>
                  <w:noWrap/>
                  <w:vAlign w:val="center"/>
                </w:tcPr>
                <w:p w14:paraId="2456CE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DN100，PN4.0MPa，Q941X-40Q</w:t>
                  </w:r>
                </w:p>
              </w:tc>
              <w:tc>
                <w:tcPr>
                  <w:tcW w:w="660" w:type="dxa"/>
                  <w:tcBorders>
                    <w:tl2br w:val="nil"/>
                    <w:tr2bl w:val="nil"/>
                  </w:tcBorders>
                  <w:shd w:val="clear" w:color="auto" w:fill="auto"/>
                  <w:noWrap/>
                  <w:vAlign w:val="center"/>
                </w:tcPr>
                <w:p w14:paraId="5E0B71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32F1609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7DB7C78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314F8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0D5B05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30</w:t>
                  </w:r>
                </w:p>
              </w:tc>
              <w:tc>
                <w:tcPr>
                  <w:tcW w:w="1536" w:type="dxa"/>
                  <w:tcBorders>
                    <w:tl2br w:val="nil"/>
                    <w:tr2bl w:val="nil"/>
                  </w:tcBorders>
                  <w:shd w:val="clear" w:color="auto" w:fill="auto"/>
                  <w:noWrap/>
                  <w:vAlign w:val="center"/>
                </w:tcPr>
                <w:p w14:paraId="163244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手动双法兰软密封蝶阀</w:t>
                  </w:r>
                </w:p>
              </w:tc>
              <w:tc>
                <w:tcPr>
                  <w:tcW w:w="2477" w:type="dxa"/>
                  <w:tcBorders>
                    <w:tl2br w:val="nil"/>
                    <w:tr2bl w:val="nil"/>
                  </w:tcBorders>
                  <w:shd w:val="clear" w:color="auto" w:fill="auto"/>
                  <w:noWrap/>
                  <w:vAlign w:val="center"/>
                </w:tcPr>
                <w:p w14:paraId="18E817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DN100，PN4.0MPa，Q341X-40Q</w:t>
                  </w:r>
                </w:p>
              </w:tc>
              <w:tc>
                <w:tcPr>
                  <w:tcW w:w="660" w:type="dxa"/>
                  <w:tcBorders>
                    <w:tl2br w:val="nil"/>
                    <w:tr2bl w:val="nil"/>
                  </w:tcBorders>
                  <w:shd w:val="clear" w:color="auto" w:fill="auto"/>
                  <w:noWrap/>
                  <w:vAlign w:val="center"/>
                </w:tcPr>
                <w:p w14:paraId="7C2CE4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1BF11D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5C009D6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74A2B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42344F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31</w:t>
                  </w:r>
                </w:p>
              </w:tc>
              <w:tc>
                <w:tcPr>
                  <w:tcW w:w="1536" w:type="dxa"/>
                  <w:tcBorders>
                    <w:tl2br w:val="nil"/>
                    <w:tr2bl w:val="nil"/>
                  </w:tcBorders>
                  <w:shd w:val="clear" w:color="auto" w:fill="auto"/>
                  <w:noWrap/>
                  <w:vAlign w:val="center"/>
                </w:tcPr>
                <w:p w14:paraId="7FE5CB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手动双法兰软密封蝶阀</w:t>
                  </w:r>
                </w:p>
              </w:tc>
              <w:tc>
                <w:tcPr>
                  <w:tcW w:w="2477" w:type="dxa"/>
                  <w:tcBorders>
                    <w:tl2br w:val="nil"/>
                    <w:tr2bl w:val="nil"/>
                  </w:tcBorders>
                  <w:shd w:val="clear" w:color="auto" w:fill="auto"/>
                  <w:noWrap/>
                  <w:vAlign w:val="center"/>
                </w:tcPr>
                <w:p w14:paraId="27BC65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DN100，PN2.5MPa，Q341X-25Q</w:t>
                  </w:r>
                </w:p>
              </w:tc>
              <w:tc>
                <w:tcPr>
                  <w:tcW w:w="660" w:type="dxa"/>
                  <w:tcBorders>
                    <w:tl2br w:val="nil"/>
                    <w:tr2bl w:val="nil"/>
                  </w:tcBorders>
                  <w:shd w:val="clear" w:color="auto" w:fill="auto"/>
                  <w:noWrap/>
                  <w:vAlign w:val="center"/>
                </w:tcPr>
                <w:p w14:paraId="6FE2C2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72F7DA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023D84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312C5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180B7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32</w:t>
                  </w:r>
                </w:p>
              </w:tc>
              <w:tc>
                <w:tcPr>
                  <w:tcW w:w="1536" w:type="dxa"/>
                  <w:tcBorders>
                    <w:tl2br w:val="nil"/>
                    <w:tr2bl w:val="nil"/>
                  </w:tcBorders>
                  <w:shd w:val="clear" w:color="auto" w:fill="auto"/>
                  <w:noWrap/>
                  <w:vAlign w:val="center"/>
                </w:tcPr>
                <w:p w14:paraId="1AD554A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微阻缓闭止回阀</w:t>
                  </w:r>
                </w:p>
              </w:tc>
              <w:tc>
                <w:tcPr>
                  <w:tcW w:w="2477" w:type="dxa"/>
                  <w:tcBorders>
                    <w:tl2br w:val="nil"/>
                    <w:tr2bl w:val="nil"/>
                  </w:tcBorders>
                  <w:shd w:val="clear" w:color="auto" w:fill="auto"/>
                  <w:noWrap/>
                  <w:vAlign w:val="center"/>
                </w:tcPr>
                <w:p w14:paraId="20CB4A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DN100，PN4.0MPa，HC44X-40Q</w:t>
                  </w:r>
                </w:p>
              </w:tc>
              <w:tc>
                <w:tcPr>
                  <w:tcW w:w="660" w:type="dxa"/>
                  <w:tcBorders>
                    <w:tl2br w:val="nil"/>
                    <w:tr2bl w:val="nil"/>
                  </w:tcBorders>
                  <w:shd w:val="clear" w:color="auto" w:fill="auto"/>
                  <w:noWrap/>
                  <w:vAlign w:val="center"/>
                </w:tcPr>
                <w:p w14:paraId="0B082D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5128B8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4AAF27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5AEFB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6439198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33</w:t>
                  </w:r>
                </w:p>
              </w:tc>
              <w:tc>
                <w:tcPr>
                  <w:tcW w:w="1536" w:type="dxa"/>
                  <w:tcBorders>
                    <w:tl2br w:val="nil"/>
                    <w:tr2bl w:val="nil"/>
                  </w:tcBorders>
                  <w:shd w:val="clear" w:color="auto" w:fill="auto"/>
                  <w:noWrap/>
                  <w:vAlign w:val="center"/>
                </w:tcPr>
                <w:p w14:paraId="3400AE1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477" w:type="dxa"/>
                  <w:tcBorders>
                    <w:tl2br w:val="nil"/>
                    <w:tr2bl w:val="nil"/>
                  </w:tcBorders>
                  <w:shd w:val="clear" w:color="auto" w:fill="auto"/>
                  <w:noWrap/>
                  <w:vAlign w:val="center"/>
                </w:tcPr>
                <w:p w14:paraId="380379BD">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DN200/150，PN1.0MPa</w:t>
                  </w:r>
                </w:p>
              </w:tc>
              <w:tc>
                <w:tcPr>
                  <w:tcW w:w="660" w:type="dxa"/>
                  <w:tcBorders>
                    <w:tl2br w:val="nil"/>
                    <w:tr2bl w:val="nil"/>
                  </w:tcBorders>
                  <w:shd w:val="clear" w:color="auto" w:fill="auto"/>
                  <w:noWrap/>
                  <w:vAlign w:val="center"/>
                </w:tcPr>
                <w:p w14:paraId="35046DF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29F9EDC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4/2</w:t>
                  </w:r>
                </w:p>
              </w:tc>
              <w:tc>
                <w:tcPr>
                  <w:tcW w:w="2893" w:type="dxa"/>
                  <w:tcBorders>
                    <w:tl2br w:val="nil"/>
                    <w:tr2bl w:val="nil"/>
                  </w:tcBorders>
                  <w:shd w:val="clear" w:color="auto" w:fill="auto"/>
                  <w:noWrap/>
                  <w:vAlign w:val="center"/>
                </w:tcPr>
                <w:p w14:paraId="3EB8C31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7CE16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928" w:type="dxa"/>
                  <w:tcBorders>
                    <w:tl2br w:val="nil"/>
                    <w:tr2bl w:val="nil"/>
                  </w:tcBorders>
                  <w:shd w:val="clear" w:color="auto" w:fill="auto"/>
                  <w:noWrap/>
                  <w:vAlign w:val="center"/>
                </w:tcPr>
                <w:p w14:paraId="362EE8C2">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34</w:t>
                  </w:r>
                </w:p>
              </w:tc>
              <w:tc>
                <w:tcPr>
                  <w:tcW w:w="1536" w:type="dxa"/>
                  <w:tcBorders>
                    <w:tl2br w:val="nil"/>
                    <w:tr2bl w:val="nil"/>
                  </w:tcBorders>
                  <w:shd w:val="clear" w:color="auto" w:fill="auto"/>
                  <w:noWrap/>
                  <w:vAlign w:val="center"/>
                </w:tcPr>
                <w:p w14:paraId="57450DE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477" w:type="dxa"/>
                  <w:tcBorders>
                    <w:tl2br w:val="nil"/>
                    <w:tr2bl w:val="nil"/>
                  </w:tcBorders>
                  <w:shd w:val="clear" w:color="auto" w:fill="auto"/>
                  <w:noWrap/>
                  <w:vAlign w:val="center"/>
                </w:tcPr>
                <w:p w14:paraId="1D3BFB4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DN100，PN2.5MPa</w:t>
                  </w:r>
                </w:p>
              </w:tc>
              <w:tc>
                <w:tcPr>
                  <w:tcW w:w="660" w:type="dxa"/>
                  <w:tcBorders>
                    <w:tl2br w:val="nil"/>
                    <w:tr2bl w:val="nil"/>
                  </w:tcBorders>
                  <w:shd w:val="clear" w:color="auto" w:fill="auto"/>
                  <w:noWrap/>
                  <w:vAlign w:val="center"/>
                </w:tcPr>
                <w:p w14:paraId="38CD523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noWrap/>
                  <w:vAlign w:val="center"/>
                </w:tcPr>
                <w:p w14:paraId="2CD439F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noWrap/>
                  <w:vAlign w:val="center"/>
                </w:tcPr>
                <w:p w14:paraId="14CA139B">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39CAF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6406526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35</w:t>
                  </w:r>
                </w:p>
              </w:tc>
              <w:tc>
                <w:tcPr>
                  <w:tcW w:w="0" w:type="auto"/>
                  <w:tcBorders>
                    <w:tl2br w:val="nil"/>
                    <w:tr2bl w:val="nil"/>
                  </w:tcBorders>
                  <w:shd w:val="clear" w:color="auto" w:fill="auto"/>
                  <w:vAlign w:val="center"/>
                </w:tcPr>
                <w:p w14:paraId="19EAF47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双法兰传力接头</w:t>
                  </w:r>
                </w:p>
              </w:tc>
              <w:tc>
                <w:tcPr>
                  <w:tcW w:w="2477" w:type="dxa"/>
                  <w:tcBorders>
                    <w:tl2br w:val="nil"/>
                    <w:tr2bl w:val="nil"/>
                  </w:tcBorders>
                  <w:shd w:val="clear" w:color="auto" w:fill="auto"/>
                  <w:vAlign w:val="center"/>
                </w:tcPr>
                <w:p w14:paraId="74115E0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DN100，PN4.0MPa</w:t>
                  </w:r>
                </w:p>
              </w:tc>
              <w:tc>
                <w:tcPr>
                  <w:tcW w:w="660" w:type="dxa"/>
                  <w:tcBorders>
                    <w:tl2br w:val="nil"/>
                    <w:tr2bl w:val="nil"/>
                  </w:tcBorders>
                  <w:shd w:val="clear" w:color="auto" w:fill="auto"/>
                  <w:vAlign w:val="center"/>
                </w:tcPr>
                <w:p w14:paraId="09C1E23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vAlign w:val="center"/>
                </w:tcPr>
                <w:p w14:paraId="1F50F3C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893" w:type="dxa"/>
                  <w:tcBorders>
                    <w:tl2br w:val="nil"/>
                    <w:tr2bl w:val="nil"/>
                  </w:tcBorders>
                  <w:shd w:val="clear" w:color="auto" w:fill="auto"/>
                  <w:vAlign w:val="center"/>
                </w:tcPr>
                <w:p w14:paraId="714EFD1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3899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1D1FC1E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36</w:t>
                  </w:r>
                </w:p>
              </w:tc>
              <w:tc>
                <w:tcPr>
                  <w:tcW w:w="0" w:type="auto"/>
                  <w:tcBorders>
                    <w:tl2br w:val="nil"/>
                    <w:tr2bl w:val="nil"/>
                  </w:tcBorders>
                  <w:shd w:val="clear" w:color="auto" w:fill="auto"/>
                  <w:vAlign w:val="center"/>
                </w:tcPr>
                <w:p w14:paraId="5895A26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潜污泵</w:t>
                  </w:r>
                </w:p>
              </w:tc>
              <w:tc>
                <w:tcPr>
                  <w:tcW w:w="2477" w:type="dxa"/>
                  <w:tcBorders>
                    <w:tl2br w:val="nil"/>
                    <w:tr2bl w:val="nil"/>
                  </w:tcBorders>
                  <w:shd w:val="clear" w:color="auto" w:fill="auto"/>
                  <w:vAlign w:val="center"/>
                </w:tcPr>
                <w:p w14:paraId="53AF33E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Q=10m[3]/h，H=10m，P=0.75kW</w:t>
                  </w:r>
                </w:p>
              </w:tc>
              <w:tc>
                <w:tcPr>
                  <w:tcW w:w="660" w:type="dxa"/>
                  <w:tcBorders>
                    <w:tl2br w:val="nil"/>
                    <w:tr2bl w:val="nil"/>
                  </w:tcBorders>
                  <w:shd w:val="clear" w:color="auto" w:fill="auto"/>
                  <w:vAlign w:val="center"/>
                </w:tcPr>
                <w:p w14:paraId="686E536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vAlign w:val="center"/>
                </w:tcPr>
                <w:p w14:paraId="3C3C094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10ACD26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1用1冷备，详“泵房潜污泵大样图”</w:t>
                  </w:r>
                </w:p>
              </w:tc>
            </w:tr>
            <w:tr w14:paraId="04882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1EAFF81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37</w:t>
                  </w:r>
                </w:p>
              </w:tc>
              <w:tc>
                <w:tcPr>
                  <w:tcW w:w="0" w:type="auto"/>
                  <w:tcBorders>
                    <w:tl2br w:val="nil"/>
                    <w:tr2bl w:val="nil"/>
                  </w:tcBorders>
                  <w:shd w:val="clear" w:color="auto" w:fill="auto"/>
                  <w:vAlign w:val="center"/>
                </w:tcPr>
                <w:p w14:paraId="40C3A812">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潜污泵</w:t>
                  </w:r>
                </w:p>
              </w:tc>
              <w:tc>
                <w:tcPr>
                  <w:tcW w:w="2477" w:type="dxa"/>
                  <w:tcBorders>
                    <w:tl2br w:val="nil"/>
                    <w:tr2bl w:val="nil"/>
                  </w:tcBorders>
                  <w:shd w:val="clear" w:color="auto" w:fill="auto"/>
                  <w:vAlign w:val="center"/>
                </w:tcPr>
                <w:p w14:paraId="18DE03D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Q=25m[3]/h，H=10m，P=1.5kW</w:t>
                  </w:r>
                </w:p>
              </w:tc>
              <w:tc>
                <w:tcPr>
                  <w:tcW w:w="660" w:type="dxa"/>
                  <w:tcBorders>
                    <w:tl2br w:val="nil"/>
                    <w:tr2bl w:val="nil"/>
                  </w:tcBorders>
                  <w:shd w:val="clear" w:color="auto" w:fill="auto"/>
                  <w:vAlign w:val="center"/>
                </w:tcPr>
                <w:p w14:paraId="31D6416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vAlign w:val="center"/>
                </w:tcPr>
                <w:p w14:paraId="5AF02D9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vAlign w:val="center"/>
                </w:tcPr>
                <w:p w14:paraId="577F93A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移动式，用于清水池清洗排水</w:t>
                  </w:r>
                </w:p>
              </w:tc>
            </w:tr>
            <w:tr w14:paraId="7F01C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0AD5E6D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38</w:t>
                  </w:r>
                </w:p>
              </w:tc>
              <w:tc>
                <w:tcPr>
                  <w:tcW w:w="0" w:type="auto"/>
                  <w:tcBorders>
                    <w:tl2br w:val="nil"/>
                    <w:tr2bl w:val="nil"/>
                  </w:tcBorders>
                  <w:shd w:val="clear" w:color="auto" w:fill="auto"/>
                  <w:vAlign w:val="center"/>
                </w:tcPr>
                <w:p w14:paraId="24186A9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拍门</w:t>
                  </w:r>
                </w:p>
              </w:tc>
              <w:tc>
                <w:tcPr>
                  <w:tcW w:w="2477" w:type="dxa"/>
                  <w:tcBorders>
                    <w:tl2br w:val="nil"/>
                    <w:tr2bl w:val="nil"/>
                  </w:tcBorders>
                  <w:shd w:val="clear" w:color="auto" w:fill="auto"/>
                  <w:vAlign w:val="center"/>
                </w:tcPr>
                <w:p w14:paraId="449D7BB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DN200，PN1.0MPa</w:t>
                  </w:r>
                </w:p>
              </w:tc>
              <w:tc>
                <w:tcPr>
                  <w:tcW w:w="660" w:type="dxa"/>
                  <w:tcBorders>
                    <w:tl2br w:val="nil"/>
                    <w:tr2bl w:val="nil"/>
                  </w:tcBorders>
                  <w:shd w:val="clear" w:color="auto" w:fill="auto"/>
                  <w:vAlign w:val="center"/>
                </w:tcPr>
                <w:p w14:paraId="002B57D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vAlign w:val="center"/>
                </w:tcPr>
                <w:p w14:paraId="52B102D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09EEE6E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666E0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1E381E5C">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39</w:t>
                  </w:r>
                </w:p>
              </w:tc>
              <w:tc>
                <w:tcPr>
                  <w:tcW w:w="0" w:type="auto"/>
                  <w:tcBorders>
                    <w:tl2br w:val="nil"/>
                    <w:tr2bl w:val="nil"/>
                  </w:tcBorders>
                  <w:shd w:val="clear" w:color="auto" w:fill="auto"/>
                  <w:vAlign w:val="center"/>
                </w:tcPr>
                <w:p w14:paraId="01785D1C">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超声波液位计</w:t>
                  </w:r>
                </w:p>
              </w:tc>
              <w:tc>
                <w:tcPr>
                  <w:tcW w:w="2477" w:type="dxa"/>
                  <w:tcBorders>
                    <w:tl2br w:val="nil"/>
                    <w:tr2bl w:val="nil"/>
                  </w:tcBorders>
                  <w:shd w:val="clear" w:color="auto" w:fill="auto"/>
                  <w:vAlign w:val="center"/>
                </w:tcPr>
                <w:p w14:paraId="3AE4332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0～10m</w:t>
                  </w:r>
                </w:p>
              </w:tc>
              <w:tc>
                <w:tcPr>
                  <w:tcW w:w="660" w:type="dxa"/>
                  <w:tcBorders>
                    <w:tl2br w:val="nil"/>
                    <w:tr2bl w:val="nil"/>
                  </w:tcBorders>
                  <w:shd w:val="clear" w:color="auto" w:fill="auto"/>
                  <w:vAlign w:val="center"/>
                </w:tcPr>
                <w:p w14:paraId="3658663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vAlign w:val="center"/>
                </w:tcPr>
                <w:p w14:paraId="2ED60EF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2DA7DE1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计入自控，用于清水池集水坑</w:t>
                  </w:r>
                </w:p>
              </w:tc>
            </w:tr>
            <w:tr w14:paraId="06975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51DAB9F3">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 xml:space="preserve"> 三</w:t>
                  </w:r>
                </w:p>
              </w:tc>
              <w:tc>
                <w:tcPr>
                  <w:tcW w:w="8241" w:type="dxa"/>
                  <w:gridSpan w:val="5"/>
                  <w:tcBorders>
                    <w:tl2br w:val="nil"/>
                    <w:tr2bl w:val="nil"/>
                  </w:tcBorders>
                  <w:shd w:val="clear" w:color="auto" w:fill="auto"/>
                  <w:vAlign w:val="center"/>
                </w:tcPr>
                <w:p w14:paraId="58923A7E">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 排水池、排泥池</w:t>
                  </w:r>
                </w:p>
              </w:tc>
            </w:tr>
            <w:tr w14:paraId="6CB60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038AB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40</w:t>
                  </w:r>
                </w:p>
              </w:tc>
              <w:tc>
                <w:tcPr>
                  <w:tcW w:w="0" w:type="auto"/>
                  <w:tcBorders>
                    <w:tl2br w:val="nil"/>
                    <w:tr2bl w:val="nil"/>
                  </w:tcBorders>
                  <w:shd w:val="clear" w:color="auto" w:fill="auto"/>
                  <w:vAlign w:val="center"/>
                </w:tcPr>
                <w:p w14:paraId="6B7AF4C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潜水搅拌机</w:t>
                  </w:r>
                </w:p>
              </w:tc>
              <w:tc>
                <w:tcPr>
                  <w:tcW w:w="2477" w:type="dxa"/>
                  <w:tcBorders>
                    <w:tl2br w:val="nil"/>
                    <w:tr2bl w:val="nil"/>
                  </w:tcBorders>
                  <w:shd w:val="clear" w:color="auto" w:fill="auto"/>
                  <w:vAlign w:val="center"/>
                </w:tcPr>
                <w:p w14:paraId="2A4F5D2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D=620mm，P=1.5KW </w:t>
                  </w:r>
                </w:p>
              </w:tc>
              <w:tc>
                <w:tcPr>
                  <w:tcW w:w="660" w:type="dxa"/>
                  <w:tcBorders>
                    <w:tl2br w:val="nil"/>
                    <w:tr2bl w:val="nil"/>
                  </w:tcBorders>
                  <w:shd w:val="clear" w:color="auto" w:fill="auto"/>
                  <w:vAlign w:val="center"/>
                </w:tcPr>
                <w:p w14:paraId="2048EE9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vAlign w:val="center"/>
                </w:tcPr>
                <w:p w14:paraId="27917A6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5DA663D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配起吊架</w:t>
                  </w:r>
                </w:p>
              </w:tc>
            </w:tr>
            <w:tr w14:paraId="77D07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6DB1229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41</w:t>
                  </w:r>
                </w:p>
              </w:tc>
              <w:tc>
                <w:tcPr>
                  <w:tcW w:w="0" w:type="auto"/>
                  <w:tcBorders>
                    <w:tl2br w:val="nil"/>
                    <w:tr2bl w:val="nil"/>
                  </w:tcBorders>
                  <w:shd w:val="clear" w:color="auto" w:fill="auto"/>
                  <w:vAlign w:val="center"/>
                </w:tcPr>
                <w:p w14:paraId="6D75449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回收水泵</w:t>
                  </w:r>
                </w:p>
              </w:tc>
              <w:tc>
                <w:tcPr>
                  <w:tcW w:w="2477" w:type="dxa"/>
                  <w:tcBorders>
                    <w:tl2br w:val="nil"/>
                    <w:tr2bl w:val="nil"/>
                  </w:tcBorders>
                  <w:shd w:val="clear" w:color="auto" w:fill="auto"/>
                  <w:vAlign w:val="center"/>
                </w:tcPr>
                <w:p w14:paraId="03CA6B6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Q=10m[3]/h，H=12m，P=0.75kW</w:t>
                  </w:r>
                </w:p>
              </w:tc>
              <w:tc>
                <w:tcPr>
                  <w:tcW w:w="660" w:type="dxa"/>
                  <w:tcBorders>
                    <w:tl2br w:val="nil"/>
                    <w:tr2bl w:val="nil"/>
                  </w:tcBorders>
                  <w:shd w:val="clear" w:color="auto" w:fill="auto"/>
                  <w:vAlign w:val="center"/>
                </w:tcPr>
                <w:p w14:paraId="7AB2A58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vAlign w:val="center"/>
                </w:tcPr>
                <w:p w14:paraId="66D4873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653659E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1用1备</w:t>
                  </w:r>
                </w:p>
              </w:tc>
            </w:tr>
            <w:tr w14:paraId="304D5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501AF21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42</w:t>
                  </w:r>
                </w:p>
              </w:tc>
              <w:tc>
                <w:tcPr>
                  <w:tcW w:w="0" w:type="auto"/>
                  <w:tcBorders>
                    <w:tl2br w:val="nil"/>
                    <w:tr2bl w:val="nil"/>
                  </w:tcBorders>
                  <w:shd w:val="clear" w:color="auto" w:fill="auto"/>
                  <w:vAlign w:val="center"/>
                </w:tcPr>
                <w:p w14:paraId="2E47923D">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排泥泵</w:t>
                  </w:r>
                </w:p>
              </w:tc>
              <w:tc>
                <w:tcPr>
                  <w:tcW w:w="2477" w:type="dxa"/>
                  <w:tcBorders>
                    <w:tl2br w:val="nil"/>
                    <w:tr2bl w:val="nil"/>
                  </w:tcBorders>
                  <w:shd w:val="clear" w:color="auto" w:fill="auto"/>
                  <w:vAlign w:val="center"/>
                </w:tcPr>
                <w:p w14:paraId="2392137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Q=30m[3]/h，H=8m，P=1.5kW</w:t>
                  </w:r>
                </w:p>
              </w:tc>
              <w:tc>
                <w:tcPr>
                  <w:tcW w:w="660" w:type="dxa"/>
                  <w:tcBorders>
                    <w:tl2br w:val="nil"/>
                    <w:tr2bl w:val="nil"/>
                  </w:tcBorders>
                  <w:shd w:val="clear" w:color="auto" w:fill="auto"/>
                  <w:vAlign w:val="center"/>
                </w:tcPr>
                <w:p w14:paraId="3146B01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vAlign w:val="center"/>
                </w:tcPr>
                <w:p w14:paraId="4C40E64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6AC7B44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1用1备</w:t>
                  </w:r>
                </w:p>
              </w:tc>
            </w:tr>
            <w:tr w14:paraId="281FE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199E053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43</w:t>
                  </w:r>
                </w:p>
              </w:tc>
              <w:tc>
                <w:tcPr>
                  <w:tcW w:w="0" w:type="auto"/>
                  <w:tcBorders>
                    <w:tl2br w:val="nil"/>
                    <w:tr2bl w:val="nil"/>
                  </w:tcBorders>
                  <w:shd w:val="clear" w:color="auto" w:fill="auto"/>
                  <w:vAlign w:val="center"/>
                </w:tcPr>
                <w:p w14:paraId="0C1AC9F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手动双法兰弹性座封闸阀</w:t>
                  </w:r>
                </w:p>
              </w:tc>
              <w:tc>
                <w:tcPr>
                  <w:tcW w:w="2477" w:type="dxa"/>
                  <w:tcBorders>
                    <w:tl2br w:val="nil"/>
                    <w:tr2bl w:val="nil"/>
                  </w:tcBorders>
                  <w:shd w:val="clear" w:color="auto" w:fill="auto"/>
                  <w:vAlign w:val="center"/>
                </w:tcPr>
                <w:p w14:paraId="280E9EF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DN80，PN1.6MPa，Z45X-16Q</w:t>
                  </w:r>
                </w:p>
              </w:tc>
              <w:tc>
                <w:tcPr>
                  <w:tcW w:w="660" w:type="dxa"/>
                  <w:tcBorders>
                    <w:tl2br w:val="nil"/>
                    <w:tr2bl w:val="nil"/>
                  </w:tcBorders>
                  <w:shd w:val="clear" w:color="auto" w:fill="auto"/>
                  <w:vAlign w:val="center"/>
                </w:tcPr>
                <w:p w14:paraId="74439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vAlign w:val="center"/>
                </w:tcPr>
                <w:p w14:paraId="35346C0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6EE1BBA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7C39C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553BC3B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44</w:t>
                  </w:r>
                </w:p>
              </w:tc>
              <w:tc>
                <w:tcPr>
                  <w:tcW w:w="0" w:type="auto"/>
                  <w:tcBorders>
                    <w:tl2br w:val="nil"/>
                    <w:tr2bl w:val="nil"/>
                  </w:tcBorders>
                  <w:shd w:val="clear" w:color="auto" w:fill="auto"/>
                  <w:vAlign w:val="center"/>
                </w:tcPr>
                <w:p w14:paraId="6A6797A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橡胶瓣止回阀</w:t>
                  </w:r>
                </w:p>
              </w:tc>
              <w:tc>
                <w:tcPr>
                  <w:tcW w:w="2477" w:type="dxa"/>
                  <w:tcBorders>
                    <w:tl2br w:val="nil"/>
                    <w:tr2bl w:val="nil"/>
                  </w:tcBorders>
                  <w:shd w:val="clear" w:color="auto" w:fill="auto"/>
                  <w:vAlign w:val="center"/>
                </w:tcPr>
                <w:p w14:paraId="23A3FBB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DN80，PN1.6MPa，HC44X-16Q</w:t>
                  </w:r>
                </w:p>
              </w:tc>
              <w:tc>
                <w:tcPr>
                  <w:tcW w:w="660" w:type="dxa"/>
                  <w:tcBorders>
                    <w:tl2br w:val="nil"/>
                    <w:tr2bl w:val="nil"/>
                  </w:tcBorders>
                  <w:shd w:val="clear" w:color="auto" w:fill="auto"/>
                  <w:vAlign w:val="center"/>
                </w:tcPr>
                <w:p w14:paraId="61799C5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vAlign w:val="center"/>
                </w:tcPr>
                <w:p w14:paraId="06AA469B">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074BEE7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25A65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3E1D368B">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45</w:t>
                  </w:r>
                </w:p>
              </w:tc>
              <w:tc>
                <w:tcPr>
                  <w:tcW w:w="0" w:type="auto"/>
                  <w:tcBorders>
                    <w:tl2br w:val="nil"/>
                    <w:tr2bl w:val="nil"/>
                  </w:tcBorders>
                  <w:shd w:val="clear" w:color="auto" w:fill="auto"/>
                  <w:vAlign w:val="center"/>
                </w:tcPr>
                <w:p w14:paraId="59E7B36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双法兰传力接头</w:t>
                  </w:r>
                </w:p>
              </w:tc>
              <w:tc>
                <w:tcPr>
                  <w:tcW w:w="2477" w:type="dxa"/>
                  <w:tcBorders>
                    <w:tl2br w:val="nil"/>
                    <w:tr2bl w:val="nil"/>
                  </w:tcBorders>
                  <w:shd w:val="clear" w:color="auto" w:fill="auto"/>
                  <w:vAlign w:val="center"/>
                </w:tcPr>
                <w:p w14:paraId="1B48272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DN80，PN1.6MPa</w:t>
                  </w:r>
                </w:p>
              </w:tc>
              <w:tc>
                <w:tcPr>
                  <w:tcW w:w="660" w:type="dxa"/>
                  <w:tcBorders>
                    <w:tl2br w:val="nil"/>
                    <w:tr2bl w:val="nil"/>
                  </w:tcBorders>
                  <w:shd w:val="clear" w:color="auto" w:fill="auto"/>
                  <w:vAlign w:val="center"/>
                </w:tcPr>
                <w:p w14:paraId="6B70A6D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vAlign w:val="center"/>
                </w:tcPr>
                <w:p w14:paraId="47AC9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7606385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F2403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611CF23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46</w:t>
                  </w:r>
                </w:p>
              </w:tc>
              <w:tc>
                <w:tcPr>
                  <w:tcW w:w="0" w:type="auto"/>
                  <w:tcBorders>
                    <w:tl2br w:val="nil"/>
                    <w:tr2bl w:val="nil"/>
                  </w:tcBorders>
                  <w:shd w:val="clear" w:color="auto" w:fill="auto"/>
                  <w:vAlign w:val="center"/>
                </w:tcPr>
                <w:p w14:paraId="3FE5536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超声波液位计</w:t>
                  </w:r>
                </w:p>
              </w:tc>
              <w:tc>
                <w:tcPr>
                  <w:tcW w:w="2477" w:type="dxa"/>
                  <w:tcBorders>
                    <w:tl2br w:val="nil"/>
                    <w:tr2bl w:val="nil"/>
                  </w:tcBorders>
                  <w:shd w:val="clear" w:color="auto" w:fill="auto"/>
                  <w:vAlign w:val="center"/>
                </w:tcPr>
                <w:p w14:paraId="195D617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0～10m</w:t>
                  </w:r>
                </w:p>
              </w:tc>
              <w:tc>
                <w:tcPr>
                  <w:tcW w:w="660" w:type="dxa"/>
                  <w:tcBorders>
                    <w:tl2br w:val="nil"/>
                    <w:tr2bl w:val="nil"/>
                  </w:tcBorders>
                  <w:shd w:val="clear" w:color="auto" w:fill="auto"/>
                  <w:vAlign w:val="center"/>
                </w:tcPr>
                <w:p w14:paraId="2F9E25B2">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vAlign w:val="center"/>
                </w:tcPr>
                <w:p w14:paraId="24D7C2C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893" w:type="dxa"/>
                  <w:tcBorders>
                    <w:tl2br w:val="nil"/>
                    <w:tr2bl w:val="nil"/>
                  </w:tcBorders>
                  <w:shd w:val="clear" w:color="auto" w:fill="auto"/>
                  <w:vAlign w:val="center"/>
                </w:tcPr>
                <w:p w14:paraId="6C61A51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计入自控</w:t>
                  </w:r>
                </w:p>
              </w:tc>
            </w:tr>
            <w:tr w14:paraId="7AB71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61C1EFF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四</w:t>
                  </w:r>
                </w:p>
              </w:tc>
              <w:tc>
                <w:tcPr>
                  <w:tcW w:w="8241" w:type="dxa"/>
                  <w:gridSpan w:val="5"/>
                  <w:tcBorders>
                    <w:tl2br w:val="nil"/>
                    <w:tr2bl w:val="nil"/>
                  </w:tcBorders>
                  <w:shd w:val="clear" w:color="auto" w:fill="auto"/>
                  <w:vAlign w:val="center"/>
                </w:tcPr>
                <w:p w14:paraId="28C7EF8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加氯间</w:t>
                  </w:r>
                </w:p>
              </w:tc>
            </w:tr>
            <w:tr w14:paraId="5A2D6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5E05B23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47</w:t>
                  </w:r>
                </w:p>
              </w:tc>
              <w:tc>
                <w:tcPr>
                  <w:tcW w:w="0" w:type="auto"/>
                  <w:tcBorders>
                    <w:tl2br w:val="nil"/>
                    <w:tr2bl w:val="nil"/>
                  </w:tcBorders>
                  <w:shd w:val="clear" w:color="auto" w:fill="auto"/>
                  <w:vAlign w:val="center"/>
                </w:tcPr>
                <w:p w14:paraId="0E5902F3">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一体化PAC投加装置</w:t>
                  </w:r>
                </w:p>
              </w:tc>
              <w:tc>
                <w:tcPr>
                  <w:tcW w:w="2477" w:type="dxa"/>
                  <w:tcBorders>
                    <w:tl2br w:val="nil"/>
                    <w:tr2bl w:val="nil"/>
                  </w:tcBorders>
                  <w:shd w:val="clear" w:color="auto" w:fill="auto"/>
                  <w:vAlign w:val="center"/>
                </w:tcPr>
                <w:p w14:paraId="27FB9E82">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p>
              </w:tc>
              <w:tc>
                <w:tcPr>
                  <w:tcW w:w="660" w:type="dxa"/>
                  <w:tcBorders>
                    <w:tl2br w:val="nil"/>
                    <w:tr2bl w:val="nil"/>
                  </w:tcBorders>
                  <w:shd w:val="clear" w:color="auto" w:fill="auto"/>
                  <w:vAlign w:val="center"/>
                </w:tcPr>
                <w:p w14:paraId="2F47F97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vAlign w:val="center"/>
                </w:tcPr>
                <w:p w14:paraId="6B4D48E9">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vAlign w:val="center"/>
                </w:tcPr>
                <w:p w14:paraId="45DBE1F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包含阀门阀件及管路等</w:t>
                  </w:r>
                </w:p>
              </w:tc>
            </w:tr>
            <w:tr w14:paraId="4E73F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6FE4F69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五</w:t>
                  </w:r>
                </w:p>
              </w:tc>
              <w:tc>
                <w:tcPr>
                  <w:tcW w:w="8241" w:type="dxa"/>
                  <w:gridSpan w:val="5"/>
                  <w:tcBorders>
                    <w:tl2br w:val="nil"/>
                    <w:tr2bl w:val="nil"/>
                  </w:tcBorders>
                  <w:shd w:val="clear" w:color="auto" w:fill="auto"/>
                  <w:vAlign w:val="center"/>
                </w:tcPr>
                <w:p w14:paraId="2D1CCA2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其他</w:t>
                  </w:r>
                </w:p>
              </w:tc>
            </w:tr>
            <w:tr w14:paraId="4FB6D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7A1D0D1C">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48</w:t>
                  </w:r>
                </w:p>
              </w:tc>
              <w:tc>
                <w:tcPr>
                  <w:tcW w:w="0" w:type="auto"/>
                  <w:tcBorders>
                    <w:tl2br w:val="nil"/>
                    <w:tr2bl w:val="nil"/>
                  </w:tcBorders>
                  <w:shd w:val="clear" w:color="auto" w:fill="auto"/>
                  <w:vAlign w:val="center"/>
                </w:tcPr>
                <w:p w14:paraId="7F94F43C">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电动单梁悬挂起重机</w:t>
                  </w:r>
                </w:p>
              </w:tc>
              <w:tc>
                <w:tcPr>
                  <w:tcW w:w="2477" w:type="dxa"/>
                  <w:tcBorders>
                    <w:tl2br w:val="nil"/>
                    <w:tr2bl w:val="nil"/>
                  </w:tcBorders>
                  <w:shd w:val="clear" w:color="auto" w:fill="auto"/>
                  <w:vAlign w:val="center"/>
                </w:tcPr>
                <w:p w14:paraId="37257262">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LX型，S=3.0m，G=2t，H=9m，P=4.2kW</w:t>
                  </w:r>
                </w:p>
              </w:tc>
              <w:tc>
                <w:tcPr>
                  <w:tcW w:w="660" w:type="dxa"/>
                  <w:tcBorders>
                    <w:tl2br w:val="nil"/>
                    <w:tr2bl w:val="nil"/>
                  </w:tcBorders>
                  <w:shd w:val="clear" w:color="auto" w:fill="auto"/>
                  <w:vAlign w:val="center"/>
                </w:tcPr>
                <w:p w14:paraId="7B3B677A">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vAlign w:val="center"/>
                </w:tcPr>
                <w:p w14:paraId="7DAEABCC">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vAlign w:val="center"/>
                </w:tcPr>
                <w:p w14:paraId="69EA41B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配CD{1}型电动葫芦，送水泵房上部</w:t>
                  </w:r>
                </w:p>
              </w:tc>
            </w:tr>
            <w:tr w14:paraId="4557C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1AC7753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49</w:t>
                  </w:r>
                </w:p>
              </w:tc>
              <w:tc>
                <w:tcPr>
                  <w:tcW w:w="0" w:type="auto"/>
                  <w:tcBorders>
                    <w:tl2br w:val="nil"/>
                    <w:tr2bl w:val="nil"/>
                  </w:tcBorders>
                  <w:shd w:val="clear" w:color="auto" w:fill="auto"/>
                  <w:vAlign w:val="center"/>
                </w:tcPr>
                <w:p w14:paraId="7E0A59A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CD{1}型电动葫芦</w:t>
                  </w:r>
                </w:p>
              </w:tc>
              <w:tc>
                <w:tcPr>
                  <w:tcW w:w="2477" w:type="dxa"/>
                  <w:tcBorders>
                    <w:tl2br w:val="nil"/>
                    <w:tr2bl w:val="nil"/>
                  </w:tcBorders>
                  <w:shd w:val="clear" w:color="auto" w:fill="auto"/>
                  <w:vAlign w:val="center"/>
                </w:tcPr>
                <w:p w14:paraId="5C2D45F6">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G=1t，H=6m，P=1.7kW</w:t>
                  </w:r>
                </w:p>
              </w:tc>
              <w:tc>
                <w:tcPr>
                  <w:tcW w:w="660" w:type="dxa"/>
                  <w:tcBorders>
                    <w:tl2br w:val="nil"/>
                    <w:tr2bl w:val="nil"/>
                  </w:tcBorders>
                  <w:shd w:val="clear" w:color="auto" w:fill="auto"/>
                  <w:vAlign w:val="center"/>
                </w:tcPr>
                <w:p w14:paraId="049BCDD3">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vAlign w:val="center"/>
                </w:tcPr>
                <w:p w14:paraId="518B7CB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893" w:type="dxa"/>
                  <w:tcBorders>
                    <w:tl2br w:val="nil"/>
                    <w:tr2bl w:val="nil"/>
                  </w:tcBorders>
                  <w:shd w:val="clear" w:color="auto" w:fill="auto"/>
                  <w:vAlign w:val="center"/>
                </w:tcPr>
                <w:p w14:paraId="5A34157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反冲洗及回流泵房上部</w:t>
                  </w:r>
                </w:p>
              </w:tc>
            </w:tr>
            <w:tr w14:paraId="51BCDF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3A28B0BC">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50</w:t>
                  </w:r>
                </w:p>
              </w:tc>
              <w:tc>
                <w:tcPr>
                  <w:tcW w:w="0" w:type="auto"/>
                  <w:tcBorders>
                    <w:tl2br w:val="nil"/>
                    <w:tr2bl w:val="nil"/>
                  </w:tcBorders>
                  <w:shd w:val="clear" w:color="auto" w:fill="auto"/>
                  <w:vAlign w:val="center"/>
                </w:tcPr>
                <w:p w14:paraId="125B534D">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管道风机</w:t>
                  </w:r>
                </w:p>
              </w:tc>
              <w:tc>
                <w:tcPr>
                  <w:tcW w:w="2477" w:type="dxa"/>
                  <w:tcBorders>
                    <w:tl2br w:val="nil"/>
                    <w:tr2bl w:val="nil"/>
                  </w:tcBorders>
                  <w:shd w:val="clear" w:color="auto" w:fill="auto"/>
                  <w:vAlign w:val="center"/>
                </w:tcPr>
                <w:p w14:paraId="22569D0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DN400，Q=2273m[3]/h，N=0.09kW，n=1450rpm</w:t>
                  </w:r>
                </w:p>
              </w:tc>
              <w:tc>
                <w:tcPr>
                  <w:tcW w:w="660" w:type="dxa"/>
                  <w:tcBorders>
                    <w:tl2br w:val="nil"/>
                    <w:tr2bl w:val="nil"/>
                  </w:tcBorders>
                  <w:shd w:val="clear" w:color="auto" w:fill="auto"/>
                  <w:vAlign w:val="center"/>
                </w:tcPr>
                <w:p w14:paraId="395C965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vAlign w:val="center"/>
                </w:tcPr>
                <w:p w14:paraId="3A5AE5B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w:t>
                  </w:r>
                </w:p>
              </w:tc>
              <w:tc>
                <w:tcPr>
                  <w:tcW w:w="2893" w:type="dxa"/>
                  <w:tcBorders>
                    <w:tl2br w:val="nil"/>
                    <w:tr2bl w:val="nil"/>
                  </w:tcBorders>
                  <w:shd w:val="clear" w:color="auto" w:fill="auto"/>
                  <w:vAlign w:val="center"/>
                </w:tcPr>
                <w:p w14:paraId="40A6FE1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00E4B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11E6A00B">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51</w:t>
                  </w:r>
                </w:p>
              </w:tc>
              <w:tc>
                <w:tcPr>
                  <w:tcW w:w="0" w:type="auto"/>
                  <w:tcBorders>
                    <w:tl2br w:val="nil"/>
                    <w:tr2bl w:val="nil"/>
                  </w:tcBorders>
                  <w:shd w:val="clear" w:color="auto" w:fill="auto"/>
                  <w:vAlign w:val="center"/>
                </w:tcPr>
                <w:p w14:paraId="53C0EFD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轴流风机</w:t>
                  </w:r>
                </w:p>
              </w:tc>
              <w:tc>
                <w:tcPr>
                  <w:tcW w:w="2477" w:type="dxa"/>
                  <w:tcBorders>
                    <w:tl2br w:val="nil"/>
                    <w:tr2bl w:val="nil"/>
                  </w:tcBorders>
                  <w:shd w:val="clear" w:color="auto" w:fill="auto"/>
                  <w:vAlign w:val="center"/>
                </w:tcPr>
                <w:p w14:paraId="653400ED">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Q=2273m[3]/h，N=0.09kW，n=1450rpm</w:t>
                  </w:r>
                </w:p>
              </w:tc>
              <w:tc>
                <w:tcPr>
                  <w:tcW w:w="660" w:type="dxa"/>
                  <w:tcBorders>
                    <w:tl2br w:val="nil"/>
                    <w:tr2bl w:val="nil"/>
                  </w:tcBorders>
                  <w:shd w:val="clear" w:color="auto" w:fill="auto"/>
                  <w:vAlign w:val="center"/>
                </w:tcPr>
                <w:p w14:paraId="34EC342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675" w:type="dxa"/>
                  <w:tcBorders>
                    <w:tl2br w:val="nil"/>
                    <w:tr2bl w:val="nil"/>
                  </w:tcBorders>
                  <w:shd w:val="clear" w:color="auto" w:fill="auto"/>
                  <w:vAlign w:val="center"/>
                </w:tcPr>
                <w:p w14:paraId="1608339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w:t>
                  </w:r>
                </w:p>
              </w:tc>
              <w:tc>
                <w:tcPr>
                  <w:tcW w:w="2893" w:type="dxa"/>
                  <w:tcBorders>
                    <w:tl2br w:val="nil"/>
                    <w:tr2bl w:val="nil"/>
                  </w:tcBorders>
                  <w:shd w:val="clear" w:color="auto" w:fill="auto"/>
                  <w:vAlign w:val="center"/>
                </w:tcPr>
                <w:p w14:paraId="72B26B1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5254B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0F74833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52</w:t>
                  </w:r>
                </w:p>
              </w:tc>
              <w:tc>
                <w:tcPr>
                  <w:tcW w:w="0" w:type="auto"/>
                  <w:tcBorders>
                    <w:tl2br w:val="nil"/>
                    <w:tr2bl w:val="nil"/>
                  </w:tcBorders>
                  <w:shd w:val="clear" w:color="auto" w:fill="auto"/>
                  <w:vAlign w:val="center"/>
                </w:tcPr>
                <w:p w14:paraId="4D63FBE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手动双法兰弹性座封闸阀</w:t>
                  </w:r>
                </w:p>
              </w:tc>
              <w:tc>
                <w:tcPr>
                  <w:tcW w:w="2477" w:type="dxa"/>
                  <w:tcBorders>
                    <w:tl2br w:val="nil"/>
                    <w:tr2bl w:val="nil"/>
                  </w:tcBorders>
                  <w:shd w:val="clear" w:color="auto" w:fill="auto"/>
                  <w:vAlign w:val="center"/>
                </w:tcPr>
                <w:p w14:paraId="5E1EF68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DN150/50，PN1.0MPa，Z45X-10Q</w:t>
                  </w:r>
                </w:p>
              </w:tc>
              <w:tc>
                <w:tcPr>
                  <w:tcW w:w="660" w:type="dxa"/>
                  <w:tcBorders>
                    <w:tl2br w:val="nil"/>
                    <w:tr2bl w:val="nil"/>
                  </w:tcBorders>
                  <w:shd w:val="clear" w:color="auto" w:fill="auto"/>
                  <w:vAlign w:val="center"/>
                </w:tcPr>
                <w:p w14:paraId="2D28231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vAlign w:val="center"/>
                </w:tcPr>
                <w:p w14:paraId="120BB6B7">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2/2</w:t>
                  </w:r>
                </w:p>
              </w:tc>
              <w:tc>
                <w:tcPr>
                  <w:tcW w:w="2893" w:type="dxa"/>
                  <w:tcBorders>
                    <w:tl2br w:val="nil"/>
                    <w:tr2bl w:val="nil"/>
                  </w:tcBorders>
                  <w:shd w:val="clear" w:color="auto" w:fill="auto"/>
                  <w:vAlign w:val="center"/>
                </w:tcPr>
                <w:p w14:paraId="5573D0D8">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一体化净水设备进水管道上</w:t>
                  </w:r>
                </w:p>
              </w:tc>
            </w:tr>
            <w:tr w14:paraId="2FD00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4A55FFD4">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53</w:t>
                  </w:r>
                </w:p>
              </w:tc>
              <w:tc>
                <w:tcPr>
                  <w:tcW w:w="0" w:type="auto"/>
                  <w:tcBorders>
                    <w:tl2br w:val="nil"/>
                    <w:tr2bl w:val="nil"/>
                  </w:tcBorders>
                  <w:shd w:val="clear" w:color="auto" w:fill="auto"/>
                  <w:vAlign w:val="center"/>
                </w:tcPr>
                <w:p w14:paraId="4989A4C5">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477" w:type="dxa"/>
                  <w:tcBorders>
                    <w:tl2br w:val="nil"/>
                    <w:tr2bl w:val="nil"/>
                  </w:tcBorders>
                  <w:shd w:val="clear" w:color="auto" w:fill="auto"/>
                  <w:vAlign w:val="center"/>
                </w:tcPr>
                <w:p w14:paraId="5EC40DA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DN150/50，PN1.0MPa</w:t>
                  </w:r>
                </w:p>
              </w:tc>
              <w:tc>
                <w:tcPr>
                  <w:tcW w:w="660" w:type="dxa"/>
                  <w:tcBorders>
                    <w:tl2br w:val="nil"/>
                    <w:tr2bl w:val="nil"/>
                  </w:tcBorders>
                  <w:shd w:val="clear" w:color="auto" w:fill="auto"/>
                  <w:vAlign w:val="center"/>
                </w:tcPr>
                <w:p w14:paraId="51AB7F4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675" w:type="dxa"/>
                  <w:tcBorders>
                    <w:tl2br w:val="nil"/>
                    <w:tr2bl w:val="nil"/>
                  </w:tcBorders>
                  <w:shd w:val="clear" w:color="auto" w:fill="auto"/>
                  <w:vAlign w:val="center"/>
                </w:tcPr>
                <w:p w14:paraId="476EC5EC">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2/2</w:t>
                  </w:r>
                </w:p>
              </w:tc>
              <w:tc>
                <w:tcPr>
                  <w:tcW w:w="2893" w:type="dxa"/>
                  <w:tcBorders>
                    <w:tl2br w:val="nil"/>
                    <w:tr2bl w:val="nil"/>
                  </w:tcBorders>
                  <w:shd w:val="clear" w:color="auto" w:fill="auto"/>
                  <w:vAlign w:val="center"/>
                </w:tcPr>
                <w:p w14:paraId="49D6D8EF">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一体化净水设备进水管道上</w:t>
                  </w:r>
                </w:p>
              </w:tc>
            </w:tr>
            <w:tr w14:paraId="32181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64FCEBD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54</w:t>
                  </w:r>
                </w:p>
              </w:tc>
              <w:tc>
                <w:tcPr>
                  <w:tcW w:w="0" w:type="auto"/>
                  <w:tcBorders>
                    <w:tl2br w:val="nil"/>
                    <w:tr2bl w:val="nil"/>
                  </w:tcBorders>
                  <w:shd w:val="clear" w:color="auto" w:fill="auto"/>
                  <w:vAlign w:val="center"/>
                </w:tcPr>
                <w:p w14:paraId="413F78EE">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手提式磷酸铵盐干粉灭火器</w:t>
                  </w:r>
                </w:p>
              </w:tc>
              <w:tc>
                <w:tcPr>
                  <w:tcW w:w="2477" w:type="dxa"/>
                  <w:tcBorders>
                    <w:tl2br w:val="nil"/>
                    <w:tr2bl w:val="nil"/>
                  </w:tcBorders>
                  <w:shd w:val="clear" w:color="auto" w:fill="auto"/>
                  <w:vAlign w:val="center"/>
                </w:tcPr>
                <w:p w14:paraId="7937FA40">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MF/ABC4</w:t>
                  </w:r>
                </w:p>
              </w:tc>
              <w:tc>
                <w:tcPr>
                  <w:tcW w:w="660" w:type="dxa"/>
                  <w:tcBorders>
                    <w:tl2br w:val="nil"/>
                    <w:tr2bl w:val="nil"/>
                  </w:tcBorders>
                  <w:shd w:val="clear" w:color="auto" w:fill="auto"/>
                  <w:vAlign w:val="center"/>
                </w:tcPr>
                <w:p w14:paraId="20954EA3">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675" w:type="dxa"/>
                  <w:tcBorders>
                    <w:tl2br w:val="nil"/>
                    <w:tr2bl w:val="nil"/>
                  </w:tcBorders>
                  <w:shd w:val="clear" w:color="auto" w:fill="auto"/>
                  <w:vAlign w:val="center"/>
                </w:tcPr>
                <w:p w14:paraId="09CE24E1">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w:t>
                  </w:r>
                </w:p>
              </w:tc>
              <w:tc>
                <w:tcPr>
                  <w:tcW w:w="2893" w:type="dxa"/>
                  <w:tcBorders>
                    <w:tl2br w:val="nil"/>
                    <w:tr2bl w:val="nil"/>
                  </w:tcBorders>
                  <w:shd w:val="clear" w:color="auto" w:fill="auto"/>
                  <w:vAlign w:val="center"/>
                </w:tcPr>
                <w:p w14:paraId="2603E0D3">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每套内含2具灭火器</w:t>
                  </w:r>
                </w:p>
              </w:tc>
            </w:tr>
            <w:tr w14:paraId="58C71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7E857F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六</w:t>
                  </w:r>
                </w:p>
              </w:tc>
              <w:tc>
                <w:tcPr>
                  <w:tcW w:w="8241" w:type="dxa"/>
                  <w:gridSpan w:val="5"/>
                  <w:tcBorders>
                    <w:tl2br w:val="nil"/>
                    <w:tr2bl w:val="nil"/>
                  </w:tcBorders>
                  <w:shd w:val="clear" w:color="auto" w:fill="auto"/>
                  <w:vAlign w:val="center"/>
                </w:tcPr>
                <w:p w14:paraId="1479C9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取水设施</w:t>
                  </w:r>
                </w:p>
              </w:tc>
            </w:tr>
            <w:tr w14:paraId="72C4E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7AD957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55</w:t>
                  </w:r>
                </w:p>
              </w:tc>
              <w:tc>
                <w:tcPr>
                  <w:tcW w:w="0" w:type="auto"/>
                  <w:tcBorders>
                    <w:tl2br w:val="nil"/>
                    <w:tr2bl w:val="nil"/>
                  </w:tcBorders>
                  <w:shd w:val="clear" w:color="auto" w:fill="auto"/>
                  <w:vAlign w:val="center"/>
                </w:tcPr>
                <w:p w14:paraId="15E70F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浮</w:t>
                  </w:r>
                  <w:r>
                    <w:rPr>
                      <w:rFonts w:hint="eastAsia" w:ascii="Times New Roman" w:hAnsi="Times New Roman" w:eastAsia="宋体" w:cs="Times New Roman"/>
                      <w:i w:val="0"/>
                      <w:iCs w:val="0"/>
                      <w:color w:val="000000"/>
                      <w:kern w:val="0"/>
                      <w:sz w:val="21"/>
                      <w:szCs w:val="21"/>
                      <w:u w:val="none"/>
                      <w:lang w:val="en-US" w:eastAsia="zh-CN" w:bidi="ar"/>
                    </w:rPr>
                    <w:t>筒</w:t>
                  </w:r>
                  <w:r>
                    <w:rPr>
                      <w:rFonts w:hint="default" w:ascii="Times New Roman" w:hAnsi="Times New Roman" w:eastAsia="宋体" w:cs="Times New Roman"/>
                      <w:i w:val="0"/>
                      <w:iCs w:val="0"/>
                      <w:color w:val="000000"/>
                      <w:kern w:val="0"/>
                      <w:sz w:val="21"/>
                      <w:szCs w:val="21"/>
                      <w:u w:val="none"/>
                      <w:lang w:val="en-US" w:eastAsia="zh-CN" w:bidi="ar"/>
                    </w:rPr>
                    <w:t>潜水取水泵</w:t>
                  </w:r>
                </w:p>
              </w:tc>
              <w:tc>
                <w:tcPr>
                  <w:tcW w:w="2477" w:type="dxa"/>
                  <w:tcBorders>
                    <w:tl2br w:val="nil"/>
                    <w:tr2bl w:val="nil"/>
                  </w:tcBorders>
                  <w:shd w:val="clear" w:color="auto" w:fill="auto"/>
                  <w:vAlign w:val="center"/>
                </w:tcPr>
                <w:p w14:paraId="2F8609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Q=</w:t>
                  </w:r>
                  <w:r>
                    <w:rPr>
                      <w:rFonts w:hint="default" w:ascii="Times New Roman" w:hAnsi="Times New Roman" w:eastAsia="宋体" w:cs="Times New Roman"/>
                      <w:i w:val="0"/>
                      <w:iCs w:val="0"/>
                      <w:color w:val="000000"/>
                      <w:kern w:val="0"/>
                      <w:sz w:val="21"/>
                      <w:szCs w:val="21"/>
                      <w:u w:val="none"/>
                      <w:lang w:val="en-US" w:eastAsia="zh-CN" w:bidi="ar"/>
                    </w:rPr>
                    <w:t>46m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/h，H=45m，P=11kW</w:t>
                  </w:r>
                </w:p>
              </w:tc>
              <w:tc>
                <w:tcPr>
                  <w:tcW w:w="660" w:type="dxa"/>
                  <w:tcBorders>
                    <w:tl2br w:val="nil"/>
                    <w:tr2bl w:val="nil"/>
                  </w:tcBorders>
                  <w:shd w:val="clear" w:color="auto" w:fill="auto"/>
                  <w:vAlign w:val="center"/>
                </w:tcPr>
                <w:p w14:paraId="2CEB45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台</w:t>
                  </w:r>
                </w:p>
              </w:tc>
              <w:tc>
                <w:tcPr>
                  <w:tcW w:w="675" w:type="dxa"/>
                  <w:tcBorders>
                    <w:tl2br w:val="nil"/>
                    <w:tr2bl w:val="nil"/>
                  </w:tcBorders>
                  <w:shd w:val="clear" w:color="auto" w:fill="auto"/>
                  <w:vAlign w:val="center"/>
                </w:tcPr>
                <w:p w14:paraId="3865BC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p>
              </w:tc>
              <w:tc>
                <w:tcPr>
                  <w:tcW w:w="2893" w:type="dxa"/>
                  <w:tcBorders>
                    <w:tl2br w:val="nil"/>
                    <w:tr2bl w:val="nil"/>
                  </w:tcBorders>
                  <w:shd w:val="clear" w:color="auto" w:fill="auto"/>
                  <w:vAlign w:val="center"/>
                </w:tcPr>
                <w:p w14:paraId="31D8EA3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2用一备</w:t>
                  </w:r>
                </w:p>
              </w:tc>
            </w:tr>
            <w:tr w14:paraId="16ED2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0" w:type="auto"/>
                  <w:tcBorders>
                    <w:tl2br w:val="nil"/>
                    <w:tr2bl w:val="nil"/>
                  </w:tcBorders>
                  <w:shd w:val="clear" w:color="auto" w:fill="auto"/>
                  <w:vAlign w:val="center"/>
                </w:tcPr>
                <w:p w14:paraId="1838DB1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w:t>
                  </w:r>
                </w:p>
              </w:tc>
              <w:tc>
                <w:tcPr>
                  <w:tcW w:w="0" w:type="auto"/>
                  <w:tcBorders>
                    <w:tl2br w:val="nil"/>
                    <w:tr2bl w:val="nil"/>
                  </w:tcBorders>
                  <w:shd w:val="clear" w:color="auto" w:fill="auto"/>
                  <w:vAlign w:val="center"/>
                </w:tcPr>
                <w:p w14:paraId="71E8150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牵引支墩</w:t>
                  </w:r>
                </w:p>
              </w:tc>
              <w:tc>
                <w:tcPr>
                  <w:tcW w:w="2477" w:type="dxa"/>
                  <w:tcBorders>
                    <w:tl2br w:val="nil"/>
                    <w:tr2bl w:val="nil"/>
                  </w:tcBorders>
                  <w:shd w:val="clear" w:color="auto" w:fill="auto"/>
                  <w:vAlign w:val="center"/>
                </w:tcPr>
                <w:p w14:paraId="0EBF9BD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A×B×H=11. 0×1.0×1.5</w:t>
                  </w:r>
                </w:p>
              </w:tc>
              <w:tc>
                <w:tcPr>
                  <w:tcW w:w="660" w:type="dxa"/>
                  <w:tcBorders>
                    <w:tl2br w:val="nil"/>
                    <w:tr2bl w:val="nil"/>
                  </w:tcBorders>
                  <w:shd w:val="clear" w:color="auto" w:fill="auto"/>
                  <w:vAlign w:val="center"/>
                </w:tcPr>
                <w:p w14:paraId="67C42D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座</w:t>
                  </w:r>
                </w:p>
              </w:tc>
              <w:tc>
                <w:tcPr>
                  <w:tcW w:w="675" w:type="dxa"/>
                  <w:tcBorders>
                    <w:tl2br w:val="nil"/>
                    <w:tr2bl w:val="nil"/>
                  </w:tcBorders>
                  <w:shd w:val="clear" w:color="auto" w:fill="auto"/>
                  <w:vAlign w:val="center"/>
                </w:tcPr>
                <w:p w14:paraId="07D245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p>
              </w:tc>
              <w:tc>
                <w:tcPr>
                  <w:tcW w:w="2893" w:type="dxa"/>
                  <w:tcBorders>
                    <w:tl2br w:val="nil"/>
                    <w:tr2bl w:val="nil"/>
                  </w:tcBorders>
                  <w:shd w:val="clear" w:color="auto" w:fill="auto"/>
                  <w:vAlign w:val="center"/>
                </w:tcPr>
                <w:p w14:paraId="1E825D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79AFB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tcBorders>
                    <w:tl2br w:val="nil"/>
                    <w:tr2bl w:val="nil"/>
                  </w:tcBorders>
                  <w:shd w:val="clear" w:color="auto" w:fill="auto"/>
                  <w:vAlign w:val="center"/>
                </w:tcPr>
                <w:p w14:paraId="1449D9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57</w:t>
                  </w:r>
                </w:p>
              </w:tc>
              <w:tc>
                <w:tcPr>
                  <w:tcW w:w="0" w:type="auto"/>
                  <w:tcBorders>
                    <w:tl2br w:val="nil"/>
                    <w:tr2bl w:val="nil"/>
                  </w:tcBorders>
                  <w:shd w:val="clear" w:color="auto" w:fill="auto"/>
                  <w:vAlign w:val="center"/>
                </w:tcPr>
                <w:p w14:paraId="3A33E3A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锦纶尼龙绳</w:t>
                  </w:r>
                </w:p>
              </w:tc>
              <w:tc>
                <w:tcPr>
                  <w:tcW w:w="2477" w:type="dxa"/>
                  <w:tcBorders>
                    <w:tl2br w:val="nil"/>
                    <w:tr2bl w:val="nil"/>
                  </w:tcBorders>
                  <w:shd w:val="clear" w:color="auto" w:fill="auto"/>
                  <w:vAlign w:val="center"/>
                </w:tcPr>
                <w:p w14:paraId="634C11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60" w:type="dxa"/>
                  <w:tcBorders>
                    <w:tl2br w:val="nil"/>
                    <w:tr2bl w:val="nil"/>
                  </w:tcBorders>
                  <w:shd w:val="clear" w:color="auto" w:fill="auto"/>
                  <w:vAlign w:val="center"/>
                </w:tcPr>
                <w:p w14:paraId="3984A3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米</w:t>
                  </w:r>
                </w:p>
              </w:tc>
              <w:tc>
                <w:tcPr>
                  <w:tcW w:w="675" w:type="dxa"/>
                  <w:tcBorders>
                    <w:tl2br w:val="nil"/>
                    <w:tr2bl w:val="nil"/>
                  </w:tcBorders>
                  <w:shd w:val="clear" w:color="auto" w:fill="auto"/>
                  <w:vAlign w:val="center"/>
                </w:tcPr>
                <w:p w14:paraId="71C689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w:t>
                  </w:r>
                </w:p>
              </w:tc>
              <w:tc>
                <w:tcPr>
                  <w:tcW w:w="2893" w:type="dxa"/>
                  <w:tcBorders>
                    <w:tl2br w:val="nil"/>
                    <w:tr2bl w:val="nil"/>
                  </w:tcBorders>
                  <w:shd w:val="clear" w:color="auto" w:fill="auto"/>
                  <w:vAlign w:val="center"/>
                </w:tcPr>
                <w:p w14:paraId="09D162F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14:paraId="243C47A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黑体" w:cs="Times New Roman"/>
                <w:color w:val="auto"/>
                <w:szCs w:val="21"/>
                <w:highlight w:val="none"/>
              </w:rPr>
            </w:pPr>
            <w:r>
              <w:rPr>
                <w:rFonts w:hint="eastAsia" w:ascii="Times New Roman" w:hAnsi="Times New Roman" w:cs="Times New Roman"/>
                <w:color w:val="auto"/>
                <w:sz w:val="24"/>
                <w:szCs w:val="32"/>
                <w:highlight w:val="none"/>
                <w:vertAlign w:val="baseline"/>
                <w:lang w:val="en-US" w:eastAsia="zh-CN"/>
              </w:rPr>
              <w:t>马渡关水厂</w:t>
            </w:r>
            <w:r>
              <w:rPr>
                <w:rFonts w:hint="default" w:ascii="Times New Roman" w:hAnsi="Times New Roman" w:cs="Times New Roman"/>
                <w:color w:val="auto"/>
                <w:sz w:val="24"/>
                <w:szCs w:val="32"/>
                <w:highlight w:val="none"/>
                <w:vertAlign w:val="baseline"/>
                <w:lang w:val="en-US" w:eastAsia="zh-CN"/>
              </w:rPr>
              <w:t>主要设备见下表。</w:t>
            </w:r>
          </w:p>
          <w:p w14:paraId="6F3FCAC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5 马渡关水厂</w:t>
            </w:r>
            <w:r>
              <w:rPr>
                <w:rFonts w:hint="default" w:ascii="Times New Roman" w:hAnsi="Times New Roman" w:eastAsia="黑体" w:cs="Times New Roman"/>
                <w:color w:val="auto"/>
                <w:szCs w:val="21"/>
                <w:highlight w:val="none"/>
                <w:lang w:val="en-US" w:eastAsia="zh-CN"/>
              </w:rPr>
              <w:t>主要设备一览表</w:t>
            </w:r>
          </w:p>
          <w:tbl>
            <w:tblPr>
              <w:tblStyle w:val="25"/>
              <w:tblW w:w="92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20"/>
              <w:gridCol w:w="1929"/>
              <w:gridCol w:w="2767"/>
              <w:gridCol w:w="803"/>
              <w:gridCol w:w="803"/>
              <w:gridCol w:w="2181"/>
            </w:tblGrid>
            <w:tr w14:paraId="2F4E3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BB1AF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编号</w:t>
                  </w:r>
                </w:p>
              </w:tc>
              <w:tc>
                <w:tcPr>
                  <w:tcW w:w="1929" w:type="dxa"/>
                  <w:tcBorders>
                    <w:tl2br w:val="nil"/>
                    <w:tr2bl w:val="nil"/>
                  </w:tcBorders>
                  <w:shd w:val="clear" w:color="auto" w:fill="auto"/>
                  <w:noWrap/>
                  <w:vAlign w:val="center"/>
                </w:tcPr>
                <w:p w14:paraId="7EC487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名　称</w:t>
                  </w:r>
                </w:p>
              </w:tc>
              <w:tc>
                <w:tcPr>
                  <w:tcW w:w="2767" w:type="dxa"/>
                  <w:tcBorders>
                    <w:tl2br w:val="nil"/>
                    <w:tr2bl w:val="nil"/>
                  </w:tcBorders>
                  <w:shd w:val="clear" w:color="auto" w:fill="auto"/>
                  <w:noWrap/>
                  <w:vAlign w:val="center"/>
                </w:tcPr>
                <w:p w14:paraId="66E602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规格及性能</w:t>
                  </w:r>
                </w:p>
              </w:tc>
              <w:tc>
                <w:tcPr>
                  <w:tcW w:w="803" w:type="dxa"/>
                  <w:tcBorders>
                    <w:tl2br w:val="nil"/>
                    <w:tr2bl w:val="nil"/>
                  </w:tcBorders>
                  <w:shd w:val="clear" w:color="auto" w:fill="auto"/>
                  <w:noWrap/>
                  <w:vAlign w:val="center"/>
                </w:tcPr>
                <w:p w14:paraId="3256A7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单位</w:t>
                  </w:r>
                </w:p>
              </w:tc>
              <w:tc>
                <w:tcPr>
                  <w:tcW w:w="803" w:type="dxa"/>
                  <w:tcBorders>
                    <w:tl2br w:val="nil"/>
                    <w:tr2bl w:val="nil"/>
                  </w:tcBorders>
                  <w:shd w:val="clear" w:color="auto" w:fill="auto"/>
                  <w:noWrap/>
                  <w:vAlign w:val="center"/>
                </w:tcPr>
                <w:p w14:paraId="28D5CF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数量</w:t>
                  </w:r>
                </w:p>
              </w:tc>
              <w:tc>
                <w:tcPr>
                  <w:tcW w:w="2181" w:type="dxa"/>
                  <w:tcBorders>
                    <w:tl2br w:val="nil"/>
                    <w:tr2bl w:val="nil"/>
                  </w:tcBorders>
                  <w:shd w:val="clear" w:color="auto" w:fill="auto"/>
                  <w:noWrap/>
                  <w:vAlign w:val="center"/>
                </w:tcPr>
                <w:p w14:paraId="67B032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备　注</w:t>
                  </w:r>
                </w:p>
              </w:tc>
            </w:tr>
            <w:tr w14:paraId="63BD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62DFC4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 一</w:t>
                  </w:r>
                </w:p>
              </w:tc>
              <w:tc>
                <w:tcPr>
                  <w:tcW w:w="8483" w:type="dxa"/>
                  <w:gridSpan w:val="5"/>
                  <w:tcBorders>
                    <w:tl2br w:val="nil"/>
                    <w:tr2bl w:val="nil"/>
                  </w:tcBorders>
                  <w:shd w:val="clear" w:color="auto" w:fill="auto"/>
                  <w:noWrap/>
                  <w:vAlign w:val="center"/>
                </w:tcPr>
                <w:p w14:paraId="48B265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一体化净水设备（表中明细设备由一体化净水设备成套提供）</w:t>
                  </w:r>
                </w:p>
              </w:tc>
            </w:tr>
            <w:tr w14:paraId="4E615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5305EC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1929" w:type="dxa"/>
                  <w:tcBorders>
                    <w:tl2br w:val="nil"/>
                    <w:tr2bl w:val="nil"/>
                  </w:tcBorders>
                  <w:shd w:val="clear" w:color="auto" w:fill="auto"/>
                  <w:noWrap/>
                  <w:vAlign w:val="center"/>
                </w:tcPr>
                <w:p w14:paraId="1993D8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预沉淀、絮凝沉淀、V型滤池一体化设备</w:t>
                  </w:r>
                </w:p>
              </w:tc>
              <w:tc>
                <w:tcPr>
                  <w:tcW w:w="2767" w:type="dxa"/>
                  <w:tcBorders>
                    <w:tl2br w:val="nil"/>
                    <w:tr2bl w:val="nil"/>
                  </w:tcBorders>
                  <w:shd w:val="clear" w:color="auto" w:fill="auto"/>
                  <w:noWrap/>
                  <w:vAlign w:val="center"/>
                </w:tcPr>
                <w:p w14:paraId="3BAF87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尺寸：LxBxH=16.0X6.0X4.5m，</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 xml:space="preserve"> 处理规模</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3000m[3]/d</w:t>
                  </w:r>
                </w:p>
              </w:tc>
              <w:tc>
                <w:tcPr>
                  <w:tcW w:w="803" w:type="dxa"/>
                  <w:tcBorders>
                    <w:tl2br w:val="nil"/>
                    <w:tr2bl w:val="nil"/>
                  </w:tcBorders>
                  <w:shd w:val="clear" w:color="auto" w:fill="auto"/>
                  <w:noWrap/>
                  <w:vAlign w:val="center"/>
                </w:tcPr>
                <w:p w14:paraId="57A1EC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3E4493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181" w:type="dxa"/>
                  <w:tcBorders>
                    <w:tl2br w:val="nil"/>
                    <w:tr2bl w:val="nil"/>
                  </w:tcBorders>
                  <w:shd w:val="clear" w:color="auto" w:fill="auto"/>
                  <w:noWrap/>
                  <w:vAlign w:val="center"/>
                </w:tcPr>
                <w:p w14:paraId="08D95E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分2格，配套进水渠，反应池、斜管沉淀池、滤池、配电系统、控制系统、全池遮阳棚</w:t>
                  </w:r>
                </w:p>
              </w:tc>
            </w:tr>
            <w:tr w14:paraId="158BF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D2741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1929" w:type="dxa"/>
                  <w:tcBorders>
                    <w:tl2br w:val="nil"/>
                    <w:tr2bl w:val="nil"/>
                  </w:tcBorders>
                  <w:shd w:val="clear" w:color="auto" w:fill="auto"/>
                  <w:noWrap/>
                  <w:vAlign w:val="center"/>
                </w:tcPr>
                <w:p w14:paraId="2A5A35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三叶罗茨风机</w:t>
                  </w:r>
                </w:p>
              </w:tc>
              <w:tc>
                <w:tcPr>
                  <w:tcW w:w="2767" w:type="dxa"/>
                  <w:tcBorders>
                    <w:tl2br w:val="nil"/>
                    <w:tr2bl w:val="nil"/>
                  </w:tcBorders>
                  <w:shd w:val="clear" w:color="auto" w:fill="auto"/>
                  <w:noWrap/>
                  <w:vAlign w:val="center"/>
                </w:tcPr>
                <w:p w14:paraId="6927CC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Q=9.45m[3]/min，H=49KPa</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n=1100r/min，P=15kW</w:t>
                  </w:r>
                </w:p>
              </w:tc>
              <w:tc>
                <w:tcPr>
                  <w:tcW w:w="803" w:type="dxa"/>
                  <w:tcBorders>
                    <w:tl2br w:val="nil"/>
                    <w:tr2bl w:val="nil"/>
                  </w:tcBorders>
                  <w:shd w:val="clear" w:color="auto" w:fill="auto"/>
                  <w:noWrap/>
                  <w:vAlign w:val="center"/>
                </w:tcPr>
                <w:p w14:paraId="6F0DFB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2BFFD7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0D7246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1用1备</w:t>
                  </w:r>
                </w:p>
              </w:tc>
            </w:tr>
            <w:tr w14:paraId="04663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2E53E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1929" w:type="dxa"/>
                  <w:tcBorders>
                    <w:tl2br w:val="nil"/>
                    <w:tr2bl w:val="nil"/>
                  </w:tcBorders>
                  <w:shd w:val="clear" w:color="auto" w:fill="auto"/>
                  <w:noWrap/>
                  <w:vAlign w:val="center"/>
                </w:tcPr>
                <w:p w14:paraId="5B3C99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反冲洗水泵</w:t>
                  </w:r>
                </w:p>
              </w:tc>
              <w:tc>
                <w:tcPr>
                  <w:tcW w:w="2767" w:type="dxa"/>
                  <w:tcBorders>
                    <w:tl2br w:val="nil"/>
                    <w:tr2bl w:val="nil"/>
                  </w:tcBorders>
                  <w:shd w:val="clear" w:color="auto" w:fill="auto"/>
                  <w:noWrap/>
                  <w:vAlign w:val="center"/>
                </w:tcPr>
                <w:p w14:paraId="470E06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114m[3]/h，11m，5.5kW</w:t>
                  </w:r>
                </w:p>
              </w:tc>
              <w:tc>
                <w:tcPr>
                  <w:tcW w:w="803" w:type="dxa"/>
                  <w:tcBorders>
                    <w:tl2br w:val="nil"/>
                    <w:tr2bl w:val="nil"/>
                  </w:tcBorders>
                  <w:shd w:val="clear" w:color="auto" w:fill="auto"/>
                  <w:noWrap/>
                  <w:vAlign w:val="center"/>
                </w:tcPr>
                <w:p w14:paraId="3B328A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3767FA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4E0AE8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2用1备</w:t>
                  </w:r>
                </w:p>
              </w:tc>
            </w:tr>
            <w:tr w14:paraId="2A147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13324A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w:t>
                  </w:r>
                </w:p>
              </w:tc>
              <w:tc>
                <w:tcPr>
                  <w:tcW w:w="1929" w:type="dxa"/>
                  <w:tcBorders>
                    <w:tl2br w:val="nil"/>
                    <w:tr2bl w:val="nil"/>
                  </w:tcBorders>
                  <w:shd w:val="clear" w:color="auto" w:fill="auto"/>
                  <w:noWrap/>
                  <w:vAlign w:val="center"/>
                </w:tcPr>
                <w:p w14:paraId="363FF2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空压机</w:t>
                  </w:r>
                </w:p>
              </w:tc>
              <w:tc>
                <w:tcPr>
                  <w:tcW w:w="2767" w:type="dxa"/>
                  <w:tcBorders>
                    <w:tl2br w:val="nil"/>
                    <w:tr2bl w:val="nil"/>
                  </w:tcBorders>
                  <w:shd w:val="clear" w:color="auto" w:fill="auto"/>
                  <w:noWrap/>
                  <w:vAlign w:val="center"/>
                </w:tcPr>
                <w:p w14:paraId="5B0F2A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Q=1.32m[3]/min，PN=1.0MPa，N=11kW</w:t>
                  </w:r>
                </w:p>
              </w:tc>
              <w:tc>
                <w:tcPr>
                  <w:tcW w:w="803" w:type="dxa"/>
                  <w:tcBorders>
                    <w:tl2br w:val="nil"/>
                    <w:tr2bl w:val="nil"/>
                  </w:tcBorders>
                  <w:shd w:val="clear" w:color="auto" w:fill="auto"/>
                  <w:noWrap/>
                  <w:vAlign w:val="center"/>
                </w:tcPr>
                <w:p w14:paraId="585FF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7AB007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19F569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1用1备</w:t>
                  </w:r>
                </w:p>
              </w:tc>
            </w:tr>
            <w:tr w14:paraId="0C704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2CBAE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5</w:t>
                  </w:r>
                </w:p>
              </w:tc>
              <w:tc>
                <w:tcPr>
                  <w:tcW w:w="1929" w:type="dxa"/>
                  <w:tcBorders>
                    <w:tl2br w:val="nil"/>
                    <w:tr2bl w:val="nil"/>
                  </w:tcBorders>
                  <w:shd w:val="clear" w:color="auto" w:fill="auto"/>
                  <w:noWrap/>
                  <w:vAlign w:val="center"/>
                </w:tcPr>
                <w:p w14:paraId="2903EC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储气罐</w:t>
                  </w:r>
                </w:p>
              </w:tc>
              <w:tc>
                <w:tcPr>
                  <w:tcW w:w="2767" w:type="dxa"/>
                  <w:tcBorders>
                    <w:tl2br w:val="nil"/>
                    <w:tr2bl w:val="nil"/>
                  </w:tcBorders>
                  <w:shd w:val="clear" w:color="auto" w:fill="auto"/>
                  <w:noWrap/>
                  <w:vAlign w:val="center"/>
                </w:tcPr>
                <w:p w14:paraId="233519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V=1.0m[3]</w:t>
                  </w:r>
                </w:p>
              </w:tc>
              <w:tc>
                <w:tcPr>
                  <w:tcW w:w="803" w:type="dxa"/>
                  <w:tcBorders>
                    <w:tl2br w:val="nil"/>
                    <w:tr2bl w:val="nil"/>
                  </w:tcBorders>
                  <w:shd w:val="clear" w:color="auto" w:fill="auto"/>
                  <w:noWrap/>
                  <w:vAlign w:val="center"/>
                </w:tcPr>
                <w:p w14:paraId="4B5701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7AF81B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279E0F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03219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85345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6</w:t>
                  </w:r>
                </w:p>
              </w:tc>
              <w:tc>
                <w:tcPr>
                  <w:tcW w:w="1929" w:type="dxa"/>
                  <w:tcBorders>
                    <w:tl2br w:val="nil"/>
                    <w:tr2bl w:val="nil"/>
                  </w:tcBorders>
                  <w:shd w:val="clear" w:color="auto" w:fill="auto"/>
                  <w:noWrap/>
                  <w:vAlign w:val="center"/>
                </w:tcPr>
                <w:p w14:paraId="6E6036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絮凝搅拌机</w:t>
                  </w:r>
                </w:p>
              </w:tc>
              <w:tc>
                <w:tcPr>
                  <w:tcW w:w="2767" w:type="dxa"/>
                  <w:tcBorders>
                    <w:tl2br w:val="nil"/>
                    <w:tr2bl w:val="nil"/>
                  </w:tcBorders>
                  <w:shd w:val="clear" w:color="auto" w:fill="auto"/>
                  <w:noWrap/>
                  <w:vAlign w:val="center"/>
                </w:tcPr>
                <w:p w14:paraId="77CC67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%%C=600mm，N=1.1kW</w:t>
                  </w:r>
                </w:p>
              </w:tc>
              <w:tc>
                <w:tcPr>
                  <w:tcW w:w="803" w:type="dxa"/>
                  <w:tcBorders>
                    <w:tl2br w:val="nil"/>
                    <w:tr2bl w:val="nil"/>
                  </w:tcBorders>
                  <w:shd w:val="clear" w:color="auto" w:fill="auto"/>
                  <w:noWrap/>
                  <w:vAlign w:val="center"/>
                </w:tcPr>
                <w:p w14:paraId="514CFA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479EEC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6A71D2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絮凝区</w:t>
                  </w:r>
                </w:p>
              </w:tc>
            </w:tr>
            <w:tr w14:paraId="78DF9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7621C9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7</w:t>
                  </w:r>
                </w:p>
              </w:tc>
              <w:tc>
                <w:tcPr>
                  <w:tcW w:w="1929" w:type="dxa"/>
                  <w:tcBorders>
                    <w:tl2br w:val="nil"/>
                    <w:tr2bl w:val="nil"/>
                  </w:tcBorders>
                  <w:shd w:val="clear" w:color="auto" w:fill="auto"/>
                  <w:noWrap/>
                  <w:vAlign w:val="center"/>
                </w:tcPr>
                <w:p w14:paraId="57240F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电动角式排泥阀</w:t>
                  </w:r>
                </w:p>
              </w:tc>
              <w:tc>
                <w:tcPr>
                  <w:tcW w:w="2767" w:type="dxa"/>
                  <w:tcBorders>
                    <w:tl2br w:val="nil"/>
                    <w:tr2bl w:val="nil"/>
                  </w:tcBorders>
                  <w:shd w:val="clear" w:color="auto" w:fill="auto"/>
                  <w:noWrap/>
                  <w:vAlign w:val="center"/>
                </w:tcPr>
                <w:p w14:paraId="2D1C78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 PN=1.6Mpa</w:t>
                  </w:r>
                </w:p>
              </w:tc>
              <w:tc>
                <w:tcPr>
                  <w:tcW w:w="803" w:type="dxa"/>
                  <w:tcBorders>
                    <w:tl2br w:val="nil"/>
                    <w:tr2bl w:val="nil"/>
                  </w:tcBorders>
                  <w:shd w:val="clear" w:color="auto" w:fill="auto"/>
                  <w:noWrap/>
                  <w:vAlign w:val="center"/>
                </w:tcPr>
                <w:p w14:paraId="5E2AF8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3ECFBB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48</w:t>
                  </w:r>
                </w:p>
              </w:tc>
              <w:tc>
                <w:tcPr>
                  <w:tcW w:w="2181" w:type="dxa"/>
                  <w:tcBorders>
                    <w:tl2br w:val="nil"/>
                    <w:tr2bl w:val="nil"/>
                  </w:tcBorders>
                  <w:shd w:val="clear" w:color="auto" w:fill="auto"/>
                  <w:noWrap/>
                  <w:vAlign w:val="center"/>
                </w:tcPr>
                <w:p w14:paraId="4858BE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配套电动头</w:t>
                  </w:r>
                </w:p>
              </w:tc>
            </w:tr>
            <w:tr w14:paraId="3E4E8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10382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8</w:t>
                  </w:r>
                </w:p>
              </w:tc>
              <w:tc>
                <w:tcPr>
                  <w:tcW w:w="1929" w:type="dxa"/>
                  <w:tcBorders>
                    <w:tl2br w:val="nil"/>
                    <w:tr2bl w:val="nil"/>
                  </w:tcBorders>
                  <w:shd w:val="clear" w:color="auto" w:fill="auto"/>
                  <w:noWrap/>
                  <w:vAlign w:val="center"/>
                </w:tcPr>
                <w:p w14:paraId="450279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液位开关</w:t>
                  </w:r>
                </w:p>
              </w:tc>
              <w:tc>
                <w:tcPr>
                  <w:tcW w:w="2767" w:type="dxa"/>
                  <w:tcBorders>
                    <w:tl2br w:val="nil"/>
                    <w:tr2bl w:val="nil"/>
                  </w:tcBorders>
                  <w:shd w:val="clear" w:color="auto" w:fill="auto"/>
                  <w:noWrap/>
                  <w:vAlign w:val="center"/>
                </w:tcPr>
                <w:p w14:paraId="0C1F0D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线缆式浮球液位开关</w:t>
                  </w:r>
                </w:p>
              </w:tc>
              <w:tc>
                <w:tcPr>
                  <w:tcW w:w="803" w:type="dxa"/>
                  <w:tcBorders>
                    <w:tl2br w:val="nil"/>
                    <w:tr2bl w:val="nil"/>
                  </w:tcBorders>
                  <w:shd w:val="clear" w:color="auto" w:fill="auto"/>
                  <w:noWrap/>
                  <w:vAlign w:val="center"/>
                </w:tcPr>
                <w:p w14:paraId="21A55A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40F58A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6DEDEA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1155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FBEE8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9</w:t>
                  </w:r>
                </w:p>
              </w:tc>
              <w:tc>
                <w:tcPr>
                  <w:tcW w:w="1929" w:type="dxa"/>
                  <w:tcBorders>
                    <w:tl2br w:val="nil"/>
                    <w:tr2bl w:val="nil"/>
                  </w:tcBorders>
                  <w:shd w:val="clear" w:color="auto" w:fill="auto"/>
                  <w:noWrap/>
                  <w:vAlign w:val="center"/>
                </w:tcPr>
                <w:p w14:paraId="4DC477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电动蝶阀</w:t>
                  </w:r>
                </w:p>
              </w:tc>
              <w:tc>
                <w:tcPr>
                  <w:tcW w:w="2767" w:type="dxa"/>
                  <w:tcBorders>
                    <w:tl2br w:val="nil"/>
                    <w:tr2bl w:val="nil"/>
                  </w:tcBorders>
                  <w:shd w:val="clear" w:color="auto" w:fill="auto"/>
                  <w:noWrap/>
                  <w:vAlign w:val="center"/>
                </w:tcPr>
                <w:p w14:paraId="3D7CBF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DN150，PN1.0MPa，D941X-10Q</w:t>
                  </w:r>
                </w:p>
              </w:tc>
              <w:tc>
                <w:tcPr>
                  <w:tcW w:w="803" w:type="dxa"/>
                  <w:tcBorders>
                    <w:tl2br w:val="nil"/>
                    <w:tr2bl w:val="nil"/>
                  </w:tcBorders>
                  <w:shd w:val="clear" w:color="auto" w:fill="auto"/>
                  <w:noWrap/>
                  <w:vAlign w:val="center"/>
                </w:tcPr>
                <w:p w14:paraId="4002AB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2D5E3F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7B7F10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54F35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3CA4ED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10</w:t>
                  </w:r>
                </w:p>
              </w:tc>
              <w:tc>
                <w:tcPr>
                  <w:tcW w:w="1929" w:type="dxa"/>
                  <w:tcBorders>
                    <w:tl2br w:val="nil"/>
                    <w:tr2bl w:val="nil"/>
                  </w:tcBorders>
                  <w:shd w:val="clear" w:color="auto" w:fill="auto"/>
                  <w:noWrap/>
                  <w:vAlign w:val="center"/>
                </w:tcPr>
                <w:p w14:paraId="3F0E41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手动软密封蝶阀</w:t>
                  </w:r>
                </w:p>
              </w:tc>
              <w:tc>
                <w:tcPr>
                  <w:tcW w:w="2767" w:type="dxa"/>
                  <w:tcBorders>
                    <w:tl2br w:val="nil"/>
                    <w:tr2bl w:val="nil"/>
                  </w:tcBorders>
                  <w:shd w:val="clear" w:color="auto" w:fill="auto"/>
                  <w:noWrap/>
                  <w:vAlign w:val="center"/>
                </w:tcPr>
                <w:p w14:paraId="6C5745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DN200，PN1.0MPa，D341X-10Q</w:t>
                  </w:r>
                </w:p>
              </w:tc>
              <w:tc>
                <w:tcPr>
                  <w:tcW w:w="803" w:type="dxa"/>
                  <w:tcBorders>
                    <w:tl2br w:val="nil"/>
                    <w:tr2bl w:val="nil"/>
                  </w:tcBorders>
                  <w:shd w:val="clear" w:color="auto" w:fill="auto"/>
                  <w:noWrap/>
                  <w:vAlign w:val="center"/>
                </w:tcPr>
                <w:p w14:paraId="5DBEEB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70C0C3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2CE7E8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5706C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7EE6B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11</w:t>
                  </w:r>
                </w:p>
              </w:tc>
              <w:tc>
                <w:tcPr>
                  <w:tcW w:w="1929" w:type="dxa"/>
                  <w:tcBorders>
                    <w:tl2br w:val="nil"/>
                    <w:tr2bl w:val="nil"/>
                  </w:tcBorders>
                  <w:shd w:val="clear" w:color="auto" w:fill="auto"/>
                  <w:noWrap/>
                  <w:vAlign w:val="center"/>
                </w:tcPr>
                <w:p w14:paraId="0D1B90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手动软密封蝶阀</w:t>
                  </w:r>
                </w:p>
              </w:tc>
              <w:tc>
                <w:tcPr>
                  <w:tcW w:w="2767" w:type="dxa"/>
                  <w:tcBorders>
                    <w:tl2br w:val="nil"/>
                    <w:tr2bl w:val="nil"/>
                  </w:tcBorders>
                  <w:shd w:val="clear" w:color="auto" w:fill="auto"/>
                  <w:noWrap/>
                  <w:vAlign w:val="center"/>
                </w:tcPr>
                <w:p w14:paraId="67594B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DN150，PN1.0MPa，D341X-10Q</w:t>
                  </w:r>
                </w:p>
              </w:tc>
              <w:tc>
                <w:tcPr>
                  <w:tcW w:w="803" w:type="dxa"/>
                  <w:tcBorders>
                    <w:tl2br w:val="nil"/>
                    <w:tr2bl w:val="nil"/>
                  </w:tcBorders>
                  <w:shd w:val="clear" w:color="auto" w:fill="auto"/>
                  <w:noWrap/>
                  <w:vAlign w:val="center"/>
                </w:tcPr>
                <w:p w14:paraId="63FCF0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607E48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2B674D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2EBC7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1642C0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12</w:t>
                  </w:r>
                </w:p>
              </w:tc>
              <w:tc>
                <w:tcPr>
                  <w:tcW w:w="1929" w:type="dxa"/>
                  <w:tcBorders>
                    <w:tl2br w:val="nil"/>
                    <w:tr2bl w:val="nil"/>
                  </w:tcBorders>
                  <w:shd w:val="clear" w:color="auto" w:fill="auto"/>
                  <w:noWrap/>
                  <w:vAlign w:val="center"/>
                </w:tcPr>
                <w:p w14:paraId="45DF9E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手动软密封蝶阀</w:t>
                  </w:r>
                </w:p>
              </w:tc>
              <w:tc>
                <w:tcPr>
                  <w:tcW w:w="2767" w:type="dxa"/>
                  <w:tcBorders>
                    <w:tl2br w:val="nil"/>
                    <w:tr2bl w:val="nil"/>
                  </w:tcBorders>
                  <w:shd w:val="clear" w:color="auto" w:fill="auto"/>
                  <w:noWrap/>
                  <w:vAlign w:val="center"/>
                </w:tcPr>
                <w:p w14:paraId="7F1ED3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DN125，PN1.0MPa，D341X-10Q</w:t>
                  </w:r>
                </w:p>
              </w:tc>
              <w:tc>
                <w:tcPr>
                  <w:tcW w:w="803" w:type="dxa"/>
                  <w:tcBorders>
                    <w:tl2br w:val="nil"/>
                    <w:tr2bl w:val="nil"/>
                  </w:tcBorders>
                  <w:shd w:val="clear" w:color="auto" w:fill="auto"/>
                  <w:noWrap/>
                  <w:vAlign w:val="center"/>
                </w:tcPr>
                <w:p w14:paraId="3F63F1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608232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494623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风机出口</w:t>
                  </w:r>
                </w:p>
              </w:tc>
            </w:tr>
            <w:tr w14:paraId="72269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77F754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13</w:t>
                  </w:r>
                </w:p>
              </w:tc>
              <w:tc>
                <w:tcPr>
                  <w:tcW w:w="1929" w:type="dxa"/>
                  <w:tcBorders>
                    <w:tl2br w:val="nil"/>
                    <w:tr2bl w:val="nil"/>
                  </w:tcBorders>
                  <w:shd w:val="clear" w:color="auto" w:fill="auto"/>
                  <w:noWrap/>
                  <w:vAlign w:val="center"/>
                </w:tcPr>
                <w:p w14:paraId="792474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气动调节蝶阀</w:t>
                  </w:r>
                </w:p>
              </w:tc>
              <w:tc>
                <w:tcPr>
                  <w:tcW w:w="2767" w:type="dxa"/>
                  <w:tcBorders>
                    <w:tl2br w:val="nil"/>
                    <w:tr2bl w:val="nil"/>
                  </w:tcBorders>
                  <w:shd w:val="clear" w:color="auto" w:fill="auto"/>
                  <w:noWrap/>
                  <w:vAlign w:val="center"/>
                </w:tcPr>
                <w:p w14:paraId="52FB36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DN350，PN1.0MPa，D61X-10Q</w:t>
                  </w:r>
                </w:p>
              </w:tc>
              <w:tc>
                <w:tcPr>
                  <w:tcW w:w="803" w:type="dxa"/>
                  <w:tcBorders>
                    <w:tl2br w:val="nil"/>
                    <w:tr2bl w:val="nil"/>
                  </w:tcBorders>
                  <w:shd w:val="clear" w:color="auto" w:fill="auto"/>
                  <w:noWrap/>
                  <w:vAlign w:val="center"/>
                </w:tcPr>
                <w:p w14:paraId="0FCCFC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4D3E9C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5FF9F7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反冲洗排水管</w:t>
                  </w:r>
                </w:p>
              </w:tc>
            </w:tr>
            <w:tr w14:paraId="7294E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5683BB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14</w:t>
                  </w:r>
                </w:p>
              </w:tc>
              <w:tc>
                <w:tcPr>
                  <w:tcW w:w="1929" w:type="dxa"/>
                  <w:tcBorders>
                    <w:tl2br w:val="nil"/>
                    <w:tr2bl w:val="nil"/>
                  </w:tcBorders>
                  <w:shd w:val="clear" w:color="auto" w:fill="auto"/>
                  <w:noWrap/>
                  <w:vAlign w:val="center"/>
                </w:tcPr>
                <w:p w14:paraId="5165D5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气动调节蝶阀</w:t>
                  </w:r>
                </w:p>
              </w:tc>
              <w:tc>
                <w:tcPr>
                  <w:tcW w:w="2767" w:type="dxa"/>
                  <w:tcBorders>
                    <w:tl2br w:val="nil"/>
                    <w:tr2bl w:val="nil"/>
                  </w:tcBorders>
                  <w:shd w:val="clear" w:color="auto" w:fill="auto"/>
                  <w:noWrap/>
                  <w:vAlign w:val="center"/>
                </w:tcPr>
                <w:p w14:paraId="30E940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DN200，PN1.0MPa，D61X-10Q</w:t>
                  </w:r>
                </w:p>
              </w:tc>
              <w:tc>
                <w:tcPr>
                  <w:tcW w:w="803" w:type="dxa"/>
                  <w:tcBorders>
                    <w:tl2br w:val="nil"/>
                    <w:tr2bl w:val="nil"/>
                  </w:tcBorders>
                  <w:shd w:val="clear" w:color="auto" w:fill="auto"/>
                  <w:noWrap/>
                  <w:vAlign w:val="center"/>
                </w:tcPr>
                <w:p w14:paraId="525CCD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0EE9D2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6</w:t>
                  </w:r>
                </w:p>
              </w:tc>
              <w:tc>
                <w:tcPr>
                  <w:tcW w:w="2181" w:type="dxa"/>
                  <w:tcBorders>
                    <w:tl2br w:val="nil"/>
                    <w:tr2bl w:val="nil"/>
                  </w:tcBorders>
                  <w:shd w:val="clear" w:color="auto" w:fill="auto"/>
                  <w:noWrap/>
                  <w:vAlign w:val="center"/>
                </w:tcPr>
                <w:p w14:paraId="25D154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6FED9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34AD0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15</w:t>
                  </w:r>
                </w:p>
              </w:tc>
              <w:tc>
                <w:tcPr>
                  <w:tcW w:w="1929" w:type="dxa"/>
                  <w:tcBorders>
                    <w:tl2br w:val="nil"/>
                    <w:tr2bl w:val="nil"/>
                  </w:tcBorders>
                  <w:shd w:val="clear" w:color="auto" w:fill="auto"/>
                  <w:noWrap/>
                  <w:vAlign w:val="center"/>
                </w:tcPr>
                <w:p w14:paraId="3B8D50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气动调节蝶阀</w:t>
                  </w:r>
                </w:p>
              </w:tc>
              <w:tc>
                <w:tcPr>
                  <w:tcW w:w="2767" w:type="dxa"/>
                  <w:tcBorders>
                    <w:tl2br w:val="nil"/>
                    <w:tr2bl w:val="nil"/>
                  </w:tcBorders>
                  <w:shd w:val="clear" w:color="auto" w:fill="auto"/>
                  <w:noWrap/>
                  <w:vAlign w:val="center"/>
                </w:tcPr>
                <w:p w14:paraId="472363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DN125，PN1.0MPa，D61X-10Q</w:t>
                  </w:r>
                </w:p>
              </w:tc>
              <w:tc>
                <w:tcPr>
                  <w:tcW w:w="803" w:type="dxa"/>
                  <w:tcBorders>
                    <w:tl2br w:val="nil"/>
                    <w:tr2bl w:val="nil"/>
                  </w:tcBorders>
                  <w:shd w:val="clear" w:color="auto" w:fill="auto"/>
                  <w:noWrap/>
                  <w:vAlign w:val="center"/>
                </w:tcPr>
                <w:p w14:paraId="3BBD02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071194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249C44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反冲洗空气管</w:t>
                  </w:r>
                </w:p>
              </w:tc>
            </w:tr>
            <w:tr w14:paraId="3B240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365263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16</w:t>
                  </w:r>
                </w:p>
              </w:tc>
              <w:tc>
                <w:tcPr>
                  <w:tcW w:w="1929" w:type="dxa"/>
                  <w:tcBorders>
                    <w:tl2br w:val="nil"/>
                    <w:tr2bl w:val="nil"/>
                  </w:tcBorders>
                  <w:shd w:val="clear" w:color="auto" w:fill="auto"/>
                  <w:noWrap/>
                  <w:vAlign w:val="center"/>
                </w:tcPr>
                <w:p w14:paraId="3C3B87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手动双法兰弹性座封闸阀</w:t>
                  </w:r>
                </w:p>
              </w:tc>
              <w:tc>
                <w:tcPr>
                  <w:tcW w:w="2767" w:type="dxa"/>
                  <w:tcBorders>
                    <w:tl2br w:val="nil"/>
                    <w:tr2bl w:val="nil"/>
                  </w:tcBorders>
                  <w:shd w:val="clear" w:color="auto" w:fill="auto"/>
                  <w:noWrap/>
                  <w:vAlign w:val="center"/>
                </w:tcPr>
                <w:p w14:paraId="13E267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DN100，PN1.0MPa，Z45X-10Q</w:t>
                  </w:r>
                </w:p>
              </w:tc>
              <w:tc>
                <w:tcPr>
                  <w:tcW w:w="803" w:type="dxa"/>
                  <w:tcBorders>
                    <w:tl2br w:val="nil"/>
                    <w:tr2bl w:val="nil"/>
                  </w:tcBorders>
                  <w:shd w:val="clear" w:color="auto" w:fill="auto"/>
                  <w:noWrap/>
                  <w:vAlign w:val="center"/>
                </w:tcPr>
                <w:p w14:paraId="461E18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67DF3C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48</w:t>
                  </w:r>
                </w:p>
              </w:tc>
              <w:tc>
                <w:tcPr>
                  <w:tcW w:w="2181" w:type="dxa"/>
                  <w:tcBorders>
                    <w:tl2br w:val="nil"/>
                    <w:tr2bl w:val="nil"/>
                  </w:tcBorders>
                  <w:shd w:val="clear" w:color="auto" w:fill="auto"/>
                  <w:noWrap/>
                  <w:vAlign w:val="center"/>
                </w:tcPr>
                <w:p w14:paraId="4CAF92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一体化设备排泥管</w:t>
                  </w:r>
                </w:p>
              </w:tc>
            </w:tr>
            <w:tr w14:paraId="77E3E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B1080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17</w:t>
                  </w:r>
                </w:p>
              </w:tc>
              <w:tc>
                <w:tcPr>
                  <w:tcW w:w="1929" w:type="dxa"/>
                  <w:tcBorders>
                    <w:tl2br w:val="nil"/>
                    <w:tr2bl w:val="nil"/>
                  </w:tcBorders>
                  <w:shd w:val="clear" w:color="auto" w:fill="auto"/>
                  <w:noWrap/>
                  <w:vAlign w:val="center"/>
                </w:tcPr>
                <w:p w14:paraId="6EE859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橡胶瓣止回阀</w:t>
                  </w:r>
                </w:p>
              </w:tc>
              <w:tc>
                <w:tcPr>
                  <w:tcW w:w="2767" w:type="dxa"/>
                  <w:tcBorders>
                    <w:tl2br w:val="nil"/>
                    <w:tr2bl w:val="nil"/>
                  </w:tcBorders>
                  <w:shd w:val="clear" w:color="auto" w:fill="auto"/>
                  <w:noWrap/>
                  <w:vAlign w:val="center"/>
                </w:tcPr>
                <w:p w14:paraId="41D4A9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DN150，PN1.0MPa，HC44X-10Q</w:t>
                  </w:r>
                </w:p>
              </w:tc>
              <w:tc>
                <w:tcPr>
                  <w:tcW w:w="803" w:type="dxa"/>
                  <w:tcBorders>
                    <w:tl2br w:val="nil"/>
                    <w:tr2bl w:val="nil"/>
                  </w:tcBorders>
                  <w:shd w:val="clear" w:color="auto" w:fill="auto"/>
                  <w:noWrap/>
                  <w:vAlign w:val="center"/>
                </w:tcPr>
                <w:p w14:paraId="3D6CDB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52C1DA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19336A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A87F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75E3DB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18</w:t>
                  </w:r>
                </w:p>
              </w:tc>
              <w:tc>
                <w:tcPr>
                  <w:tcW w:w="1929" w:type="dxa"/>
                  <w:tcBorders>
                    <w:tl2br w:val="nil"/>
                    <w:tr2bl w:val="nil"/>
                  </w:tcBorders>
                  <w:shd w:val="clear" w:color="auto" w:fill="auto"/>
                  <w:noWrap/>
                  <w:vAlign w:val="center"/>
                </w:tcPr>
                <w:p w14:paraId="652720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noWrap/>
                  <w:vAlign w:val="center"/>
                </w:tcPr>
                <w:p w14:paraId="07F30B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DN350，PN1.0MPa </w:t>
                  </w:r>
                </w:p>
              </w:tc>
              <w:tc>
                <w:tcPr>
                  <w:tcW w:w="803" w:type="dxa"/>
                  <w:tcBorders>
                    <w:tl2br w:val="nil"/>
                    <w:tr2bl w:val="nil"/>
                  </w:tcBorders>
                  <w:shd w:val="clear" w:color="auto" w:fill="auto"/>
                  <w:noWrap/>
                  <w:vAlign w:val="center"/>
                </w:tcPr>
                <w:p w14:paraId="036BF9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41E8E7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6B8C6D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反冲洗排水管</w:t>
                  </w:r>
                </w:p>
              </w:tc>
            </w:tr>
            <w:tr w14:paraId="40540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D4FAC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19</w:t>
                  </w:r>
                </w:p>
              </w:tc>
              <w:tc>
                <w:tcPr>
                  <w:tcW w:w="1929" w:type="dxa"/>
                  <w:tcBorders>
                    <w:tl2br w:val="nil"/>
                    <w:tr2bl w:val="nil"/>
                  </w:tcBorders>
                  <w:shd w:val="clear" w:color="auto" w:fill="auto"/>
                  <w:noWrap/>
                  <w:vAlign w:val="center"/>
                </w:tcPr>
                <w:p w14:paraId="6A6372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noWrap/>
                  <w:vAlign w:val="center"/>
                </w:tcPr>
                <w:p w14:paraId="0110EB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DN200，PN1.0MPa </w:t>
                  </w:r>
                </w:p>
              </w:tc>
              <w:tc>
                <w:tcPr>
                  <w:tcW w:w="803" w:type="dxa"/>
                  <w:tcBorders>
                    <w:tl2br w:val="nil"/>
                    <w:tr2bl w:val="nil"/>
                  </w:tcBorders>
                  <w:shd w:val="clear" w:color="auto" w:fill="auto"/>
                  <w:noWrap/>
                  <w:vAlign w:val="center"/>
                </w:tcPr>
                <w:p w14:paraId="5F28D7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781197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9</w:t>
                  </w:r>
                </w:p>
              </w:tc>
              <w:tc>
                <w:tcPr>
                  <w:tcW w:w="2181" w:type="dxa"/>
                  <w:tcBorders>
                    <w:tl2br w:val="nil"/>
                    <w:tr2bl w:val="nil"/>
                  </w:tcBorders>
                  <w:shd w:val="clear" w:color="auto" w:fill="auto"/>
                  <w:noWrap/>
                  <w:vAlign w:val="center"/>
                </w:tcPr>
                <w:p w14:paraId="452A32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D967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39BD1E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20</w:t>
                  </w:r>
                </w:p>
              </w:tc>
              <w:tc>
                <w:tcPr>
                  <w:tcW w:w="1929" w:type="dxa"/>
                  <w:tcBorders>
                    <w:tl2br w:val="nil"/>
                    <w:tr2bl w:val="nil"/>
                  </w:tcBorders>
                  <w:shd w:val="clear" w:color="auto" w:fill="auto"/>
                  <w:noWrap/>
                  <w:vAlign w:val="center"/>
                </w:tcPr>
                <w:p w14:paraId="14CC82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noWrap/>
                  <w:vAlign w:val="center"/>
                </w:tcPr>
                <w:p w14:paraId="53FCDA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DN125，PN1.0MPa </w:t>
                  </w:r>
                </w:p>
              </w:tc>
              <w:tc>
                <w:tcPr>
                  <w:tcW w:w="803" w:type="dxa"/>
                  <w:tcBorders>
                    <w:tl2br w:val="nil"/>
                    <w:tr2bl w:val="nil"/>
                  </w:tcBorders>
                  <w:shd w:val="clear" w:color="auto" w:fill="auto"/>
                  <w:noWrap/>
                  <w:vAlign w:val="center"/>
                </w:tcPr>
                <w:p w14:paraId="737B1A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00DC11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0CCB20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反冲洗空气管</w:t>
                  </w:r>
                </w:p>
              </w:tc>
            </w:tr>
            <w:tr w14:paraId="109AD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2D0AE0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21</w:t>
                  </w:r>
                </w:p>
              </w:tc>
              <w:tc>
                <w:tcPr>
                  <w:tcW w:w="1929" w:type="dxa"/>
                  <w:tcBorders>
                    <w:tl2br w:val="nil"/>
                    <w:tr2bl w:val="nil"/>
                  </w:tcBorders>
                  <w:shd w:val="clear" w:color="auto" w:fill="auto"/>
                  <w:noWrap/>
                  <w:vAlign w:val="center"/>
                </w:tcPr>
                <w:p w14:paraId="4E145A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双法兰传力接头</w:t>
                  </w:r>
                </w:p>
              </w:tc>
              <w:tc>
                <w:tcPr>
                  <w:tcW w:w="2767" w:type="dxa"/>
                  <w:tcBorders>
                    <w:tl2br w:val="nil"/>
                    <w:tr2bl w:val="nil"/>
                  </w:tcBorders>
                  <w:shd w:val="clear" w:color="auto" w:fill="auto"/>
                  <w:noWrap/>
                  <w:vAlign w:val="center"/>
                </w:tcPr>
                <w:p w14:paraId="57A6BC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DN150，PN1.0MPa</w:t>
                  </w:r>
                </w:p>
              </w:tc>
              <w:tc>
                <w:tcPr>
                  <w:tcW w:w="803" w:type="dxa"/>
                  <w:tcBorders>
                    <w:tl2br w:val="nil"/>
                    <w:tr2bl w:val="nil"/>
                  </w:tcBorders>
                  <w:shd w:val="clear" w:color="auto" w:fill="auto"/>
                  <w:noWrap/>
                  <w:vAlign w:val="center"/>
                </w:tcPr>
                <w:p w14:paraId="56EE19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6E4CB2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10B170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06736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72F5B5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22</w:t>
                  </w:r>
                </w:p>
              </w:tc>
              <w:tc>
                <w:tcPr>
                  <w:tcW w:w="1929" w:type="dxa"/>
                  <w:tcBorders>
                    <w:tl2br w:val="nil"/>
                    <w:tr2bl w:val="nil"/>
                  </w:tcBorders>
                  <w:shd w:val="clear" w:color="auto" w:fill="auto"/>
                  <w:noWrap/>
                  <w:vAlign w:val="center"/>
                </w:tcPr>
                <w:p w14:paraId="0AC469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压力表</w:t>
                  </w:r>
                </w:p>
              </w:tc>
              <w:tc>
                <w:tcPr>
                  <w:tcW w:w="2767" w:type="dxa"/>
                  <w:tcBorders>
                    <w:tl2br w:val="nil"/>
                    <w:tr2bl w:val="nil"/>
                  </w:tcBorders>
                  <w:shd w:val="clear" w:color="auto" w:fill="auto"/>
                  <w:noWrap/>
                  <w:vAlign w:val="center"/>
                </w:tcPr>
                <w:p w14:paraId="6777B0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0-1.6MPa</w:t>
                  </w:r>
                </w:p>
              </w:tc>
              <w:tc>
                <w:tcPr>
                  <w:tcW w:w="803" w:type="dxa"/>
                  <w:tcBorders>
                    <w:tl2br w:val="nil"/>
                    <w:tr2bl w:val="nil"/>
                  </w:tcBorders>
                  <w:shd w:val="clear" w:color="auto" w:fill="auto"/>
                  <w:noWrap/>
                  <w:vAlign w:val="center"/>
                </w:tcPr>
                <w:p w14:paraId="108D3C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59E877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2C4ABB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57877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518EBA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23</w:t>
                  </w:r>
                </w:p>
              </w:tc>
              <w:tc>
                <w:tcPr>
                  <w:tcW w:w="1929" w:type="dxa"/>
                  <w:tcBorders>
                    <w:tl2br w:val="nil"/>
                    <w:tr2bl w:val="nil"/>
                  </w:tcBorders>
                  <w:shd w:val="clear" w:color="auto" w:fill="auto"/>
                  <w:noWrap/>
                  <w:vAlign w:val="center"/>
                </w:tcPr>
                <w:p w14:paraId="2945C4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管道及附件</w:t>
                  </w:r>
                </w:p>
              </w:tc>
              <w:tc>
                <w:tcPr>
                  <w:tcW w:w="2767" w:type="dxa"/>
                  <w:tcBorders>
                    <w:tl2br w:val="nil"/>
                    <w:tr2bl w:val="nil"/>
                  </w:tcBorders>
                  <w:shd w:val="clear" w:color="auto" w:fill="auto"/>
                  <w:noWrap/>
                  <w:vAlign w:val="center"/>
                </w:tcPr>
                <w:p w14:paraId="276288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803" w:type="dxa"/>
                  <w:tcBorders>
                    <w:tl2br w:val="nil"/>
                    <w:tr2bl w:val="nil"/>
                  </w:tcBorders>
                  <w:shd w:val="clear" w:color="auto" w:fill="auto"/>
                  <w:noWrap/>
                  <w:vAlign w:val="center"/>
                </w:tcPr>
                <w:p w14:paraId="6A0924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批</w:t>
                  </w:r>
                </w:p>
              </w:tc>
              <w:tc>
                <w:tcPr>
                  <w:tcW w:w="803" w:type="dxa"/>
                  <w:tcBorders>
                    <w:tl2br w:val="nil"/>
                    <w:tr2bl w:val="nil"/>
                  </w:tcBorders>
                  <w:shd w:val="clear" w:color="auto" w:fill="auto"/>
                  <w:noWrap/>
                  <w:vAlign w:val="center"/>
                </w:tcPr>
                <w:p w14:paraId="77292A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181" w:type="dxa"/>
                  <w:tcBorders>
                    <w:tl2br w:val="nil"/>
                    <w:tr2bl w:val="nil"/>
                  </w:tcBorders>
                  <w:shd w:val="clear" w:color="auto" w:fill="auto"/>
                  <w:noWrap/>
                  <w:vAlign w:val="center"/>
                </w:tcPr>
                <w:p w14:paraId="70D8DB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统计至设备外1米</w:t>
                  </w:r>
                </w:p>
              </w:tc>
            </w:tr>
            <w:tr w14:paraId="6E81F9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697442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二</w:t>
                  </w:r>
                </w:p>
              </w:tc>
              <w:tc>
                <w:tcPr>
                  <w:tcW w:w="8483" w:type="dxa"/>
                  <w:gridSpan w:val="5"/>
                  <w:tcBorders>
                    <w:tl2br w:val="nil"/>
                    <w:tr2bl w:val="nil"/>
                  </w:tcBorders>
                  <w:shd w:val="clear" w:color="auto" w:fill="auto"/>
                  <w:noWrap/>
                  <w:vAlign w:val="center"/>
                </w:tcPr>
                <w:p w14:paraId="34F614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 清水池及送水泵房</w:t>
                  </w:r>
                </w:p>
              </w:tc>
            </w:tr>
            <w:tr w14:paraId="50469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562FFA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24</w:t>
                  </w:r>
                </w:p>
              </w:tc>
              <w:tc>
                <w:tcPr>
                  <w:tcW w:w="1929" w:type="dxa"/>
                  <w:tcBorders>
                    <w:tl2br w:val="nil"/>
                    <w:tr2bl w:val="nil"/>
                  </w:tcBorders>
                  <w:shd w:val="clear" w:color="auto" w:fill="auto"/>
                  <w:noWrap/>
                  <w:vAlign w:val="center"/>
                </w:tcPr>
                <w:p w14:paraId="79F6FC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卧式多级离心泵</w:t>
                  </w:r>
                </w:p>
              </w:tc>
              <w:tc>
                <w:tcPr>
                  <w:tcW w:w="2767" w:type="dxa"/>
                  <w:tcBorders>
                    <w:tl2br w:val="nil"/>
                    <w:tr2bl w:val="nil"/>
                  </w:tcBorders>
                  <w:shd w:val="clear" w:color="auto" w:fill="auto"/>
                  <w:noWrap/>
                  <w:vAlign w:val="center"/>
                </w:tcPr>
                <w:p w14:paraId="46F7A4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Q=27m[3]/h，H=170m，P=30kW，n=6级</w:t>
                  </w:r>
                </w:p>
              </w:tc>
              <w:tc>
                <w:tcPr>
                  <w:tcW w:w="803" w:type="dxa"/>
                  <w:tcBorders>
                    <w:tl2br w:val="nil"/>
                    <w:tr2bl w:val="nil"/>
                  </w:tcBorders>
                  <w:shd w:val="clear" w:color="auto" w:fill="auto"/>
                  <w:noWrap/>
                  <w:vAlign w:val="center"/>
                </w:tcPr>
                <w:p w14:paraId="62889B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65497B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1E61F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2用1备，变频</w:t>
                  </w:r>
                </w:p>
              </w:tc>
            </w:tr>
            <w:tr w14:paraId="6E602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586257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25</w:t>
                  </w:r>
                </w:p>
              </w:tc>
              <w:tc>
                <w:tcPr>
                  <w:tcW w:w="1929" w:type="dxa"/>
                  <w:tcBorders>
                    <w:tl2br w:val="nil"/>
                    <w:tr2bl w:val="nil"/>
                  </w:tcBorders>
                  <w:shd w:val="clear" w:color="auto" w:fill="auto"/>
                  <w:noWrap/>
                  <w:vAlign w:val="center"/>
                </w:tcPr>
                <w:p w14:paraId="4F0F40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潜污泵</w:t>
                  </w:r>
                </w:p>
              </w:tc>
              <w:tc>
                <w:tcPr>
                  <w:tcW w:w="2767" w:type="dxa"/>
                  <w:tcBorders>
                    <w:tl2br w:val="nil"/>
                    <w:tr2bl w:val="nil"/>
                  </w:tcBorders>
                  <w:shd w:val="clear" w:color="auto" w:fill="auto"/>
                  <w:noWrap/>
                  <w:vAlign w:val="center"/>
                </w:tcPr>
                <w:p w14:paraId="0D9973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Q=10m[3]/h，H=10m，P=0.75kW</w:t>
                  </w:r>
                </w:p>
              </w:tc>
              <w:tc>
                <w:tcPr>
                  <w:tcW w:w="803" w:type="dxa"/>
                  <w:tcBorders>
                    <w:tl2br w:val="nil"/>
                    <w:tr2bl w:val="nil"/>
                  </w:tcBorders>
                  <w:shd w:val="clear" w:color="auto" w:fill="auto"/>
                  <w:noWrap/>
                  <w:vAlign w:val="center"/>
                </w:tcPr>
                <w:p w14:paraId="65C8A0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0C9A33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2FA0E4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1用1备</w:t>
                  </w:r>
                </w:p>
              </w:tc>
            </w:tr>
            <w:tr w14:paraId="449B4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6CCD9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26</w:t>
                  </w:r>
                </w:p>
              </w:tc>
              <w:tc>
                <w:tcPr>
                  <w:tcW w:w="1929" w:type="dxa"/>
                  <w:tcBorders>
                    <w:tl2br w:val="nil"/>
                    <w:tr2bl w:val="nil"/>
                  </w:tcBorders>
                  <w:shd w:val="clear" w:color="auto" w:fill="auto"/>
                  <w:noWrap/>
                  <w:vAlign w:val="center"/>
                </w:tcPr>
                <w:p w14:paraId="0C1FFD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电动蝶阀</w:t>
                  </w:r>
                </w:p>
              </w:tc>
              <w:tc>
                <w:tcPr>
                  <w:tcW w:w="2767" w:type="dxa"/>
                  <w:tcBorders>
                    <w:tl2br w:val="nil"/>
                    <w:tr2bl w:val="nil"/>
                  </w:tcBorders>
                  <w:shd w:val="clear" w:color="auto" w:fill="auto"/>
                  <w:noWrap/>
                  <w:vAlign w:val="center"/>
                </w:tcPr>
                <w:p w14:paraId="61DBBC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DN100，PN2.5MPa，D941X-25Q</w:t>
                  </w:r>
                </w:p>
              </w:tc>
              <w:tc>
                <w:tcPr>
                  <w:tcW w:w="803" w:type="dxa"/>
                  <w:tcBorders>
                    <w:tl2br w:val="nil"/>
                    <w:tr2bl w:val="nil"/>
                  </w:tcBorders>
                  <w:shd w:val="clear" w:color="auto" w:fill="auto"/>
                  <w:noWrap/>
                  <w:vAlign w:val="center"/>
                </w:tcPr>
                <w:p w14:paraId="2FF1FE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09157D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5BBF1E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56806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34AE5D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27</w:t>
                  </w:r>
                </w:p>
              </w:tc>
              <w:tc>
                <w:tcPr>
                  <w:tcW w:w="1929" w:type="dxa"/>
                  <w:tcBorders>
                    <w:tl2br w:val="nil"/>
                    <w:tr2bl w:val="nil"/>
                  </w:tcBorders>
                  <w:shd w:val="clear" w:color="auto" w:fill="auto"/>
                  <w:noWrap/>
                  <w:vAlign w:val="center"/>
                </w:tcPr>
                <w:p w14:paraId="245519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手动双法兰弹性座封闸阀</w:t>
                  </w:r>
                </w:p>
              </w:tc>
              <w:tc>
                <w:tcPr>
                  <w:tcW w:w="2767" w:type="dxa"/>
                  <w:tcBorders>
                    <w:tl2br w:val="nil"/>
                    <w:tr2bl w:val="nil"/>
                  </w:tcBorders>
                  <w:shd w:val="clear" w:color="auto" w:fill="auto"/>
                  <w:noWrap/>
                  <w:vAlign w:val="center"/>
                </w:tcPr>
                <w:p w14:paraId="7B9F39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DN200，PN1.0MPa，Z45X-10Q</w:t>
                  </w:r>
                </w:p>
              </w:tc>
              <w:tc>
                <w:tcPr>
                  <w:tcW w:w="803" w:type="dxa"/>
                  <w:tcBorders>
                    <w:tl2br w:val="nil"/>
                    <w:tr2bl w:val="nil"/>
                  </w:tcBorders>
                  <w:shd w:val="clear" w:color="auto" w:fill="auto"/>
                  <w:noWrap/>
                  <w:vAlign w:val="center"/>
                </w:tcPr>
                <w:p w14:paraId="053001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2033C9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6</w:t>
                  </w:r>
                </w:p>
              </w:tc>
              <w:tc>
                <w:tcPr>
                  <w:tcW w:w="2181" w:type="dxa"/>
                  <w:tcBorders>
                    <w:tl2br w:val="nil"/>
                    <w:tr2bl w:val="nil"/>
                  </w:tcBorders>
                  <w:shd w:val="clear" w:color="auto" w:fill="auto"/>
                  <w:noWrap/>
                  <w:vAlign w:val="center"/>
                </w:tcPr>
                <w:p w14:paraId="0FB7BE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302BB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C61A7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28</w:t>
                  </w:r>
                </w:p>
              </w:tc>
              <w:tc>
                <w:tcPr>
                  <w:tcW w:w="1929" w:type="dxa"/>
                  <w:tcBorders>
                    <w:tl2br w:val="nil"/>
                    <w:tr2bl w:val="nil"/>
                  </w:tcBorders>
                  <w:shd w:val="clear" w:color="auto" w:fill="auto"/>
                  <w:noWrap/>
                  <w:vAlign w:val="center"/>
                </w:tcPr>
                <w:p w14:paraId="1E650F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手动软密封蝶阀</w:t>
                  </w:r>
                </w:p>
              </w:tc>
              <w:tc>
                <w:tcPr>
                  <w:tcW w:w="2767" w:type="dxa"/>
                  <w:tcBorders>
                    <w:tl2br w:val="nil"/>
                    <w:tr2bl w:val="nil"/>
                  </w:tcBorders>
                  <w:shd w:val="clear" w:color="auto" w:fill="auto"/>
                  <w:noWrap/>
                  <w:vAlign w:val="center"/>
                </w:tcPr>
                <w:p w14:paraId="77084D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DN100，PN1.6MPa，D341X-16Q</w:t>
                  </w:r>
                </w:p>
              </w:tc>
              <w:tc>
                <w:tcPr>
                  <w:tcW w:w="803" w:type="dxa"/>
                  <w:tcBorders>
                    <w:tl2br w:val="nil"/>
                    <w:tr2bl w:val="nil"/>
                  </w:tcBorders>
                  <w:shd w:val="clear" w:color="auto" w:fill="auto"/>
                  <w:noWrap/>
                  <w:vAlign w:val="center"/>
                </w:tcPr>
                <w:p w14:paraId="03F24D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62A84F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195E13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1D67C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2D1633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29</w:t>
                  </w:r>
                </w:p>
              </w:tc>
              <w:tc>
                <w:tcPr>
                  <w:tcW w:w="1929" w:type="dxa"/>
                  <w:tcBorders>
                    <w:tl2br w:val="nil"/>
                    <w:tr2bl w:val="nil"/>
                  </w:tcBorders>
                  <w:shd w:val="clear" w:color="auto" w:fill="auto"/>
                  <w:noWrap/>
                  <w:vAlign w:val="center"/>
                </w:tcPr>
                <w:p w14:paraId="5E465D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手动软密封蝶阀</w:t>
                  </w:r>
                </w:p>
              </w:tc>
              <w:tc>
                <w:tcPr>
                  <w:tcW w:w="2767" w:type="dxa"/>
                  <w:tcBorders>
                    <w:tl2br w:val="nil"/>
                    <w:tr2bl w:val="nil"/>
                  </w:tcBorders>
                  <w:shd w:val="clear" w:color="auto" w:fill="auto"/>
                  <w:noWrap/>
                  <w:vAlign w:val="center"/>
                </w:tcPr>
                <w:p w14:paraId="6CB1B3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DN100，PN2.5MPa，D341X-25Q</w:t>
                  </w:r>
                </w:p>
              </w:tc>
              <w:tc>
                <w:tcPr>
                  <w:tcW w:w="803" w:type="dxa"/>
                  <w:tcBorders>
                    <w:tl2br w:val="nil"/>
                    <w:tr2bl w:val="nil"/>
                  </w:tcBorders>
                  <w:shd w:val="clear" w:color="auto" w:fill="auto"/>
                  <w:noWrap/>
                  <w:vAlign w:val="center"/>
                </w:tcPr>
                <w:p w14:paraId="4D9757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7F1343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74E179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07BC6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9D3EE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30</w:t>
                  </w:r>
                </w:p>
              </w:tc>
              <w:tc>
                <w:tcPr>
                  <w:tcW w:w="1929" w:type="dxa"/>
                  <w:tcBorders>
                    <w:tl2br w:val="nil"/>
                    <w:tr2bl w:val="nil"/>
                  </w:tcBorders>
                  <w:shd w:val="clear" w:color="auto" w:fill="auto"/>
                  <w:noWrap/>
                  <w:vAlign w:val="center"/>
                </w:tcPr>
                <w:p w14:paraId="627F36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微阻缓闭止回阀</w:t>
                  </w:r>
                </w:p>
              </w:tc>
              <w:tc>
                <w:tcPr>
                  <w:tcW w:w="2767" w:type="dxa"/>
                  <w:tcBorders>
                    <w:tl2br w:val="nil"/>
                    <w:tr2bl w:val="nil"/>
                  </w:tcBorders>
                  <w:shd w:val="clear" w:color="auto" w:fill="auto"/>
                  <w:noWrap/>
                  <w:vAlign w:val="center"/>
                </w:tcPr>
                <w:p w14:paraId="6AC703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DN100，PN2.5MPa，HC44X-25Q</w:t>
                  </w:r>
                </w:p>
              </w:tc>
              <w:tc>
                <w:tcPr>
                  <w:tcW w:w="803" w:type="dxa"/>
                  <w:tcBorders>
                    <w:tl2br w:val="nil"/>
                    <w:tr2bl w:val="nil"/>
                  </w:tcBorders>
                  <w:shd w:val="clear" w:color="auto" w:fill="auto"/>
                  <w:noWrap/>
                  <w:vAlign w:val="center"/>
                </w:tcPr>
                <w:p w14:paraId="52AB0A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487846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71F54E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18834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74DC75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31</w:t>
                  </w:r>
                </w:p>
              </w:tc>
              <w:tc>
                <w:tcPr>
                  <w:tcW w:w="1929" w:type="dxa"/>
                  <w:tcBorders>
                    <w:tl2br w:val="nil"/>
                    <w:tr2bl w:val="nil"/>
                  </w:tcBorders>
                  <w:shd w:val="clear" w:color="auto" w:fill="auto"/>
                  <w:noWrap/>
                  <w:vAlign w:val="center"/>
                </w:tcPr>
                <w:p w14:paraId="2570AE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noWrap/>
                  <w:vAlign w:val="center"/>
                </w:tcPr>
                <w:p w14:paraId="2353FD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DN200，PN1.0MPa</w:t>
                  </w:r>
                </w:p>
              </w:tc>
              <w:tc>
                <w:tcPr>
                  <w:tcW w:w="803" w:type="dxa"/>
                  <w:tcBorders>
                    <w:tl2br w:val="nil"/>
                    <w:tr2bl w:val="nil"/>
                  </w:tcBorders>
                  <w:shd w:val="clear" w:color="auto" w:fill="auto"/>
                  <w:noWrap/>
                  <w:vAlign w:val="center"/>
                </w:tcPr>
                <w:p w14:paraId="06F80C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6D2AB8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6</w:t>
                  </w:r>
                </w:p>
              </w:tc>
              <w:tc>
                <w:tcPr>
                  <w:tcW w:w="2181" w:type="dxa"/>
                  <w:tcBorders>
                    <w:tl2br w:val="nil"/>
                    <w:tr2bl w:val="nil"/>
                  </w:tcBorders>
                  <w:shd w:val="clear" w:color="auto" w:fill="auto"/>
                  <w:noWrap/>
                  <w:vAlign w:val="center"/>
                </w:tcPr>
                <w:p w14:paraId="6621D3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32E8A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46EF0A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32</w:t>
                  </w:r>
                </w:p>
              </w:tc>
              <w:tc>
                <w:tcPr>
                  <w:tcW w:w="1929" w:type="dxa"/>
                  <w:tcBorders>
                    <w:tl2br w:val="nil"/>
                    <w:tr2bl w:val="nil"/>
                  </w:tcBorders>
                  <w:shd w:val="clear" w:color="auto" w:fill="auto"/>
                  <w:noWrap/>
                  <w:vAlign w:val="center"/>
                </w:tcPr>
                <w:p w14:paraId="3A0B50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noWrap/>
                  <w:vAlign w:val="center"/>
                </w:tcPr>
                <w:p w14:paraId="270FD9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DN150，PN1.6MPa</w:t>
                  </w:r>
                </w:p>
              </w:tc>
              <w:tc>
                <w:tcPr>
                  <w:tcW w:w="803" w:type="dxa"/>
                  <w:tcBorders>
                    <w:tl2br w:val="nil"/>
                    <w:tr2bl w:val="nil"/>
                  </w:tcBorders>
                  <w:shd w:val="clear" w:color="auto" w:fill="auto"/>
                  <w:noWrap/>
                  <w:vAlign w:val="center"/>
                </w:tcPr>
                <w:p w14:paraId="122F1A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3CC7D7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181" w:type="dxa"/>
                  <w:tcBorders>
                    <w:tl2br w:val="nil"/>
                    <w:tr2bl w:val="nil"/>
                  </w:tcBorders>
                  <w:shd w:val="clear" w:color="auto" w:fill="auto"/>
                  <w:noWrap/>
                  <w:vAlign w:val="center"/>
                </w:tcPr>
                <w:p w14:paraId="1B8083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与电磁流量计配套</w:t>
                  </w:r>
                </w:p>
              </w:tc>
            </w:tr>
            <w:tr w14:paraId="7AF7A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282AD2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33</w:t>
                  </w:r>
                </w:p>
              </w:tc>
              <w:tc>
                <w:tcPr>
                  <w:tcW w:w="1929" w:type="dxa"/>
                  <w:tcBorders>
                    <w:tl2br w:val="nil"/>
                    <w:tr2bl w:val="nil"/>
                  </w:tcBorders>
                  <w:shd w:val="clear" w:color="auto" w:fill="auto"/>
                  <w:noWrap/>
                  <w:vAlign w:val="center"/>
                </w:tcPr>
                <w:p w14:paraId="08B3BB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noWrap/>
                  <w:vAlign w:val="center"/>
                </w:tcPr>
                <w:p w14:paraId="107C3A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DN100，PN1.6MPa</w:t>
                  </w:r>
                </w:p>
              </w:tc>
              <w:tc>
                <w:tcPr>
                  <w:tcW w:w="803" w:type="dxa"/>
                  <w:tcBorders>
                    <w:tl2br w:val="nil"/>
                    <w:tr2bl w:val="nil"/>
                  </w:tcBorders>
                  <w:shd w:val="clear" w:color="auto" w:fill="auto"/>
                  <w:noWrap/>
                  <w:vAlign w:val="center"/>
                </w:tcPr>
                <w:p w14:paraId="7A8F16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71A280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4E49BC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5CC50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132A74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34</w:t>
                  </w:r>
                </w:p>
              </w:tc>
              <w:tc>
                <w:tcPr>
                  <w:tcW w:w="1929" w:type="dxa"/>
                  <w:tcBorders>
                    <w:tl2br w:val="nil"/>
                    <w:tr2bl w:val="nil"/>
                  </w:tcBorders>
                  <w:shd w:val="clear" w:color="auto" w:fill="auto"/>
                  <w:noWrap/>
                  <w:vAlign w:val="center"/>
                </w:tcPr>
                <w:p w14:paraId="3AFC81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双法兰传力接头</w:t>
                  </w:r>
                </w:p>
              </w:tc>
              <w:tc>
                <w:tcPr>
                  <w:tcW w:w="2767" w:type="dxa"/>
                  <w:tcBorders>
                    <w:tl2br w:val="nil"/>
                    <w:tr2bl w:val="nil"/>
                  </w:tcBorders>
                  <w:shd w:val="clear" w:color="auto" w:fill="auto"/>
                  <w:noWrap/>
                  <w:vAlign w:val="center"/>
                </w:tcPr>
                <w:p w14:paraId="5E7677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DN100，PN2.5MPa</w:t>
                  </w:r>
                </w:p>
              </w:tc>
              <w:tc>
                <w:tcPr>
                  <w:tcW w:w="803" w:type="dxa"/>
                  <w:tcBorders>
                    <w:tl2br w:val="nil"/>
                    <w:tr2bl w:val="nil"/>
                  </w:tcBorders>
                  <w:shd w:val="clear" w:color="auto" w:fill="auto"/>
                  <w:noWrap/>
                  <w:vAlign w:val="center"/>
                </w:tcPr>
                <w:p w14:paraId="2D05C1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192798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3F7C19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16591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75D4AC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35</w:t>
                  </w:r>
                </w:p>
              </w:tc>
              <w:tc>
                <w:tcPr>
                  <w:tcW w:w="1929" w:type="dxa"/>
                  <w:tcBorders>
                    <w:tl2br w:val="nil"/>
                    <w:tr2bl w:val="nil"/>
                  </w:tcBorders>
                  <w:shd w:val="clear" w:color="auto" w:fill="auto"/>
                  <w:noWrap/>
                  <w:vAlign w:val="center"/>
                </w:tcPr>
                <w:p w14:paraId="2DE046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压力表</w:t>
                  </w:r>
                </w:p>
              </w:tc>
              <w:tc>
                <w:tcPr>
                  <w:tcW w:w="2767" w:type="dxa"/>
                  <w:tcBorders>
                    <w:tl2br w:val="nil"/>
                    <w:tr2bl w:val="nil"/>
                  </w:tcBorders>
                  <w:shd w:val="clear" w:color="auto" w:fill="auto"/>
                  <w:noWrap/>
                  <w:vAlign w:val="center"/>
                </w:tcPr>
                <w:p w14:paraId="4F615F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0-3.0MPa</w:t>
                  </w:r>
                </w:p>
              </w:tc>
              <w:tc>
                <w:tcPr>
                  <w:tcW w:w="803" w:type="dxa"/>
                  <w:tcBorders>
                    <w:tl2br w:val="nil"/>
                    <w:tr2bl w:val="nil"/>
                  </w:tcBorders>
                  <w:shd w:val="clear" w:color="auto" w:fill="auto"/>
                  <w:noWrap/>
                  <w:vAlign w:val="center"/>
                </w:tcPr>
                <w:p w14:paraId="1EE0E3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0AB041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noWrap/>
                  <w:vAlign w:val="center"/>
                </w:tcPr>
                <w:p w14:paraId="55A049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送水泵出水管配套</w:t>
                  </w:r>
                </w:p>
              </w:tc>
            </w:tr>
            <w:tr w14:paraId="56880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2DC2D7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36</w:t>
                  </w:r>
                </w:p>
              </w:tc>
              <w:tc>
                <w:tcPr>
                  <w:tcW w:w="1929" w:type="dxa"/>
                  <w:tcBorders>
                    <w:tl2br w:val="nil"/>
                    <w:tr2bl w:val="nil"/>
                  </w:tcBorders>
                  <w:shd w:val="clear" w:color="auto" w:fill="auto"/>
                  <w:noWrap/>
                  <w:vAlign w:val="center"/>
                </w:tcPr>
                <w:p w14:paraId="2A9828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拍门</w:t>
                  </w:r>
                </w:p>
              </w:tc>
              <w:tc>
                <w:tcPr>
                  <w:tcW w:w="2767" w:type="dxa"/>
                  <w:tcBorders>
                    <w:tl2br w:val="nil"/>
                    <w:tr2bl w:val="nil"/>
                  </w:tcBorders>
                  <w:shd w:val="clear" w:color="auto" w:fill="auto"/>
                  <w:noWrap/>
                  <w:vAlign w:val="center"/>
                </w:tcPr>
                <w:p w14:paraId="175294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DN200，PN1.0MPa</w:t>
                  </w:r>
                </w:p>
              </w:tc>
              <w:tc>
                <w:tcPr>
                  <w:tcW w:w="803" w:type="dxa"/>
                  <w:tcBorders>
                    <w:tl2br w:val="nil"/>
                    <w:tr2bl w:val="nil"/>
                  </w:tcBorders>
                  <w:shd w:val="clear" w:color="auto" w:fill="auto"/>
                  <w:noWrap/>
                  <w:vAlign w:val="center"/>
                </w:tcPr>
                <w:p w14:paraId="7981ED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noWrap/>
                  <w:vAlign w:val="center"/>
                </w:tcPr>
                <w:p w14:paraId="78A087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443FED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p>
              </w:tc>
            </w:tr>
            <w:tr w14:paraId="6A44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BCBEC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37</w:t>
                  </w:r>
                </w:p>
              </w:tc>
              <w:tc>
                <w:tcPr>
                  <w:tcW w:w="1929" w:type="dxa"/>
                  <w:tcBorders>
                    <w:tl2br w:val="nil"/>
                    <w:tr2bl w:val="nil"/>
                  </w:tcBorders>
                  <w:shd w:val="clear" w:color="auto" w:fill="auto"/>
                  <w:noWrap/>
                  <w:vAlign w:val="center"/>
                </w:tcPr>
                <w:p w14:paraId="394C88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电磁流量计</w:t>
                  </w:r>
                </w:p>
              </w:tc>
              <w:tc>
                <w:tcPr>
                  <w:tcW w:w="2767" w:type="dxa"/>
                  <w:tcBorders>
                    <w:tl2br w:val="nil"/>
                    <w:tr2bl w:val="nil"/>
                  </w:tcBorders>
                  <w:shd w:val="clear" w:color="auto" w:fill="auto"/>
                  <w:noWrap/>
                  <w:vAlign w:val="center"/>
                </w:tcPr>
                <w:p w14:paraId="3CC1F2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DN150，PN2.5MPa</w:t>
                  </w:r>
                </w:p>
              </w:tc>
              <w:tc>
                <w:tcPr>
                  <w:tcW w:w="803" w:type="dxa"/>
                  <w:tcBorders>
                    <w:tl2br w:val="nil"/>
                    <w:tr2bl w:val="nil"/>
                  </w:tcBorders>
                  <w:shd w:val="clear" w:color="auto" w:fill="auto"/>
                  <w:noWrap/>
                  <w:vAlign w:val="center"/>
                </w:tcPr>
                <w:p w14:paraId="59752A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6E0DA9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181" w:type="dxa"/>
                  <w:tcBorders>
                    <w:tl2br w:val="nil"/>
                    <w:tr2bl w:val="nil"/>
                  </w:tcBorders>
                  <w:shd w:val="clear" w:color="auto" w:fill="auto"/>
                  <w:noWrap/>
                  <w:vAlign w:val="center"/>
                </w:tcPr>
                <w:p w14:paraId="231296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送水泵出水主管上</w:t>
                  </w:r>
                </w:p>
              </w:tc>
            </w:tr>
            <w:tr w14:paraId="365F3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EEDE8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38</w:t>
                  </w:r>
                </w:p>
              </w:tc>
              <w:tc>
                <w:tcPr>
                  <w:tcW w:w="1929" w:type="dxa"/>
                  <w:tcBorders>
                    <w:tl2br w:val="nil"/>
                    <w:tr2bl w:val="nil"/>
                  </w:tcBorders>
                  <w:shd w:val="clear" w:color="auto" w:fill="auto"/>
                  <w:noWrap/>
                  <w:vAlign w:val="center"/>
                </w:tcPr>
                <w:p w14:paraId="36B54E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超声波液位计</w:t>
                  </w:r>
                </w:p>
              </w:tc>
              <w:tc>
                <w:tcPr>
                  <w:tcW w:w="2767" w:type="dxa"/>
                  <w:tcBorders>
                    <w:tl2br w:val="nil"/>
                    <w:tr2bl w:val="nil"/>
                  </w:tcBorders>
                  <w:shd w:val="clear" w:color="auto" w:fill="auto"/>
                  <w:noWrap/>
                  <w:vAlign w:val="center"/>
                </w:tcPr>
                <w:p w14:paraId="573CD3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0～10m</w:t>
                  </w:r>
                </w:p>
              </w:tc>
              <w:tc>
                <w:tcPr>
                  <w:tcW w:w="803" w:type="dxa"/>
                  <w:tcBorders>
                    <w:tl2br w:val="nil"/>
                    <w:tr2bl w:val="nil"/>
                  </w:tcBorders>
                  <w:shd w:val="clear" w:color="auto" w:fill="auto"/>
                  <w:noWrap/>
                  <w:vAlign w:val="center"/>
                </w:tcPr>
                <w:p w14:paraId="5D16AF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noWrap/>
                  <w:vAlign w:val="center"/>
                </w:tcPr>
                <w:p w14:paraId="1055BC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550426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计入自控</w:t>
                  </w:r>
                </w:p>
              </w:tc>
            </w:tr>
            <w:tr w14:paraId="0A57B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0D5B54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三</w:t>
                  </w:r>
                </w:p>
              </w:tc>
              <w:tc>
                <w:tcPr>
                  <w:tcW w:w="8483" w:type="dxa"/>
                  <w:gridSpan w:val="5"/>
                  <w:tcBorders>
                    <w:tl2br w:val="nil"/>
                    <w:tr2bl w:val="nil"/>
                  </w:tcBorders>
                  <w:shd w:val="clear" w:color="auto" w:fill="auto"/>
                  <w:noWrap/>
                  <w:vAlign w:val="center"/>
                </w:tcPr>
                <w:p w14:paraId="70D63E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 xml:space="preserve"> 排水池、排泥池</w:t>
                  </w:r>
                </w:p>
              </w:tc>
            </w:tr>
            <w:tr w14:paraId="2ECE1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noWrap/>
                  <w:vAlign w:val="center"/>
                </w:tcPr>
                <w:p w14:paraId="1B6BE2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39</w:t>
                  </w:r>
                </w:p>
              </w:tc>
              <w:tc>
                <w:tcPr>
                  <w:tcW w:w="1929" w:type="dxa"/>
                  <w:tcBorders>
                    <w:tl2br w:val="nil"/>
                    <w:tr2bl w:val="nil"/>
                  </w:tcBorders>
                  <w:shd w:val="clear" w:color="auto" w:fill="auto"/>
                  <w:noWrap/>
                  <w:vAlign w:val="center"/>
                </w:tcPr>
                <w:p w14:paraId="20C4BA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回收水泵</w:t>
                  </w:r>
                </w:p>
              </w:tc>
              <w:tc>
                <w:tcPr>
                  <w:tcW w:w="2767" w:type="dxa"/>
                  <w:tcBorders>
                    <w:tl2br w:val="nil"/>
                    <w:tr2bl w:val="nil"/>
                  </w:tcBorders>
                  <w:shd w:val="clear" w:color="auto" w:fill="auto"/>
                  <w:noWrap/>
                  <w:vAlign w:val="center"/>
                </w:tcPr>
                <w:p w14:paraId="57C3E3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Q=10m[3]/h，H=12m，P=0.75kW</w:t>
                  </w:r>
                </w:p>
              </w:tc>
              <w:tc>
                <w:tcPr>
                  <w:tcW w:w="803" w:type="dxa"/>
                  <w:tcBorders>
                    <w:tl2br w:val="nil"/>
                    <w:tr2bl w:val="nil"/>
                  </w:tcBorders>
                  <w:shd w:val="clear" w:color="auto" w:fill="auto"/>
                  <w:noWrap/>
                  <w:vAlign w:val="center"/>
                </w:tcPr>
                <w:p w14:paraId="5662F4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noWrap/>
                  <w:vAlign w:val="center"/>
                </w:tcPr>
                <w:p w14:paraId="2836B6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noWrap/>
                  <w:vAlign w:val="center"/>
                </w:tcPr>
                <w:p w14:paraId="7B83EA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1用1备</w:t>
                  </w:r>
                </w:p>
              </w:tc>
            </w:tr>
            <w:tr w14:paraId="45571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0B9907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w:t>
                  </w:r>
                </w:p>
              </w:tc>
              <w:tc>
                <w:tcPr>
                  <w:tcW w:w="1929" w:type="dxa"/>
                  <w:tcBorders>
                    <w:tl2br w:val="nil"/>
                    <w:tr2bl w:val="nil"/>
                  </w:tcBorders>
                  <w:shd w:val="clear" w:color="auto" w:fill="auto"/>
                  <w:vAlign w:val="center"/>
                </w:tcPr>
                <w:p w14:paraId="239C97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排泥泵</w:t>
                  </w:r>
                </w:p>
              </w:tc>
              <w:tc>
                <w:tcPr>
                  <w:tcW w:w="2767" w:type="dxa"/>
                  <w:tcBorders>
                    <w:tl2br w:val="nil"/>
                    <w:tr2bl w:val="nil"/>
                  </w:tcBorders>
                  <w:shd w:val="clear" w:color="auto" w:fill="auto"/>
                  <w:vAlign w:val="center"/>
                </w:tcPr>
                <w:p w14:paraId="404502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Q=30m[3]/h，H=8m，P=1.5kW</w:t>
                  </w:r>
                </w:p>
              </w:tc>
              <w:tc>
                <w:tcPr>
                  <w:tcW w:w="803" w:type="dxa"/>
                  <w:tcBorders>
                    <w:tl2br w:val="nil"/>
                    <w:tr2bl w:val="nil"/>
                  </w:tcBorders>
                  <w:shd w:val="clear" w:color="auto" w:fill="auto"/>
                  <w:vAlign w:val="center"/>
                </w:tcPr>
                <w:p w14:paraId="5C4C90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vAlign w:val="center"/>
                </w:tcPr>
                <w:p w14:paraId="2DD17D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76DDF3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1用1备</w:t>
                  </w:r>
                </w:p>
              </w:tc>
            </w:tr>
            <w:tr w14:paraId="2AE9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7C2026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41</w:t>
                  </w:r>
                </w:p>
              </w:tc>
              <w:tc>
                <w:tcPr>
                  <w:tcW w:w="1929" w:type="dxa"/>
                  <w:tcBorders>
                    <w:tl2br w:val="nil"/>
                    <w:tr2bl w:val="nil"/>
                  </w:tcBorders>
                  <w:shd w:val="clear" w:color="auto" w:fill="auto"/>
                  <w:vAlign w:val="center"/>
                </w:tcPr>
                <w:p w14:paraId="57A09E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潜水搅拌机</w:t>
                  </w:r>
                </w:p>
              </w:tc>
              <w:tc>
                <w:tcPr>
                  <w:tcW w:w="2767" w:type="dxa"/>
                  <w:tcBorders>
                    <w:tl2br w:val="nil"/>
                    <w:tr2bl w:val="nil"/>
                  </w:tcBorders>
                  <w:shd w:val="clear" w:color="auto" w:fill="auto"/>
                  <w:vAlign w:val="center"/>
                </w:tcPr>
                <w:p w14:paraId="305C01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D=620mm，P=1.5KW </w:t>
                  </w:r>
                </w:p>
              </w:tc>
              <w:tc>
                <w:tcPr>
                  <w:tcW w:w="803" w:type="dxa"/>
                  <w:tcBorders>
                    <w:tl2br w:val="nil"/>
                    <w:tr2bl w:val="nil"/>
                  </w:tcBorders>
                  <w:shd w:val="clear" w:color="auto" w:fill="auto"/>
                  <w:vAlign w:val="center"/>
                </w:tcPr>
                <w:p w14:paraId="2F69F2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004CC2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4D5C51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配起吊架</w:t>
                  </w:r>
                </w:p>
              </w:tc>
            </w:tr>
            <w:tr w14:paraId="1C0C1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5CDDC4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42</w:t>
                  </w:r>
                </w:p>
              </w:tc>
              <w:tc>
                <w:tcPr>
                  <w:tcW w:w="1929" w:type="dxa"/>
                  <w:tcBorders>
                    <w:tl2br w:val="nil"/>
                    <w:tr2bl w:val="nil"/>
                  </w:tcBorders>
                  <w:shd w:val="clear" w:color="auto" w:fill="auto"/>
                  <w:vAlign w:val="center"/>
                </w:tcPr>
                <w:p w14:paraId="03FB70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手动双法兰弹性座封闸阀</w:t>
                  </w:r>
                </w:p>
              </w:tc>
              <w:tc>
                <w:tcPr>
                  <w:tcW w:w="2767" w:type="dxa"/>
                  <w:tcBorders>
                    <w:tl2br w:val="nil"/>
                    <w:tr2bl w:val="nil"/>
                  </w:tcBorders>
                  <w:shd w:val="clear" w:color="auto" w:fill="auto"/>
                  <w:vAlign w:val="center"/>
                </w:tcPr>
                <w:p w14:paraId="647380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DN80，PN1.6MPa，Z45X-16Q</w:t>
                  </w:r>
                </w:p>
              </w:tc>
              <w:tc>
                <w:tcPr>
                  <w:tcW w:w="803" w:type="dxa"/>
                  <w:tcBorders>
                    <w:tl2br w:val="nil"/>
                    <w:tr2bl w:val="nil"/>
                  </w:tcBorders>
                  <w:shd w:val="clear" w:color="auto" w:fill="auto"/>
                  <w:vAlign w:val="center"/>
                </w:tcPr>
                <w:p w14:paraId="326CAC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vAlign w:val="center"/>
                </w:tcPr>
                <w:p w14:paraId="1D0F93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0EC046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D8F5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5C3837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w:t>
                  </w:r>
                </w:p>
              </w:tc>
              <w:tc>
                <w:tcPr>
                  <w:tcW w:w="1929" w:type="dxa"/>
                  <w:tcBorders>
                    <w:tl2br w:val="nil"/>
                    <w:tr2bl w:val="nil"/>
                  </w:tcBorders>
                  <w:shd w:val="clear" w:color="auto" w:fill="auto"/>
                  <w:vAlign w:val="center"/>
                </w:tcPr>
                <w:p w14:paraId="5976C8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橡胶瓣止回阀</w:t>
                  </w:r>
                </w:p>
              </w:tc>
              <w:tc>
                <w:tcPr>
                  <w:tcW w:w="2767" w:type="dxa"/>
                  <w:tcBorders>
                    <w:tl2br w:val="nil"/>
                    <w:tr2bl w:val="nil"/>
                  </w:tcBorders>
                  <w:shd w:val="clear" w:color="auto" w:fill="auto"/>
                  <w:vAlign w:val="center"/>
                </w:tcPr>
                <w:p w14:paraId="4808E6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DN80，PN1.6MPa，HC44X-16Q</w:t>
                  </w:r>
                </w:p>
              </w:tc>
              <w:tc>
                <w:tcPr>
                  <w:tcW w:w="803" w:type="dxa"/>
                  <w:tcBorders>
                    <w:tl2br w:val="nil"/>
                    <w:tr2bl w:val="nil"/>
                  </w:tcBorders>
                  <w:shd w:val="clear" w:color="auto" w:fill="auto"/>
                  <w:vAlign w:val="center"/>
                </w:tcPr>
                <w:p w14:paraId="61FCF1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vAlign w:val="center"/>
                </w:tcPr>
                <w:p w14:paraId="55E94D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479C0E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79161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633CA6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w:t>
                  </w:r>
                </w:p>
              </w:tc>
              <w:tc>
                <w:tcPr>
                  <w:tcW w:w="1929" w:type="dxa"/>
                  <w:tcBorders>
                    <w:tl2br w:val="nil"/>
                    <w:tr2bl w:val="nil"/>
                  </w:tcBorders>
                  <w:shd w:val="clear" w:color="auto" w:fill="auto"/>
                  <w:vAlign w:val="center"/>
                </w:tcPr>
                <w:p w14:paraId="7498E2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双法兰传力接头</w:t>
                  </w:r>
                </w:p>
              </w:tc>
              <w:tc>
                <w:tcPr>
                  <w:tcW w:w="2767" w:type="dxa"/>
                  <w:tcBorders>
                    <w:tl2br w:val="nil"/>
                    <w:tr2bl w:val="nil"/>
                  </w:tcBorders>
                  <w:shd w:val="clear" w:color="auto" w:fill="auto"/>
                  <w:vAlign w:val="center"/>
                </w:tcPr>
                <w:p w14:paraId="189C7F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DN80，PN=1.6MPa </w:t>
                  </w:r>
                </w:p>
              </w:tc>
              <w:tc>
                <w:tcPr>
                  <w:tcW w:w="803" w:type="dxa"/>
                  <w:tcBorders>
                    <w:tl2br w:val="nil"/>
                    <w:tr2bl w:val="nil"/>
                  </w:tcBorders>
                  <w:shd w:val="clear" w:color="auto" w:fill="auto"/>
                  <w:vAlign w:val="center"/>
                </w:tcPr>
                <w:p w14:paraId="77088B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vAlign w:val="center"/>
                </w:tcPr>
                <w:p w14:paraId="0CC13C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520070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01761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4C51D7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w:t>
                  </w:r>
                </w:p>
              </w:tc>
              <w:tc>
                <w:tcPr>
                  <w:tcW w:w="1929" w:type="dxa"/>
                  <w:tcBorders>
                    <w:tl2br w:val="nil"/>
                    <w:tr2bl w:val="nil"/>
                  </w:tcBorders>
                  <w:shd w:val="clear" w:color="auto" w:fill="auto"/>
                  <w:vAlign w:val="center"/>
                </w:tcPr>
                <w:p w14:paraId="1F93A8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超声波液位计</w:t>
                  </w:r>
                </w:p>
              </w:tc>
              <w:tc>
                <w:tcPr>
                  <w:tcW w:w="2767" w:type="dxa"/>
                  <w:tcBorders>
                    <w:tl2br w:val="nil"/>
                    <w:tr2bl w:val="nil"/>
                  </w:tcBorders>
                  <w:shd w:val="clear" w:color="auto" w:fill="auto"/>
                  <w:vAlign w:val="center"/>
                </w:tcPr>
                <w:p w14:paraId="22D289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0～10m</w:t>
                  </w:r>
                </w:p>
              </w:tc>
              <w:tc>
                <w:tcPr>
                  <w:tcW w:w="803" w:type="dxa"/>
                  <w:tcBorders>
                    <w:tl2br w:val="nil"/>
                    <w:tr2bl w:val="nil"/>
                  </w:tcBorders>
                  <w:shd w:val="clear" w:color="auto" w:fill="auto"/>
                  <w:vAlign w:val="center"/>
                </w:tcPr>
                <w:p w14:paraId="49590C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7FBF3A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17FA3F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计入自控</w:t>
                  </w:r>
                </w:p>
              </w:tc>
            </w:tr>
            <w:tr w14:paraId="31661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2C1019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四</w:t>
                  </w:r>
                </w:p>
              </w:tc>
              <w:tc>
                <w:tcPr>
                  <w:tcW w:w="8483" w:type="dxa"/>
                  <w:gridSpan w:val="5"/>
                  <w:tcBorders>
                    <w:tl2br w:val="nil"/>
                    <w:tr2bl w:val="nil"/>
                  </w:tcBorders>
                  <w:shd w:val="clear" w:color="auto" w:fill="auto"/>
                  <w:vAlign w:val="center"/>
                </w:tcPr>
                <w:p w14:paraId="190E7B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其他</w:t>
                  </w:r>
                </w:p>
              </w:tc>
            </w:tr>
            <w:tr w14:paraId="5DBAAB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45F105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w:t>
                  </w:r>
                </w:p>
              </w:tc>
              <w:tc>
                <w:tcPr>
                  <w:tcW w:w="1929" w:type="dxa"/>
                  <w:tcBorders>
                    <w:tl2br w:val="nil"/>
                    <w:tr2bl w:val="nil"/>
                  </w:tcBorders>
                  <w:shd w:val="clear" w:color="auto" w:fill="auto"/>
                  <w:vAlign w:val="center"/>
                </w:tcPr>
                <w:p w14:paraId="7E1422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电动单梁悬挂吊车</w:t>
                  </w:r>
                </w:p>
              </w:tc>
              <w:tc>
                <w:tcPr>
                  <w:tcW w:w="2767" w:type="dxa"/>
                  <w:tcBorders>
                    <w:tl2br w:val="nil"/>
                    <w:tr2bl w:val="nil"/>
                  </w:tcBorders>
                  <w:shd w:val="clear" w:color="auto" w:fill="auto"/>
                  <w:vAlign w:val="center"/>
                </w:tcPr>
                <w:p w14:paraId="38AA92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P=(2x0.4+1.5+0.2)kW G=1T，H=5.0m，L{k}=3.0m</w:t>
                  </w:r>
                </w:p>
              </w:tc>
              <w:tc>
                <w:tcPr>
                  <w:tcW w:w="803" w:type="dxa"/>
                  <w:tcBorders>
                    <w:tl2br w:val="nil"/>
                    <w:tr2bl w:val="nil"/>
                  </w:tcBorders>
                  <w:shd w:val="clear" w:color="auto" w:fill="auto"/>
                  <w:vAlign w:val="center"/>
                </w:tcPr>
                <w:p w14:paraId="387716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0681BF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181" w:type="dxa"/>
                  <w:tcBorders>
                    <w:tl2br w:val="nil"/>
                    <w:tr2bl w:val="nil"/>
                  </w:tcBorders>
                  <w:shd w:val="clear" w:color="auto" w:fill="auto"/>
                  <w:vAlign w:val="center"/>
                </w:tcPr>
                <w:p w14:paraId="7D799D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配CD{1}型电动葫芦，反冲洗及送水泵房上部</w:t>
                  </w:r>
                </w:p>
              </w:tc>
            </w:tr>
            <w:tr w14:paraId="26F7B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4BD9AA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w:t>
                  </w:r>
                </w:p>
              </w:tc>
              <w:tc>
                <w:tcPr>
                  <w:tcW w:w="1929" w:type="dxa"/>
                  <w:tcBorders>
                    <w:tl2br w:val="nil"/>
                    <w:tr2bl w:val="nil"/>
                  </w:tcBorders>
                  <w:shd w:val="clear" w:color="auto" w:fill="auto"/>
                  <w:vAlign w:val="center"/>
                </w:tcPr>
                <w:p w14:paraId="6CD0FB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管道风机</w:t>
                  </w:r>
                </w:p>
              </w:tc>
              <w:tc>
                <w:tcPr>
                  <w:tcW w:w="2767" w:type="dxa"/>
                  <w:tcBorders>
                    <w:tl2br w:val="nil"/>
                    <w:tr2bl w:val="nil"/>
                  </w:tcBorders>
                  <w:shd w:val="clear" w:color="auto" w:fill="auto"/>
                  <w:vAlign w:val="center"/>
                </w:tcPr>
                <w:p w14:paraId="7DED48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DN400，Q=2273m[3]/h，N=0.09kW，n=1450rpm</w:t>
                  </w:r>
                </w:p>
              </w:tc>
              <w:tc>
                <w:tcPr>
                  <w:tcW w:w="803" w:type="dxa"/>
                  <w:tcBorders>
                    <w:tl2br w:val="nil"/>
                    <w:tr2bl w:val="nil"/>
                  </w:tcBorders>
                  <w:shd w:val="clear" w:color="auto" w:fill="auto"/>
                  <w:vAlign w:val="center"/>
                </w:tcPr>
                <w:p w14:paraId="7D0C6F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29BA8E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w:t>
                  </w:r>
                </w:p>
              </w:tc>
              <w:tc>
                <w:tcPr>
                  <w:tcW w:w="2181" w:type="dxa"/>
                  <w:tcBorders>
                    <w:tl2br w:val="nil"/>
                    <w:tr2bl w:val="nil"/>
                  </w:tcBorders>
                  <w:shd w:val="clear" w:color="auto" w:fill="auto"/>
                  <w:vAlign w:val="center"/>
                </w:tcPr>
                <w:p w14:paraId="136712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66932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29531D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48</w:t>
                  </w:r>
                </w:p>
              </w:tc>
              <w:tc>
                <w:tcPr>
                  <w:tcW w:w="1929" w:type="dxa"/>
                  <w:tcBorders>
                    <w:tl2br w:val="nil"/>
                    <w:tr2bl w:val="nil"/>
                  </w:tcBorders>
                  <w:shd w:val="clear" w:color="auto" w:fill="auto"/>
                  <w:vAlign w:val="center"/>
                </w:tcPr>
                <w:p w14:paraId="027328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轴流风机</w:t>
                  </w:r>
                </w:p>
              </w:tc>
              <w:tc>
                <w:tcPr>
                  <w:tcW w:w="2767" w:type="dxa"/>
                  <w:tcBorders>
                    <w:tl2br w:val="nil"/>
                    <w:tr2bl w:val="nil"/>
                  </w:tcBorders>
                  <w:shd w:val="clear" w:color="auto" w:fill="auto"/>
                  <w:vAlign w:val="center"/>
                </w:tcPr>
                <w:p w14:paraId="2B29BC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%%C400，Q=2273m[3]/h，N=0.09kW，n=1450rpm</w:t>
                  </w:r>
                </w:p>
              </w:tc>
              <w:tc>
                <w:tcPr>
                  <w:tcW w:w="803" w:type="dxa"/>
                  <w:tcBorders>
                    <w:tl2br w:val="nil"/>
                    <w:tr2bl w:val="nil"/>
                  </w:tcBorders>
                  <w:shd w:val="clear" w:color="auto" w:fill="auto"/>
                  <w:vAlign w:val="center"/>
                </w:tcPr>
                <w:p w14:paraId="554F77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37FD48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7B3465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06B20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5E7A2C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49</w:t>
                  </w:r>
                </w:p>
              </w:tc>
              <w:tc>
                <w:tcPr>
                  <w:tcW w:w="1929" w:type="dxa"/>
                  <w:tcBorders>
                    <w:tl2br w:val="nil"/>
                    <w:tr2bl w:val="nil"/>
                  </w:tcBorders>
                  <w:shd w:val="clear" w:color="auto" w:fill="auto"/>
                  <w:vAlign w:val="center"/>
                </w:tcPr>
                <w:p w14:paraId="1E39E0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手动软密封闸阀</w:t>
                  </w:r>
                </w:p>
              </w:tc>
              <w:tc>
                <w:tcPr>
                  <w:tcW w:w="2767" w:type="dxa"/>
                  <w:tcBorders>
                    <w:tl2br w:val="nil"/>
                    <w:tr2bl w:val="nil"/>
                  </w:tcBorders>
                  <w:shd w:val="clear" w:color="auto" w:fill="auto"/>
                  <w:vAlign w:val="center"/>
                </w:tcPr>
                <w:p w14:paraId="121BCE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DN200，PN1.0MPa，Z45X-10Q</w:t>
                  </w:r>
                </w:p>
              </w:tc>
              <w:tc>
                <w:tcPr>
                  <w:tcW w:w="803" w:type="dxa"/>
                  <w:tcBorders>
                    <w:tl2br w:val="nil"/>
                    <w:tr2bl w:val="nil"/>
                  </w:tcBorders>
                  <w:shd w:val="clear" w:color="auto" w:fill="auto"/>
                  <w:vAlign w:val="center"/>
                </w:tcPr>
                <w:p w14:paraId="684E6A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7313A0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67F26E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一体化设备进水管</w:t>
                  </w:r>
                </w:p>
              </w:tc>
            </w:tr>
            <w:tr w14:paraId="36D4D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496F7F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w:t>
                  </w:r>
                </w:p>
              </w:tc>
              <w:tc>
                <w:tcPr>
                  <w:tcW w:w="1929" w:type="dxa"/>
                  <w:tcBorders>
                    <w:tl2br w:val="nil"/>
                    <w:tr2bl w:val="nil"/>
                  </w:tcBorders>
                  <w:shd w:val="clear" w:color="auto" w:fill="auto"/>
                  <w:vAlign w:val="center"/>
                </w:tcPr>
                <w:p w14:paraId="30A183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手动软密封闸阀</w:t>
                  </w:r>
                </w:p>
              </w:tc>
              <w:tc>
                <w:tcPr>
                  <w:tcW w:w="2767" w:type="dxa"/>
                  <w:tcBorders>
                    <w:tl2br w:val="nil"/>
                    <w:tr2bl w:val="nil"/>
                  </w:tcBorders>
                  <w:shd w:val="clear" w:color="auto" w:fill="auto"/>
                  <w:vAlign w:val="center"/>
                </w:tcPr>
                <w:p w14:paraId="76E671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DN50，PN1.6MPa，Z45X-16Q</w:t>
                  </w:r>
                </w:p>
              </w:tc>
              <w:tc>
                <w:tcPr>
                  <w:tcW w:w="803" w:type="dxa"/>
                  <w:tcBorders>
                    <w:tl2br w:val="nil"/>
                    <w:tr2bl w:val="nil"/>
                  </w:tcBorders>
                  <w:shd w:val="clear" w:color="auto" w:fill="auto"/>
                  <w:vAlign w:val="center"/>
                </w:tcPr>
                <w:p w14:paraId="0A2E1D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1FC8EC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2C8441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一体化设备进水管</w:t>
                  </w:r>
                </w:p>
              </w:tc>
            </w:tr>
            <w:tr w14:paraId="6E609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457416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51</w:t>
                  </w:r>
                </w:p>
              </w:tc>
              <w:tc>
                <w:tcPr>
                  <w:tcW w:w="1929" w:type="dxa"/>
                  <w:tcBorders>
                    <w:tl2br w:val="nil"/>
                    <w:tr2bl w:val="nil"/>
                  </w:tcBorders>
                  <w:shd w:val="clear" w:color="auto" w:fill="auto"/>
                  <w:vAlign w:val="center"/>
                </w:tcPr>
                <w:p w14:paraId="7C52B2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vAlign w:val="center"/>
                </w:tcPr>
                <w:p w14:paraId="713000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DN200，PN1.0MPa </w:t>
                  </w:r>
                </w:p>
              </w:tc>
              <w:tc>
                <w:tcPr>
                  <w:tcW w:w="803" w:type="dxa"/>
                  <w:tcBorders>
                    <w:tl2br w:val="nil"/>
                    <w:tr2bl w:val="nil"/>
                  </w:tcBorders>
                  <w:shd w:val="clear" w:color="auto" w:fill="auto"/>
                  <w:vAlign w:val="center"/>
                </w:tcPr>
                <w:p w14:paraId="0EE962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个</w:t>
                  </w:r>
                </w:p>
              </w:tc>
              <w:tc>
                <w:tcPr>
                  <w:tcW w:w="803" w:type="dxa"/>
                  <w:tcBorders>
                    <w:tl2br w:val="nil"/>
                    <w:tr2bl w:val="nil"/>
                  </w:tcBorders>
                  <w:shd w:val="clear" w:color="auto" w:fill="auto"/>
                  <w:vAlign w:val="center"/>
                </w:tcPr>
                <w:p w14:paraId="75645D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318686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进水管</w:t>
                  </w:r>
                </w:p>
              </w:tc>
            </w:tr>
            <w:tr w14:paraId="611D8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0B48BB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52</w:t>
                  </w:r>
                </w:p>
              </w:tc>
              <w:tc>
                <w:tcPr>
                  <w:tcW w:w="1929" w:type="dxa"/>
                  <w:tcBorders>
                    <w:tl2br w:val="nil"/>
                    <w:tr2bl w:val="nil"/>
                  </w:tcBorders>
                  <w:shd w:val="clear" w:color="auto" w:fill="auto"/>
                  <w:vAlign w:val="center"/>
                </w:tcPr>
                <w:p w14:paraId="27F355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双法兰限位伸缩接头</w:t>
                  </w:r>
                </w:p>
              </w:tc>
              <w:tc>
                <w:tcPr>
                  <w:tcW w:w="2767" w:type="dxa"/>
                  <w:tcBorders>
                    <w:tl2br w:val="nil"/>
                    <w:tr2bl w:val="nil"/>
                  </w:tcBorders>
                  <w:shd w:val="clear" w:color="auto" w:fill="auto"/>
                  <w:vAlign w:val="center"/>
                </w:tcPr>
                <w:p w14:paraId="283180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DN50，PN1.6MPa </w:t>
                  </w:r>
                </w:p>
              </w:tc>
              <w:tc>
                <w:tcPr>
                  <w:tcW w:w="803" w:type="dxa"/>
                  <w:tcBorders>
                    <w:tl2br w:val="nil"/>
                    <w:tr2bl w:val="nil"/>
                  </w:tcBorders>
                  <w:shd w:val="clear" w:color="auto" w:fill="auto"/>
                  <w:vAlign w:val="center"/>
                </w:tcPr>
                <w:p w14:paraId="143AB2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528A70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615BCA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一体化设备回流进水管</w:t>
                  </w:r>
                </w:p>
              </w:tc>
            </w:tr>
            <w:tr w14:paraId="3C386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3FB1C2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53</w:t>
                  </w:r>
                </w:p>
              </w:tc>
              <w:tc>
                <w:tcPr>
                  <w:tcW w:w="1929" w:type="dxa"/>
                  <w:tcBorders>
                    <w:tl2br w:val="nil"/>
                    <w:tr2bl w:val="nil"/>
                  </w:tcBorders>
                  <w:shd w:val="clear" w:color="auto" w:fill="auto"/>
                  <w:vAlign w:val="center"/>
                </w:tcPr>
                <w:p w14:paraId="427CB5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磷酸铵盐干粉灭火器</w:t>
                  </w:r>
                </w:p>
              </w:tc>
              <w:tc>
                <w:tcPr>
                  <w:tcW w:w="2767" w:type="dxa"/>
                  <w:tcBorders>
                    <w:tl2br w:val="nil"/>
                    <w:tr2bl w:val="nil"/>
                  </w:tcBorders>
                  <w:shd w:val="clear" w:color="auto" w:fill="auto"/>
                  <w:vAlign w:val="center"/>
                </w:tcPr>
                <w:p w14:paraId="1CA2EB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MF/ABC3</w:t>
                  </w:r>
                </w:p>
              </w:tc>
              <w:tc>
                <w:tcPr>
                  <w:tcW w:w="803" w:type="dxa"/>
                  <w:tcBorders>
                    <w:tl2br w:val="nil"/>
                    <w:tr2bl w:val="nil"/>
                  </w:tcBorders>
                  <w:shd w:val="clear" w:color="auto" w:fill="auto"/>
                  <w:vAlign w:val="center"/>
                </w:tcPr>
                <w:p w14:paraId="43AF5F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55C801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230D8FD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每套含2具灭火器</w:t>
                  </w:r>
                </w:p>
              </w:tc>
            </w:tr>
            <w:tr w14:paraId="1DB40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416BFD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五</w:t>
                  </w:r>
                </w:p>
              </w:tc>
              <w:tc>
                <w:tcPr>
                  <w:tcW w:w="8483" w:type="dxa"/>
                  <w:gridSpan w:val="5"/>
                  <w:tcBorders>
                    <w:tl2br w:val="nil"/>
                    <w:tr2bl w:val="nil"/>
                  </w:tcBorders>
                  <w:shd w:val="clear" w:color="auto" w:fill="auto"/>
                  <w:vAlign w:val="center"/>
                </w:tcPr>
                <w:p w14:paraId="3B37DD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取水泵房</w:t>
                  </w:r>
                </w:p>
              </w:tc>
            </w:tr>
            <w:tr w14:paraId="2FDFC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3DD3DB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54</w:t>
                  </w:r>
                </w:p>
              </w:tc>
              <w:tc>
                <w:tcPr>
                  <w:tcW w:w="1929" w:type="dxa"/>
                  <w:tcBorders>
                    <w:tl2br w:val="nil"/>
                    <w:tr2bl w:val="nil"/>
                  </w:tcBorders>
                  <w:shd w:val="clear" w:color="auto" w:fill="auto"/>
                  <w:vAlign w:val="center"/>
                </w:tcPr>
                <w:p w14:paraId="049A20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离心泵</w:t>
                  </w:r>
                </w:p>
              </w:tc>
              <w:tc>
                <w:tcPr>
                  <w:tcW w:w="2767" w:type="dxa"/>
                  <w:tcBorders>
                    <w:tl2br w:val="nil"/>
                    <w:tr2bl w:val="nil"/>
                  </w:tcBorders>
                  <w:shd w:val="clear" w:color="auto" w:fill="auto"/>
                  <w:vAlign w:val="center"/>
                </w:tcPr>
                <w:p w14:paraId="0D1414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Q=69m[3]/h，H=138m，P=55kW</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 xml:space="preserve"> n=1480rpm，η≥75%%%</w:t>
                  </w:r>
                </w:p>
              </w:tc>
              <w:tc>
                <w:tcPr>
                  <w:tcW w:w="803" w:type="dxa"/>
                  <w:tcBorders>
                    <w:tl2br w:val="nil"/>
                    <w:tr2bl w:val="nil"/>
                  </w:tcBorders>
                  <w:shd w:val="clear" w:color="auto" w:fill="auto"/>
                  <w:vAlign w:val="center"/>
                </w:tcPr>
                <w:p w14:paraId="1284B1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vAlign w:val="center"/>
                </w:tcPr>
                <w:p w14:paraId="6FD597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2181" w:type="dxa"/>
                  <w:tcBorders>
                    <w:tl2br w:val="nil"/>
                    <w:tr2bl w:val="nil"/>
                  </w:tcBorders>
                  <w:shd w:val="clear" w:color="auto" w:fill="auto"/>
                  <w:vAlign w:val="center"/>
                </w:tcPr>
                <w:p w14:paraId="5222AC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2用1备，全变频</w:t>
                  </w:r>
                </w:p>
              </w:tc>
            </w:tr>
            <w:tr w14:paraId="78161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5D9AFC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55</w:t>
                  </w:r>
                </w:p>
              </w:tc>
              <w:tc>
                <w:tcPr>
                  <w:tcW w:w="1929" w:type="dxa"/>
                  <w:tcBorders>
                    <w:tl2br w:val="nil"/>
                    <w:tr2bl w:val="nil"/>
                  </w:tcBorders>
                  <w:shd w:val="clear" w:color="auto" w:fill="auto"/>
                  <w:vAlign w:val="center"/>
                </w:tcPr>
                <w:p w14:paraId="5CE675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潜污泵</w:t>
                  </w:r>
                </w:p>
              </w:tc>
              <w:tc>
                <w:tcPr>
                  <w:tcW w:w="2767" w:type="dxa"/>
                  <w:tcBorders>
                    <w:tl2br w:val="nil"/>
                    <w:tr2bl w:val="nil"/>
                  </w:tcBorders>
                  <w:shd w:val="clear" w:color="auto" w:fill="auto"/>
                  <w:vAlign w:val="center"/>
                </w:tcPr>
                <w:p w14:paraId="7804A4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Q=20m[3]/h，H=12m，P=1.1kW</w:t>
                  </w:r>
                </w:p>
              </w:tc>
              <w:tc>
                <w:tcPr>
                  <w:tcW w:w="803" w:type="dxa"/>
                  <w:tcBorders>
                    <w:tl2br w:val="nil"/>
                    <w:tr2bl w:val="nil"/>
                  </w:tcBorders>
                  <w:shd w:val="clear" w:color="auto" w:fill="auto"/>
                  <w:vAlign w:val="center"/>
                </w:tcPr>
                <w:p w14:paraId="688D5E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803" w:type="dxa"/>
                  <w:tcBorders>
                    <w:tl2br w:val="nil"/>
                    <w:tr2bl w:val="nil"/>
                  </w:tcBorders>
                  <w:shd w:val="clear" w:color="auto" w:fill="auto"/>
                  <w:vAlign w:val="center"/>
                </w:tcPr>
                <w:p w14:paraId="37912E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2181" w:type="dxa"/>
                  <w:tcBorders>
                    <w:tl2br w:val="nil"/>
                    <w:tr2bl w:val="nil"/>
                  </w:tcBorders>
                  <w:shd w:val="clear" w:color="auto" w:fill="auto"/>
                  <w:vAlign w:val="center"/>
                </w:tcPr>
                <w:p w14:paraId="7501BF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1用1备，泵房集水坑排水</w:t>
                  </w:r>
                </w:p>
              </w:tc>
            </w:tr>
            <w:tr w14:paraId="2D78A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720" w:type="dxa"/>
                  <w:tcBorders>
                    <w:tl2br w:val="nil"/>
                    <w:tr2bl w:val="nil"/>
                  </w:tcBorders>
                  <w:shd w:val="clear" w:color="auto" w:fill="auto"/>
                  <w:vAlign w:val="center"/>
                </w:tcPr>
                <w:p w14:paraId="6ACDBC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w:t>
                  </w:r>
                </w:p>
              </w:tc>
              <w:tc>
                <w:tcPr>
                  <w:tcW w:w="1929" w:type="dxa"/>
                  <w:tcBorders>
                    <w:tl2br w:val="nil"/>
                    <w:tr2bl w:val="nil"/>
                  </w:tcBorders>
                  <w:shd w:val="clear" w:color="auto" w:fill="auto"/>
                  <w:vAlign w:val="center"/>
                </w:tcPr>
                <w:p w14:paraId="0070F9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LX型电动单梁悬挂起重机</w:t>
                  </w:r>
                </w:p>
              </w:tc>
              <w:tc>
                <w:tcPr>
                  <w:tcW w:w="2767" w:type="dxa"/>
                  <w:tcBorders>
                    <w:tl2br w:val="nil"/>
                    <w:tr2bl w:val="nil"/>
                  </w:tcBorders>
                  <w:shd w:val="clear" w:color="auto" w:fill="auto"/>
                  <w:vAlign w:val="center"/>
                </w:tcPr>
                <w:p w14:paraId="13D697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T=2.0t，S=6m，H=15m，P=(3.0+0.4+2x0.8)kW</w:t>
                  </w:r>
                </w:p>
              </w:tc>
              <w:tc>
                <w:tcPr>
                  <w:tcW w:w="803" w:type="dxa"/>
                  <w:tcBorders>
                    <w:tl2br w:val="nil"/>
                    <w:tr2bl w:val="nil"/>
                  </w:tcBorders>
                  <w:shd w:val="clear" w:color="auto" w:fill="auto"/>
                  <w:vAlign w:val="center"/>
                </w:tcPr>
                <w:p w14:paraId="7F1C8D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803" w:type="dxa"/>
                  <w:tcBorders>
                    <w:tl2br w:val="nil"/>
                    <w:tr2bl w:val="nil"/>
                  </w:tcBorders>
                  <w:shd w:val="clear" w:color="auto" w:fill="auto"/>
                  <w:vAlign w:val="center"/>
                </w:tcPr>
                <w:p w14:paraId="0F1BBF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1</w:t>
                  </w:r>
                </w:p>
              </w:tc>
              <w:tc>
                <w:tcPr>
                  <w:tcW w:w="2181" w:type="dxa"/>
                  <w:tcBorders>
                    <w:tl2br w:val="nil"/>
                    <w:tr2bl w:val="nil"/>
                  </w:tcBorders>
                  <w:shd w:val="clear" w:color="auto" w:fill="auto"/>
                  <w:vAlign w:val="center"/>
                </w:tcPr>
                <w:p w14:paraId="08A490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泵房使用,配CD1型电动葫芦</w:t>
                  </w:r>
                </w:p>
              </w:tc>
            </w:tr>
            <w:tr w14:paraId="0AAB1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shd w:val="clear" w:color="auto" w:fill="auto"/>
                  <w:vAlign w:val="center"/>
                </w:tcPr>
                <w:p w14:paraId="721B6C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57</w:t>
                  </w:r>
                </w:p>
              </w:tc>
              <w:tc>
                <w:tcPr>
                  <w:tcW w:w="0" w:type="auto"/>
                  <w:shd w:val="clear" w:color="auto" w:fill="auto"/>
                  <w:vAlign w:val="center"/>
                </w:tcPr>
                <w:p w14:paraId="7A18AA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取水头部</w:t>
                  </w:r>
                </w:p>
              </w:tc>
              <w:tc>
                <w:tcPr>
                  <w:tcW w:w="0" w:type="auto"/>
                  <w:shd w:val="clear" w:color="auto" w:fill="auto"/>
                  <w:vAlign w:val="center"/>
                </w:tcPr>
                <w:p w14:paraId="12D765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设计取水量0.33万m[3]/d</w:t>
                  </w:r>
                </w:p>
              </w:tc>
              <w:tc>
                <w:tcPr>
                  <w:tcW w:w="0" w:type="auto"/>
                  <w:shd w:val="clear" w:color="auto" w:fill="auto"/>
                  <w:vAlign w:val="center"/>
                </w:tcPr>
                <w:p w14:paraId="4BF6A7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0" w:type="auto"/>
                  <w:shd w:val="clear" w:color="auto" w:fill="auto"/>
                  <w:vAlign w:val="center"/>
                </w:tcPr>
                <w:p w14:paraId="13279D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0" w:type="auto"/>
                  <w:shd w:val="clear" w:color="auto" w:fill="auto"/>
                  <w:vAlign w:val="center"/>
                </w:tcPr>
                <w:p w14:paraId="2315A1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1828B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shd w:val="clear" w:color="auto" w:fill="auto"/>
                  <w:vAlign w:val="center"/>
                </w:tcPr>
                <w:p w14:paraId="3ED9BA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58</w:t>
                  </w:r>
                </w:p>
              </w:tc>
              <w:tc>
                <w:tcPr>
                  <w:tcW w:w="0" w:type="auto"/>
                  <w:shd w:val="clear" w:color="auto" w:fill="auto"/>
                  <w:vAlign w:val="center"/>
                </w:tcPr>
                <w:p w14:paraId="617071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磷酸铵盐干粉灭火器</w:t>
                  </w:r>
                </w:p>
              </w:tc>
              <w:tc>
                <w:tcPr>
                  <w:tcW w:w="0" w:type="auto"/>
                  <w:shd w:val="clear" w:color="auto" w:fill="auto"/>
                  <w:vAlign w:val="center"/>
                </w:tcPr>
                <w:p w14:paraId="3D6281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MF/ABC3 3kg</w:t>
                  </w:r>
                </w:p>
              </w:tc>
              <w:tc>
                <w:tcPr>
                  <w:tcW w:w="0" w:type="auto"/>
                  <w:shd w:val="clear" w:color="auto" w:fill="auto"/>
                  <w:vAlign w:val="center"/>
                </w:tcPr>
                <w:p w14:paraId="3426ED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0" w:type="auto"/>
                  <w:shd w:val="clear" w:color="auto" w:fill="auto"/>
                  <w:vAlign w:val="center"/>
                </w:tcPr>
                <w:p w14:paraId="088FBA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0" w:type="auto"/>
                  <w:shd w:val="clear" w:color="auto" w:fill="auto"/>
                  <w:vAlign w:val="center"/>
                </w:tcPr>
                <w:p w14:paraId="059E0B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每套含2具灭火器</w:t>
                  </w:r>
                </w:p>
              </w:tc>
            </w:tr>
            <w:tr w14:paraId="3BB94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shd w:val="clear" w:color="auto" w:fill="auto"/>
                  <w:vAlign w:val="center"/>
                </w:tcPr>
                <w:p w14:paraId="59BAC8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59</w:t>
                  </w:r>
                </w:p>
              </w:tc>
              <w:tc>
                <w:tcPr>
                  <w:tcW w:w="0" w:type="auto"/>
                  <w:shd w:val="clear" w:color="auto" w:fill="auto"/>
                  <w:vAlign w:val="center"/>
                </w:tcPr>
                <w:p w14:paraId="153618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超声波液位计</w:t>
                  </w:r>
                </w:p>
              </w:tc>
              <w:tc>
                <w:tcPr>
                  <w:tcW w:w="0" w:type="auto"/>
                  <w:shd w:val="clear" w:color="auto" w:fill="auto"/>
                  <w:vAlign w:val="center"/>
                </w:tcPr>
                <w:p w14:paraId="17ADFF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0-10m</w:t>
                  </w:r>
                </w:p>
              </w:tc>
              <w:tc>
                <w:tcPr>
                  <w:tcW w:w="0" w:type="auto"/>
                  <w:shd w:val="clear" w:color="auto" w:fill="auto"/>
                  <w:vAlign w:val="center"/>
                </w:tcPr>
                <w:p w14:paraId="0B1A03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0" w:type="auto"/>
                  <w:shd w:val="clear" w:color="auto" w:fill="auto"/>
                  <w:vAlign w:val="center"/>
                </w:tcPr>
                <w:p w14:paraId="135873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0" w:type="auto"/>
                  <w:shd w:val="clear" w:color="auto" w:fill="auto"/>
                  <w:vAlign w:val="center"/>
                </w:tcPr>
                <w:p w14:paraId="386BC8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统计于自控</w:t>
                  </w:r>
                </w:p>
              </w:tc>
            </w:tr>
            <w:tr w14:paraId="54FA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shd w:val="clear" w:color="auto" w:fill="auto"/>
                  <w:vAlign w:val="center"/>
                </w:tcPr>
                <w:p w14:paraId="5C3546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w:t>
                  </w:r>
                </w:p>
              </w:tc>
              <w:tc>
                <w:tcPr>
                  <w:tcW w:w="0" w:type="auto"/>
                  <w:shd w:val="clear" w:color="auto" w:fill="auto"/>
                  <w:vAlign w:val="center"/>
                </w:tcPr>
                <w:p w14:paraId="467BD4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压力变送器</w:t>
                  </w:r>
                </w:p>
              </w:tc>
              <w:tc>
                <w:tcPr>
                  <w:tcW w:w="0" w:type="auto"/>
                  <w:shd w:val="clear" w:color="auto" w:fill="auto"/>
                  <w:vAlign w:val="center"/>
                </w:tcPr>
                <w:p w14:paraId="5F65AF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0~2.56MPa</w:t>
                  </w:r>
                </w:p>
              </w:tc>
              <w:tc>
                <w:tcPr>
                  <w:tcW w:w="0" w:type="auto"/>
                  <w:shd w:val="clear" w:color="auto" w:fill="auto"/>
                  <w:vAlign w:val="center"/>
                </w:tcPr>
                <w:p w14:paraId="1A4224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套</w:t>
                  </w:r>
                </w:p>
              </w:tc>
              <w:tc>
                <w:tcPr>
                  <w:tcW w:w="0" w:type="auto"/>
                  <w:shd w:val="clear" w:color="auto" w:fill="auto"/>
                  <w:vAlign w:val="center"/>
                </w:tcPr>
                <w:p w14:paraId="713CF1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3</w:t>
                  </w:r>
                </w:p>
              </w:tc>
              <w:tc>
                <w:tcPr>
                  <w:tcW w:w="0" w:type="auto"/>
                  <w:shd w:val="clear" w:color="auto" w:fill="auto"/>
                  <w:vAlign w:val="center"/>
                </w:tcPr>
                <w:p w14:paraId="594C5E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统计于自控，水泵出口</w:t>
                  </w:r>
                </w:p>
              </w:tc>
            </w:tr>
            <w:tr w14:paraId="440C3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shd w:val="clear" w:color="auto" w:fill="auto"/>
                  <w:vAlign w:val="center"/>
                </w:tcPr>
                <w:p w14:paraId="29315D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w:t>
                  </w:r>
                </w:p>
              </w:tc>
              <w:tc>
                <w:tcPr>
                  <w:tcW w:w="0" w:type="auto"/>
                  <w:shd w:val="clear" w:color="auto" w:fill="auto"/>
                  <w:vAlign w:val="center"/>
                </w:tcPr>
                <w:p w14:paraId="28CFC4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高位轴流风机</w:t>
                  </w:r>
                </w:p>
              </w:tc>
              <w:tc>
                <w:tcPr>
                  <w:tcW w:w="0" w:type="auto"/>
                  <w:shd w:val="clear" w:color="auto" w:fill="auto"/>
                  <w:vAlign w:val="center"/>
                </w:tcPr>
                <w:p w14:paraId="6CD8AC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Q=3800m[3]/h、P=220Pa、N=0.37kW</w:t>
                  </w:r>
                </w:p>
              </w:tc>
              <w:tc>
                <w:tcPr>
                  <w:tcW w:w="0" w:type="auto"/>
                  <w:shd w:val="clear" w:color="auto" w:fill="auto"/>
                  <w:vAlign w:val="center"/>
                </w:tcPr>
                <w:p w14:paraId="002A2E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0" w:type="auto"/>
                  <w:shd w:val="clear" w:color="auto" w:fill="auto"/>
                  <w:vAlign w:val="center"/>
                </w:tcPr>
                <w:p w14:paraId="3919F3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4</w:t>
                  </w:r>
                </w:p>
              </w:tc>
              <w:tc>
                <w:tcPr>
                  <w:tcW w:w="0" w:type="auto"/>
                  <w:shd w:val="clear" w:color="auto" w:fill="auto"/>
                  <w:vAlign w:val="center"/>
                </w:tcPr>
                <w:p w14:paraId="109A460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2487F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jc w:val="center"/>
              </w:trPr>
              <w:tc>
                <w:tcPr>
                  <w:tcW w:w="0" w:type="auto"/>
                  <w:shd w:val="clear" w:color="auto" w:fill="auto"/>
                  <w:vAlign w:val="center"/>
                </w:tcPr>
                <w:p w14:paraId="50A8B9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w:t>
                  </w:r>
                </w:p>
              </w:tc>
              <w:tc>
                <w:tcPr>
                  <w:tcW w:w="0" w:type="auto"/>
                  <w:shd w:val="clear" w:color="auto" w:fill="auto"/>
                  <w:vAlign w:val="center"/>
                </w:tcPr>
                <w:p w14:paraId="21F91E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管道轴流送风机</w:t>
                  </w:r>
                </w:p>
              </w:tc>
              <w:tc>
                <w:tcPr>
                  <w:tcW w:w="0" w:type="auto"/>
                  <w:shd w:val="clear" w:color="auto" w:fill="auto"/>
                  <w:vAlign w:val="center"/>
                </w:tcPr>
                <w:p w14:paraId="140513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Q=7200m[3]/h、P=2KPa、N=1.1kW</w:t>
                  </w:r>
                </w:p>
              </w:tc>
              <w:tc>
                <w:tcPr>
                  <w:tcW w:w="0" w:type="auto"/>
                  <w:shd w:val="clear" w:color="auto" w:fill="auto"/>
                  <w:vAlign w:val="center"/>
                </w:tcPr>
                <w:p w14:paraId="6F9FC3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台</w:t>
                  </w:r>
                </w:p>
              </w:tc>
              <w:tc>
                <w:tcPr>
                  <w:tcW w:w="0" w:type="auto"/>
                  <w:shd w:val="clear" w:color="auto" w:fill="auto"/>
                  <w:vAlign w:val="center"/>
                </w:tcPr>
                <w:p w14:paraId="015FDB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 2</w:t>
                  </w:r>
                </w:p>
              </w:tc>
              <w:tc>
                <w:tcPr>
                  <w:tcW w:w="0" w:type="auto"/>
                  <w:shd w:val="clear" w:color="auto" w:fill="auto"/>
                  <w:vAlign w:val="center"/>
                </w:tcPr>
                <w:p w14:paraId="4449995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000000"/>
                      <w:kern w:val="0"/>
                      <w:sz w:val="21"/>
                      <w:szCs w:val="21"/>
                      <w:u w:val="none"/>
                      <w:lang w:val="en-US" w:eastAsia="zh-CN" w:bidi="ar"/>
                    </w:rPr>
                  </w:pPr>
                </w:p>
              </w:tc>
            </w:tr>
          </w:tbl>
          <w:p w14:paraId="52201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5</w:t>
            </w:r>
            <w:r>
              <w:rPr>
                <w:rFonts w:hint="default" w:ascii="Times New Roman" w:hAnsi="Times New Roman" w:cs="Times New Roman"/>
                <w:b/>
                <w:bCs/>
                <w:color w:val="auto"/>
                <w:sz w:val="24"/>
                <w:szCs w:val="32"/>
                <w:highlight w:val="none"/>
                <w:vertAlign w:val="baseline"/>
                <w:lang w:val="en-US" w:eastAsia="zh-CN"/>
              </w:rPr>
              <w:t>、主要原辅材料及能耗</w:t>
            </w:r>
          </w:p>
          <w:p w14:paraId="03FC4A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隘口水厂</w:t>
            </w:r>
            <w:r>
              <w:rPr>
                <w:rFonts w:hint="default" w:ascii="Times New Roman" w:hAnsi="Times New Roman" w:cs="Times New Roman"/>
                <w:color w:val="auto"/>
                <w:sz w:val="24"/>
                <w:szCs w:val="32"/>
                <w:highlight w:val="none"/>
                <w:vertAlign w:val="baseline"/>
                <w:lang w:val="en-US" w:eastAsia="zh-CN"/>
              </w:rPr>
              <w:t>主要原辅材料及能耗见</w:t>
            </w:r>
            <w:r>
              <w:rPr>
                <w:rFonts w:hint="eastAsia" w:ascii="Times New Roman" w:hAnsi="Times New Roman" w:cs="Times New Roman"/>
                <w:color w:val="auto"/>
                <w:sz w:val="24"/>
                <w:szCs w:val="32"/>
                <w:highlight w:val="none"/>
                <w:vertAlign w:val="baseline"/>
                <w:lang w:val="en-US" w:eastAsia="zh-CN"/>
              </w:rPr>
              <w:t>下表</w:t>
            </w:r>
            <w:r>
              <w:rPr>
                <w:rFonts w:hint="default" w:ascii="Times New Roman" w:hAnsi="Times New Roman" w:cs="Times New Roman"/>
                <w:color w:val="auto"/>
                <w:sz w:val="24"/>
                <w:szCs w:val="32"/>
                <w:highlight w:val="none"/>
                <w:vertAlign w:val="baseline"/>
                <w:lang w:val="en-US" w:eastAsia="zh-CN"/>
              </w:rPr>
              <w:t>。</w:t>
            </w:r>
          </w:p>
          <w:p w14:paraId="4C29A6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6 隘口水厂营运期</w:t>
            </w:r>
            <w:r>
              <w:rPr>
                <w:rFonts w:hint="default" w:ascii="Times New Roman" w:hAnsi="Times New Roman" w:eastAsia="黑体" w:cs="Times New Roman"/>
                <w:color w:val="auto"/>
                <w:szCs w:val="21"/>
                <w:highlight w:val="none"/>
                <w:lang w:val="en-US" w:eastAsia="zh-CN"/>
              </w:rPr>
              <w:t>主要原辅材料及能耗表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38"/>
              <w:gridCol w:w="1398"/>
              <w:gridCol w:w="907"/>
              <w:gridCol w:w="700"/>
              <w:gridCol w:w="1499"/>
              <w:gridCol w:w="1918"/>
            </w:tblGrid>
            <w:tr w14:paraId="6B45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shd w:val="clear" w:color="auto" w:fill="auto"/>
                  <w:vAlign w:val="center"/>
                </w:tcPr>
                <w:p w14:paraId="3A1F548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项目</w:t>
                  </w:r>
                </w:p>
              </w:tc>
              <w:tc>
                <w:tcPr>
                  <w:tcW w:w="1638" w:type="dxa"/>
                  <w:vAlign w:val="center"/>
                </w:tcPr>
                <w:p w14:paraId="3718CE3F">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1398" w:type="dxa"/>
                  <w:vAlign w:val="center"/>
                </w:tcPr>
                <w:p w14:paraId="7DEFE645">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年用量</w:t>
                  </w:r>
                </w:p>
              </w:tc>
              <w:tc>
                <w:tcPr>
                  <w:tcW w:w="907" w:type="dxa"/>
                  <w:vAlign w:val="center"/>
                </w:tcPr>
                <w:p w14:paraId="35493423">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最大存储量</w:t>
                  </w:r>
                </w:p>
              </w:tc>
              <w:tc>
                <w:tcPr>
                  <w:tcW w:w="700" w:type="dxa"/>
                  <w:vAlign w:val="center"/>
                </w:tcPr>
                <w:p w14:paraId="6C0FE12C">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性状</w:t>
                  </w:r>
                </w:p>
              </w:tc>
              <w:tc>
                <w:tcPr>
                  <w:tcW w:w="1499" w:type="dxa"/>
                  <w:vAlign w:val="center"/>
                </w:tcPr>
                <w:p w14:paraId="0F891470">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贮存位置</w:t>
                  </w:r>
                </w:p>
              </w:tc>
              <w:tc>
                <w:tcPr>
                  <w:tcW w:w="1918" w:type="dxa"/>
                  <w:vAlign w:val="center"/>
                </w:tcPr>
                <w:p w14:paraId="0DE0E37D">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备注</w:t>
                  </w:r>
                </w:p>
              </w:tc>
            </w:tr>
            <w:tr w14:paraId="45408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restart"/>
                  <w:shd w:val="clear" w:color="auto" w:fill="auto"/>
                  <w:vAlign w:val="center"/>
                </w:tcPr>
                <w:p w14:paraId="1AFCB789">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主要原（辅料）</w:t>
                  </w:r>
                </w:p>
              </w:tc>
              <w:tc>
                <w:tcPr>
                  <w:tcW w:w="1638" w:type="dxa"/>
                  <w:vAlign w:val="center"/>
                </w:tcPr>
                <w:p w14:paraId="2FB10877">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聚合氯化铝</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PAC</w:t>
                  </w:r>
                  <w:r>
                    <w:rPr>
                      <w:rFonts w:hint="default" w:ascii="Times New Roman" w:hAnsi="Times New Roman" w:cs="Times New Roman"/>
                      <w:color w:val="auto"/>
                      <w:sz w:val="21"/>
                      <w:szCs w:val="21"/>
                      <w:highlight w:val="none"/>
                      <w:lang w:eastAsia="zh-CN"/>
                    </w:rPr>
                    <w:t>）</w:t>
                  </w:r>
                </w:p>
              </w:tc>
              <w:tc>
                <w:tcPr>
                  <w:tcW w:w="1398" w:type="dxa"/>
                  <w:vAlign w:val="center"/>
                </w:tcPr>
                <w:p w14:paraId="46A2CD05">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40t</w:t>
                  </w:r>
                </w:p>
              </w:tc>
              <w:tc>
                <w:tcPr>
                  <w:tcW w:w="907" w:type="dxa"/>
                  <w:vAlign w:val="center"/>
                </w:tcPr>
                <w:p w14:paraId="0E246A1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10t</w:t>
                  </w:r>
                </w:p>
              </w:tc>
              <w:tc>
                <w:tcPr>
                  <w:tcW w:w="700" w:type="dxa"/>
                  <w:vAlign w:val="center"/>
                </w:tcPr>
                <w:p w14:paraId="4C037916">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w:t>
                  </w:r>
                </w:p>
              </w:tc>
              <w:tc>
                <w:tcPr>
                  <w:tcW w:w="1499" w:type="dxa"/>
                  <w:vAlign w:val="center"/>
                </w:tcPr>
                <w:p w14:paraId="1D5F1749">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加药间</w:t>
                  </w:r>
                </w:p>
              </w:tc>
              <w:tc>
                <w:tcPr>
                  <w:tcW w:w="1918" w:type="dxa"/>
                  <w:vAlign w:val="center"/>
                </w:tcPr>
                <w:p w14:paraId="154D31A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rPr>
                    <w:t>投加量20~30mg/L</w:t>
                  </w:r>
                </w:p>
              </w:tc>
            </w:tr>
            <w:tr w14:paraId="4FC5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continue"/>
                  <w:shd w:val="clear" w:color="auto" w:fill="auto"/>
                  <w:vAlign w:val="center"/>
                </w:tcPr>
                <w:p w14:paraId="7D56B650">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p>
              </w:tc>
              <w:tc>
                <w:tcPr>
                  <w:tcW w:w="1638" w:type="dxa"/>
                  <w:shd w:val="clear" w:color="auto" w:fill="auto"/>
                  <w:vAlign w:val="center"/>
                </w:tcPr>
                <w:p w14:paraId="4448AFFE">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复合硫酸氢钠</w:t>
                  </w:r>
                </w:p>
              </w:tc>
              <w:tc>
                <w:tcPr>
                  <w:tcW w:w="1398" w:type="dxa"/>
                  <w:vAlign w:val="center"/>
                </w:tcPr>
                <w:p w14:paraId="44FD685E">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3t</w:t>
                  </w:r>
                </w:p>
              </w:tc>
              <w:tc>
                <w:tcPr>
                  <w:tcW w:w="907" w:type="dxa"/>
                  <w:vAlign w:val="center"/>
                </w:tcPr>
                <w:p w14:paraId="0FF8E162">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1t</w:t>
                  </w:r>
                </w:p>
              </w:tc>
              <w:tc>
                <w:tcPr>
                  <w:tcW w:w="700" w:type="dxa"/>
                  <w:shd w:val="clear" w:color="auto" w:fill="auto"/>
                  <w:vAlign w:val="center"/>
                </w:tcPr>
                <w:p w14:paraId="457DB35A">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液</w:t>
                  </w:r>
                  <w:r>
                    <w:rPr>
                      <w:rFonts w:hint="default" w:ascii="Times New Roman" w:hAnsi="Times New Roman" w:eastAsia="宋体" w:cs="Times New Roman"/>
                      <w:b w:val="0"/>
                      <w:bCs w:val="0"/>
                      <w:color w:val="auto"/>
                      <w:sz w:val="21"/>
                      <w:szCs w:val="21"/>
                      <w:highlight w:val="none"/>
                      <w:lang w:val="en-US" w:eastAsia="zh-CN"/>
                    </w:rPr>
                    <w:t>体</w:t>
                  </w:r>
                </w:p>
              </w:tc>
              <w:tc>
                <w:tcPr>
                  <w:tcW w:w="1499" w:type="dxa"/>
                  <w:shd w:val="clear" w:color="auto" w:fill="auto"/>
                  <w:vAlign w:val="center"/>
                </w:tcPr>
                <w:p w14:paraId="1B1F43CE">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sz w:val="21"/>
                      <w:szCs w:val="21"/>
                      <w:lang w:eastAsia="zh-CN"/>
                    </w:rPr>
                    <w:t>加氯间</w:t>
                  </w:r>
                </w:p>
              </w:tc>
              <w:tc>
                <w:tcPr>
                  <w:tcW w:w="1918" w:type="dxa"/>
                  <w:vAlign w:val="center"/>
                </w:tcPr>
                <w:p w14:paraId="0AF8C344">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6F00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continue"/>
                  <w:shd w:val="clear" w:color="auto" w:fill="auto"/>
                  <w:vAlign w:val="center"/>
                </w:tcPr>
                <w:p w14:paraId="77E67C1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1638" w:type="dxa"/>
                  <w:shd w:val="clear" w:color="auto" w:fill="auto"/>
                  <w:vAlign w:val="center"/>
                </w:tcPr>
                <w:p w14:paraId="5C4919EB">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复合</w:t>
                  </w:r>
                  <w:r>
                    <w:rPr>
                      <w:rFonts w:hint="default" w:ascii="Times New Roman" w:hAnsi="Times New Roman" w:cs="Times New Roman"/>
                      <w:b w:val="0"/>
                      <w:bCs w:val="0"/>
                      <w:color w:val="auto"/>
                      <w:sz w:val="21"/>
                      <w:szCs w:val="21"/>
                      <w:highlight w:val="none"/>
                      <w:lang w:val="en-US" w:eastAsia="zh-CN"/>
                    </w:rPr>
                    <w:t>氯</w:t>
                  </w:r>
                  <w:r>
                    <w:rPr>
                      <w:rFonts w:hint="default" w:ascii="Times New Roman" w:hAnsi="Times New Roman" w:eastAsia="宋体" w:cs="Times New Roman"/>
                      <w:b w:val="0"/>
                      <w:bCs w:val="0"/>
                      <w:color w:val="auto"/>
                      <w:sz w:val="21"/>
                      <w:szCs w:val="21"/>
                      <w:highlight w:val="none"/>
                      <w:lang w:val="en-US" w:eastAsia="zh-CN"/>
                    </w:rPr>
                    <w:t>酸钠</w:t>
                  </w:r>
                </w:p>
              </w:tc>
              <w:tc>
                <w:tcPr>
                  <w:tcW w:w="1398" w:type="dxa"/>
                  <w:vAlign w:val="center"/>
                </w:tcPr>
                <w:p w14:paraId="35335793">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w:t>
                  </w:r>
                  <w:r>
                    <w:rPr>
                      <w:rFonts w:hint="eastAsia" w:ascii="Times New Roman" w:hAnsi="Times New Roman" w:cs="Times New Roman"/>
                      <w:color w:val="auto"/>
                      <w:sz w:val="21"/>
                      <w:szCs w:val="21"/>
                      <w:highlight w:val="none"/>
                      <w:lang w:val="en-US" w:eastAsia="zh-CN"/>
                    </w:rPr>
                    <w:t>t</w:t>
                  </w:r>
                </w:p>
              </w:tc>
              <w:tc>
                <w:tcPr>
                  <w:tcW w:w="907" w:type="dxa"/>
                  <w:vAlign w:val="center"/>
                </w:tcPr>
                <w:p w14:paraId="31CF0BEF">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w:t>
                  </w:r>
                  <w:r>
                    <w:rPr>
                      <w:rFonts w:hint="eastAsia" w:ascii="Times New Roman" w:hAnsi="Times New Roman" w:cs="Times New Roman"/>
                      <w:color w:val="auto"/>
                      <w:sz w:val="21"/>
                      <w:szCs w:val="21"/>
                      <w:highlight w:val="none"/>
                      <w:lang w:val="en-US" w:eastAsia="zh-CN"/>
                    </w:rPr>
                    <w:t>t</w:t>
                  </w:r>
                </w:p>
              </w:tc>
              <w:tc>
                <w:tcPr>
                  <w:tcW w:w="700" w:type="dxa"/>
                  <w:vAlign w:val="center"/>
                </w:tcPr>
                <w:p w14:paraId="6C990337">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液</w:t>
                  </w:r>
                  <w:r>
                    <w:rPr>
                      <w:rFonts w:hint="default" w:ascii="Times New Roman" w:hAnsi="Times New Roman" w:eastAsia="宋体" w:cs="Times New Roman"/>
                      <w:b w:val="0"/>
                      <w:bCs w:val="0"/>
                      <w:color w:val="auto"/>
                      <w:sz w:val="21"/>
                      <w:szCs w:val="21"/>
                      <w:highlight w:val="none"/>
                      <w:lang w:val="en-US" w:eastAsia="zh-CN"/>
                    </w:rPr>
                    <w:t>体</w:t>
                  </w:r>
                </w:p>
              </w:tc>
              <w:tc>
                <w:tcPr>
                  <w:tcW w:w="1499" w:type="dxa"/>
                  <w:vAlign w:val="center"/>
                </w:tcPr>
                <w:p w14:paraId="4FA30F2E">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lang w:eastAsia="zh-CN"/>
                    </w:rPr>
                    <w:t>加氯间</w:t>
                  </w:r>
                </w:p>
              </w:tc>
              <w:tc>
                <w:tcPr>
                  <w:tcW w:w="1918" w:type="dxa"/>
                  <w:vAlign w:val="center"/>
                </w:tcPr>
                <w:p w14:paraId="5A72A74B">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3C09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restart"/>
                  <w:vAlign w:val="center"/>
                </w:tcPr>
                <w:p w14:paraId="0740CCC2">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能源</w:t>
                  </w:r>
                </w:p>
              </w:tc>
              <w:tc>
                <w:tcPr>
                  <w:tcW w:w="1638" w:type="dxa"/>
                  <w:vAlign w:val="center"/>
                </w:tcPr>
                <w:p w14:paraId="40EBFF6F">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电</w:t>
                  </w:r>
                </w:p>
              </w:tc>
              <w:tc>
                <w:tcPr>
                  <w:tcW w:w="1398" w:type="dxa"/>
                  <w:vAlign w:val="center"/>
                </w:tcPr>
                <w:p w14:paraId="446EDB17">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r>
                    <w:rPr>
                      <w:rFonts w:hint="default" w:ascii="Times New Roman" w:hAnsi="Times New Roman" w:cs="Times New Roman"/>
                      <w:color w:val="auto"/>
                      <w:sz w:val="21"/>
                      <w:szCs w:val="21"/>
                      <w:highlight w:val="none"/>
                      <w:lang w:val="en-US" w:eastAsia="zh-CN"/>
                    </w:rPr>
                    <w:t>万度</w:t>
                  </w:r>
                </w:p>
              </w:tc>
              <w:tc>
                <w:tcPr>
                  <w:tcW w:w="907" w:type="dxa"/>
                  <w:vAlign w:val="center"/>
                </w:tcPr>
                <w:p w14:paraId="0E9074A6">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00" w:type="dxa"/>
                  <w:vAlign w:val="center"/>
                </w:tcPr>
                <w:p w14:paraId="0CB43242">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c>
                <w:tcPr>
                  <w:tcW w:w="1499" w:type="dxa"/>
                  <w:vAlign w:val="center"/>
                </w:tcPr>
                <w:p w14:paraId="12F3BFB5">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918" w:type="dxa"/>
                  <w:vAlign w:val="center"/>
                </w:tcPr>
                <w:p w14:paraId="4E1D1D59">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市政电网</w:t>
                  </w:r>
                </w:p>
              </w:tc>
            </w:tr>
            <w:tr w14:paraId="1374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continue"/>
                  <w:vAlign w:val="center"/>
                </w:tcPr>
                <w:p w14:paraId="5B0F871D">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1638" w:type="dxa"/>
                  <w:vAlign w:val="center"/>
                </w:tcPr>
                <w:p w14:paraId="53F57E1D">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原水</w:t>
                  </w:r>
                </w:p>
              </w:tc>
              <w:tc>
                <w:tcPr>
                  <w:tcW w:w="1398" w:type="dxa"/>
                  <w:vAlign w:val="center"/>
                </w:tcPr>
                <w:p w14:paraId="047852E7">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73.739</w:t>
                  </w:r>
                  <w:r>
                    <w:rPr>
                      <w:rFonts w:hint="default" w:ascii="Times New Roman" w:hAnsi="Times New Roman" w:cs="Times New Roman"/>
                      <w:color w:val="auto"/>
                      <w:sz w:val="21"/>
                      <w:szCs w:val="21"/>
                      <w:highlight w:val="none"/>
                      <w:lang w:val="en-US" w:eastAsia="zh-CN"/>
                    </w:rPr>
                    <w:t>万m</w:t>
                  </w:r>
                  <w:r>
                    <w:rPr>
                      <w:rFonts w:hint="default" w:ascii="Times New Roman" w:hAnsi="Times New Roman" w:cs="Times New Roman"/>
                      <w:color w:val="auto"/>
                      <w:sz w:val="21"/>
                      <w:szCs w:val="21"/>
                      <w:highlight w:val="none"/>
                      <w:vertAlign w:val="superscript"/>
                      <w:lang w:val="en-US" w:eastAsia="zh-CN"/>
                    </w:rPr>
                    <w:t>3</w:t>
                  </w:r>
                </w:p>
              </w:tc>
              <w:tc>
                <w:tcPr>
                  <w:tcW w:w="907" w:type="dxa"/>
                  <w:vAlign w:val="center"/>
                </w:tcPr>
                <w:p w14:paraId="44D6A359">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00" w:type="dxa"/>
                  <w:vAlign w:val="center"/>
                </w:tcPr>
                <w:p w14:paraId="6F98199C">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99" w:type="dxa"/>
                  <w:vAlign w:val="center"/>
                </w:tcPr>
                <w:p w14:paraId="3ADF6776">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918" w:type="dxa"/>
                  <w:vAlign w:val="center"/>
                </w:tcPr>
                <w:p w14:paraId="3F3C3343">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普子坪水库</w:t>
                  </w:r>
                </w:p>
              </w:tc>
            </w:tr>
          </w:tbl>
          <w:p w14:paraId="7A0DE5DE">
            <w:pPr>
              <w:keepNext w:val="0"/>
              <w:keepLines w:val="0"/>
              <w:pageBreakBefore w:val="0"/>
              <w:widowControl w:val="0"/>
              <w:tabs>
                <w:tab w:val="left" w:pos="1260"/>
              </w:tabs>
              <w:kinsoku/>
              <w:wordWrap/>
              <w:overflowPunct/>
              <w:topLinePunct w:val="0"/>
              <w:autoSpaceDE/>
              <w:autoSpaceDN/>
              <w:bidi w:val="0"/>
              <w:adjustRightInd w:val="0"/>
              <w:snapToGrid/>
              <w:spacing w:line="360" w:lineRule="auto"/>
              <w:ind w:left="0" w:leftChars="0" w:firstLine="422" w:firstLineChars="200"/>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color w:val="auto"/>
                <w:szCs w:val="21"/>
                <w:highlight w:val="none"/>
                <w:lang w:val="en-US" w:eastAsia="zh-CN"/>
              </w:rPr>
              <w:t>备注：项目使用</w:t>
            </w:r>
            <w:r>
              <w:rPr>
                <w:rFonts w:hint="default" w:ascii="Times New Roman" w:hAnsi="Times New Roman" w:cs="Times New Roman"/>
                <w:b/>
                <w:color w:val="auto"/>
                <w:szCs w:val="21"/>
                <w:highlight w:val="none"/>
              </w:rPr>
              <w:t>二氧化氯</w:t>
            </w:r>
            <w:r>
              <w:rPr>
                <w:rFonts w:hint="default" w:ascii="Times New Roman" w:hAnsi="Times New Roman" w:cs="Times New Roman"/>
                <w:b/>
                <w:color w:val="auto"/>
                <w:szCs w:val="21"/>
                <w:highlight w:val="none"/>
                <w:lang w:val="en-US" w:eastAsia="zh-CN"/>
              </w:rPr>
              <w:t>做消毒剂，二氧化氯由</w:t>
            </w:r>
            <w:r>
              <w:rPr>
                <w:rFonts w:hint="default" w:ascii="Times New Roman" w:hAnsi="Times New Roman" w:cs="Times New Roman"/>
                <w:b/>
                <w:color w:val="auto"/>
                <w:szCs w:val="21"/>
                <w:highlight w:val="none"/>
              </w:rPr>
              <w:t>复合氯酸钠及复合硫酸钠制取产生，不在厂区储存</w:t>
            </w:r>
            <w:r>
              <w:rPr>
                <w:rFonts w:hint="default" w:ascii="Times New Roman" w:hAnsi="Times New Roman" w:cs="Times New Roman"/>
                <w:b/>
                <w:color w:val="auto"/>
                <w:szCs w:val="21"/>
                <w:highlight w:val="none"/>
                <w:lang w:eastAsia="zh-CN"/>
              </w:rPr>
              <w:t>。</w:t>
            </w:r>
          </w:p>
          <w:p w14:paraId="0CF328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马渡关水厂</w:t>
            </w:r>
            <w:r>
              <w:rPr>
                <w:rFonts w:hint="default" w:ascii="Times New Roman" w:hAnsi="Times New Roman" w:cs="Times New Roman"/>
                <w:color w:val="auto"/>
                <w:sz w:val="24"/>
                <w:szCs w:val="32"/>
                <w:highlight w:val="none"/>
                <w:vertAlign w:val="baseline"/>
                <w:lang w:val="en-US" w:eastAsia="zh-CN"/>
              </w:rPr>
              <w:t>主要原辅材料及能耗见</w:t>
            </w:r>
            <w:r>
              <w:rPr>
                <w:rFonts w:hint="eastAsia" w:ascii="Times New Roman" w:hAnsi="Times New Roman" w:cs="Times New Roman"/>
                <w:color w:val="auto"/>
                <w:sz w:val="24"/>
                <w:szCs w:val="32"/>
                <w:highlight w:val="none"/>
                <w:vertAlign w:val="baseline"/>
                <w:lang w:val="en-US" w:eastAsia="zh-CN"/>
              </w:rPr>
              <w:t>下表</w:t>
            </w:r>
            <w:r>
              <w:rPr>
                <w:rFonts w:hint="default" w:ascii="Times New Roman" w:hAnsi="Times New Roman" w:cs="Times New Roman"/>
                <w:color w:val="auto"/>
                <w:sz w:val="24"/>
                <w:szCs w:val="32"/>
                <w:highlight w:val="none"/>
                <w:vertAlign w:val="baseline"/>
                <w:lang w:val="en-US" w:eastAsia="zh-CN"/>
              </w:rPr>
              <w:t>。</w:t>
            </w:r>
          </w:p>
          <w:p w14:paraId="2257012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p>
          <w:p w14:paraId="7644A9C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2</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7 马渡关水厂营运期</w:t>
            </w:r>
            <w:r>
              <w:rPr>
                <w:rFonts w:hint="default" w:ascii="Times New Roman" w:hAnsi="Times New Roman" w:eastAsia="黑体" w:cs="Times New Roman"/>
                <w:color w:val="auto"/>
                <w:szCs w:val="21"/>
                <w:highlight w:val="none"/>
                <w:lang w:val="en-US" w:eastAsia="zh-CN"/>
              </w:rPr>
              <w:t>主要原辅材料及能耗表</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638"/>
              <w:gridCol w:w="1398"/>
              <w:gridCol w:w="907"/>
              <w:gridCol w:w="700"/>
              <w:gridCol w:w="1499"/>
              <w:gridCol w:w="1918"/>
            </w:tblGrid>
            <w:tr w14:paraId="32A4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shd w:val="clear" w:color="auto" w:fill="auto"/>
                  <w:vAlign w:val="center"/>
                </w:tcPr>
                <w:p w14:paraId="58570D1B">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项目</w:t>
                  </w:r>
                </w:p>
              </w:tc>
              <w:tc>
                <w:tcPr>
                  <w:tcW w:w="1638" w:type="dxa"/>
                  <w:vAlign w:val="center"/>
                </w:tcPr>
                <w:p w14:paraId="6CBA9E1E">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名称</w:t>
                  </w:r>
                </w:p>
              </w:tc>
              <w:tc>
                <w:tcPr>
                  <w:tcW w:w="1398" w:type="dxa"/>
                  <w:vAlign w:val="center"/>
                </w:tcPr>
                <w:p w14:paraId="7877E3BD">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年用量</w:t>
                  </w:r>
                </w:p>
              </w:tc>
              <w:tc>
                <w:tcPr>
                  <w:tcW w:w="907" w:type="dxa"/>
                  <w:vAlign w:val="center"/>
                </w:tcPr>
                <w:p w14:paraId="39A3FD15">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最大存储量</w:t>
                  </w:r>
                </w:p>
              </w:tc>
              <w:tc>
                <w:tcPr>
                  <w:tcW w:w="700" w:type="dxa"/>
                  <w:vAlign w:val="center"/>
                </w:tcPr>
                <w:p w14:paraId="585C17CD">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性状</w:t>
                  </w:r>
                </w:p>
              </w:tc>
              <w:tc>
                <w:tcPr>
                  <w:tcW w:w="1499" w:type="dxa"/>
                  <w:vAlign w:val="center"/>
                </w:tcPr>
                <w:p w14:paraId="4BE355AD">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贮存位置</w:t>
                  </w:r>
                </w:p>
              </w:tc>
              <w:tc>
                <w:tcPr>
                  <w:tcW w:w="1918" w:type="dxa"/>
                  <w:vAlign w:val="center"/>
                </w:tcPr>
                <w:p w14:paraId="5435B9B0">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备注</w:t>
                  </w:r>
                </w:p>
              </w:tc>
            </w:tr>
            <w:tr w14:paraId="1C26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restart"/>
                  <w:shd w:val="clear" w:color="auto" w:fill="auto"/>
                  <w:vAlign w:val="center"/>
                </w:tcPr>
                <w:p w14:paraId="35DB13B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主要原（辅料）</w:t>
                  </w:r>
                </w:p>
              </w:tc>
              <w:tc>
                <w:tcPr>
                  <w:tcW w:w="1638" w:type="dxa"/>
                  <w:vAlign w:val="center"/>
                </w:tcPr>
                <w:p w14:paraId="4CF73FD3">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聚合氯化铝</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PAC</w:t>
                  </w:r>
                  <w:r>
                    <w:rPr>
                      <w:rFonts w:hint="default" w:ascii="Times New Roman" w:hAnsi="Times New Roman" w:cs="Times New Roman"/>
                      <w:color w:val="auto"/>
                      <w:sz w:val="21"/>
                      <w:szCs w:val="21"/>
                      <w:highlight w:val="none"/>
                      <w:lang w:eastAsia="zh-CN"/>
                    </w:rPr>
                    <w:t>）</w:t>
                  </w:r>
                </w:p>
              </w:tc>
              <w:tc>
                <w:tcPr>
                  <w:tcW w:w="1398" w:type="dxa"/>
                  <w:vAlign w:val="center"/>
                </w:tcPr>
                <w:p w14:paraId="15F51EF2">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56t</w:t>
                  </w:r>
                </w:p>
              </w:tc>
              <w:tc>
                <w:tcPr>
                  <w:tcW w:w="907" w:type="dxa"/>
                  <w:vAlign w:val="center"/>
                </w:tcPr>
                <w:p w14:paraId="6AD7F29E">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15t</w:t>
                  </w:r>
                </w:p>
              </w:tc>
              <w:tc>
                <w:tcPr>
                  <w:tcW w:w="700" w:type="dxa"/>
                  <w:vAlign w:val="center"/>
                </w:tcPr>
                <w:p w14:paraId="6322F38D">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固体</w:t>
                  </w:r>
                </w:p>
              </w:tc>
              <w:tc>
                <w:tcPr>
                  <w:tcW w:w="1499" w:type="dxa"/>
                  <w:vAlign w:val="center"/>
                </w:tcPr>
                <w:p w14:paraId="40FDB056">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加药间</w:t>
                  </w:r>
                </w:p>
              </w:tc>
              <w:tc>
                <w:tcPr>
                  <w:tcW w:w="1918" w:type="dxa"/>
                  <w:vAlign w:val="center"/>
                </w:tcPr>
                <w:p w14:paraId="72E14B16">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rPr>
                    <w:t>投加量20~30mg/L</w:t>
                  </w:r>
                </w:p>
              </w:tc>
            </w:tr>
            <w:tr w14:paraId="5D48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continue"/>
                  <w:shd w:val="clear" w:color="auto" w:fill="auto"/>
                  <w:vAlign w:val="center"/>
                </w:tcPr>
                <w:p w14:paraId="36956CF3">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p>
              </w:tc>
              <w:tc>
                <w:tcPr>
                  <w:tcW w:w="1638" w:type="dxa"/>
                  <w:shd w:val="clear" w:color="auto" w:fill="auto"/>
                  <w:vAlign w:val="center"/>
                </w:tcPr>
                <w:p w14:paraId="1385A800">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复合硫酸氢钠</w:t>
                  </w:r>
                </w:p>
              </w:tc>
              <w:tc>
                <w:tcPr>
                  <w:tcW w:w="1398" w:type="dxa"/>
                  <w:vAlign w:val="center"/>
                </w:tcPr>
                <w:p w14:paraId="7FA97794">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4.5t</w:t>
                  </w:r>
                </w:p>
              </w:tc>
              <w:tc>
                <w:tcPr>
                  <w:tcW w:w="907" w:type="dxa"/>
                  <w:vAlign w:val="center"/>
                </w:tcPr>
                <w:p w14:paraId="45A670B5">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1.5t</w:t>
                  </w:r>
                </w:p>
              </w:tc>
              <w:tc>
                <w:tcPr>
                  <w:tcW w:w="700" w:type="dxa"/>
                  <w:vAlign w:val="center"/>
                </w:tcPr>
                <w:p w14:paraId="34E80D01">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液</w:t>
                  </w:r>
                  <w:r>
                    <w:rPr>
                      <w:rFonts w:hint="default" w:ascii="Times New Roman" w:hAnsi="Times New Roman" w:eastAsia="宋体" w:cs="Times New Roman"/>
                      <w:b w:val="0"/>
                      <w:bCs w:val="0"/>
                      <w:color w:val="auto"/>
                      <w:sz w:val="21"/>
                      <w:szCs w:val="21"/>
                      <w:highlight w:val="none"/>
                      <w:lang w:val="en-US" w:eastAsia="zh-CN"/>
                    </w:rPr>
                    <w:t>体</w:t>
                  </w:r>
                </w:p>
              </w:tc>
              <w:tc>
                <w:tcPr>
                  <w:tcW w:w="1499" w:type="dxa"/>
                  <w:vAlign w:val="center"/>
                </w:tcPr>
                <w:p w14:paraId="6AD69EA0">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加药间</w:t>
                  </w:r>
                </w:p>
              </w:tc>
              <w:tc>
                <w:tcPr>
                  <w:tcW w:w="1918" w:type="dxa"/>
                  <w:vAlign w:val="center"/>
                </w:tcPr>
                <w:p w14:paraId="70678F64">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697B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continue"/>
                  <w:shd w:val="clear" w:color="auto" w:fill="auto"/>
                  <w:vAlign w:val="center"/>
                </w:tcPr>
                <w:p w14:paraId="4C0E03C4">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p>
              </w:tc>
              <w:tc>
                <w:tcPr>
                  <w:tcW w:w="1638" w:type="dxa"/>
                  <w:shd w:val="clear" w:color="auto" w:fill="auto"/>
                  <w:vAlign w:val="center"/>
                </w:tcPr>
                <w:p w14:paraId="1A342877">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复合</w:t>
                  </w:r>
                  <w:r>
                    <w:rPr>
                      <w:rFonts w:hint="default" w:ascii="Times New Roman" w:hAnsi="Times New Roman" w:cs="Times New Roman"/>
                      <w:b w:val="0"/>
                      <w:bCs w:val="0"/>
                      <w:color w:val="auto"/>
                      <w:sz w:val="21"/>
                      <w:szCs w:val="21"/>
                      <w:highlight w:val="none"/>
                      <w:lang w:val="en-US" w:eastAsia="zh-CN"/>
                    </w:rPr>
                    <w:t>氯</w:t>
                  </w:r>
                  <w:r>
                    <w:rPr>
                      <w:rFonts w:hint="default" w:ascii="Times New Roman" w:hAnsi="Times New Roman" w:eastAsia="宋体" w:cs="Times New Roman"/>
                      <w:b w:val="0"/>
                      <w:bCs w:val="0"/>
                      <w:color w:val="auto"/>
                      <w:sz w:val="21"/>
                      <w:szCs w:val="21"/>
                      <w:highlight w:val="none"/>
                      <w:lang w:val="en-US" w:eastAsia="zh-CN"/>
                    </w:rPr>
                    <w:t>酸钠</w:t>
                  </w:r>
                </w:p>
              </w:tc>
              <w:tc>
                <w:tcPr>
                  <w:tcW w:w="1398" w:type="dxa"/>
                  <w:vAlign w:val="center"/>
                </w:tcPr>
                <w:p w14:paraId="6F411361">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4.5</w:t>
                  </w:r>
                  <w:r>
                    <w:rPr>
                      <w:rFonts w:hint="eastAsia" w:ascii="Times New Roman" w:hAnsi="Times New Roman" w:cs="Times New Roman"/>
                      <w:color w:val="auto"/>
                      <w:sz w:val="21"/>
                      <w:szCs w:val="21"/>
                      <w:highlight w:val="none"/>
                      <w:lang w:val="en-US" w:eastAsia="zh-CN"/>
                    </w:rPr>
                    <w:t>t</w:t>
                  </w:r>
                </w:p>
              </w:tc>
              <w:tc>
                <w:tcPr>
                  <w:tcW w:w="907" w:type="dxa"/>
                  <w:vAlign w:val="center"/>
                </w:tcPr>
                <w:p w14:paraId="69A5AC53">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1.5</w:t>
                  </w:r>
                  <w:r>
                    <w:rPr>
                      <w:rFonts w:hint="eastAsia" w:ascii="Times New Roman" w:hAnsi="Times New Roman" w:cs="Times New Roman"/>
                      <w:color w:val="auto"/>
                      <w:sz w:val="21"/>
                      <w:szCs w:val="21"/>
                      <w:highlight w:val="none"/>
                      <w:lang w:val="en-US" w:eastAsia="zh-CN"/>
                    </w:rPr>
                    <w:t>t</w:t>
                  </w:r>
                </w:p>
              </w:tc>
              <w:tc>
                <w:tcPr>
                  <w:tcW w:w="700" w:type="dxa"/>
                  <w:vAlign w:val="center"/>
                </w:tcPr>
                <w:p w14:paraId="66FEA5B3">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液</w:t>
                  </w:r>
                  <w:r>
                    <w:rPr>
                      <w:rFonts w:hint="default" w:ascii="Times New Roman" w:hAnsi="Times New Roman" w:eastAsia="宋体" w:cs="Times New Roman"/>
                      <w:b w:val="0"/>
                      <w:bCs w:val="0"/>
                      <w:color w:val="auto"/>
                      <w:sz w:val="21"/>
                      <w:szCs w:val="21"/>
                      <w:highlight w:val="none"/>
                      <w:lang w:val="en-US" w:eastAsia="zh-CN"/>
                    </w:rPr>
                    <w:t>体</w:t>
                  </w:r>
                </w:p>
              </w:tc>
              <w:tc>
                <w:tcPr>
                  <w:tcW w:w="1499" w:type="dxa"/>
                  <w:vAlign w:val="center"/>
                </w:tcPr>
                <w:p w14:paraId="27FF8AC5">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加药间</w:t>
                  </w:r>
                </w:p>
              </w:tc>
              <w:tc>
                <w:tcPr>
                  <w:tcW w:w="1918" w:type="dxa"/>
                  <w:vAlign w:val="center"/>
                </w:tcPr>
                <w:p w14:paraId="1BC7D40E">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w:t>
                  </w:r>
                </w:p>
              </w:tc>
            </w:tr>
            <w:tr w14:paraId="0995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restart"/>
                  <w:vAlign w:val="center"/>
                </w:tcPr>
                <w:p w14:paraId="3A0F7642">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能源</w:t>
                  </w:r>
                </w:p>
              </w:tc>
              <w:tc>
                <w:tcPr>
                  <w:tcW w:w="1638" w:type="dxa"/>
                  <w:vAlign w:val="center"/>
                </w:tcPr>
                <w:p w14:paraId="1F965F61">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电</w:t>
                  </w:r>
                </w:p>
              </w:tc>
              <w:tc>
                <w:tcPr>
                  <w:tcW w:w="1398" w:type="dxa"/>
                  <w:vAlign w:val="center"/>
                </w:tcPr>
                <w:p w14:paraId="3D958A6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lang w:val="en-US" w:eastAsia="zh-CN"/>
                    </w:rPr>
                    <w:t>万度</w:t>
                  </w:r>
                </w:p>
              </w:tc>
              <w:tc>
                <w:tcPr>
                  <w:tcW w:w="907" w:type="dxa"/>
                  <w:vAlign w:val="center"/>
                </w:tcPr>
                <w:p w14:paraId="5AF8DBA0">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00" w:type="dxa"/>
                  <w:vAlign w:val="center"/>
                </w:tcPr>
                <w:p w14:paraId="3C176EC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c>
                <w:tcPr>
                  <w:tcW w:w="1499" w:type="dxa"/>
                  <w:vAlign w:val="center"/>
                </w:tcPr>
                <w:p w14:paraId="17268410">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1918" w:type="dxa"/>
                  <w:vAlign w:val="center"/>
                </w:tcPr>
                <w:p w14:paraId="60D44D86">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市政电网</w:t>
                  </w:r>
                </w:p>
              </w:tc>
            </w:tr>
            <w:tr w14:paraId="064A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88" w:type="dxa"/>
                  <w:vMerge w:val="continue"/>
                  <w:vAlign w:val="center"/>
                </w:tcPr>
                <w:p w14:paraId="3B2C0DE3">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color w:val="auto"/>
                      <w:sz w:val="21"/>
                      <w:szCs w:val="21"/>
                      <w:highlight w:val="none"/>
                      <w:lang w:val="en-US" w:eastAsia="zh-CN"/>
                    </w:rPr>
                  </w:pPr>
                </w:p>
              </w:tc>
              <w:tc>
                <w:tcPr>
                  <w:tcW w:w="1638" w:type="dxa"/>
                  <w:vAlign w:val="center"/>
                </w:tcPr>
                <w:p w14:paraId="0421A681">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原水</w:t>
                  </w:r>
                </w:p>
              </w:tc>
              <w:tc>
                <w:tcPr>
                  <w:tcW w:w="1398" w:type="dxa"/>
                  <w:vAlign w:val="center"/>
                </w:tcPr>
                <w:p w14:paraId="5D68E39F">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110.969</w:t>
                  </w:r>
                  <w:r>
                    <w:rPr>
                      <w:rFonts w:hint="default" w:ascii="Times New Roman" w:hAnsi="Times New Roman" w:cs="Times New Roman"/>
                      <w:color w:val="auto"/>
                      <w:sz w:val="21"/>
                      <w:szCs w:val="21"/>
                      <w:highlight w:val="none"/>
                      <w:lang w:val="en-US" w:eastAsia="zh-CN"/>
                    </w:rPr>
                    <w:t>万m</w:t>
                  </w:r>
                  <w:r>
                    <w:rPr>
                      <w:rFonts w:hint="default" w:ascii="Times New Roman" w:hAnsi="Times New Roman" w:cs="Times New Roman"/>
                      <w:color w:val="auto"/>
                      <w:sz w:val="21"/>
                      <w:szCs w:val="21"/>
                      <w:highlight w:val="none"/>
                      <w:vertAlign w:val="superscript"/>
                      <w:lang w:val="en-US" w:eastAsia="zh-CN"/>
                    </w:rPr>
                    <w:t>3</w:t>
                  </w:r>
                </w:p>
              </w:tc>
              <w:tc>
                <w:tcPr>
                  <w:tcW w:w="907" w:type="dxa"/>
                  <w:vAlign w:val="center"/>
                </w:tcPr>
                <w:p w14:paraId="7F220323">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00" w:type="dxa"/>
                  <w:vAlign w:val="center"/>
                </w:tcPr>
                <w:p w14:paraId="78D784F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99" w:type="dxa"/>
                  <w:vAlign w:val="center"/>
                </w:tcPr>
                <w:p w14:paraId="545D9943">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918" w:type="dxa"/>
                  <w:vAlign w:val="center"/>
                </w:tcPr>
                <w:p w14:paraId="763BB86A">
                  <w:pPr>
                    <w:keepNext w:val="0"/>
                    <w:keepLines w:val="0"/>
                    <w:pageBreakBefore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长滩河</w:t>
                  </w:r>
                </w:p>
              </w:tc>
            </w:tr>
          </w:tbl>
          <w:p w14:paraId="789473C4">
            <w:pPr>
              <w:keepNext w:val="0"/>
              <w:keepLines w:val="0"/>
              <w:pageBreakBefore w:val="0"/>
              <w:widowControl w:val="0"/>
              <w:tabs>
                <w:tab w:val="left" w:pos="1260"/>
              </w:tabs>
              <w:kinsoku/>
              <w:wordWrap/>
              <w:overflowPunct/>
              <w:topLinePunct w:val="0"/>
              <w:autoSpaceDE/>
              <w:autoSpaceDN/>
              <w:bidi w:val="0"/>
              <w:adjustRightInd w:val="0"/>
              <w:snapToGrid/>
              <w:spacing w:line="360" w:lineRule="auto"/>
              <w:ind w:left="0" w:leftChars="0" w:firstLine="422" w:firstLineChars="200"/>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color w:val="auto"/>
                <w:szCs w:val="21"/>
                <w:highlight w:val="none"/>
                <w:lang w:val="en-US" w:eastAsia="zh-CN"/>
              </w:rPr>
              <w:t>备注：项目使用</w:t>
            </w:r>
            <w:r>
              <w:rPr>
                <w:rFonts w:hint="default" w:ascii="Times New Roman" w:hAnsi="Times New Roman" w:cs="Times New Roman"/>
                <w:b/>
                <w:color w:val="auto"/>
                <w:szCs w:val="21"/>
                <w:highlight w:val="none"/>
              </w:rPr>
              <w:t>二氧化氯</w:t>
            </w:r>
            <w:r>
              <w:rPr>
                <w:rFonts w:hint="default" w:ascii="Times New Roman" w:hAnsi="Times New Roman" w:cs="Times New Roman"/>
                <w:b/>
                <w:color w:val="auto"/>
                <w:szCs w:val="21"/>
                <w:highlight w:val="none"/>
                <w:lang w:val="en-US" w:eastAsia="zh-CN"/>
              </w:rPr>
              <w:t>做消毒剂，二氧化氯由</w:t>
            </w:r>
            <w:r>
              <w:rPr>
                <w:rFonts w:hint="default" w:ascii="Times New Roman" w:hAnsi="Times New Roman" w:cs="Times New Roman"/>
                <w:b/>
                <w:color w:val="auto"/>
                <w:szCs w:val="21"/>
                <w:highlight w:val="none"/>
              </w:rPr>
              <w:t>复合氯酸钠及复合硫酸钠制取产生，不在厂区储存</w:t>
            </w:r>
            <w:r>
              <w:rPr>
                <w:rFonts w:hint="default" w:ascii="Times New Roman" w:hAnsi="Times New Roman" w:cs="Times New Roman"/>
                <w:b/>
                <w:color w:val="auto"/>
                <w:szCs w:val="21"/>
                <w:highlight w:val="none"/>
                <w:lang w:eastAsia="zh-CN"/>
              </w:rPr>
              <w:t>。</w:t>
            </w:r>
          </w:p>
          <w:p w14:paraId="6DAA2539">
            <w:pPr>
              <w:keepNext w:val="0"/>
              <w:keepLines w:val="0"/>
              <w:pageBreakBefore w:val="0"/>
              <w:widowControl w:val="0"/>
              <w:tabs>
                <w:tab w:val="left" w:pos="1260"/>
              </w:tabs>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主要原辅材料理化性质：</w:t>
            </w:r>
          </w:p>
          <w:p w14:paraId="165A541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聚合氯化铝（PAC）：</w:t>
            </w:r>
            <w:r>
              <w:rPr>
                <w:rFonts w:hint="default" w:ascii="Times New Roman" w:hAnsi="Times New Roman" w:cs="Times New Roman"/>
                <w:color w:val="auto"/>
                <w:sz w:val="24"/>
                <w:szCs w:val="24"/>
                <w:highlight w:val="none"/>
                <w:vertAlign w:val="baseline"/>
                <w:lang w:val="en-US" w:eastAsia="zh-CN"/>
              </w:rPr>
              <w:t>聚合氯化铝是一种净水材料，无机高分子混凝剂，又被简称为聚铝，英文缩写为PAC</w:t>
            </w:r>
            <w:r>
              <w:rPr>
                <w:rFonts w:hint="eastAsia" w:ascii="Times New Roman" w:hAnsi="Times New Roman" w:cs="Times New Roman"/>
                <w:color w:val="auto"/>
                <w:sz w:val="24"/>
                <w:szCs w:val="24"/>
                <w:highlight w:val="none"/>
                <w:vertAlign w:val="baseline"/>
                <w:lang w:val="en-US" w:eastAsia="zh-CN"/>
              </w:rPr>
              <w:t>，其类型分为饮用水用和工业水用2种，分别执行不同的相关标准，外观颜色呈黄色或淡黄色、深褐色、深灰色，形态分为液体和固体2种。该产品有较强的架桥吸附性能，在水解过程中，伴随发生凝聚、吸附和沉淀等物理化学过程。对管道设备无腐蚀性，净水效果明显，能有效去除水中色质SS、COD、BOD及砷、汞等重金属离子。该产品广泛用于饮用水、工业用水和污水处理领域。聚合氯化铝具有吸附、凝聚、沉淀等性能，其稳定性差，有腐蚀性，如不慎溅到皮肤上要立即用水冲洗干净。</w:t>
            </w:r>
          </w:p>
          <w:p w14:paraId="6124F73B">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复合硫酸氢钠（活化剂、B剂）：</w:t>
            </w:r>
            <w:r>
              <w:rPr>
                <w:rFonts w:hint="eastAsia" w:ascii="Times New Roman" w:hAnsi="Times New Roman" w:cs="Times New Roman"/>
                <w:color w:val="auto"/>
                <w:sz w:val="24"/>
                <w:szCs w:val="24"/>
                <w:highlight w:val="none"/>
                <w:vertAlign w:val="baseline"/>
                <w:lang w:val="en-US" w:eastAsia="zh-CN"/>
              </w:rPr>
              <w:t>主要成分</w:t>
            </w:r>
            <w:r>
              <w:rPr>
                <w:rFonts w:hint="default" w:ascii="Times New Roman" w:hAnsi="Times New Roman" w:cs="Times New Roman"/>
                <w:color w:val="auto"/>
                <w:sz w:val="24"/>
                <w:szCs w:val="24"/>
                <w:highlight w:val="none"/>
                <w:vertAlign w:val="baseline"/>
                <w:lang w:val="en-US" w:eastAsia="zh-CN"/>
              </w:rPr>
              <w:t>为硫酸氢钠（≥48%）、尿素（≥1%）、C12H22O11（≥2.0%）。常温下为无色或微黄色水溶液，密度1.50g/ml。用于水处理杀菌消毒剂二氧化氯制备，与绿安消（复合氯酸钠）按比例投加至二氧化氯发生器内，制备二氧化氯消毒液用于水质杀菌消毒。</w:t>
            </w:r>
          </w:p>
          <w:p w14:paraId="4C33CCBF">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复合氯酸钠（绿安消、A剂）：</w:t>
            </w:r>
            <w:r>
              <w:rPr>
                <w:rFonts w:hint="eastAsia" w:ascii="Times New Roman" w:hAnsi="Times New Roman" w:cs="Times New Roman"/>
                <w:color w:val="auto"/>
                <w:sz w:val="24"/>
                <w:szCs w:val="24"/>
                <w:highlight w:val="none"/>
                <w:vertAlign w:val="baseline"/>
                <w:lang w:val="en-US" w:eastAsia="zh-CN"/>
              </w:rPr>
              <w:t>主要成分</w:t>
            </w:r>
            <w:r>
              <w:rPr>
                <w:rFonts w:hint="default" w:ascii="Times New Roman" w:hAnsi="Times New Roman" w:cs="Times New Roman"/>
                <w:color w:val="auto"/>
                <w:sz w:val="24"/>
                <w:szCs w:val="24"/>
                <w:highlight w:val="none"/>
                <w:vertAlign w:val="baseline"/>
                <w:lang w:val="en-US" w:eastAsia="zh-CN"/>
              </w:rPr>
              <w:t>为氯酸钠（≥24.0%）、氯化钠（≤1.5%）、C</w:t>
            </w:r>
            <w:r>
              <w:rPr>
                <w:rFonts w:hint="default" w:ascii="Times New Roman" w:hAnsi="Times New Roman" w:cs="Times New Roman"/>
                <w:color w:val="auto"/>
                <w:sz w:val="24"/>
                <w:szCs w:val="24"/>
                <w:highlight w:val="none"/>
                <w:vertAlign w:val="subscript"/>
                <w:lang w:val="en-US" w:eastAsia="zh-CN"/>
              </w:rPr>
              <w:t>12</w:t>
            </w:r>
            <w:r>
              <w:rPr>
                <w:rFonts w:hint="default" w:ascii="Times New Roman" w:hAnsi="Times New Roman" w:cs="Times New Roman"/>
                <w:color w:val="auto"/>
                <w:sz w:val="24"/>
                <w:szCs w:val="24"/>
                <w:highlight w:val="none"/>
                <w:vertAlign w:val="baseline"/>
                <w:lang w:val="en-US" w:eastAsia="zh-CN"/>
              </w:rPr>
              <w:t>H</w:t>
            </w:r>
            <w:r>
              <w:rPr>
                <w:rFonts w:hint="default" w:ascii="Times New Roman" w:hAnsi="Times New Roman" w:cs="Times New Roman"/>
                <w:color w:val="auto"/>
                <w:sz w:val="24"/>
                <w:szCs w:val="24"/>
                <w:highlight w:val="none"/>
                <w:vertAlign w:val="subscript"/>
                <w:lang w:val="en-US" w:eastAsia="zh-CN"/>
              </w:rPr>
              <w:t>22</w:t>
            </w:r>
            <w:r>
              <w:rPr>
                <w:rFonts w:hint="default" w:ascii="Times New Roman" w:hAnsi="Times New Roman" w:cs="Times New Roman"/>
                <w:color w:val="auto"/>
                <w:sz w:val="24"/>
                <w:szCs w:val="24"/>
                <w:highlight w:val="none"/>
                <w:vertAlign w:val="baseline"/>
                <w:lang w:val="en-US" w:eastAsia="zh-CN"/>
              </w:rPr>
              <w:t>O</w:t>
            </w:r>
            <w:r>
              <w:rPr>
                <w:rFonts w:hint="default" w:ascii="Times New Roman" w:hAnsi="Times New Roman" w:cs="Times New Roman"/>
                <w:color w:val="auto"/>
                <w:sz w:val="24"/>
                <w:szCs w:val="24"/>
                <w:highlight w:val="none"/>
                <w:vertAlign w:val="subscript"/>
                <w:lang w:val="en-US" w:eastAsia="zh-CN"/>
              </w:rPr>
              <w:t>11</w:t>
            </w:r>
            <w:r>
              <w:rPr>
                <w:rFonts w:hint="default" w:ascii="Times New Roman" w:hAnsi="Times New Roman" w:cs="Times New Roman"/>
                <w:color w:val="auto"/>
                <w:sz w:val="24"/>
                <w:szCs w:val="24"/>
                <w:highlight w:val="none"/>
                <w:vertAlign w:val="baseline"/>
                <w:lang w:val="en-US" w:eastAsia="zh-CN"/>
              </w:rPr>
              <w:t>（≤2.0%）。常温下为无色或微黄色水溶液，密度＞1.25g/ml。用于水处理杀菌消毒剂二氧化氯制备，与活化剂（复合硫酸氢钠）按比例投加至二氧化氯发生器内，制备二氧化氯消毒液用于水质杀菌消毒。</w:t>
            </w:r>
          </w:p>
          <w:p w14:paraId="6E6B9FEF">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二氧化氯：</w:t>
            </w:r>
            <w:r>
              <w:rPr>
                <w:rFonts w:hint="default" w:ascii="Times New Roman" w:hAnsi="Times New Roman" w:cs="Times New Roman"/>
                <w:color w:val="auto"/>
                <w:sz w:val="24"/>
                <w:szCs w:val="24"/>
                <w:highlight w:val="none"/>
                <w:vertAlign w:val="baseline"/>
                <w:lang w:val="en-US" w:eastAsia="zh-CN"/>
              </w:rPr>
              <w:t>为黄绿色液体，沸点-34.6℃，熔点-103℃，在常压下即汽化成气体，吸入人体能严重中毒，有剧烈刺激作用和腐蚀性，在日光下与其它易燃气体混合时发生燃烧和爆炸，氯是很活泼的物质，可以和大多数元素（或化合物）起反应。二氧化氯一般气化后使用，用途较为广泛，为强氧化剂，用于纺织、造纸工业的漂白，自来水的净化、消毒，镁及其它金属的炼制，制取农药、洗涤剂、塑料、橡胶、医药等各种含氯化合物。化工生产中，由聚乙烯与二氧化氯合成为聚氯乙烯、氯化聚乙烯。广泛用于造纸、纺织、农药、有机合成、金属冶炼、化工原料等行业，及生活用水消毒之用。</w:t>
            </w:r>
          </w:p>
          <w:p w14:paraId="3794351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6</w:t>
            </w:r>
            <w:r>
              <w:rPr>
                <w:rFonts w:hint="default" w:ascii="Times New Roman" w:hAnsi="Times New Roman" w:cs="Times New Roman"/>
                <w:b/>
                <w:bCs/>
                <w:color w:val="auto"/>
                <w:sz w:val="24"/>
                <w:szCs w:val="24"/>
                <w:highlight w:val="none"/>
                <w:vertAlign w:val="baseline"/>
                <w:lang w:val="en-US" w:eastAsia="zh-CN"/>
              </w:rPr>
              <w:t>、</w:t>
            </w:r>
            <w:r>
              <w:rPr>
                <w:rFonts w:hint="default" w:ascii="Times New Roman" w:hAnsi="Times New Roman" w:cs="Times New Roman"/>
                <w:b/>
                <w:bCs/>
                <w:color w:val="auto"/>
                <w:sz w:val="24"/>
                <w:szCs w:val="32"/>
                <w:highlight w:val="none"/>
                <w:vertAlign w:val="baseline"/>
                <w:lang w:val="en-US" w:eastAsia="zh-CN"/>
              </w:rPr>
              <w:t>劳动定员及工作制度</w:t>
            </w:r>
          </w:p>
          <w:p w14:paraId="5F239A8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color w:val="auto"/>
                <w:sz w:val="24"/>
                <w:szCs w:val="32"/>
                <w:highlight w:val="none"/>
                <w:vertAlign w:val="baseline"/>
                <w:lang w:val="en-US" w:eastAsia="zh-CN"/>
              </w:rPr>
              <w:t>隘口水厂</w:t>
            </w:r>
            <w:r>
              <w:rPr>
                <w:rFonts w:hint="default" w:ascii="Times New Roman" w:hAnsi="Times New Roman" w:cs="Times New Roman"/>
                <w:color w:val="auto"/>
                <w:sz w:val="24"/>
                <w:szCs w:val="32"/>
                <w:highlight w:val="none"/>
                <w:vertAlign w:val="baseline"/>
                <w:lang w:val="en-US" w:eastAsia="zh-CN"/>
              </w:rPr>
              <w:t>劳动定员</w:t>
            </w:r>
            <w:r>
              <w:rPr>
                <w:rFonts w:hint="eastAsia" w:ascii="Times New Roman" w:hAnsi="Times New Roman" w:cs="Times New Roman"/>
                <w:color w:val="auto"/>
                <w:sz w:val="24"/>
                <w:szCs w:val="32"/>
                <w:highlight w:val="none"/>
                <w:vertAlign w:val="baseline"/>
                <w:lang w:val="en-US" w:eastAsia="zh-CN"/>
              </w:rPr>
              <w:t>4</w:t>
            </w:r>
            <w:r>
              <w:rPr>
                <w:rFonts w:hint="default" w:ascii="Times New Roman" w:hAnsi="Times New Roman" w:cs="Times New Roman"/>
                <w:color w:val="auto"/>
                <w:sz w:val="24"/>
                <w:szCs w:val="32"/>
                <w:highlight w:val="none"/>
                <w:vertAlign w:val="baseline"/>
                <w:lang w:val="en-US" w:eastAsia="zh-CN"/>
              </w:rPr>
              <w:t>人，</w:t>
            </w:r>
            <w:r>
              <w:rPr>
                <w:rFonts w:hint="eastAsia" w:ascii="Times New Roman" w:hAnsi="Times New Roman" w:cs="Times New Roman"/>
                <w:color w:val="auto"/>
                <w:sz w:val="24"/>
                <w:szCs w:val="32"/>
                <w:highlight w:val="none"/>
                <w:vertAlign w:val="baseline"/>
                <w:lang w:val="en-US" w:eastAsia="zh-CN"/>
              </w:rPr>
              <w:t>马渡关水厂劳动定员4人，</w:t>
            </w:r>
            <w:r>
              <w:rPr>
                <w:rFonts w:hint="default" w:ascii="Times New Roman" w:hAnsi="Times New Roman" w:cs="Times New Roman"/>
                <w:color w:val="auto"/>
                <w:sz w:val="24"/>
                <w:szCs w:val="32"/>
                <w:highlight w:val="none"/>
                <w:vertAlign w:val="baseline"/>
                <w:lang w:val="en-US" w:eastAsia="zh-CN"/>
              </w:rPr>
              <w:t>年工作365天，24小时运营，实行三班工作制，8h/班。</w:t>
            </w:r>
          </w:p>
          <w:p w14:paraId="3AFECA4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7</w:t>
            </w:r>
            <w:r>
              <w:rPr>
                <w:rFonts w:hint="default" w:ascii="Times New Roman" w:hAnsi="Times New Roman" w:cs="Times New Roman"/>
                <w:b/>
                <w:bCs/>
                <w:color w:val="auto"/>
                <w:sz w:val="24"/>
                <w:szCs w:val="32"/>
                <w:highlight w:val="none"/>
                <w:vertAlign w:val="baseline"/>
                <w:lang w:val="en-US" w:eastAsia="zh-CN"/>
              </w:rPr>
              <w:t>、</w:t>
            </w:r>
            <w:r>
              <w:rPr>
                <w:rFonts w:hint="default" w:ascii="Times New Roman" w:hAnsi="Times New Roman" w:cs="Times New Roman"/>
                <w:b/>
                <w:bCs/>
                <w:color w:val="auto"/>
                <w:sz w:val="24"/>
                <w:szCs w:val="24"/>
                <w:highlight w:val="none"/>
                <w:vertAlign w:val="baseline"/>
                <w:lang w:val="en-US" w:eastAsia="zh-CN"/>
              </w:rPr>
              <w:t>公用工程及辅助设施</w:t>
            </w:r>
          </w:p>
          <w:p w14:paraId="45E58DCE">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（1）供电</w:t>
            </w:r>
          </w:p>
          <w:p w14:paraId="097E92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本项目用电由宣汉县供电系统供应。本项目不设置备用发电机。</w:t>
            </w:r>
          </w:p>
          <w:p w14:paraId="11955592">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w:t>
            </w:r>
            <w:r>
              <w:rPr>
                <w:rFonts w:hint="eastAsia" w:ascii="Times New Roman" w:hAnsi="Times New Roman" w:cs="Times New Roman"/>
                <w:b/>
                <w:bCs/>
                <w:color w:val="auto"/>
                <w:sz w:val="24"/>
                <w:szCs w:val="24"/>
                <w:highlight w:val="none"/>
                <w:vertAlign w:val="baseline"/>
                <w:lang w:val="en-US" w:eastAsia="zh-CN"/>
              </w:rPr>
              <w:t>2</w:t>
            </w:r>
            <w:r>
              <w:rPr>
                <w:rFonts w:hint="default" w:ascii="Times New Roman" w:hAnsi="Times New Roman" w:cs="Times New Roman"/>
                <w:b/>
                <w:bCs/>
                <w:color w:val="auto"/>
                <w:sz w:val="24"/>
                <w:szCs w:val="24"/>
                <w:highlight w:val="none"/>
                <w:vertAlign w:val="baseline"/>
                <w:lang w:val="en-US" w:eastAsia="zh-CN"/>
              </w:rPr>
              <w:t>）给水</w:t>
            </w:r>
          </w:p>
          <w:p w14:paraId="7FEDD02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1）隘口水厂</w:t>
            </w:r>
          </w:p>
          <w:p w14:paraId="03A3410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r>
              <w:rPr>
                <w:rFonts w:hint="eastAsia" w:ascii="Times New Roman" w:hAnsi="Times New Roman" w:cs="Times New Roman"/>
                <w:color w:val="auto"/>
                <w:sz w:val="24"/>
                <w:szCs w:val="24"/>
                <w:highlight w:val="none"/>
                <w:vertAlign w:val="baseline"/>
                <w:lang w:val="en-US" w:eastAsia="zh-CN"/>
              </w:rPr>
              <w:t>隘口水厂</w:t>
            </w:r>
            <w:r>
              <w:rPr>
                <w:rFonts w:hint="default" w:ascii="Times New Roman" w:hAnsi="Times New Roman" w:cs="Times New Roman"/>
                <w:color w:val="auto"/>
                <w:sz w:val="24"/>
                <w:szCs w:val="24"/>
                <w:highlight w:val="none"/>
                <w:vertAlign w:val="baseline"/>
                <w:lang w:val="en-US" w:eastAsia="zh-CN"/>
              </w:rPr>
              <w:t>原水由</w:t>
            </w:r>
            <w:r>
              <w:rPr>
                <w:rFonts w:hint="eastAsia" w:ascii="Times New Roman" w:hAnsi="Times New Roman" w:cs="Times New Roman"/>
                <w:b w:val="0"/>
                <w:bCs w:val="0"/>
                <w:color w:val="auto"/>
                <w:sz w:val="24"/>
                <w:szCs w:val="24"/>
                <w:highlight w:val="none"/>
                <w:lang w:val="en-US" w:eastAsia="zh-CN"/>
              </w:rPr>
              <w:t>普子坪水库</w:t>
            </w:r>
            <w:r>
              <w:rPr>
                <w:rFonts w:hint="default" w:ascii="Times New Roman" w:hAnsi="Times New Roman" w:cs="Times New Roman"/>
                <w:color w:val="auto"/>
                <w:sz w:val="24"/>
                <w:szCs w:val="24"/>
                <w:highlight w:val="none"/>
                <w:vertAlign w:val="baseline"/>
                <w:lang w:val="en-US" w:eastAsia="zh-CN"/>
              </w:rPr>
              <w:t>提供，厂区全部用水由厂区供水系统提供。本项目给水分为生活用水、生产用水。本项目</w:t>
            </w:r>
            <w:r>
              <w:rPr>
                <w:rFonts w:hint="eastAsia" w:ascii="Times New Roman" w:hAnsi="Times New Roman" w:cs="Times New Roman"/>
                <w:color w:val="auto"/>
                <w:sz w:val="24"/>
                <w:szCs w:val="24"/>
                <w:highlight w:val="none"/>
                <w:vertAlign w:val="baseline"/>
                <w:lang w:val="en-US" w:eastAsia="zh-CN"/>
              </w:rPr>
              <w:t>隘口水厂</w:t>
            </w:r>
            <w:r>
              <w:rPr>
                <w:rFonts w:hint="default" w:ascii="Times New Roman" w:hAnsi="Times New Roman" w:cs="Times New Roman"/>
                <w:color w:val="auto"/>
                <w:sz w:val="24"/>
                <w:szCs w:val="24"/>
                <w:highlight w:val="none"/>
                <w:vertAlign w:val="baseline"/>
                <w:lang w:val="en-US" w:eastAsia="zh-CN"/>
              </w:rPr>
              <w:t>设计</w:t>
            </w:r>
            <w:r>
              <w:rPr>
                <w:rFonts w:hint="eastAsia" w:ascii="Times New Roman" w:hAnsi="Times New Roman" w:cs="Times New Roman"/>
                <w:color w:val="auto"/>
                <w:sz w:val="24"/>
                <w:szCs w:val="24"/>
                <w:highlight w:val="none"/>
                <w:vertAlign w:val="baseline"/>
                <w:lang w:val="en-US" w:eastAsia="zh-CN"/>
              </w:rPr>
              <w:t>供水量</w:t>
            </w:r>
            <w:r>
              <w:rPr>
                <w:rFonts w:hint="default" w:ascii="Times New Roman" w:hAnsi="Times New Roman" w:cs="Times New Roman"/>
                <w:color w:val="auto"/>
                <w:sz w:val="24"/>
                <w:szCs w:val="24"/>
                <w:highlight w:val="none"/>
                <w:vertAlign w:val="baseline"/>
                <w:lang w:val="en-US" w:eastAsia="zh-CN"/>
              </w:rPr>
              <w:t>为</w:t>
            </w:r>
            <w:r>
              <w:rPr>
                <w:rFonts w:hint="eastAsia" w:ascii="Times New Roman" w:hAnsi="Times New Roman" w:cs="Times New Roman"/>
                <w:color w:val="auto"/>
                <w:sz w:val="24"/>
                <w:szCs w:val="24"/>
                <w:highlight w:val="none"/>
                <w:vertAlign w:val="baseline"/>
                <w:lang w:val="en-US" w:eastAsia="zh-CN"/>
              </w:rPr>
              <w:t>2</w:t>
            </w:r>
            <w:r>
              <w:rPr>
                <w:rFonts w:hint="default" w:ascii="Times New Roman" w:hAnsi="Times New Roman" w:cs="Times New Roman"/>
                <w:color w:val="auto"/>
                <w:sz w:val="24"/>
                <w:szCs w:val="24"/>
                <w:highlight w:val="none"/>
                <w:vertAlign w:val="baseline"/>
                <w:lang w:val="en-US" w:eastAsia="zh-CN"/>
              </w:rPr>
              <w:t>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/d，根据水平衡计算，原水用量为</w:t>
            </w:r>
            <w:r>
              <w:rPr>
                <w:rFonts w:hint="eastAsia" w:ascii="Times New Roman" w:hAnsi="Times New Roman" w:cs="Times New Roman"/>
                <w:color w:val="auto"/>
                <w:sz w:val="24"/>
                <w:szCs w:val="24"/>
                <w:highlight w:val="none"/>
                <w:vertAlign w:val="baseline"/>
                <w:lang w:val="en-US" w:eastAsia="zh-CN"/>
              </w:rPr>
              <w:t>2020.24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p>
          <w:p w14:paraId="4779E3E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①</w:t>
            </w:r>
            <w:r>
              <w:rPr>
                <w:rFonts w:hint="eastAsia" w:ascii="Times New Roman" w:hAnsi="Times New Roman" w:cs="Times New Roman"/>
                <w:color w:val="auto"/>
                <w:sz w:val="24"/>
                <w:szCs w:val="24"/>
                <w:highlight w:val="none"/>
                <w:vertAlign w:val="baseline"/>
                <w:lang w:val="en-US" w:eastAsia="zh-CN"/>
              </w:rPr>
              <w:t>办公</w:t>
            </w:r>
            <w:r>
              <w:rPr>
                <w:rFonts w:hint="default" w:ascii="Times New Roman" w:hAnsi="Times New Roman" w:cs="Times New Roman"/>
                <w:color w:val="auto"/>
                <w:sz w:val="24"/>
                <w:szCs w:val="24"/>
                <w:highlight w:val="none"/>
                <w:vertAlign w:val="baseline"/>
                <w:lang w:val="en-US" w:eastAsia="zh-CN"/>
              </w:rPr>
              <w:t>生活用水</w:t>
            </w:r>
          </w:p>
          <w:p w14:paraId="4FD3494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r>
              <w:rPr>
                <w:rFonts w:hint="eastAsia" w:ascii="Times New Roman" w:hAnsi="Times New Roman" w:cs="Times New Roman"/>
                <w:color w:val="auto"/>
                <w:sz w:val="24"/>
                <w:szCs w:val="24"/>
                <w:highlight w:val="none"/>
                <w:vertAlign w:val="baseline"/>
                <w:lang w:val="en-US" w:eastAsia="zh-CN"/>
              </w:rPr>
              <w:t>隘口水厂</w:t>
            </w:r>
            <w:r>
              <w:rPr>
                <w:rFonts w:hint="default" w:ascii="Times New Roman" w:hAnsi="Times New Roman" w:cs="Times New Roman"/>
                <w:color w:val="auto"/>
                <w:sz w:val="24"/>
                <w:szCs w:val="24"/>
                <w:highlight w:val="none"/>
                <w:vertAlign w:val="baseline"/>
                <w:lang w:val="en-US" w:eastAsia="zh-CN"/>
              </w:rPr>
              <w:t>员工人数为</w:t>
            </w:r>
            <w:r>
              <w:rPr>
                <w:rFonts w:hint="eastAsia" w:ascii="Times New Roman" w:hAnsi="Times New Roman" w:cs="Times New Roman"/>
                <w:color w:val="auto"/>
                <w:sz w:val="24"/>
                <w:szCs w:val="24"/>
                <w:highlight w:val="none"/>
                <w:vertAlign w:val="baseline"/>
                <w:lang w:val="en-US" w:eastAsia="zh-CN"/>
              </w:rPr>
              <w:t>4</w:t>
            </w:r>
            <w:r>
              <w:rPr>
                <w:rFonts w:hint="default" w:ascii="Times New Roman" w:hAnsi="Times New Roman" w:cs="Times New Roman"/>
                <w:color w:val="auto"/>
                <w:sz w:val="24"/>
                <w:szCs w:val="24"/>
                <w:highlight w:val="none"/>
                <w:vertAlign w:val="baseline"/>
                <w:lang w:val="en-US" w:eastAsia="zh-CN"/>
              </w:rPr>
              <w:t>人。根据《四川省用水定额》（川府函〔2021〕8号）中表5农村居民生活用水定额表，用水量按60L/人·d计，则办公生活用水量为0.</w:t>
            </w:r>
            <w:r>
              <w:rPr>
                <w:rFonts w:hint="eastAsia" w:ascii="Times New Roman" w:hAnsi="Times New Roman" w:cs="Times New Roman"/>
                <w:color w:val="auto"/>
                <w:sz w:val="24"/>
                <w:szCs w:val="24"/>
                <w:highlight w:val="none"/>
                <w:vertAlign w:val="baseline"/>
                <w:lang w:val="en-US" w:eastAsia="zh-CN"/>
              </w:rPr>
              <w:t>24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87.6</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p>
          <w:p w14:paraId="742440A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2）马渡关水厂</w:t>
            </w:r>
          </w:p>
          <w:p w14:paraId="3AAA4BE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r>
              <w:rPr>
                <w:rFonts w:hint="eastAsia" w:ascii="Times New Roman" w:hAnsi="Times New Roman" w:cs="Times New Roman"/>
                <w:color w:val="auto"/>
                <w:sz w:val="24"/>
                <w:szCs w:val="24"/>
                <w:highlight w:val="none"/>
                <w:vertAlign w:val="baseline"/>
                <w:lang w:val="en-US" w:eastAsia="zh-CN"/>
              </w:rPr>
              <w:t>马渡关水厂</w:t>
            </w:r>
            <w:r>
              <w:rPr>
                <w:rFonts w:hint="default" w:ascii="Times New Roman" w:hAnsi="Times New Roman" w:cs="Times New Roman"/>
                <w:color w:val="auto"/>
                <w:sz w:val="24"/>
                <w:szCs w:val="24"/>
                <w:highlight w:val="none"/>
                <w:vertAlign w:val="baseline"/>
                <w:lang w:val="en-US" w:eastAsia="zh-CN"/>
              </w:rPr>
              <w:t>原水由</w:t>
            </w:r>
            <w:r>
              <w:rPr>
                <w:rFonts w:hint="eastAsia" w:ascii="Times New Roman" w:hAnsi="Times New Roman" w:eastAsia="宋体" w:cs="Times New Roman"/>
                <w:bCs/>
                <w:kern w:val="2"/>
                <w:sz w:val="24"/>
                <w:szCs w:val="24"/>
                <w:lang w:val="en-US" w:eastAsia="zh-CN"/>
              </w:rPr>
              <w:t>长滩河</w:t>
            </w:r>
            <w:r>
              <w:rPr>
                <w:rFonts w:hint="default" w:ascii="Times New Roman" w:hAnsi="Times New Roman" w:cs="Times New Roman"/>
                <w:color w:val="auto"/>
                <w:sz w:val="24"/>
                <w:szCs w:val="24"/>
                <w:highlight w:val="none"/>
                <w:vertAlign w:val="baseline"/>
                <w:lang w:val="en-US" w:eastAsia="zh-CN"/>
              </w:rPr>
              <w:t>提供，厂区全部用水由厂区供水系统提供。本项目给水分为生活用水、生产用水。本项目</w:t>
            </w:r>
            <w:r>
              <w:rPr>
                <w:rFonts w:hint="eastAsia" w:ascii="Times New Roman" w:hAnsi="Times New Roman" w:cs="Times New Roman"/>
                <w:color w:val="auto"/>
                <w:sz w:val="24"/>
                <w:szCs w:val="24"/>
                <w:highlight w:val="none"/>
                <w:vertAlign w:val="baseline"/>
                <w:lang w:val="en-US" w:eastAsia="zh-CN"/>
              </w:rPr>
              <w:t>马渡关水厂</w:t>
            </w:r>
            <w:r>
              <w:rPr>
                <w:rFonts w:hint="default" w:ascii="Times New Roman" w:hAnsi="Times New Roman" w:cs="Times New Roman"/>
                <w:color w:val="auto"/>
                <w:sz w:val="24"/>
                <w:szCs w:val="24"/>
                <w:highlight w:val="none"/>
                <w:vertAlign w:val="baseline"/>
                <w:lang w:val="en-US" w:eastAsia="zh-CN"/>
              </w:rPr>
              <w:t>设计</w:t>
            </w:r>
            <w:r>
              <w:rPr>
                <w:rFonts w:hint="eastAsia" w:ascii="Times New Roman" w:hAnsi="Times New Roman" w:cs="Times New Roman"/>
                <w:color w:val="auto"/>
                <w:sz w:val="24"/>
                <w:szCs w:val="24"/>
                <w:highlight w:val="none"/>
                <w:vertAlign w:val="baseline"/>
                <w:lang w:val="en-US" w:eastAsia="zh-CN"/>
              </w:rPr>
              <w:t>供</w:t>
            </w:r>
            <w:r>
              <w:rPr>
                <w:rFonts w:hint="default" w:ascii="Times New Roman" w:hAnsi="Times New Roman" w:cs="Times New Roman"/>
                <w:color w:val="auto"/>
                <w:sz w:val="24"/>
                <w:szCs w:val="24"/>
                <w:highlight w:val="none"/>
                <w:vertAlign w:val="baseline"/>
                <w:lang w:val="en-US" w:eastAsia="zh-CN"/>
              </w:rPr>
              <w:t>水量为</w:t>
            </w:r>
            <w:r>
              <w:rPr>
                <w:rFonts w:hint="eastAsia" w:ascii="Times New Roman" w:hAnsi="Times New Roman" w:cs="Times New Roman"/>
                <w:color w:val="auto"/>
                <w:sz w:val="24"/>
                <w:szCs w:val="24"/>
                <w:highlight w:val="none"/>
                <w:vertAlign w:val="baseline"/>
                <w:lang w:val="en-US" w:eastAsia="zh-CN"/>
              </w:rPr>
              <w:t>30</w:t>
            </w:r>
            <w:r>
              <w:rPr>
                <w:rFonts w:hint="default" w:ascii="Times New Roman" w:hAnsi="Times New Roman" w:cs="Times New Roman"/>
                <w:color w:val="auto"/>
                <w:sz w:val="24"/>
                <w:szCs w:val="24"/>
                <w:highlight w:val="none"/>
                <w:vertAlign w:val="baseline"/>
                <w:lang w:val="en-US" w:eastAsia="zh-CN"/>
              </w:rPr>
              <w:t>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/d，根据水平衡计算，原水用量为</w:t>
            </w:r>
            <w:r>
              <w:rPr>
                <w:rFonts w:hint="eastAsia" w:ascii="Times New Roman" w:hAnsi="Times New Roman" w:cs="Times New Roman"/>
                <w:color w:val="auto"/>
                <w:sz w:val="24"/>
                <w:szCs w:val="24"/>
                <w:highlight w:val="none"/>
                <w:vertAlign w:val="baseline"/>
                <w:lang w:val="en-US" w:eastAsia="zh-CN"/>
              </w:rPr>
              <w:t>3040.24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p>
          <w:p w14:paraId="088A1F8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①</w:t>
            </w:r>
            <w:r>
              <w:rPr>
                <w:rFonts w:hint="eastAsia" w:ascii="Times New Roman" w:hAnsi="Times New Roman" w:cs="Times New Roman"/>
                <w:color w:val="auto"/>
                <w:sz w:val="24"/>
                <w:szCs w:val="24"/>
                <w:highlight w:val="none"/>
                <w:vertAlign w:val="baseline"/>
                <w:lang w:val="en-US" w:eastAsia="zh-CN"/>
              </w:rPr>
              <w:t>办公</w:t>
            </w:r>
            <w:r>
              <w:rPr>
                <w:rFonts w:hint="default" w:ascii="Times New Roman" w:hAnsi="Times New Roman" w:cs="Times New Roman"/>
                <w:color w:val="auto"/>
                <w:sz w:val="24"/>
                <w:szCs w:val="24"/>
                <w:highlight w:val="none"/>
                <w:vertAlign w:val="baseline"/>
                <w:lang w:val="en-US" w:eastAsia="zh-CN"/>
              </w:rPr>
              <w:t>生活用水</w:t>
            </w:r>
          </w:p>
          <w:p w14:paraId="5FEED62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w:t>
            </w:r>
            <w:r>
              <w:rPr>
                <w:rFonts w:hint="eastAsia" w:ascii="Times New Roman" w:hAnsi="Times New Roman" w:cs="Times New Roman"/>
                <w:color w:val="auto"/>
                <w:sz w:val="24"/>
                <w:szCs w:val="24"/>
                <w:highlight w:val="none"/>
                <w:vertAlign w:val="baseline"/>
                <w:lang w:val="en-US" w:eastAsia="zh-CN"/>
              </w:rPr>
              <w:t>马渡关水厂</w:t>
            </w:r>
            <w:r>
              <w:rPr>
                <w:rFonts w:hint="default" w:ascii="Times New Roman" w:hAnsi="Times New Roman" w:cs="Times New Roman"/>
                <w:color w:val="auto"/>
                <w:sz w:val="24"/>
                <w:szCs w:val="24"/>
                <w:highlight w:val="none"/>
                <w:vertAlign w:val="baseline"/>
                <w:lang w:val="en-US" w:eastAsia="zh-CN"/>
              </w:rPr>
              <w:t>员工人数为</w:t>
            </w:r>
            <w:r>
              <w:rPr>
                <w:rFonts w:hint="eastAsia" w:ascii="Times New Roman" w:hAnsi="Times New Roman" w:cs="Times New Roman"/>
                <w:color w:val="auto"/>
                <w:sz w:val="24"/>
                <w:szCs w:val="24"/>
                <w:highlight w:val="none"/>
                <w:vertAlign w:val="baseline"/>
                <w:lang w:val="en-US" w:eastAsia="zh-CN"/>
              </w:rPr>
              <w:t>4</w:t>
            </w:r>
            <w:r>
              <w:rPr>
                <w:rFonts w:hint="default" w:ascii="Times New Roman" w:hAnsi="Times New Roman" w:cs="Times New Roman"/>
                <w:color w:val="auto"/>
                <w:sz w:val="24"/>
                <w:szCs w:val="24"/>
                <w:highlight w:val="none"/>
                <w:vertAlign w:val="baseline"/>
                <w:lang w:val="en-US" w:eastAsia="zh-CN"/>
              </w:rPr>
              <w:t>人。根据《四川省用水定额》（川府函〔2021〕8号）中表5农村居民生活用水定额表，用水量按60L/人·d计，则办公生活用水量为0.</w:t>
            </w:r>
            <w:r>
              <w:rPr>
                <w:rFonts w:hint="eastAsia" w:ascii="Times New Roman" w:hAnsi="Times New Roman" w:cs="Times New Roman"/>
                <w:color w:val="auto"/>
                <w:sz w:val="24"/>
                <w:szCs w:val="24"/>
                <w:highlight w:val="none"/>
                <w:vertAlign w:val="baseline"/>
                <w:lang w:val="en-US" w:eastAsia="zh-CN"/>
              </w:rPr>
              <w:t>24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87.6</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p>
          <w:p w14:paraId="5CF6581D">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w:t>
            </w:r>
            <w:r>
              <w:rPr>
                <w:rFonts w:hint="eastAsia" w:ascii="Times New Roman" w:hAnsi="Times New Roman" w:cs="Times New Roman"/>
                <w:b/>
                <w:bCs/>
                <w:color w:val="auto"/>
                <w:sz w:val="24"/>
                <w:szCs w:val="24"/>
                <w:highlight w:val="none"/>
                <w:vertAlign w:val="baseline"/>
                <w:lang w:val="en-US" w:eastAsia="zh-CN"/>
              </w:rPr>
              <w:t>3</w:t>
            </w:r>
            <w:r>
              <w:rPr>
                <w:rFonts w:hint="default" w:ascii="Times New Roman" w:hAnsi="Times New Roman" w:cs="Times New Roman"/>
                <w:b/>
                <w:bCs/>
                <w:color w:val="auto"/>
                <w:sz w:val="24"/>
                <w:szCs w:val="24"/>
                <w:highlight w:val="none"/>
                <w:vertAlign w:val="baseline"/>
                <w:lang w:val="en-US" w:eastAsia="zh-CN"/>
              </w:rPr>
              <w:t>）排水</w:t>
            </w:r>
          </w:p>
          <w:p w14:paraId="5D9CE9A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本项目采用雨、污分流制排水系统。项目运营期主要排水为</w:t>
            </w:r>
            <w:r>
              <w:rPr>
                <w:rFonts w:hint="eastAsia" w:ascii="Times New Roman" w:hAnsi="Times New Roman" w:cs="Times New Roman"/>
                <w:color w:val="auto"/>
                <w:sz w:val="24"/>
                <w:szCs w:val="24"/>
                <w:highlight w:val="none"/>
                <w:vertAlign w:val="baseline"/>
                <w:lang w:val="en-US" w:eastAsia="zh-CN"/>
              </w:rPr>
              <w:t>办公</w:t>
            </w:r>
            <w:r>
              <w:rPr>
                <w:rFonts w:hint="default" w:ascii="Times New Roman" w:hAnsi="Times New Roman" w:cs="Times New Roman"/>
                <w:color w:val="auto"/>
                <w:sz w:val="24"/>
                <w:szCs w:val="24"/>
                <w:highlight w:val="none"/>
                <w:vertAlign w:val="baseline"/>
                <w:lang w:val="en-US" w:eastAsia="zh-CN"/>
              </w:rPr>
              <w:t>生活污水和排泥水</w:t>
            </w:r>
            <w:r>
              <w:rPr>
                <w:rFonts w:hint="eastAsia" w:ascii="Times New Roman" w:hAnsi="Times New Roman" w:cs="Times New Roman"/>
                <w:color w:val="auto"/>
                <w:sz w:val="24"/>
                <w:szCs w:val="24"/>
                <w:highlight w:val="none"/>
                <w:vertAlign w:val="baseline"/>
                <w:lang w:val="en-US" w:eastAsia="zh-CN"/>
              </w:rPr>
              <w:t>、膜</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等</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办公</w:t>
            </w:r>
            <w:r>
              <w:rPr>
                <w:rFonts w:hint="default" w:ascii="Times New Roman" w:hAnsi="Times New Roman" w:eastAsia="宋体" w:cs="Times New Roman"/>
                <w:color w:val="auto"/>
                <w:sz w:val="24"/>
                <w:szCs w:val="24"/>
                <w:highlight w:val="none"/>
                <w:lang w:val="en-US" w:eastAsia="zh-CN"/>
              </w:rPr>
              <w:t>生活污水经化粪池处理后用于农肥，不外排。</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经沉淀后回用于厂区绿化。膜</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经排水池收集后全部返回供水厂净水设施处理。</w:t>
            </w:r>
          </w:p>
          <w:p w14:paraId="7089DF6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1）隘口水厂</w:t>
            </w:r>
          </w:p>
          <w:p w14:paraId="041960A4">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①生活污水</w:t>
            </w:r>
          </w:p>
          <w:p w14:paraId="088011E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生活污水产生系数取0.85，</w:t>
            </w:r>
            <w:r>
              <w:rPr>
                <w:rFonts w:hint="default" w:ascii="Times New Roman" w:hAnsi="Times New Roman" w:cs="Times New Roman"/>
                <w:color w:val="auto"/>
                <w:kern w:val="24"/>
                <w:sz w:val="24"/>
                <w:szCs w:val="24"/>
                <w:highlight w:val="none"/>
              </w:rPr>
              <w:t>则生活污水产生量约</w:t>
            </w:r>
            <w:r>
              <w:rPr>
                <w:rFonts w:hint="eastAsia" w:ascii="Times New Roman" w:hAnsi="Times New Roman" w:cs="Times New Roman"/>
                <w:color w:val="auto"/>
                <w:kern w:val="24"/>
                <w:sz w:val="24"/>
                <w:szCs w:val="24"/>
                <w:highlight w:val="none"/>
                <w:lang w:val="en-US" w:eastAsia="zh-CN"/>
              </w:rPr>
              <w:t>0.204</w:t>
            </w:r>
            <w:r>
              <w:rPr>
                <w:rFonts w:hint="default" w:ascii="Times New Roman" w:hAnsi="Times New Roman" w:cs="Times New Roman"/>
                <w:color w:val="auto"/>
                <w:kern w:val="24"/>
                <w:sz w:val="24"/>
                <w:szCs w:val="24"/>
                <w:highlight w:val="none"/>
              </w:rPr>
              <w:t>m</w:t>
            </w:r>
            <w:r>
              <w:rPr>
                <w:rFonts w:hint="default" w:ascii="Times New Roman" w:hAnsi="Times New Roman" w:cs="Times New Roman"/>
                <w:color w:val="auto"/>
                <w:kern w:val="24"/>
                <w:sz w:val="24"/>
                <w:szCs w:val="24"/>
                <w:highlight w:val="none"/>
                <w:vertAlign w:val="superscript"/>
              </w:rPr>
              <w:t>3</w:t>
            </w:r>
            <w:r>
              <w:rPr>
                <w:rFonts w:hint="default" w:ascii="Times New Roman" w:hAnsi="Times New Roman" w:cs="Times New Roman"/>
                <w:color w:val="auto"/>
                <w:kern w:val="24"/>
                <w:sz w:val="24"/>
                <w:szCs w:val="24"/>
                <w:highlight w:val="none"/>
              </w:rPr>
              <w:t>/d</w:t>
            </w:r>
            <w:r>
              <w:rPr>
                <w:rFonts w:hint="default" w:ascii="Times New Roman" w:hAnsi="Times New Roman" w:cs="Times New Roman"/>
                <w:color w:val="auto"/>
                <w:kern w:val="24"/>
                <w:sz w:val="24"/>
                <w:szCs w:val="24"/>
                <w:highlight w:val="none"/>
                <w:lang w:eastAsia="zh-CN"/>
              </w:rPr>
              <w:t>。</w:t>
            </w:r>
          </w:p>
          <w:p w14:paraId="1B4400B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②排泥水</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反冲洗水</w:t>
            </w:r>
          </w:p>
          <w:p w14:paraId="57D16DE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u w:val="singl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w:t>
            </w:r>
            <w:r>
              <w:rPr>
                <w:rFonts w:hint="eastAsia" w:ascii="Times New Roman" w:hAnsi="Times New Roman" w:cs="Times New Roman"/>
                <w:color w:val="auto"/>
                <w:sz w:val="24"/>
                <w:szCs w:val="24"/>
                <w:highlight w:val="none"/>
                <w:vertAlign w:val="baseline"/>
                <w:lang w:val="en-US" w:eastAsia="zh-CN"/>
              </w:rPr>
              <w:t>生产</w:t>
            </w:r>
            <w:r>
              <w:rPr>
                <w:rFonts w:hint="default" w:ascii="Times New Roman" w:hAnsi="Times New Roman" w:cs="Times New Roman"/>
                <w:color w:val="auto"/>
                <w:sz w:val="24"/>
                <w:szCs w:val="24"/>
                <w:highlight w:val="none"/>
                <w:vertAlign w:val="baseline"/>
                <w:lang w:val="en-US" w:eastAsia="zh-CN"/>
              </w:rPr>
              <w:t>废水包含絮凝</w:t>
            </w:r>
            <w:r>
              <w:rPr>
                <w:rFonts w:hint="eastAsia" w:ascii="Times New Roman" w:hAnsi="Times New Roman" w:cs="Times New Roman"/>
                <w:color w:val="auto"/>
                <w:sz w:val="24"/>
                <w:szCs w:val="24"/>
                <w:highlight w:val="none"/>
                <w:vertAlign w:val="baseline"/>
                <w:lang w:val="en-US" w:eastAsia="zh-CN"/>
              </w:rPr>
              <w:t>池、斜管</w:t>
            </w:r>
            <w:r>
              <w:rPr>
                <w:rFonts w:hint="default" w:ascii="Times New Roman" w:hAnsi="Times New Roman" w:cs="Times New Roman"/>
                <w:color w:val="auto"/>
                <w:sz w:val="24"/>
                <w:szCs w:val="24"/>
                <w:highlight w:val="none"/>
                <w:vertAlign w:val="baseline"/>
                <w:lang w:val="en-US" w:eastAsia="zh-CN"/>
              </w:rPr>
              <w:t>沉淀</w:t>
            </w:r>
            <w:r>
              <w:rPr>
                <w:rFonts w:hint="eastAsia" w:ascii="Times New Roman" w:hAnsi="Times New Roman" w:cs="Times New Roman"/>
                <w:color w:val="auto"/>
                <w:sz w:val="24"/>
                <w:szCs w:val="24"/>
                <w:highlight w:val="none"/>
                <w:vertAlign w:val="baseline"/>
                <w:lang w:val="en-US" w:eastAsia="zh-CN"/>
              </w:rPr>
              <w:t>池、</w:t>
            </w:r>
            <w:r>
              <w:rPr>
                <w:rFonts w:hint="default" w:ascii="Times New Roman" w:hAnsi="Times New Roman" w:cs="Times New Roman"/>
                <w:color w:val="auto"/>
                <w:sz w:val="24"/>
                <w:szCs w:val="24"/>
                <w:highlight w:val="none"/>
                <w:vertAlign w:val="baseline"/>
                <w:lang w:val="en-US" w:eastAsia="zh-CN"/>
              </w:rPr>
              <w:t>气浮池排泥水</w:t>
            </w:r>
            <w:r>
              <w:rPr>
                <w:rFonts w:hint="eastAsia" w:ascii="Times New Roman" w:hAnsi="Times New Roman" w:cs="Times New Roman"/>
                <w:color w:val="auto"/>
                <w:sz w:val="24"/>
                <w:szCs w:val="24"/>
                <w:highlight w:val="none"/>
                <w:vertAlign w:val="baseline"/>
                <w:lang w:val="en-US" w:eastAsia="zh-CN"/>
              </w:rPr>
              <w:t>和滤池</w:t>
            </w:r>
            <w:r>
              <w:rPr>
                <w:rFonts w:hint="default" w:ascii="Times New Roman" w:hAnsi="Times New Roman" w:cs="Times New Roman"/>
                <w:color w:val="auto"/>
                <w:sz w:val="24"/>
                <w:szCs w:val="24"/>
                <w:highlight w:val="none"/>
                <w:vertAlign w:val="baseline"/>
                <w:lang w:val="en-US" w:eastAsia="zh-CN"/>
              </w:rPr>
              <w:t>反冲洗水等，根据《排放源统计调查产排污核算方法和系数手册》（公告2021年第24号）中“4610自来水生产和供应行业系数手册”中</w:t>
            </w:r>
            <w:r>
              <w:rPr>
                <w:rFonts w:hint="eastAsia" w:ascii="Times New Roman" w:hAnsi="Times New Roman" w:cs="Times New Roman"/>
                <w:color w:val="auto"/>
                <w:sz w:val="24"/>
                <w:szCs w:val="24"/>
                <w:highlight w:val="none"/>
                <w:vertAlign w:val="baseline"/>
                <w:lang w:val="en-US" w:eastAsia="zh-CN"/>
              </w:rPr>
              <w:t>气浮</w:t>
            </w:r>
            <w:r>
              <w:rPr>
                <w:rFonts w:hint="default" w:ascii="Times New Roman" w:hAnsi="Times New Roman" w:cs="Times New Roman"/>
                <w:color w:val="auto"/>
                <w:sz w:val="24"/>
                <w:szCs w:val="24"/>
                <w:highlight w:val="none"/>
                <w:vertAlign w:val="baseline"/>
                <w:lang w:val="en-US" w:eastAsia="zh-CN"/>
              </w:rPr>
              <w:t>（或</w:t>
            </w:r>
            <w:r>
              <w:rPr>
                <w:rFonts w:hint="eastAsia" w:ascii="Times New Roman" w:hAnsi="Times New Roman" w:cs="Times New Roman"/>
                <w:color w:val="auto"/>
                <w:sz w:val="24"/>
                <w:szCs w:val="24"/>
                <w:highlight w:val="none"/>
                <w:vertAlign w:val="baseline"/>
                <w:lang w:val="en-US" w:eastAsia="zh-CN"/>
              </w:rPr>
              <w:t>沉淀</w:t>
            </w:r>
            <w:r>
              <w:rPr>
                <w:rFonts w:hint="default" w:ascii="Times New Roman" w:hAnsi="Times New Roman" w:cs="Times New Roman"/>
                <w:color w:val="auto"/>
                <w:sz w:val="24"/>
                <w:szCs w:val="24"/>
                <w:highlight w:val="none"/>
                <w:vertAlign w:val="baseline"/>
                <w:lang w:val="en-US" w:eastAsia="zh-CN"/>
              </w:rPr>
              <w:t>）过滤消毒工艺（≤5万吨/日）废水量产污系数</w:t>
            </w:r>
            <w:r>
              <w:rPr>
                <w:rFonts w:hint="eastAsia" w:ascii="Times New Roman" w:hAnsi="Times New Roman" w:cs="Times New Roman"/>
                <w:color w:val="auto"/>
                <w:sz w:val="24"/>
                <w:szCs w:val="24"/>
                <w:highlight w:val="none"/>
                <w:vertAlign w:val="baseline"/>
                <w:lang w:val="en-US" w:eastAsia="zh-CN"/>
              </w:rPr>
              <w:t>4.2</w:t>
            </w:r>
            <w:r>
              <w:rPr>
                <w:rFonts w:hint="default"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t/t-产品计，</w:t>
            </w:r>
            <w:r>
              <w:rPr>
                <w:rFonts w:hint="eastAsia" w:ascii="Times New Roman" w:hAnsi="Times New Roman" w:cs="Times New Roman"/>
                <w:color w:val="auto"/>
                <w:sz w:val="24"/>
                <w:szCs w:val="24"/>
                <w:highlight w:val="none"/>
                <w:vertAlign w:val="baseline"/>
                <w:lang w:val="en-US" w:eastAsia="zh-CN"/>
              </w:rPr>
              <w:t>隘口水厂</w:t>
            </w:r>
            <w:r>
              <w:rPr>
                <w:rFonts w:hint="eastAsia" w:ascii="Times New Roman" w:hAnsi="Times New Roman" w:cs="Times New Roman"/>
                <w:color w:val="auto"/>
                <w:sz w:val="24"/>
                <w:szCs w:val="32"/>
                <w:highlight w:val="none"/>
                <w:vertAlign w:val="baseline"/>
                <w:lang w:val="en-US" w:eastAsia="zh-CN"/>
              </w:rPr>
              <w:t>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cs="Times New Roman"/>
                <w:color w:val="auto"/>
                <w:sz w:val="24"/>
                <w:szCs w:val="32"/>
                <w:highlight w:val="none"/>
                <w:vertAlign w:val="baseline"/>
                <w:lang w:val="en-US" w:eastAsia="zh-CN"/>
              </w:rPr>
              <w:t>为20</w:t>
            </w:r>
            <w:r>
              <w:rPr>
                <w:rFonts w:hint="default" w:ascii="Times New Roman" w:hAnsi="Times New Roman" w:cs="Times New Roman"/>
                <w:color w:val="auto"/>
                <w:sz w:val="24"/>
                <w:szCs w:val="32"/>
                <w:highlight w:val="none"/>
                <w:vertAlign w:val="baseline"/>
                <w:lang w:val="en-US" w:eastAsia="zh-CN"/>
              </w:rPr>
              <w:t>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则排泥水</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反冲洗水产生量为</w:t>
            </w:r>
            <w:r>
              <w:rPr>
                <w:rFonts w:hint="eastAsia" w:ascii="Times New Roman" w:hAnsi="Times New Roman" w:cs="Times New Roman"/>
                <w:color w:val="auto"/>
                <w:sz w:val="24"/>
                <w:szCs w:val="24"/>
                <w:highlight w:val="none"/>
                <w:vertAlign w:val="baseline"/>
                <w:lang w:val="en-US" w:eastAsia="zh-CN"/>
              </w:rPr>
              <w:t>84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u w:val="none"/>
                <w:vertAlign w:val="baseline"/>
                <w:lang w:val="en-US" w:eastAsia="zh-CN"/>
              </w:rPr>
              <w:t>根据工艺设计</w:t>
            </w:r>
            <w:r>
              <w:rPr>
                <w:rFonts w:hint="eastAsia" w:ascii="Times New Roman" w:hAnsi="Times New Roman" w:cs="Times New Roman"/>
                <w:color w:val="auto"/>
                <w:sz w:val="24"/>
                <w:szCs w:val="32"/>
                <w:highlight w:val="none"/>
                <w:u w:val="none"/>
                <w:vertAlign w:val="baseline"/>
                <w:lang w:val="en-US" w:eastAsia="zh-CN"/>
              </w:rPr>
              <w:t>净水设备</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eastAsia="宋体" w:cs="Times New Roman"/>
                <w:sz w:val="24"/>
                <w:szCs w:val="24"/>
                <w:highlight w:val="none"/>
                <w:u w:val="none"/>
              </w:rPr>
              <w:t>每次排泥水量约</w:t>
            </w:r>
            <w:r>
              <w:rPr>
                <w:rFonts w:hint="eastAsia" w:ascii="Times New Roman" w:hAnsi="Times New Roman" w:eastAsia="宋体" w:cs="Times New Roman"/>
                <w:sz w:val="24"/>
                <w:szCs w:val="24"/>
                <w:highlight w:val="none"/>
                <w:u w:val="none"/>
                <w:lang w:val="en-US" w:eastAsia="zh-CN"/>
              </w:rPr>
              <w:t>20</w:t>
            </w:r>
            <w:r>
              <w:rPr>
                <w:rFonts w:hint="default" w:ascii="Times New Roman" w:hAnsi="Times New Roman" w:eastAsia="宋体" w:cs="Times New Roman"/>
                <w:sz w:val="24"/>
                <w:szCs w:val="24"/>
                <w:highlight w:val="none"/>
                <w:u w:val="none"/>
              </w:rPr>
              <w:t>m</w:t>
            </w:r>
            <w:r>
              <w:rPr>
                <w:rFonts w:hint="default" w:ascii="Times New Roman" w:hAnsi="Times New Roman" w:eastAsia="宋体" w:cs="Times New Roman"/>
                <w:sz w:val="24"/>
                <w:szCs w:val="24"/>
                <w:highlight w:val="none"/>
                <w:u w:val="none"/>
                <w:vertAlign w:val="superscript"/>
                <w:lang w:val="en-US" w:eastAsia="zh-CN"/>
              </w:rPr>
              <w:t>3</w:t>
            </w:r>
            <w:r>
              <w:rPr>
                <w:rFonts w:hint="default" w:ascii="Times New Roman" w:hAnsi="Times New Roman" w:eastAsia="宋体" w:cs="Times New Roman"/>
                <w:sz w:val="24"/>
                <w:szCs w:val="24"/>
                <w:highlight w:val="none"/>
                <w:u w:val="none"/>
                <w:vertAlign w:val="baseline"/>
                <w:lang w:val="en-US" w:eastAsia="zh-CN"/>
              </w:rPr>
              <w:t>，</w:t>
            </w:r>
            <w:r>
              <w:rPr>
                <w:rFonts w:hint="eastAsia" w:ascii="Times New Roman" w:hAnsi="Times New Roman" w:eastAsia="宋体" w:cs="Times New Roman"/>
                <w:sz w:val="24"/>
                <w:szCs w:val="24"/>
                <w:highlight w:val="none"/>
                <w:u w:val="none"/>
                <w:vertAlign w:val="baseline"/>
                <w:lang w:val="en-US" w:eastAsia="zh-CN"/>
              </w:rPr>
              <w:t>每天排一次，则</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产生量为20</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cs="Times New Roman"/>
                <w:color w:val="auto"/>
                <w:sz w:val="24"/>
                <w:szCs w:val="24"/>
                <w:highlight w:val="none"/>
                <w:u w:val="none"/>
                <w:vertAlign w:val="baseline"/>
                <w:lang w:val="en-US" w:eastAsia="zh-CN"/>
              </w:rPr>
              <w:t>反冲洗水</w:t>
            </w:r>
            <w:r>
              <w:rPr>
                <w:rFonts w:hint="eastAsia" w:ascii="Times New Roman" w:hAnsi="Times New Roman" w:cs="Times New Roman"/>
                <w:color w:val="auto"/>
                <w:sz w:val="24"/>
                <w:szCs w:val="24"/>
                <w:highlight w:val="none"/>
                <w:u w:val="none"/>
                <w:vertAlign w:val="baseline"/>
                <w:lang w:val="en-US" w:eastAsia="zh-CN"/>
              </w:rPr>
              <w:t>产生量为</w:t>
            </w:r>
            <w:r>
              <w:rPr>
                <w:rFonts w:hint="eastAsia" w:ascii="Times New Roman" w:hAnsi="Times New Roman" w:eastAsia="宋体" w:cs="Times New Roman"/>
                <w:sz w:val="24"/>
                <w:szCs w:val="24"/>
                <w:highlight w:val="none"/>
                <w:u w:val="none"/>
                <w:lang w:val="en-US" w:eastAsia="zh-CN"/>
              </w:rPr>
              <w:t>64</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u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本项目生产废水不考虑过程损耗，因此生产废水量约等于生产用水量。</w:t>
            </w:r>
          </w:p>
          <w:p w14:paraId="43CA501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2）马渡关水厂</w:t>
            </w:r>
          </w:p>
          <w:p w14:paraId="1F886EC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①生活污水</w:t>
            </w:r>
          </w:p>
          <w:p w14:paraId="184F1E5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生活污水产生系数取0.85，</w:t>
            </w:r>
            <w:r>
              <w:rPr>
                <w:rFonts w:hint="default" w:ascii="Times New Roman" w:hAnsi="Times New Roman" w:cs="Times New Roman"/>
                <w:color w:val="auto"/>
                <w:kern w:val="24"/>
                <w:sz w:val="24"/>
                <w:szCs w:val="24"/>
                <w:highlight w:val="none"/>
              </w:rPr>
              <w:t>则生活污水产生量约</w:t>
            </w:r>
            <w:r>
              <w:rPr>
                <w:rFonts w:hint="eastAsia" w:ascii="Times New Roman" w:hAnsi="Times New Roman" w:cs="Times New Roman"/>
                <w:color w:val="auto"/>
                <w:kern w:val="24"/>
                <w:sz w:val="24"/>
                <w:szCs w:val="24"/>
                <w:highlight w:val="none"/>
                <w:lang w:val="en-US" w:eastAsia="zh-CN"/>
              </w:rPr>
              <w:t>0.204</w:t>
            </w:r>
            <w:r>
              <w:rPr>
                <w:rFonts w:hint="default" w:ascii="Times New Roman" w:hAnsi="Times New Roman" w:cs="Times New Roman"/>
                <w:color w:val="auto"/>
                <w:kern w:val="24"/>
                <w:sz w:val="24"/>
                <w:szCs w:val="24"/>
                <w:highlight w:val="none"/>
              </w:rPr>
              <w:t>m</w:t>
            </w:r>
            <w:r>
              <w:rPr>
                <w:rFonts w:hint="default" w:ascii="Times New Roman" w:hAnsi="Times New Roman" w:cs="Times New Roman"/>
                <w:color w:val="auto"/>
                <w:kern w:val="24"/>
                <w:sz w:val="24"/>
                <w:szCs w:val="24"/>
                <w:highlight w:val="none"/>
                <w:vertAlign w:val="superscript"/>
              </w:rPr>
              <w:t>3</w:t>
            </w:r>
            <w:r>
              <w:rPr>
                <w:rFonts w:hint="default" w:ascii="Times New Roman" w:hAnsi="Times New Roman" w:cs="Times New Roman"/>
                <w:color w:val="auto"/>
                <w:kern w:val="24"/>
                <w:sz w:val="24"/>
                <w:szCs w:val="24"/>
                <w:highlight w:val="none"/>
              </w:rPr>
              <w:t>/d</w:t>
            </w:r>
            <w:r>
              <w:rPr>
                <w:rFonts w:hint="default" w:ascii="Times New Roman" w:hAnsi="Times New Roman" w:cs="Times New Roman"/>
                <w:color w:val="auto"/>
                <w:kern w:val="24"/>
                <w:sz w:val="24"/>
                <w:szCs w:val="24"/>
                <w:highlight w:val="none"/>
                <w:lang w:eastAsia="zh-CN"/>
              </w:rPr>
              <w:t>。</w:t>
            </w:r>
          </w:p>
          <w:p w14:paraId="3B87B1D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②排泥水</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反冲洗水</w:t>
            </w:r>
          </w:p>
          <w:p w14:paraId="0BEC59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w:t>
            </w:r>
            <w:r>
              <w:rPr>
                <w:rFonts w:hint="eastAsia" w:ascii="Times New Roman" w:hAnsi="Times New Roman" w:cs="Times New Roman"/>
                <w:color w:val="auto"/>
                <w:sz w:val="24"/>
                <w:szCs w:val="24"/>
                <w:highlight w:val="none"/>
                <w:vertAlign w:val="baseline"/>
                <w:lang w:val="en-US" w:eastAsia="zh-CN"/>
              </w:rPr>
              <w:t>生产</w:t>
            </w:r>
            <w:r>
              <w:rPr>
                <w:rFonts w:hint="default" w:ascii="Times New Roman" w:hAnsi="Times New Roman" w:cs="Times New Roman"/>
                <w:color w:val="auto"/>
                <w:sz w:val="24"/>
                <w:szCs w:val="24"/>
                <w:highlight w:val="none"/>
                <w:vertAlign w:val="baseline"/>
                <w:lang w:val="en-US" w:eastAsia="zh-CN"/>
              </w:rPr>
              <w:t>废水包含</w:t>
            </w:r>
            <w:r>
              <w:rPr>
                <w:rFonts w:hint="eastAsia" w:ascii="Times New Roman" w:hAnsi="Times New Roman" w:cs="Times New Roman"/>
                <w:color w:val="auto"/>
                <w:sz w:val="24"/>
                <w:szCs w:val="24"/>
                <w:highlight w:val="none"/>
                <w:vertAlign w:val="baseline"/>
                <w:lang w:val="en-US" w:eastAsia="zh-CN"/>
              </w:rPr>
              <w:t>预沉池、</w:t>
            </w:r>
            <w:r>
              <w:rPr>
                <w:rFonts w:hint="default" w:ascii="Times New Roman" w:hAnsi="Times New Roman" w:cs="Times New Roman"/>
                <w:color w:val="auto"/>
                <w:sz w:val="24"/>
                <w:szCs w:val="24"/>
                <w:highlight w:val="none"/>
                <w:vertAlign w:val="baseline"/>
                <w:lang w:val="en-US" w:eastAsia="zh-CN"/>
              </w:rPr>
              <w:t>絮凝</w:t>
            </w:r>
            <w:r>
              <w:rPr>
                <w:rFonts w:hint="eastAsia" w:ascii="Times New Roman" w:hAnsi="Times New Roman" w:cs="Times New Roman"/>
                <w:color w:val="auto"/>
                <w:sz w:val="24"/>
                <w:szCs w:val="24"/>
                <w:highlight w:val="none"/>
                <w:vertAlign w:val="baseline"/>
                <w:lang w:val="en-US" w:eastAsia="zh-CN"/>
              </w:rPr>
              <w:t>池、斜管</w:t>
            </w:r>
            <w:r>
              <w:rPr>
                <w:rFonts w:hint="default" w:ascii="Times New Roman" w:hAnsi="Times New Roman" w:cs="Times New Roman"/>
                <w:color w:val="auto"/>
                <w:sz w:val="24"/>
                <w:szCs w:val="24"/>
                <w:highlight w:val="none"/>
                <w:vertAlign w:val="baseline"/>
                <w:lang w:val="en-US" w:eastAsia="zh-CN"/>
              </w:rPr>
              <w:t>沉淀</w:t>
            </w:r>
            <w:r>
              <w:rPr>
                <w:rFonts w:hint="eastAsia" w:ascii="Times New Roman" w:hAnsi="Times New Roman" w:cs="Times New Roman"/>
                <w:color w:val="auto"/>
                <w:sz w:val="24"/>
                <w:szCs w:val="24"/>
                <w:highlight w:val="none"/>
                <w:vertAlign w:val="baseline"/>
                <w:lang w:val="en-US" w:eastAsia="zh-CN"/>
              </w:rPr>
              <w:t>池</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和滤池</w:t>
            </w:r>
            <w:r>
              <w:rPr>
                <w:rFonts w:hint="default" w:ascii="Times New Roman" w:hAnsi="Times New Roman" w:cs="Times New Roman"/>
                <w:color w:val="auto"/>
                <w:sz w:val="24"/>
                <w:szCs w:val="24"/>
                <w:highlight w:val="none"/>
                <w:vertAlign w:val="baseline"/>
                <w:lang w:val="en-US" w:eastAsia="zh-CN"/>
              </w:rPr>
              <w:t>反冲洗水等，根据《排放源统计调查产排污核算方法和系数手册》（公告2021年第24号）中“4610自来水生产和供应行业系数手册”中混凝沉淀（或澄清）过滤消毒工艺（≤5万吨/日）废水量产污系数6.16×10</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t/t-产品计，</w:t>
            </w:r>
            <w:r>
              <w:rPr>
                <w:rFonts w:hint="eastAsia" w:ascii="Times New Roman" w:hAnsi="Times New Roman" w:cs="Times New Roman"/>
                <w:color w:val="auto"/>
                <w:sz w:val="24"/>
                <w:szCs w:val="24"/>
                <w:highlight w:val="none"/>
                <w:vertAlign w:val="baseline"/>
                <w:lang w:val="en-US" w:eastAsia="zh-CN"/>
              </w:rPr>
              <w:t>马渡关水厂</w:t>
            </w:r>
            <w:r>
              <w:rPr>
                <w:rFonts w:hint="eastAsia" w:ascii="Times New Roman" w:hAnsi="Times New Roman" w:cs="Times New Roman"/>
                <w:color w:val="auto"/>
                <w:sz w:val="24"/>
                <w:szCs w:val="32"/>
                <w:highlight w:val="none"/>
                <w:vertAlign w:val="baseline"/>
                <w:lang w:val="en-US" w:eastAsia="zh-CN"/>
              </w:rPr>
              <w:t>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cs="Times New Roman"/>
                <w:color w:val="auto"/>
                <w:sz w:val="24"/>
                <w:szCs w:val="32"/>
                <w:highlight w:val="none"/>
                <w:vertAlign w:val="baseline"/>
                <w:lang w:val="en-US" w:eastAsia="zh-CN"/>
              </w:rPr>
              <w:t>为30</w:t>
            </w:r>
            <w:r>
              <w:rPr>
                <w:rFonts w:hint="default" w:ascii="Times New Roman" w:hAnsi="Times New Roman" w:cs="Times New Roman"/>
                <w:color w:val="auto"/>
                <w:sz w:val="24"/>
                <w:szCs w:val="32"/>
                <w:highlight w:val="none"/>
                <w:vertAlign w:val="baseline"/>
                <w:lang w:val="en-US" w:eastAsia="zh-CN"/>
              </w:rPr>
              <w:t>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则排泥水</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反冲洗水产生量为</w:t>
            </w:r>
            <w:r>
              <w:rPr>
                <w:rFonts w:hint="eastAsia" w:ascii="Times New Roman" w:hAnsi="Times New Roman" w:cs="Times New Roman"/>
                <w:color w:val="auto"/>
                <w:sz w:val="24"/>
                <w:szCs w:val="24"/>
                <w:highlight w:val="none"/>
                <w:vertAlign w:val="baseline"/>
                <w:lang w:val="en-US" w:eastAsia="zh-CN"/>
              </w:rPr>
              <w:t>184.8</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u w:val="none"/>
                <w:vertAlign w:val="baseline"/>
                <w:lang w:val="en-US" w:eastAsia="zh-CN"/>
              </w:rPr>
              <w:t>根据工艺设计</w:t>
            </w:r>
            <w:r>
              <w:rPr>
                <w:rFonts w:hint="eastAsia" w:ascii="Times New Roman" w:hAnsi="Times New Roman" w:cs="Times New Roman"/>
                <w:color w:val="auto"/>
                <w:sz w:val="24"/>
                <w:szCs w:val="32"/>
                <w:highlight w:val="none"/>
                <w:u w:val="none"/>
                <w:vertAlign w:val="baseline"/>
                <w:lang w:val="en-US" w:eastAsia="zh-CN"/>
              </w:rPr>
              <w:t>净水设备</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eastAsia="宋体" w:cs="Times New Roman"/>
                <w:sz w:val="24"/>
                <w:szCs w:val="24"/>
                <w:highlight w:val="none"/>
                <w:u w:val="none"/>
              </w:rPr>
              <w:t>每次排泥水量约</w:t>
            </w:r>
            <w:r>
              <w:rPr>
                <w:rFonts w:hint="eastAsia" w:ascii="Times New Roman" w:hAnsi="Times New Roman" w:eastAsia="宋体" w:cs="Times New Roman"/>
                <w:sz w:val="24"/>
                <w:szCs w:val="24"/>
                <w:highlight w:val="none"/>
                <w:u w:val="none"/>
                <w:lang w:val="en-US" w:eastAsia="zh-CN"/>
              </w:rPr>
              <w:t>40</w:t>
            </w:r>
            <w:r>
              <w:rPr>
                <w:rFonts w:hint="default" w:ascii="Times New Roman" w:hAnsi="Times New Roman" w:eastAsia="宋体" w:cs="Times New Roman"/>
                <w:sz w:val="24"/>
                <w:szCs w:val="24"/>
                <w:highlight w:val="none"/>
                <w:u w:val="none"/>
              </w:rPr>
              <w:t>m</w:t>
            </w:r>
            <w:r>
              <w:rPr>
                <w:rFonts w:hint="default" w:ascii="Times New Roman" w:hAnsi="Times New Roman" w:eastAsia="宋体" w:cs="Times New Roman"/>
                <w:sz w:val="24"/>
                <w:szCs w:val="24"/>
                <w:highlight w:val="none"/>
                <w:u w:val="none"/>
                <w:vertAlign w:val="superscript"/>
                <w:lang w:val="en-US" w:eastAsia="zh-CN"/>
              </w:rPr>
              <w:t>3</w:t>
            </w:r>
            <w:r>
              <w:rPr>
                <w:rFonts w:hint="default" w:ascii="Times New Roman" w:hAnsi="Times New Roman" w:eastAsia="宋体" w:cs="Times New Roman"/>
                <w:sz w:val="24"/>
                <w:szCs w:val="24"/>
                <w:highlight w:val="none"/>
                <w:u w:val="none"/>
                <w:vertAlign w:val="baseline"/>
                <w:lang w:val="en-US" w:eastAsia="zh-CN"/>
              </w:rPr>
              <w:t>，</w:t>
            </w:r>
            <w:r>
              <w:rPr>
                <w:rFonts w:hint="eastAsia" w:ascii="Times New Roman" w:hAnsi="Times New Roman" w:eastAsia="宋体" w:cs="Times New Roman"/>
                <w:sz w:val="24"/>
                <w:szCs w:val="24"/>
                <w:highlight w:val="none"/>
                <w:u w:val="none"/>
                <w:vertAlign w:val="baseline"/>
                <w:lang w:val="en-US" w:eastAsia="zh-CN"/>
              </w:rPr>
              <w:t>每天排一次，则</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产生量为</w:t>
            </w:r>
            <w:r>
              <w:rPr>
                <w:rFonts w:hint="eastAsia" w:ascii="Times New Roman" w:hAnsi="Times New Roman" w:eastAsia="宋体" w:cs="Times New Roman"/>
                <w:sz w:val="24"/>
                <w:szCs w:val="24"/>
                <w:highlight w:val="none"/>
                <w:u w:val="none"/>
                <w:lang w:val="en-US" w:eastAsia="zh-CN"/>
              </w:rPr>
              <w:t>40</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cs="Times New Roman"/>
                <w:color w:val="auto"/>
                <w:sz w:val="24"/>
                <w:szCs w:val="24"/>
                <w:highlight w:val="none"/>
                <w:u w:val="none"/>
                <w:vertAlign w:val="baseline"/>
                <w:lang w:val="en-US" w:eastAsia="zh-CN"/>
              </w:rPr>
              <w:t>反冲洗水</w:t>
            </w:r>
            <w:r>
              <w:rPr>
                <w:rFonts w:hint="eastAsia" w:ascii="Times New Roman" w:hAnsi="Times New Roman" w:cs="Times New Roman"/>
                <w:color w:val="auto"/>
                <w:sz w:val="24"/>
                <w:szCs w:val="24"/>
                <w:highlight w:val="none"/>
                <w:u w:val="none"/>
                <w:vertAlign w:val="baseline"/>
                <w:lang w:val="en-US" w:eastAsia="zh-CN"/>
              </w:rPr>
              <w:t>产生量为</w:t>
            </w:r>
            <w:r>
              <w:rPr>
                <w:rFonts w:hint="eastAsia" w:ascii="Times New Roman" w:hAnsi="Times New Roman" w:eastAsia="宋体" w:cs="Times New Roman"/>
                <w:sz w:val="24"/>
                <w:szCs w:val="24"/>
                <w:highlight w:val="none"/>
                <w:u w:val="none"/>
                <w:lang w:val="en-US" w:eastAsia="zh-CN"/>
              </w:rPr>
              <w:t>144.8</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u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本项目生产废水不考虑过程损耗，因此生产废水量约等于生产用水量。</w:t>
            </w:r>
          </w:p>
          <w:p w14:paraId="7C2372F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项目水平衡图见下图</w:t>
            </w:r>
            <w:r>
              <w:rPr>
                <w:rFonts w:hint="eastAsia" w:ascii="Times New Roman" w:hAnsi="Times New Roman" w:cs="Times New Roman"/>
                <w:color w:val="auto"/>
                <w:sz w:val="24"/>
                <w:szCs w:val="24"/>
                <w:highlight w:val="none"/>
                <w:vertAlign w:val="baseline"/>
                <w:lang w:val="en-US" w:eastAsia="zh-CN"/>
              </w:rPr>
              <w:t>。</w:t>
            </w:r>
          </w:p>
          <w:p w14:paraId="6A2C283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highlight w:val="none"/>
                <w:vertAlign w:val="baseline"/>
                <w:lang w:val="en-US" w:eastAsia="zh-CN"/>
              </w:rPr>
            </w:pPr>
            <w:r>
              <w:drawing>
                <wp:inline distT="0" distB="0" distL="114300" distR="114300">
                  <wp:extent cx="5038725" cy="3057525"/>
                  <wp:effectExtent l="0" t="0" r="9525" b="952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2"/>
                          <a:stretch>
                            <a:fillRect/>
                          </a:stretch>
                        </pic:blipFill>
                        <pic:spPr>
                          <a:xfrm>
                            <a:off x="0" y="0"/>
                            <a:ext cx="5038725" cy="3057525"/>
                          </a:xfrm>
                          <a:prstGeom prst="rect">
                            <a:avLst/>
                          </a:prstGeom>
                          <a:noFill/>
                          <a:ln>
                            <a:noFill/>
                          </a:ln>
                        </pic:spPr>
                      </pic:pic>
                    </a:graphicData>
                  </a:graphic>
                </wp:inline>
              </w:drawing>
            </w:r>
          </w:p>
          <w:p w14:paraId="6304F8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eastAsia="黑体" w:cs="Times New Roman"/>
                <w:color w:val="auto"/>
                <w:szCs w:val="21"/>
                <w:highlight w:val="none"/>
                <w:lang w:val="en-US" w:eastAsia="zh-CN"/>
              </w:rPr>
              <w:t>图</w:t>
            </w:r>
            <w:r>
              <w:rPr>
                <w:rFonts w:hint="default" w:ascii="Times New Roman" w:hAnsi="Times New Roman" w:eastAsia="黑体" w:cs="Times New Roman"/>
                <w:color w:val="auto"/>
                <w:szCs w:val="21"/>
                <w:highlight w:val="none"/>
                <w:lang w:val="en-US" w:eastAsia="zh-CN"/>
              </w:rPr>
              <w:t>2-1</w:t>
            </w:r>
            <w:r>
              <w:rPr>
                <w:rFonts w:hint="eastAsia" w:ascii="Times New Roman" w:hAnsi="Times New Roman" w:eastAsia="黑体" w:cs="Times New Roman"/>
                <w:color w:val="auto"/>
                <w:szCs w:val="21"/>
                <w:highlight w:val="none"/>
                <w:lang w:val="en-US" w:eastAsia="zh-CN"/>
              </w:rPr>
              <w:t xml:space="preserve"> 隘口水厂</w:t>
            </w:r>
            <w:r>
              <w:rPr>
                <w:rFonts w:hint="default" w:ascii="Times New Roman" w:hAnsi="Times New Roman" w:eastAsia="黑体" w:cs="Times New Roman"/>
                <w:color w:val="auto"/>
                <w:szCs w:val="21"/>
                <w:highlight w:val="none"/>
                <w:lang w:val="en-US" w:eastAsia="zh-CN"/>
              </w:rPr>
              <w:t>水平衡图（m</w:t>
            </w:r>
            <w:r>
              <w:rPr>
                <w:rFonts w:hint="default" w:ascii="Times New Roman" w:hAnsi="Times New Roman" w:eastAsia="黑体" w:cs="Times New Roman"/>
                <w:color w:val="auto"/>
                <w:szCs w:val="21"/>
                <w:highlight w:val="none"/>
                <w:vertAlign w:val="superscript"/>
                <w:lang w:val="en-US" w:eastAsia="zh-CN"/>
              </w:rPr>
              <w:t>3</w:t>
            </w:r>
            <w:r>
              <w:rPr>
                <w:rFonts w:hint="default" w:ascii="Times New Roman" w:hAnsi="Times New Roman" w:eastAsia="黑体" w:cs="Times New Roman"/>
                <w:color w:val="auto"/>
                <w:szCs w:val="21"/>
                <w:highlight w:val="none"/>
                <w:lang w:val="en-US" w:eastAsia="zh-CN"/>
              </w:rPr>
              <w:t>/d）</w:t>
            </w:r>
          </w:p>
          <w:p w14:paraId="1BE0C91F">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drawing>
                <wp:inline distT="0" distB="0" distL="114300" distR="114300">
                  <wp:extent cx="5010150" cy="3095625"/>
                  <wp:effectExtent l="0" t="0" r="0" b="952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3"/>
                          <a:stretch>
                            <a:fillRect/>
                          </a:stretch>
                        </pic:blipFill>
                        <pic:spPr>
                          <a:xfrm>
                            <a:off x="0" y="0"/>
                            <a:ext cx="5010150" cy="3095625"/>
                          </a:xfrm>
                          <a:prstGeom prst="rect">
                            <a:avLst/>
                          </a:prstGeom>
                          <a:noFill/>
                          <a:ln>
                            <a:noFill/>
                          </a:ln>
                        </pic:spPr>
                      </pic:pic>
                    </a:graphicData>
                  </a:graphic>
                </wp:inline>
              </w:drawing>
            </w:r>
          </w:p>
          <w:p w14:paraId="09D7A8EE">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黑体" w:cs="Times New Roman"/>
                <w:color w:val="auto"/>
                <w:szCs w:val="21"/>
                <w:highlight w:val="none"/>
                <w:lang w:val="en-US" w:eastAsia="zh-CN"/>
              </w:rPr>
              <w:t>图2-</w:t>
            </w:r>
            <w:r>
              <w:rPr>
                <w:rFonts w:hint="eastAsia" w:ascii="Times New Roman" w:hAnsi="Times New Roman" w:eastAsia="黑体" w:cs="Times New Roman"/>
                <w:color w:val="auto"/>
                <w:szCs w:val="21"/>
                <w:highlight w:val="none"/>
                <w:lang w:val="en-US" w:eastAsia="zh-CN"/>
              </w:rPr>
              <w:t>2 马渡关水厂</w:t>
            </w:r>
            <w:r>
              <w:rPr>
                <w:rFonts w:hint="default" w:ascii="Times New Roman" w:hAnsi="Times New Roman" w:eastAsia="黑体" w:cs="Times New Roman"/>
                <w:color w:val="auto"/>
                <w:szCs w:val="21"/>
                <w:highlight w:val="none"/>
                <w:lang w:val="en-US" w:eastAsia="zh-CN"/>
              </w:rPr>
              <w:t>水平衡图（m</w:t>
            </w:r>
            <w:r>
              <w:rPr>
                <w:rFonts w:hint="default" w:ascii="Times New Roman" w:hAnsi="Times New Roman" w:eastAsia="黑体" w:cs="Times New Roman"/>
                <w:color w:val="auto"/>
                <w:szCs w:val="21"/>
                <w:highlight w:val="none"/>
                <w:vertAlign w:val="superscript"/>
                <w:lang w:val="en-US" w:eastAsia="zh-CN"/>
              </w:rPr>
              <w:t>3</w:t>
            </w:r>
            <w:r>
              <w:rPr>
                <w:rFonts w:hint="default" w:ascii="Times New Roman" w:hAnsi="Times New Roman" w:eastAsia="黑体" w:cs="Times New Roman"/>
                <w:color w:val="auto"/>
                <w:szCs w:val="21"/>
                <w:highlight w:val="none"/>
                <w:lang w:val="en-US" w:eastAsia="zh-CN"/>
              </w:rPr>
              <w:t>/d）</w:t>
            </w:r>
          </w:p>
          <w:p w14:paraId="6A96EFA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8</w:t>
            </w:r>
            <w:r>
              <w:rPr>
                <w:rFonts w:hint="default" w:ascii="Times New Roman" w:hAnsi="Times New Roman" w:cs="Times New Roman"/>
                <w:b/>
                <w:bCs/>
                <w:color w:val="auto"/>
                <w:sz w:val="24"/>
                <w:szCs w:val="32"/>
                <w:highlight w:val="none"/>
                <w:vertAlign w:val="baseline"/>
                <w:lang w:val="en-US" w:eastAsia="zh-CN"/>
              </w:rPr>
              <w:t>、厂区平面布置</w:t>
            </w:r>
          </w:p>
          <w:p w14:paraId="3BA59A3A">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（1）隘口水厂</w:t>
            </w:r>
          </w:p>
          <w:p w14:paraId="1B60233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受厂区用地及不停水施工条件限制，厂区构（建）筑物根据功能及布局紧凑布置，整个厂区分为净水综合体和加氯间，其中净水综合体内包含絮凝沉淀气浮砂滤一体化设备、清水池、排水排泥池、送水泵房、反冲洗泵房、加药间，位于厂区南侧；加氯间位于厂区西南侧，厂区大门位于厂区北侧，顺接现状道路。</w:t>
            </w:r>
          </w:p>
          <w:p w14:paraId="02CBAB3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整体上，净水处理区、辅助生产区布局较紧凑，流程顺畅，且布局上充分结合工艺需求。</w:t>
            </w:r>
            <w:r>
              <w:rPr>
                <w:rFonts w:hint="eastAsia" w:ascii="宋体" w:hAnsi="宋体" w:eastAsia="宋体" w:cs="宋体"/>
                <w:color w:val="auto"/>
                <w:kern w:val="0"/>
                <w:sz w:val="24"/>
                <w:szCs w:val="24"/>
                <w:lang w:val="en-US" w:eastAsia="zh-CN" w:bidi="ar"/>
              </w:rPr>
              <w:t>从环保有利角度出发，本项目总平面布置基本合理。</w:t>
            </w:r>
          </w:p>
          <w:p w14:paraId="1D725F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32"/>
                <w:highlight w:val="none"/>
                <w:u w:val="single"/>
                <w:vertAlign w:val="baseline"/>
                <w:lang w:val="en-US" w:eastAsia="zh-CN"/>
              </w:rPr>
            </w:pPr>
            <w:r>
              <w:rPr>
                <w:rFonts w:hint="eastAsia" w:ascii="Times New Roman" w:hAnsi="Times New Roman" w:cs="Times New Roman"/>
                <w:b w:val="0"/>
                <w:bCs w:val="0"/>
                <w:color w:val="auto"/>
                <w:sz w:val="24"/>
                <w:szCs w:val="24"/>
                <w:highlight w:val="none"/>
                <w:u w:val="single"/>
                <w:vertAlign w:val="baseline"/>
                <w:lang w:val="en-US" w:eastAsia="zh-CN"/>
              </w:rPr>
              <w:t>注：</w:t>
            </w:r>
            <w:r>
              <w:rPr>
                <w:rFonts w:hint="default" w:ascii="Times New Roman" w:hAnsi="Times New Roman" w:eastAsia="宋体" w:cs="Times New Roman"/>
                <w:sz w:val="24"/>
                <w:szCs w:val="24"/>
                <w:u w:val="single"/>
              </w:rPr>
              <w:t>本次</w:t>
            </w:r>
            <w:r>
              <w:rPr>
                <w:rFonts w:hint="eastAsia" w:ascii="Times New Roman" w:hAnsi="Times New Roman" w:eastAsia="宋体" w:cs="Times New Roman"/>
                <w:sz w:val="24"/>
                <w:szCs w:val="24"/>
                <w:u w:val="single"/>
                <w:lang w:val="en-US" w:eastAsia="zh-CN"/>
              </w:rPr>
              <w:t>隘口</w:t>
            </w:r>
            <w:r>
              <w:rPr>
                <w:rFonts w:hint="default" w:ascii="Times New Roman" w:hAnsi="Times New Roman" w:eastAsia="宋体" w:cs="Times New Roman"/>
                <w:sz w:val="24"/>
                <w:szCs w:val="24"/>
                <w:u w:val="single"/>
              </w:rPr>
              <w:t>水厂为改造扩容，为保证不间断供水，扩建期间，应保障现状水池能正常运行。因此本次建构筑物改造时序如下</w:t>
            </w:r>
            <w:r>
              <w:rPr>
                <w:rFonts w:hint="eastAsia" w:ascii="Times New Roman" w:hAnsi="Times New Roman" w:eastAsia="宋体" w:cs="Times New Roman"/>
                <w:sz w:val="24"/>
                <w:szCs w:val="24"/>
                <w:u w:val="single"/>
                <w:lang w:eastAsia="zh-CN"/>
              </w:rPr>
              <w:t>：建设初期需拆除现状慢滤池1座及顶棚和清水池，借用厂外的一体化不锈钢水箱作为临时清水池，保留现状加氯加药间和送水泵房；当净水综合体建设完成通水后，再拆除厂区剩余慢滤池1座、加氯加药间、送水泵房和临时不锈钢水箱，最终新建加氯间。</w:t>
            </w:r>
          </w:p>
          <w:p w14:paraId="2395142A">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（2）马渡关水厂</w:t>
            </w:r>
          </w:p>
          <w:p w14:paraId="3BD22D9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受厂区用地条件限制，厂区构（建）筑物根据功能及布局紧凑布置，整个厂区分为净水综合体和管理用房</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改造</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其中净水综合体内包含预沉絮凝沉淀砂滤一体化设备、清水池、排水排泥池、送水泵房、反冲洗泵房、加药间及配电间，净水综合体位于厂区西南侧；管理用房位于厂区东北侧，厂区大门位于厂区东南侧，顺接现状道路。</w:t>
            </w:r>
          </w:p>
          <w:p w14:paraId="45E2607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由于厂区内存在多个现状建筑物，建设初期需拆除现状学校食堂、厕所和篮球场设施等，保留北侧现状建筑1栋，将东北侧教室改造为管理用房；净水综合体东侧硬化地面作为回车场。</w:t>
            </w:r>
          </w:p>
          <w:p w14:paraId="5439BDDF">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color w:val="auto"/>
                <w:sz w:val="24"/>
                <w:szCs w:val="32"/>
                <w:highlight w:val="none"/>
                <w:vertAlign w:val="baseline"/>
                <w:lang w:val="en-US" w:eastAsia="zh-CN"/>
              </w:rPr>
              <w:t>整体上，净水处理区、辅助生产区布局较紧凑，流程顺畅，且布局上充分结合工艺需求。</w:t>
            </w:r>
            <w:r>
              <w:rPr>
                <w:rFonts w:hint="eastAsia" w:ascii="宋体" w:hAnsi="宋体" w:eastAsia="宋体" w:cs="宋体"/>
                <w:color w:val="auto"/>
                <w:kern w:val="0"/>
                <w:sz w:val="24"/>
                <w:szCs w:val="24"/>
                <w:lang w:val="en-US" w:eastAsia="zh-CN" w:bidi="ar"/>
              </w:rPr>
              <w:t>从环保有利角度出发，本项目总平面布置基本合理。</w:t>
            </w:r>
          </w:p>
        </w:tc>
      </w:tr>
      <w:tr w14:paraId="32B3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0C1FD53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color w:val="auto"/>
                <w:szCs w:val="21"/>
                <w:highlight w:val="none"/>
              </w:rPr>
              <w:t>工艺流程和产排污环节</w:t>
            </w:r>
          </w:p>
        </w:tc>
        <w:tc>
          <w:tcPr>
            <w:tcW w:w="4707" w:type="pct"/>
            <w:vAlign w:val="center"/>
          </w:tcPr>
          <w:p w14:paraId="502A9195">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工艺流程及污染工艺流程简述（图示）：</w:t>
            </w:r>
          </w:p>
          <w:p w14:paraId="10AF868A">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1、施工期工艺流程和产污环节</w:t>
            </w:r>
          </w:p>
          <w:p w14:paraId="5A1AD6D7">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本项目建设工程主要为水厂建设工程</w:t>
            </w:r>
            <w:r>
              <w:rPr>
                <w:rFonts w:hint="eastAsia" w:ascii="Times New Roman" w:hAnsi="Times New Roman" w:cs="Times New Roman"/>
                <w:b w:val="0"/>
                <w:bCs w:val="0"/>
                <w:color w:val="auto"/>
                <w:sz w:val="24"/>
                <w:szCs w:val="32"/>
                <w:highlight w:val="none"/>
                <w:vertAlign w:val="baseline"/>
                <w:lang w:val="en-US" w:eastAsia="zh-CN"/>
              </w:rPr>
              <w:t>、</w:t>
            </w:r>
            <w:r>
              <w:rPr>
                <w:rFonts w:hint="default" w:ascii="Times New Roman" w:hAnsi="Times New Roman" w:cs="Times New Roman"/>
                <w:b w:val="0"/>
                <w:bCs w:val="0"/>
                <w:color w:val="auto"/>
                <w:sz w:val="24"/>
                <w:szCs w:val="32"/>
                <w:highlight w:val="none"/>
                <w:vertAlign w:val="baseline"/>
                <w:lang w:val="en-US" w:eastAsia="zh-CN"/>
              </w:rPr>
              <w:t>取水泵房建设工程</w:t>
            </w:r>
            <w:r>
              <w:rPr>
                <w:rFonts w:hint="eastAsia" w:ascii="Times New Roman" w:hAnsi="Times New Roman" w:cs="Times New Roman"/>
                <w:b w:val="0"/>
                <w:bCs w:val="0"/>
                <w:color w:val="auto"/>
                <w:sz w:val="24"/>
                <w:szCs w:val="32"/>
                <w:highlight w:val="none"/>
                <w:vertAlign w:val="baseline"/>
                <w:lang w:val="en-US" w:eastAsia="zh-CN"/>
              </w:rPr>
              <w:t>、取水口</w:t>
            </w:r>
            <w:r>
              <w:rPr>
                <w:rFonts w:hint="default" w:ascii="Times New Roman" w:hAnsi="Times New Roman" w:cs="Times New Roman"/>
                <w:b w:val="0"/>
                <w:bCs w:val="0"/>
                <w:color w:val="auto"/>
                <w:sz w:val="24"/>
                <w:szCs w:val="32"/>
                <w:highlight w:val="none"/>
                <w:vertAlign w:val="baseline"/>
                <w:lang w:val="en-US" w:eastAsia="zh-CN"/>
              </w:rPr>
              <w:t>建设工程</w:t>
            </w:r>
            <w:r>
              <w:rPr>
                <w:rFonts w:hint="eastAsia" w:ascii="Times New Roman" w:hAnsi="Times New Roman" w:cs="Times New Roman"/>
                <w:b w:val="0"/>
                <w:bCs w:val="0"/>
                <w:color w:val="auto"/>
                <w:sz w:val="24"/>
                <w:szCs w:val="32"/>
                <w:highlight w:val="none"/>
                <w:vertAlign w:val="baseline"/>
                <w:lang w:val="en-US" w:eastAsia="zh-CN"/>
              </w:rPr>
              <w:t>、取</w:t>
            </w:r>
            <w:r>
              <w:rPr>
                <w:rFonts w:hint="default" w:ascii="Times New Roman" w:hAnsi="Times New Roman" w:cs="Times New Roman"/>
                <w:b w:val="0"/>
                <w:bCs w:val="0"/>
                <w:color w:val="auto"/>
                <w:sz w:val="24"/>
                <w:szCs w:val="32"/>
                <w:highlight w:val="none"/>
                <w:vertAlign w:val="baseline"/>
                <w:lang w:val="en-US" w:eastAsia="zh-CN"/>
              </w:rPr>
              <w:t>水管道</w:t>
            </w:r>
            <w:r>
              <w:rPr>
                <w:rFonts w:hint="eastAsia" w:ascii="Times New Roman" w:hAnsi="Times New Roman" w:cs="Times New Roman"/>
                <w:b w:val="0"/>
                <w:bCs w:val="0"/>
                <w:color w:val="auto"/>
                <w:sz w:val="24"/>
                <w:szCs w:val="32"/>
                <w:highlight w:val="none"/>
                <w:vertAlign w:val="baseline"/>
                <w:lang w:val="en-US" w:eastAsia="zh-CN"/>
              </w:rPr>
              <w:t>建设工程</w:t>
            </w:r>
            <w:r>
              <w:rPr>
                <w:rFonts w:hint="default" w:ascii="Times New Roman" w:hAnsi="Times New Roman" w:cs="Times New Roman"/>
                <w:b w:val="0"/>
                <w:bCs w:val="0"/>
                <w:color w:val="auto"/>
                <w:sz w:val="24"/>
                <w:szCs w:val="32"/>
                <w:highlight w:val="none"/>
                <w:vertAlign w:val="baseline"/>
                <w:lang w:val="en-US" w:eastAsia="zh-CN"/>
              </w:rPr>
              <w:t>。水厂</w:t>
            </w:r>
            <w:r>
              <w:rPr>
                <w:rFonts w:hint="eastAsia" w:ascii="Times New Roman" w:hAnsi="Times New Roman" w:cs="Times New Roman"/>
                <w:b w:val="0"/>
                <w:bCs w:val="0"/>
                <w:color w:val="auto"/>
                <w:sz w:val="24"/>
                <w:szCs w:val="32"/>
                <w:highlight w:val="none"/>
                <w:vertAlign w:val="baseline"/>
                <w:lang w:val="en-US" w:eastAsia="zh-CN"/>
              </w:rPr>
              <w:t>、</w:t>
            </w:r>
            <w:r>
              <w:rPr>
                <w:rFonts w:hint="default" w:ascii="Times New Roman" w:hAnsi="Times New Roman" w:cs="Times New Roman"/>
                <w:b w:val="0"/>
                <w:bCs w:val="0"/>
                <w:color w:val="auto"/>
                <w:sz w:val="24"/>
                <w:szCs w:val="32"/>
                <w:highlight w:val="none"/>
                <w:vertAlign w:val="baseline"/>
                <w:lang w:val="en-US" w:eastAsia="zh-CN"/>
              </w:rPr>
              <w:t>取水泵房建设主要包含基础施工、主体工程建设、装饰工程、设备安装等；</w:t>
            </w:r>
            <w:r>
              <w:rPr>
                <w:rFonts w:hint="eastAsia" w:ascii="Times New Roman" w:hAnsi="Times New Roman" w:cs="Times New Roman"/>
                <w:b w:val="0"/>
                <w:bCs w:val="0"/>
                <w:color w:val="auto"/>
                <w:sz w:val="24"/>
                <w:szCs w:val="32"/>
                <w:highlight w:val="none"/>
                <w:vertAlign w:val="baseline"/>
                <w:lang w:val="en-US" w:eastAsia="zh-CN"/>
              </w:rPr>
              <w:t>取水口建设</w:t>
            </w:r>
            <w:r>
              <w:rPr>
                <w:rFonts w:hint="default" w:ascii="Times New Roman" w:hAnsi="Times New Roman" w:cs="Times New Roman"/>
                <w:b w:val="0"/>
                <w:bCs w:val="0"/>
                <w:color w:val="auto"/>
                <w:sz w:val="24"/>
                <w:szCs w:val="32"/>
                <w:highlight w:val="none"/>
                <w:vertAlign w:val="baseline"/>
                <w:lang w:val="en-US" w:eastAsia="zh-CN"/>
              </w:rPr>
              <w:t>为涉水工程，主要包括施工导流</w:t>
            </w:r>
            <w:r>
              <w:rPr>
                <w:rFonts w:hint="eastAsia" w:ascii="Times New Roman" w:hAnsi="Times New Roman" w:cs="Times New Roman"/>
                <w:b w:val="0"/>
                <w:bCs w:val="0"/>
                <w:color w:val="auto"/>
                <w:sz w:val="24"/>
                <w:szCs w:val="32"/>
                <w:highlight w:val="none"/>
                <w:vertAlign w:val="baseline"/>
                <w:lang w:val="en-US" w:eastAsia="zh-CN"/>
              </w:rPr>
              <w:t>；取</w:t>
            </w:r>
            <w:r>
              <w:rPr>
                <w:rFonts w:hint="default" w:ascii="Times New Roman" w:hAnsi="Times New Roman" w:cs="Times New Roman"/>
                <w:b w:val="0"/>
                <w:bCs w:val="0"/>
                <w:color w:val="auto"/>
                <w:sz w:val="24"/>
                <w:szCs w:val="32"/>
                <w:highlight w:val="none"/>
                <w:vertAlign w:val="baseline"/>
                <w:lang w:val="en-US" w:eastAsia="zh-CN"/>
              </w:rPr>
              <w:t>水管道建设主要包括作业线清理、管沟开挖、管道敷设、回填土方等</w:t>
            </w:r>
            <w:r>
              <w:rPr>
                <w:rFonts w:hint="eastAsia" w:ascii="Times New Roman" w:hAnsi="Times New Roman" w:cs="Times New Roman"/>
                <w:b w:val="0"/>
                <w:bCs w:val="0"/>
                <w:color w:val="auto"/>
                <w:sz w:val="24"/>
                <w:szCs w:val="32"/>
                <w:highlight w:val="none"/>
                <w:vertAlign w:val="baseline"/>
                <w:lang w:val="en-US" w:eastAsia="zh-CN"/>
              </w:rPr>
              <w:t>。</w:t>
            </w:r>
            <w:r>
              <w:rPr>
                <w:rFonts w:hint="default" w:ascii="Times New Roman" w:hAnsi="Times New Roman" w:cs="Times New Roman"/>
                <w:b w:val="0"/>
                <w:bCs w:val="0"/>
                <w:color w:val="auto"/>
                <w:sz w:val="24"/>
                <w:szCs w:val="32"/>
                <w:highlight w:val="none"/>
                <w:vertAlign w:val="baseline"/>
                <w:lang w:val="en-US" w:eastAsia="zh-CN"/>
              </w:rPr>
              <w:t>其主要的环境影响为施工扬尘、噪声、施工废水、建筑垃圾等，其排放量随工期和施工强度不同而有所变化。施工期生产工艺流程及产污流程见下图。</w:t>
            </w:r>
          </w:p>
          <w:p w14:paraId="20C48AAD">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（1）</w:t>
            </w:r>
            <w:r>
              <w:rPr>
                <w:rFonts w:hint="eastAsia" w:ascii="Times New Roman" w:hAnsi="Times New Roman" w:cs="Times New Roman"/>
                <w:b/>
                <w:bCs/>
                <w:color w:val="auto"/>
                <w:sz w:val="24"/>
                <w:szCs w:val="32"/>
                <w:highlight w:val="none"/>
                <w:vertAlign w:val="baseline"/>
                <w:lang w:val="en-US" w:eastAsia="zh-CN"/>
              </w:rPr>
              <w:t>水厂、</w:t>
            </w:r>
            <w:r>
              <w:rPr>
                <w:rFonts w:hint="default" w:ascii="Times New Roman" w:hAnsi="Times New Roman" w:cs="Times New Roman"/>
                <w:b/>
                <w:bCs/>
                <w:color w:val="auto"/>
                <w:sz w:val="24"/>
                <w:szCs w:val="32"/>
                <w:highlight w:val="none"/>
                <w:vertAlign w:val="baseline"/>
                <w:lang w:val="en-US" w:eastAsia="zh-CN"/>
              </w:rPr>
              <w:t>取水泵房</w:t>
            </w:r>
          </w:p>
          <w:p w14:paraId="6908BDD8">
            <w:pPr>
              <w:keepNext w:val="0"/>
              <w:keepLines w:val="0"/>
              <w:pageBreakBefore w:val="0"/>
              <w:kinsoku/>
              <w:wordWrap/>
              <w:overflowPunct/>
              <w:topLinePunct w:val="0"/>
              <w:autoSpaceDE/>
              <w:autoSpaceDN/>
              <w:bidi w:val="0"/>
              <w:snapToGrid/>
              <w:spacing w:line="360" w:lineRule="auto"/>
              <w:ind w:left="0" w:leftChars="0"/>
              <w:jc w:val="center"/>
              <w:rPr>
                <w:rFonts w:hint="default" w:ascii="Times New Roman" w:hAnsi="Times New Roman" w:cs="Times New Roman"/>
                <w:color w:val="auto"/>
                <w:szCs w:val="21"/>
                <w:highlight w:val="none"/>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3071495</wp:posOffset>
                      </wp:positionH>
                      <wp:positionV relativeFrom="paragraph">
                        <wp:posOffset>52070</wp:posOffset>
                      </wp:positionV>
                      <wp:extent cx="667385" cy="284480"/>
                      <wp:effectExtent l="4445" t="4445" r="13970" b="15875"/>
                      <wp:wrapNone/>
                      <wp:docPr id="7" name="文本框 7"/>
                      <wp:cNvGraphicFramePr/>
                      <a:graphic xmlns:a="http://schemas.openxmlformats.org/drawingml/2006/main">
                        <a:graphicData uri="http://schemas.microsoft.com/office/word/2010/wordprocessingShape">
                          <wps:wsp>
                            <wps:cNvSpPr txBox="1"/>
                            <wps:spPr>
                              <a:xfrm>
                                <a:off x="0" y="0"/>
                                <a:ext cx="667385"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98698C">
                                  <w:pPr>
                                    <w:keepNext w:val="0"/>
                                    <w:keepLines w:val="0"/>
                                    <w:pageBreakBefore w:val="0"/>
                                    <w:widowControl w:val="0"/>
                                    <w:kinsoku/>
                                    <w:wordWrap/>
                                    <w:overflowPunct/>
                                    <w:topLinePunct w:val="0"/>
                                    <w:bidi w:val="0"/>
                                    <w:adjustRightInd/>
                                    <w:snapToGrid/>
                                    <w:jc w:val="center"/>
                                    <w:textAlignment w:val="auto"/>
                                    <w:rPr>
                                      <w:rFonts w:hint="default"/>
                                      <w:sz w:val="18"/>
                                      <w:szCs w:val="18"/>
                                      <w:lang w:val="en-US" w:eastAsia="zh-CN"/>
                                    </w:rPr>
                                  </w:pPr>
                                  <w:r>
                                    <w:rPr>
                                      <w:rFonts w:hint="default" w:ascii="Times New Roman" w:hAnsi="Times New Roman" w:cs="Times New Roman"/>
                                      <w:color w:val="auto"/>
                                      <w:sz w:val="18"/>
                                      <w:szCs w:val="18"/>
                                      <w:highlight w:val="none"/>
                                      <w:lang w:eastAsia="zh-CN"/>
                                    </w:rPr>
                                    <w:t>依托民房</w:t>
                                  </w:r>
                                </w:p>
                              </w:txbxContent>
                            </wps:txbx>
                            <wps:bodyPr upright="1"/>
                          </wps:wsp>
                        </a:graphicData>
                      </a:graphic>
                    </wp:anchor>
                  </w:drawing>
                </mc:Choice>
                <mc:Fallback>
                  <w:pict>
                    <v:shape id="_x0000_s1026" o:spid="_x0000_s1026" o:spt="202" type="#_x0000_t202" style="position:absolute;left:0pt;margin-left:241.85pt;margin-top:4.1pt;height:22.4pt;width:52.55pt;z-index:251663360;mso-width-relative:page;mso-height-relative:page;" fillcolor="#FFFFFF" filled="t" stroked="t" coordsize="21600,21600" o:gfxdata="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2+gmP2AAAAAgBAAAPAAAAAAAAAAEAIAAA&#10;ACIAAABkcnMvZG93bnJldi54bWxQSwECFAAUAAAACACHTuJAlggxIwwCAAA1BAAADgAAAAAAAAAB&#10;ACAAAAAnAQAAZHJzL2Uyb0RvYy54bWxQSwUGAAAAAAYABgBZAQAApQUAAAAA&#10;">
                      <v:fill on="t" focussize="0,0"/>
                      <v:stroke color="#000000" joinstyle="miter"/>
                      <v:imagedata o:title=""/>
                      <o:lock v:ext="edit" aspectratio="f"/>
                      <v:textbox>
                        <w:txbxContent>
                          <w:p w14:paraId="6798698C">
                            <w:pPr>
                              <w:keepNext w:val="0"/>
                              <w:keepLines w:val="0"/>
                              <w:pageBreakBefore w:val="0"/>
                              <w:widowControl w:val="0"/>
                              <w:kinsoku/>
                              <w:wordWrap/>
                              <w:overflowPunct/>
                              <w:topLinePunct w:val="0"/>
                              <w:bidi w:val="0"/>
                              <w:adjustRightInd/>
                              <w:snapToGrid/>
                              <w:jc w:val="center"/>
                              <w:textAlignment w:val="auto"/>
                              <w:rPr>
                                <w:rFonts w:hint="default"/>
                                <w:sz w:val="18"/>
                                <w:szCs w:val="18"/>
                                <w:lang w:val="en-US" w:eastAsia="zh-CN"/>
                              </w:rPr>
                            </w:pPr>
                            <w:r>
                              <w:rPr>
                                <w:rFonts w:hint="default" w:ascii="Times New Roman" w:hAnsi="Times New Roman" w:cs="Times New Roman"/>
                                <w:color w:val="auto"/>
                                <w:sz w:val="18"/>
                                <w:szCs w:val="18"/>
                                <w:highlight w:val="none"/>
                                <w:lang w:eastAsia="zh-CN"/>
                              </w:rPr>
                              <w:t>依托民房</w:t>
                            </w:r>
                          </w:p>
                        </w:txbxContent>
                      </v:textbox>
                    </v:shape>
                  </w:pict>
                </mc:Fallback>
              </mc:AlternateContent>
            </w:r>
            <w:r>
              <w:rPr>
                <w:rFonts w:hint="default" w:ascii="Times New Roman" w:hAnsi="Times New Roman" w:cs="Times New Roman"/>
                <w:color w:val="auto"/>
              </w:rPr>
              <w:object>
                <v:shape id="_x0000_i1025" o:spt="75" type="#_x0000_t75" style="height:228.05pt;width:392.05pt;" o:ole="t" filled="f"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p>
          <w:p w14:paraId="7BBF896A">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图2-</w:t>
            </w:r>
            <w:r>
              <w:rPr>
                <w:rFonts w:hint="eastAsia" w:ascii="Times New Roman" w:hAnsi="Times New Roman" w:eastAsia="黑体" w:cs="Times New Roman"/>
                <w:color w:val="auto"/>
                <w:szCs w:val="21"/>
                <w:highlight w:val="none"/>
                <w:lang w:val="en-US" w:eastAsia="zh-CN"/>
              </w:rPr>
              <w:t>3 供水厂</w:t>
            </w:r>
            <w:r>
              <w:rPr>
                <w:rFonts w:hint="default" w:ascii="Times New Roman" w:hAnsi="Times New Roman" w:eastAsia="黑体" w:cs="Times New Roman"/>
                <w:color w:val="auto"/>
                <w:szCs w:val="21"/>
                <w:highlight w:val="none"/>
                <w:lang w:val="en-US" w:eastAsia="zh-CN"/>
              </w:rPr>
              <w:t>施工期工艺流程及产污环节图</w:t>
            </w:r>
          </w:p>
          <w:p w14:paraId="26440CBE">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主要工序简述：</w:t>
            </w:r>
          </w:p>
          <w:p w14:paraId="042ACEB2">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①基础工程</w:t>
            </w:r>
          </w:p>
          <w:p w14:paraId="3350DDBF">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在基础开挖、地基处理（岩土工程）与基础施工时，由于挖土机、运土卡车等施工机械的运行，将产生一定的噪声；同时产生扬尘、土石方和工人生活污水；基础开挖引起原有土地利用类型的改变，会造成生态变化并引起一定程度的水土流失。</w:t>
            </w:r>
          </w:p>
          <w:p w14:paraId="45CB6040">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②主体工程</w:t>
            </w:r>
          </w:p>
          <w:p w14:paraId="04CE2854">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主体施工时，挖掘机、打夯机、装载汽车等运行时会产生噪声，同时产生扬尘。此外，还有一些原材料废弃料以及生产和生活污水产生。</w:t>
            </w:r>
          </w:p>
          <w:p w14:paraId="70F01402">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③装饰工程</w:t>
            </w:r>
          </w:p>
          <w:p w14:paraId="0D9CB69B">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在对构筑物的室内外进行装修时（如表面粉刷、喷涂、裱糊等），钻机、电锤等产生噪声，涂料产生废气、废弃物料及污水。</w:t>
            </w:r>
          </w:p>
          <w:p w14:paraId="045C234B">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④设备安装</w:t>
            </w:r>
          </w:p>
          <w:p w14:paraId="294ACE5F">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主要包括车间生产设备以及配套环保设施设备安装，其主要废物为废包装材料、设备安装及调试噪声。</w:t>
            </w:r>
          </w:p>
          <w:p w14:paraId="76FE027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⑤工程验收</w:t>
            </w:r>
          </w:p>
          <w:p w14:paraId="6D9655F3">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主体工程、设备安装完成后，进入工程验收阶段，由专业的</w:t>
            </w:r>
            <w:r>
              <w:rPr>
                <w:rFonts w:hint="eastAsia" w:ascii="Times New Roman" w:hAnsi="Times New Roman" w:cs="Times New Roman"/>
                <w:b w:val="0"/>
                <w:bCs w:val="0"/>
                <w:color w:val="auto"/>
                <w:sz w:val="24"/>
                <w:szCs w:val="32"/>
                <w:highlight w:val="none"/>
                <w:vertAlign w:val="baseline"/>
                <w:lang w:val="en-US" w:eastAsia="zh-CN"/>
              </w:rPr>
              <w:t>机</w:t>
            </w:r>
            <w:r>
              <w:rPr>
                <w:rFonts w:hint="default" w:ascii="Times New Roman" w:hAnsi="Times New Roman" w:cs="Times New Roman"/>
                <w:b w:val="0"/>
                <w:bCs w:val="0"/>
                <w:color w:val="auto"/>
                <w:sz w:val="24"/>
                <w:szCs w:val="32"/>
                <w:highlight w:val="none"/>
                <w:vertAlign w:val="baseline"/>
                <w:lang w:val="en-US" w:eastAsia="zh-CN"/>
              </w:rPr>
              <w:t>构对供水厂的各方面建设内容进行验收。验收合格后交付建设单位。</w:t>
            </w:r>
          </w:p>
          <w:p w14:paraId="632EDF90">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bCs/>
                <w:i w:val="0"/>
                <w:iCs w:val="0"/>
                <w:color w:val="auto"/>
                <w:sz w:val="24"/>
                <w:szCs w:val="32"/>
                <w:highlight w:val="none"/>
                <w:vertAlign w:val="baseline"/>
                <w:lang w:val="en-US" w:eastAsia="zh-CN"/>
              </w:rPr>
              <w:t>（2）取水口</w:t>
            </w:r>
          </w:p>
          <w:p w14:paraId="699B398B">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本项目涉水工程主要是取水口工程施工，导流方案如下：</w:t>
            </w:r>
          </w:p>
          <w:p w14:paraId="16A9BFE0">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①导流方式</w:t>
            </w:r>
          </w:p>
          <w:p w14:paraId="7601E2D2">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根据地形条件，</w:t>
            </w:r>
            <w:r>
              <w:rPr>
                <w:rFonts w:hint="eastAsia" w:ascii="Times New Roman" w:hAnsi="Times New Roman" w:cs="Times New Roman"/>
                <w:b w:val="0"/>
                <w:bCs w:val="0"/>
                <w:color w:val="auto"/>
                <w:sz w:val="24"/>
                <w:szCs w:val="32"/>
                <w:highlight w:val="none"/>
                <w:vertAlign w:val="baseline"/>
                <w:lang w:val="en-US" w:eastAsia="zh-CN"/>
              </w:rPr>
              <w:t>隘口水厂取水口工程采用半幅围堰导流，马渡关水厂取水口工程</w:t>
            </w:r>
            <w:r>
              <w:rPr>
                <w:rFonts w:hint="default" w:ascii="Times New Roman" w:hAnsi="Times New Roman" w:cs="Times New Roman"/>
                <w:b w:val="0"/>
                <w:bCs w:val="0"/>
                <w:color w:val="auto"/>
                <w:sz w:val="24"/>
                <w:szCs w:val="32"/>
                <w:highlight w:val="none"/>
                <w:vertAlign w:val="baseline"/>
                <w:lang w:val="en-US" w:eastAsia="zh-CN"/>
              </w:rPr>
              <w:t>采用岸边全断围堰导流。</w:t>
            </w:r>
          </w:p>
          <w:p w14:paraId="6FBCD71F">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②导流建筑物设计</w:t>
            </w:r>
          </w:p>
          <w:p w14:paraId="10C58909">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围堰的堰体利用沿线开挖料填筑，迎水面采用编织袋装土料填筑</w:t>
            </w:r>
            <w:r>
              <w:rPr>
                <w:rFonts w:hint="eastAsia" w:ascii="Times New Roman" w:hAnsi="Times New Roman" w:cs="Times New Roman"/>
                <w:b w:val="0"/>
                <w:bCs w:val="0"/>
                <w:color w:val="auto"/>
                <w:sz w:val="24"/>
                <w:szCs w:val="32"/>
                <w:highlight w:val="none"/>
                <w:vertAlign w:val="baseline"/>
                <w:lang w:val="en-US" w:eastAsia="zh-CN"/>
              </w:rPr>
              <w:t>、</w:t>
            </w:r>
            <w:r>
              <w:rPr>
                <w:rFonts w:hint="default" w:ascii="Times New Roman" w:hAnsi="Times New Roman" w:eastAsia="宋体" w:cs="Times New Roman"/>
                <w:b w:val="0"/>
                <w:bCs w:val="0"/>
                <w:color w:val="auto"/>
                <w:sz w:val="24"/>
                <w:szCs w:val="24"/>
                <w:highlight w:val="none"/>
              </w:rPr>
              <w:t>压实</w:t>
            </w:r>
            <w:r>
              <w:rPr>
                <w:rFonts w:hint="eastAsia" w:ascii="Times New Roman" w:hAnsi="Times New Roman" w:eastAsia="宋体"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32"/>
                <w:highlight w:val="none"/>
                <w:vertAlign w:val="baseline"/>
                <w:lang w:val="en-US" w:eastAsia="zh-CN"/>
              </w:rPr>
              <w:t>结合双层土工膜防渗。</w:t>
            </w:r>
          </w:p>
          <w:p w14:paraId="26033CA7">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③导流建筑物施工</w:t>
            </w:r>
          </w:p>
          <w:p w14:paraId="78699E15">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围堰的堰体利用沿线开挖料，填筑采用1.6m</w:t>
            </w:r>
            <w:r>
              <w:rPr>
                <w:rFonts w:hint="default" w:ascii="Times New Roman" w:hAnsi="Times New Roman" w:cs="Times New Roman"/>
                <w:b w:val="0"/>
                <w:bCs w:val="0"/>
                <w:color w:val="auto"/>
                <w:sz w:val="24"/>
                <w:szCs w:val="32"/>
                <w:highlight w:val="none"/>
                <w:vertAlign w:val="superscript"/>
                <w:lang w:val="en-US" w:eastAsia="zh-CN"/>
              </w:rPr>
              <w:t>3</w:t>
            </w:r>
            <w:r>
              <w:rPr>
                <w:rFonts w:hint="default" w:ascii="Times New Roman" w:hAnsi="Times New Roman" w:cs="Times New Roman"/>
                <w:b w:val="0"/>
                <w:bCs w:val="0"/>
                <w:color w:val="auto"/>
                <w:sz w:val="24"/>
                <w:szCs w:val="32"/>
                <w:highlight w:val="none"/>
                <w:vertAlign w:val="baseline"/>
                <w:lang w:val="en-US" w:eastAsia="zh-CN"/>
              </w:rPr>
              <w:t>挖掘机装车，15T自卸汽车运输，反铲压实；编织袋粘土填筑采用人力方式，防渗土工膜采用人工安砌。</w:t>
            </w:r>
          </w:p>
          <w:p w14:paraId="67100967">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围堰拆除施工程序：1.6m</w:t>
            </w:r>
            <w:r>
              <w:rPr>
                <w:rFonts w:hint="default" w:ascii="Times New Roman" w:hAnsi="Times New Roman" w:cs="Times New Roman"/>
                <w:b w:val="0"/>
                <w:bCs w:val="0"/>
                <w:color w:val="auto"/>
                <w:sz w:val="24"/>
                <w:szCs w:val="32"/>
                <w:highlight w:val="none"/>
                <w:vertAlign w:val="superscript"/>
                <w:lang w:val="en-US" w:eastAsia="zh-CN"/>
              </w:rPr>
              <w:t>3</w:t>
            </w:r>
            <w:r>
              <w:rPr>
                <w:rFonts w:hint="default" w:ascii="Times New Roman" w:hAnsi="Times New Roman" w:cs="Times New Roman"/>
                <w:b w:val="0"/>
                <w:bCs w:val="0"/>
                <w:color w:val="auto"/>
                <w:sz w:val="24"/>
                <w:szCs w:val="32"/>
                <w:highlight w:val="none"/>
                <w:vertAlign w:val="baseline"/>
                <w:lang w:val="en-US" w:eastAsia="zh-CN"/>
              </w:rPr>
              <w:t>长臂反铲挖装，</w:t>
            </w:r>
            <w:r>
              <w:rPr>
                <w:rFonts w:hint="eastAsia" w:ascii="Times New Roman" w:hAnsi="Times New Roman" w:cs="Times New Roman"/>
                <w:b w:val="0"/>
                <w:bCs w:val="0"/>
                <w:color w:val="auto"/>
                <w:sz w:val="24"/>
                <w:szCs w:val="32"/>
                <w:highlight w:val="none"/>
                <w:vertAlign w:val="baseline"/>
                <w:lang w:val="en-US" w:eastAsia="zh-CN"/>
              </w:rPr>
              <w:t>堆放远离河道一侧，</w:t>
            </w:r>
            <w:r>
              <w:rPr>
                <w:rFonts w:hint="eastAsia" w:cs="Times New Roman"/>
                <w:color w:val="auto"/>
                <w:kern w:val="0"/>
                <w:sz w:val="24"/>
                <w:szCs w:val="24"/>
                <w:highlight w:val="none"/>
                <w:lang w:val="en-US" w:eastAsia="zh-CN" w:bidi="ar"/>
              </w:rPr>
              <w:t>用于后期工程回填</w:t>
            </w:r>
            <w:r>
              <w:rPr>
                <w:rFonts w:hint="default" w:ascii="Times New Roman" w:hAnsi="Times New Roman" w:cs="Times New Roman"/>
                <w:b w:val="0"/>
                <w:bCs w:val="0"/>
                <w:color w:val="auto"/>
                <w:sz w:val="24"/>
                <w:szCs w:val="32"/>
                <w:highlight w:val="none"/>
                <w:vertAlign w:val="baseline"/>
                <w:lang w:val="en-US" w:eastAsia="zh-CN"/>
              </w:rPr>
              <w:t>。</w:t>
            </w:r>
          </w:p>
          <w:p w14:paraId="73CB93B6">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④基坑排水</w:t>
            </w:r>
          </w:p>
          <w:p w14:paraId="21C45528">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采用初期排水和经常性排水两种方式，排出基坑内的积水和渗水，以保持基坑干燥，保证施工进度。</w:t>
            </w:r>
          </w:p>
          <w:p w14:paraId="13429AF8">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（3）</w:t>
            </w:r>
            <w:r>
              <w:rPr>
                <w:rFonts w:hint="default" w:ascii="Times New Roman" w:hAnsi="Times New Roman" w:cs="Times New Roman"/>
                <w:b/>
                <w:bCs/>
                <w:color w:val="auto"/>
                <w:sz w:val="24"/>
                <w:szCs w:val="32"/>
                <w:highlight w:val="none"/>
                <w:vertAlign w:val="baseline"/>
                <w:lang w:val="en-US" w:eastAsia="zh-CN"/>
              </w:rPr>
              <w:t>管道工程</w:t>
            </w:r>
          </w:p>
          <w:p w14:paraId="240A59DF">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管道工程</w:t>
            </w:r>
            <w:r>
              <w:rPr>
                <w:rFonts w:hint="default" w:ascii="Times New Roman" w:hAnsi="Times New Roman" w:cs="Times New Roman"/>
                <w:b w:val="0"/>
                <w:bCs w:val="0"/>
                <w:color w:val="auto"/>
                <w:sz w:val="24"/>
                <w:szCs w:val="32"/>
                <w:highlight w:val="none"/>
                <w:vertAlign w:val="baseline"/>
                <w:lang w:val="en-US" w:eastAsia="zh-CN"/>
              </w:rPr>
              <w:t>施工期工艺流程如</w:t>
            </w:r>
            <w:r>
              <w:rPr>
                <w:rFonts w:hint="eastAsia" w:ascii="Times New Roman" w:hAnsi="Times New Roman" w:cs="Times New Roman"/>
                <w:b w:val="0"/>
                <w:bCs w:val="0"/>
                <w:color w:val="auto"/>
                <w:sz w:val="24"/>
                <w:szCs w:val="32"/>
                <w:highlight w:val="none"/>
                <w:vertAlign w:val="baseline"/>
                <w:lang w:val="en-US" w:eastAsia="zh-CN"/>
              </w:rPr>
              <w:t>下图</w:t>
            </w:r>
            <w:r>
              <w:rPr>
                <w:rFonts w:hint="default" w:ascii="Times New Roman" w:hAnsi="Times New Roman" w:cs="Times New Roman"/>
                <w:b w:val="0"/>
                <w:bCs w:val="0"/>
                <w:color w:val="auto"/>
                <w:sz w:val="24"/>
                <w:szCs w:val="32"/>
                <w:highlight w:val="none"/>
                <w:vertAlign w:val="baseline"/>
                <w:lang w:val="en-US" w:eastAsia="zh-CN"/>
              </w:rPr>
              <w:t>所示。</w:t>
            </w:r>
          </w:p>
          <w:p w14:paraId="2E3EBB6A">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786998CD">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510A3935">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18B47202">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5A050C51">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707A765E">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0E8F63DB">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08F76EFD">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32993A54">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2E17940B">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46D165C4">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632B8580">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69E59A8A">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p>
          <w:p w14:paraId="0250BF01">
            <w:pPr>
              <w:keepNext w:val="0"/>
              <w:keepLines w:val="0"/>
              <w:pageBreakBefore w:val="0"/>
              <w:suppressLineNumbers w:val="0"/>
              <w:kinsoku/>
              <w:wordWrap/>
              <w:overflowPunct/>
              <w:topLinePunct w:val="0"/>
              <w:autoSpaceDE/>
              <w:autoSpaceDN/>
              <w:bidi w:val="0"/>
              <w:snapToGrid/>
              <w:spacing w:beforeAutospacing="0" w:afterAutospacing="0" w:line="360" w:lineRule="auto"/>
              <w:ind w:left="0" w:leftChars="0" w:right="0"/>
              <w:jc w:val="center"/>
              <w:rPr>
                <w:rFonts w:hint="default" w:ascii="Times New Roman" w:hAnsi="Times New Roman" w:cs="Times New Roman"/>
                <w:color w:val="auto"/>
                <w:highlight w:val="none"/>
              </w:rPr>
            </w:pPr>
            <w:r>
              <w:rPr>
                <w:color w:val="auto"/>
                <w:sz w:val="21"/>
                <w:highlight w:val="none"/>
              </w:rPr>
              <w:object>
                <v:shape id="_x0000_i1026" o:spt="75" type="#_x0000_t75" style="height:373.85pt;width:281.7pt;" o:ole="t" filled="f" o:preferrelative="t" stroked="f" coordsize="21600,21600">
                  <v:path/>
                  <v:fill on="f" focussize="0,0"/>
                  <v:stroke on="f"/>
                  <v:imagedata r:id="rId17" o:title=""/>
                  <o:lock v:ext="edit" aspectratio="t"/>
                  <w10:wrap type="none"/>
                  <w10:anchorlock/>
                </v:shape>
                <o:OLEObject Type="Embed" ProgID="Visio.Drawing.11" ShapeID="_x0000_i1026" DrawAspect="Content" ObjectID="_1468075726" r:id="rId16">
                  <o:LockedField>false</o:LockedField>
                </o:OLEObject>
              </w:object>
            </w:r>
          </w:p>
          <w:p w14:paraId="65465CF7">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图2-</w:t>
            </w:r>
            <w:r>
              <w:rPr>
                <w:rFonts w:hint="eastAsia" w:ascii="Times New Roman" w:hAnsi="Times New Roman" w:eastAsia="黑体" w:cs="Times New Roman"/>
                <w:color w:val="auto"/>
                <w:szCs w:val="21"/>
                <w:highlight w:val="none"/>
                <w:lang w:val="en-US" w:eastAsia="zh-CN"/>
              </w:rPr>
              <w:t>4 取水</w:t>
            </w:r>
            <w:r>
              <w:rPr>
                <w:rFonts w:hint="default" w:ascii="Times New Roman" w:hAnsi="Times New Roman" w:eastAsia="黑体" w:cs="Times New Roman"/>
                <w:color w:val="auto"/>
                <w:szCs w:val="21"/>
                <w:highlight w:val="none"/>
                <w:lang w:val="en-US" w:eastAsia="zh-CN"/>
              </w:rPr>
              <w:t>管道施工工艺及产污环节图</w:t>
            </w:r>
          </w:p>
          <w:p w14:paraId="3F6E694C">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主要工序简述：</w:t>
            </w:r>
          </w:p>
          <w:p w14:paraId="4B08E24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bCs/>
                <w:color w:val="auto"/>
                <w:sz w:val="24"/>
                <w:szCs w:val="24"/>
                <w:highlight w:val="none"/>
              </w:rPr>
            </w:pPr>
            <w:r>
              <w:rPr>
                <w:rFonts w:hint="default" w:ascii="Times New Roman" w:hAnsi="Times New Roman" w:cs="Times New Roman"/>
                <w:b w:val="0"/>
                <w:bCs w:val="0"/>
                <w:color w:val="auto"/>
                <w:sz w:val="24"/>
                <w:szCs w:val="32"/>
                <w:highlight w:val="none"/>
                <w:vertAlign w:val="baseline"/>
                <w:lang w:val="en-US" w:eastAsia="zh-CN"/>
              </w:rPr>
              <w:t>①</w:t>
            </w:r>
            <w:r>
              <w:rPr>
                <w:rFonts w:hint="eastAsia"/>
                <w:b w:val="0"/>
                <w:bCs w:val="0"/>
                <w:color w:val="auto"/>
                <w:sz w:val="24"/>
                <w:szCs w:val="24"/>
                <w:highlight w:val="none"/>
                <w:lang w:val="en-US" w:eastAsia="zh-CN"/>
              </w:rPr>
              <w:t>作业线、场地</w:t>
            </w:r>
            <w:r>
              <w:rPr>
                <w:rFonts w:hint="eastAsia"/>
                <w:b w:val="0"/>
                <w:bCs w:val="0"/>
                <w:color w:val="auto"/>
                <w:sz w:val="24"/>
                <w:szCs w:val="24"/>
                <w:highlight w:val="none"/>
              </w:rPr>
              <w:t>清理</w:t>
            </w:r>
          </w:p>
          <w:p w14:paraId="636ED7AF">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bCs/>
                <w:color w:val="auto"/>
                <w:sz w:val="24"/>
                <w:szCs w:val="24"/>
                <w:highlight w:val="none"/>
              </w:rPr>
              <w:t>本项目管线施工时，先根据选线情况进行路线布设，并进行测量放线以及场地清理。施工作业带清理时，对土地进行保护，减少或防止产生水土流失，尽量减少破坏地表植被</w:t>
            </w:r>
            <w:r>
              <w:rPr>
                <w:rFonts w:hint="eastAsia"/>
                <w:bCs/>
                <w:color w:val="auto"/>
                <w:sz w:val="24"/>
                <w:szCs w:val="24"/>
                <w:highlight w:val="none"/>
                <w:lang w:eastAsia="zh-CN"/>
              </w:rPr>
              <w:t>，</w:t>
            </w:r>
            <w:r>
              <w:rPr>
                <w:rFonts w:hint="eastAsia"/>
                <w:bCs/>
                <w:color w:val="auto"/>
                <w:sz w:val="24"/>
                <w:szCs w:val="24"/>
                <w:highlight w:val="none"/>
              </w:rPr>
              <w:t>待施工完毕后进行恢复。</w:t>
            </w:r>
          </w:p>
          <w:p w14:paraId="34A83261">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②开挖管沟</w:t>
            </w:r>
          </w:p>
          <w:p w14:paraId="43965153">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开挖管沟应达到设计图纸挖深的要求，沟壁应顺直，转弯处应圆顺，沟底应平整，无石块，树根或其它坚硬物，沟壁不得有欲坠的石头。根据工程可行性研究报告，项目管道开挖采用人力及机械施工的作业方式，作业带宽度为</w:t>
            </w:r>
            <w:r>
              <w:rPr>
                <w:rFonts w:hint="eastAsia" w:ascii="Times New Roman" w:hAnsi="Times New Roman" w:cs="Times New Roman"/>
                <w:b w:val="0"/>
                <w:bCs w:val="0"/>
                <w:color w:val="auto"/>
                <w:sz w:val="24"/>
                <w:szCs w:val="32"/>
                <w:highlight w:val="none"/>
                <w:vertAlign w:val="baseline"/>
                <w:lang w:val="en-US" w:eastAsia="zh-CN"/>
              </w:rPr>
              <w:t>5</w:t>
            </w:r>
            <w:r>
              <w:rPr>
                <w:rFonts w:hint="default" w:ascii="Times New Roman" w:hAnsi="Times New Roman" w:cs="Times New Roman"/>
                <w:b w:val="0"/>
                <w:bCs w:val="0"/>
                <w:color w:val="auto"/>
                <w:sz w:val="24"/>
                <w:szCs w:val="32"/>
                <w:highlight w:val="none"/>
                <w:vertAlign w:val="baseline"/>
                <w:lang w:val="en-US" w:eastAsia="zh-CN"/>
              </w:rPr>
              <w:t>m。管道施工采用“开挖一段、敷设一段”的方式分段施工，管沟开挖时的土石方堆放在沟两侧，表层土在下，底层土在上。该过程由于部分输水管段需穿越植被、农田，施工作业前清理路线是会破坏植被和农作物。管道开挖过程挖土和回填过程对土质造成一定的影响，有水土流失的风险。</w:t>
            </w:r>
          </w:p>
          <w:p w14:paraId="61DD6600">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③</w:t>
            </w:r>
            <w:r>
              <w:rPr>
                <w:rFonts w:hint="eastAsia" w:ascii="Times New Roman" w:hAnsi="Times New Roman" w:cs="Times New Roman"/>
                <w:b w:val="0"/>
                <w:bCs w:val="0"/>
                <w:color w:val="auto"/>
                <w:sz w:val="24"/>
                <w:szCs w:val="32"/>
                <w:highlight w:val="none"/>
                <w:vertAlign w:val="baseline"/>
                <w:lang w:val="en-US" w:eastAsia="zh-CN"/>
              </w:rPr>
              <w:t>穿越河道</w:t>
            </w:r>
          </w:p>
          <w:p w14:paraId="42723844">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穿越公路：管线穿越公路时，既要考虑到动荷载的影响，又要保证管道自身输水安全，要求管顶覆土厚度不小于</w:t>
            </w:r>
            <w:r>
              <w:rPr>
                <w:rFonts w:hint="eastAsia" w:ascii="Times New Roman" w:hAnsi="Times New Roman" w:cs="Times New Roman"/>
                <w:b w:val="0"/>
                <w:bCs w:val="0"/>
                <w:color w:val="auto"/>
                <w:sz w:val="24"/>
                <w:szCs w:val="32"/>
                <w:highlight w:val="none"/>
                <w:vertAlign w:val="baseline"/>
                <w:lang w:val="en-US" w:eastAsia="zh-CN"/>
              </w:rPr>
              <w:t>1</w:t>
            </w:r>
            <w:r>
              <w:rPr>
                <w:rFonts w:hint="default" w:ascii="Times New Roman" w:hAnsi="Times New Roman" w:cs="Times New Roman"/>
                <w:b w:val="0"/>
                <w:bCs w:val="0"/>
                <w:color w:val="auto"/>
                <w:sz w:val="24"/>
                <w:szCs w:val="32"/>
                <w:highlight w:val="none"/>
                <w:vertAlign w:val="baseline"/>
                <w:lang w:val="en-US" w:eastAsia="zh-CN"/>
              </w:rPr>
              <w:t>.0m，采用开挖施工方式</w:t>
            </w:r>
            <w:r>
              <w:rPr>
                <w:rFonts w:hint="eastAsia" w:ascii="Times New Roman" w:hAnsi="Times New Roman" w:cs="Times New Roman"/>
                <w:b w:val="0"/>
                <w:bCs w:val="0"/>
                <w:color w:val="auto"/>
                <w:sz w:val="24"/>
                <w:szCs w:val="32"/>
                <w:highlight w:val="none"/>
                <w:vertAlign w:val="baseline"/>
                <w:lang w:val="en-US" w:eastAsia="zh-CN"/>
              </w:rPr>
              <w:t>。</w:t>
            </w:r>
          </w:p>
          <w:p w14:paraId="1EAF1385">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④管道焊接工程</w:t>
            </w:r>
          </w:p>
          <w:p w14:paraId="3484F824">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按照管道焊接工程施工及验收相关规定执行，并采用抗SSC、HIC焊接质量测试。为了确保安全运行，焊接完成后全线要求进行强度试验和严密性试验。项目焊接过程产生一定量的焊接烟尘、焊渣，焊渣</w:t>
            </w:r>
            <w:r>
              <w:rPr>
                <w:rFonts w:hint="eastAsia" w:ascii="Times New Roman" w:hAnsi="Times New Roman" w:cs="Times New Roman"/>
                <w:b w:val="0"/>
                <w:bCs w:val="0"/>
                <w:color w:val="auto"/>
                <w:sz w:val="24"/>
                <w:szCs w:val="32"/>
                <w:highlight w:val="none"/>
                <w:vertAlign w:val="baseline"/>
                <w:lang w:val="en-US" w:eastAsia="zh-CN"/>
              </w:rPr>
              <w:t>产生后</w:t>
            </w:r>
            <w:r>
              <w:rPr>
                <w:rFonts w:hint="default" w:ascii="Times New Roman" w:hAnsi="Times New Roman" w:cs="Times New Roman"/>
                <w:b w:val="0"/>
                <w:bCs w:val="0"/>
                <w:color w:val="auto"/>
                <w:sz w:val="24"/>
                <w:szCs w:val="32"/>
                <w:highlight w:val="none"/>
                <w:vertAlign w:val="baseline"/>
                <w:lang w:val="en-US" w:eastAsia="zh-CN"/>
              </w:rPr>
              <w:t>由环卫部门统一处理。</w:t>
            </w:r>
          </w:p>
          <w:p w14:paraId="7CB4A36E">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⑤探伤</w:t>
            </w:r>
          </w:p>
          <w:p w14:paraId="4865C69E">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本项目探伤采用超声波探伤的方式进行，不会对周边环境造成影响，若建设方在后续工作中采取射线探伤的工艺，则需另行环评，不在本次评价范围内。</w:t>
            </w:r>
          </w:p>
          <w:p w14:paraId="21C9F513">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⑥清管、试压</w:t>
            </w:r>
          </w:p>
          <w:p w14:paraId="4756FED2">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管道在敷设完成后，将进行吹脱作业，利用压缩空气将管道内残留的废渣进行清除，吹脱过程中将产生一定的吹脱废渣，吹脱废渣统一收集后交由环卫部门统一清运。采用清洁水、压缩空气进行强度和严密性测试，试压过程中无试压水的损耗。</w:t>
            </w:r>
          </w:p>
          <w:p w14:paraId="4EC5E26B">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⑦管沟回填</w:t>
            </w:r>
          </w:p>
          <w:p w14:paraId="477C1D41">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管沟回填利用管道开挖土石方回填，先用细土回填，再用沙土或碎石回填夯实。石方地段的管沟应超挖0.2m，并采用细土垫实超挖部分，以保护管道外防腐层。管线穿越河床，沟谷，陡坡、陡坎地段，宜以堡坎形式筑固恢复。为了减小管线施工对环境的影响，在施工过程中，人员、车辆及施工设备进出的道路尽量利用已有的乡村公路，减少对植被、农作物、地貌的破坏。施工过程不得随意践踏沿线的植被及农田，每道工序完工后，做到工完、料尽、场地清</w:t>
            </w:r>
            <w:r>
              <w:rPr>
                <w:rFonts w:hint="eastAsia" w:ascii="Times New Roman" w:hAnsi="Times New Roman" w:cs="Times New Roman"/>
                <w:b w:val="0"/>
                <w:bCs w:val="0"/>
                <w:color w:val="auto"/>
                <w:sz w:val="24"/>
                <w:szCs w:val="32"/>
                <w:highlight w:val="none"/>
                <w:vertAlign w:val="baseline"/>
                <w:lang w:val="en-US" w:eastAsia="zh-CN"/>
              </w:rPr>
              <w:t>。</w:t>
            </w:r>
          </w:p>
          <w:p w14:paraId="63B092D4">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2、运营期工艺流程和产污环节</w:t>
            </w:r>
          </w:p>
          <w:p w14:paraId="717DC0A0">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000000" w:themeColor="text1"/>
                <w:sz w:val="24"/>
                <w:szCs w:val="32"/>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32"/>
                <w:highlight w:val="none"/>
                <w:vertAlign w:val="baseline"/>
                <w:lang w:val="en-US" w:eastAsia="zh-CN"/>
                <w14:textFill>
                  <w14:solidFill>
                    <w14:schemeClr w14:val="tx1"/>
                  </w14:solidFill>
                </w14:textFill>
              </w:rPr>
              <w:t>（1）隘口水厂</w:t>
            </w:r>
          </w:p>
          <w:p w14:paraId="53AD7B67">
            <w:pPr>
              <w:keepNext w:val="0"/>
              <w:keepLines w:val="0"/>
              <w:pageBreakBefore w:val="0"/>
              <w:kinsoku/>
              <w:wordWrap/>
              <w:overflowPunct/>
              <w:topLinePunct w:val="0"/>
              <w:autoSpaceDE/>
              <w:autoSpaceDN/>
              <w:bidi w:val="0"/>
              <w:snapToGrid/>
              <w:spacing w:line="360" w:lineRule="auto"/>
              <w:ind w:left="0" w:leftChars="0" w:firstLine="482" w:firstLineChars="200"/>
              <w:rPr>
                <w:rFonts w:hint="eastAsia" w:ascii="Times New Roman" w:hAnsi="Times New Roman" w:cs="Times New Roman"/>
                <w:b/>
                <w:bCs/>
                <w:color w:val="000000" w:themeColor="text1"/>
                <w:sz w:val="24"/>
                <w:szCs w:val="32"/>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32"/>
                <w:highlight w:val="none"/>
                <w:vertAlign w:val="baseline"/>
                <w:lang w:val="en-US" w:eastAsia="zh-CN"/>
                <w14:textFill>
                  <w14:solidFill>
                    <w14:schemeClr w14:val="tx1"/>
                  </w14:solidFill>
                </w14:textFill>
              </w:rPr>
              <w:t>1）工艺流程</w:t>
            </w:r>
          </w:p>
          <w:p w14:paraId="4A888469">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隘口</w:t>
            </w: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水厂采用</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絮凝+沉淀+气浮+过滤+</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二氧化氯消毒”工艺，</w:t>
            </w: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运营期工艺流程及产污位置</w:t>
            </w:r>
            <w: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见</w:t>
            </w: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下图。</w:t>
            </w:r>
          </w:p>
          <w:p w14:paraId="3D9079EB">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drawing>
                <wp:inline distT="0" distB="0" distL="114300" distR="114300">
                  <wp:extent cx="4876800" cy="5524500"/>
                  <wp:effectExtent l="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8"/>
                          <a:stretch>
                            <a:fillRect/>
                          </a:stretch>
                        </pic:blipFill>
                        <pic:spPr>
                          <a:xfrm>
                            <a:off x="0" y="0"/>
                            <a:ext cx="4876800" cy="5524500"/>
                          </a:xfrm>
                          <a:prstGeom prst="rect">
                            <a:avLst/>
                          </a:prstGeom>
                          <a:noFill/>
                          <a:ln>
                            <a:noFill/>
                          </a:ln>
                        </pic:spPr>
                      </pic:pic>
                    </a:graphicData>
                  </a:graphic>
                </wp:inline>
              </w:drawing>
            </w:r>
          </w:p>
          <w:p w14:paraId="2B9B3A11">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color w:val="auto"/>
                <w:szCs w:val="21"/>
                <w:highlight w:val="none"/>
                <w:lang w:val="en-US" w:eastAsia="zh-CN"/>
              </w:rPr>
            </w:pPr>
            <w:r>
              <w:rPr>
                <w:rFonts w:hint="default" w:ascii="Times New Roman" w:hAnsi="Times New Roman" w:eastAsia="黑体" w:cs="Times New Roman"/>
                <w:color w:val="auto"/>
                <w:szCs w:val="21"/>
                <w:highlight w:val="none"/>
                <w:lang w:val="en-US" w:eastAsia="zh-CN"/>
              </w:rPr>
              <w:t>图2-</w:t>
            </w:r>
            <w:r>
              <w:rPr>
                <w:rFonts w:hint="eastAsia" w:ascii="Times New Roman" w:hAnsi="Times New Roman" w:eastAsia="黑体" w:cs="Times New Roman"/>
                <w:color w:val="auto"/>
                <w:szCs w:val="21"/>
                <w:highlight w:val="none"/>
                <w:lang w:val="en-US" w:eastAsia="zh-CN"/>
              </w:rPr>
              <w:t>5 隘口水厂</w:t>
            </w:r>
            <w:r>
              <w:rPr>
                <w:rFonts w:hint="default" w:ascii="Times New Roman" w:hAnsi="Times New Roman" w:eastAsia="黑体" w:cs="Times New Roman"/>
                <w:color w:val="auto"/>
                <w:szCs w:val="21"/>
                <w:highlight w:val="none"/>
                <w:lang w:val="en-US" w:eastAsia="zh-CN"/>
              </w:rPr>
              <w:t>运营期工艺流程及产污位置图</w:t>
            </w:r>
          </w:p>
          <w:p w14:paraId="5FB48CFA">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主要工序简述：</w:t>
            </w:r>
          </w:p>
          <w:p w14:paraId="3C1908D8">
            <w:pPr>
              <w:keepNext w:val="0"/>
              <w:keepLines w:val="0"/>
              <w:pageBreakBefore w:val="0"/>
              <w:widowControl w:val="0"/>
              <w:kinsoku/>
              <w:wordWrap/>
              <w:overflowPunct/>
              <w:topLinePunct w:val="0"/>
              <w:autoSpaceDE w:val="0"/>
              <w:autoSpaceDN w:val="0"/>
              <w:bidi w:val="0"/>
              <w:spacing w:line="360" w:lineRule="auto"/>
              <w:ind w:left="0" w:leftChars="0" w:right="0" w:firstLine="482" w:firstLineChars="200"/>
              <w:textAlignment w:val="auto"/>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eastAsia="宋体" w:cs="Times New Roman"/>
                <w:b/>
                <w:bCs/>
                <w:sz w:val="24"/>
                <w:szCs w:val="24"/>
              </w:rPr>
              <w:t>絮凝</w:t>
            </w:r>
            <w:r>
              <w:rPr>
                <w:rFonts w:hint="default" w:ascii="Times New Roman" w:hAnsi="Times New Roman" w:cs="Times New Roman"/>
                <w:b/>
                <w:bCs/>
                <w:color w:val="auto"/>
                <w:sz w:val="24"/>
                <w:szCs w:val="24"/>
                <w:highlight w:val="none"/>
              </w:rPr>
              <w:t>：</w:t>
            </w:r>
            <w:r>
              <w:rPr>
                <w:rFonts w:hint="default" w:ascii="Times New Roman" w:hAnsi="Times New Roman" w:cs="Times New Roman"/>
                <w:color w:val="auto"/>
                <w:sz w:val="24"/>
                <w:szCs w:val="24"/>
              </w:rPr>
              <w:t>原水经</w:t>
            </w:r>
            <w:r>
              <w:rPr>
                <w:rFonts w:hint="eastAsia" w:ascii="Times New Roman" w:hAnsi="Times New Roman" w:cs="Times New Roman"/>
                <w:color w:val="auto"/>
                <w:sz w:val="24"/>
                <w:szCs w:val="24"/>
                <w:lang w:val="en-US" w:eastAsia="zh-CN"/>
              </w:rPr>
              <w:t>泵</w:t>
            </w:r>
            <w:r>
              <w:rPr>
                <w:rFonts w:hint="default" w:ascii="Times New Roman" w:hAnsi="Times New Roman" w:cs="Times New Roman"/>
                <w:color w:val="auto"/>
                <w:sz w:val="24"/>
                <w:szCs w:val="24"/>
                <w:lang w:val="en-US" w:eastAsia="zh-CN"/>
              </w:rPr>
              <w:t>至</w:t>
            </w:r>
            <w:r>
              <w:rPr>
                <w:rFonts w:hint="default" w:ascii="Times New Roman" w:hAnsi="Times New Roman" w:cs="Times New Roman"/>
                <w:color w:val="auto"/>
                <w:sz w:val="24"/>
                <w:szCs w:val="24"/>
              </w:rPr>
              <w:t>原水输水管道进入</w:t>
            </w:r>
            <w:r>
              <w:rPr>
                <w:rFonts w:hint="default" w:ascii="Times New Roman" w:hAnsi="Times New Roman" w:cs="Times New Roman"/>
                <w:color w:val="auto"/>
                <w:sz w:val="24"/>
                <w:szCs w:val="24"/>
                <w:lang w:val="en-US" w:eastAsia="zh-CN"/>
              </w:rPr>
              <w:t>供水厂净水处理设施</w:t>
            </w:r>
            <w:r>
              <w:rPr>
                <w:rFonts w:hint="default" w:ascii="Times New Roman" w:hAnsi="Times New Roman" w:eastAsia="宋体" w:cs="Times New Roman"/>
                <w:sz w:val="24"/>
                <w:szCs w:val="24"/>
              </w:rPr>
              <w:t>絮凝反应区</w:t>
            </w:r>
            <w:r>
              <w:rPr>
                <w:rFonts w:hint="default" w:ascii="Times New Roman" w:hAnsi="Times New Roman" w:cs="Times New Roman"/>
                <w:color w:val="auto"/>
                <w:sz w:val="24"/>
                <w:szCs w:val="24"/>
                <w:lang w:val="en-US" w:eastAsia="zh-CN"/>
              </w:rPr>
              <w:t>，向水中投加</w:t>
            </w:r>
            <w:r>
              <w:rPr>
                <w:rFonts w:hint="default" w:ascii="Times New Roman" w:hAnsi="Times New Roman" w:eastAsia="宋体" w:cs="Times New Roman"/>
                <w:sz w:val="24"/>
                <w:szCs w:val="24"/>
              </w:rPr>
              <w:t>絮凝</w:t>
            </w:r>
            <w:r>
              <w:rPr>
                <w:rFonts w:hint="default" w:ascii="Times New Roman" w:hAnsi="Times New Roman" w:cs="Times New Roman"/>
                <w:color w:val="auto"/>
                <w:sz w:val="24"/>
                <w:szCs w:val="24"/>
                <w:lang w:val="en-US" w:eastAsia="zh-CN"/>
              </w:rPr>
              <w:t>剂（PAC），使水中的胶体颗粒和细小的悬浮物相互凝聚长大，从而形成沉淀性能良好，尺寸较大的絮状颗粒（矾花），使之在后续的沉淀工艺中能够有效的从水中重力沉淀下来而分离。它可以用来降低原水的浊度，色度等感官指标，去除多种高分子有机物</w:t>
            </w:r>
            <w:r>
              <w:rPr>
                <w:rFonts w:hint="eastAsia" w:ascii="Times New Roman" w:hAnsi="Times New Roman" w:cs="Times New Roman"/>
                <w:color w:val="auto"/>
                <w:sz w:val="24"/>
                <w:szCs w:val="24"/>
                <w:lang w:val="en-US" w:eastAsia="zh-CN"/>
              </w:rPr>
              <w:t>等</w:t>
            </w:r>
            <w:r>
              <w:rPr>
                <w:rFonts w:hint="default" w:ascii="Times New Roman" w:hAnsi="Times New Roman" w:cs="Times New Roman"/>
                <w:color w:val="auto"/>
                <w:sz w:val="24"/>
                <w:szCs w:val="24"/>
                <w:lang w:val="en-US" w:eastAsia="zh-CN"/>
              </w:rPr>
              <w:t>。</w:t>
            </w:r>
            <w:r>
              <w:rPr>
                <w:rFonts w:hint="default" w:ascii="Times New Roman" w:hAnsi="Times New Roman" w:cs="Times New Roman"/>
                <w:sz w:val="24"/>
                <w:szCs w:val="24"/>
              </w:rPr>
              <w:t>本项目拟采用机械混合+栅条</w:t>
            </w:r>
            <w:r>
              <w:rPr>
                <w:rFonts w:hint="eastAsia" w:ascii="Times New Roman" w:hAnsi="Times New Roman" w:cs="Times New Roman"/>
                <w:sz w:val="24"/>
                <w:szCs w:val="24"/>
                <w:lang w:val="en-US" w:eastAsia="zh-CN"/>
              </w:rPr>
              <w:t>池</w:t>
            </w:r>
            <w:r>
              <w:rPr>
                <w:rFonts w:hint="default" w:ascii="Times New Roman" w:hAnsi="Times New Roman" w:cs="Times New Roman"/>
                <w:sz w:val="24"/>
                <w:szCs w:val="24"/>
              </w:rPr>
              <w:t>进行</w:t>
            </w:r>
            <w:r>
              <w:rPr>
                <w:rFonts w:hint="default" w:ascii="Times New Roman" w:hAnsi="Times New Roman" w:cs="Times New Roman"/>
                <w:b w:val="0"/>
                <w:bCs w:val="0"/>
                <w:color w:val="auto"/>
                <w:sz w:val="24"/>
                <w:szCs w:val="24"/>
                <w:highlight w:val="none"/>
                <w:vertAlign w:val="baseline"/>
                <w:lang w:val="en-US" w:eastAsia="zh-CN"/>
              </w:rPr>
              <w:t>絮</w:t>
            </w:r>
            <w:r>
              <w:rPr>
                <w:rFonts w:hint="default" w:ascii="Times New Roman" w:hAnsi="Times New Roman" w:cs="Times New Roman"/>
                <w:sz w:val="24"/>
                <w:szCs w:val="24"/>
              </w:rPr>
              <w:t>凝，其</w:t>
            </w:r>
            <w:r>
              <w:rPr>
                <w:rFonts w:hint="default" w:ascii="Times New Roman" w:hAnsi="Times New Roman" w:cs="Times New Roman"/>
                <w:b w:val="0"/>
                <w:bCs w:val="0"/>
                <w:color w:val="auto"/>
                <w:sz w:val="24"/>
                <w:szCs w:val="24"/>
                <w:highlight w:val="none"/>
                <w:vertAlign w:val="baseline"/>
                <w:lang w:val="en-US" w:eastAsia="zh-CN"/>
              </w:rPr>
              <w:t>絮</w:t>
            </w:r>
            <w:r>
              <w:rPr>
                <w:rFonts w:hint="default" w:ascii="Times New Roman" w:hAnsi="Times New Roman" w:cs="Times New Roman"/>
                <w:sz w:val="24"/>
                <w:szCs w:val="24"/>
              </w:rPr>
              <w:t>凝效果好、稳定，</w:t>
            </w:r>
            <w:r>
              <w:rPr>
                <w:rFonts w:hint="default" w:ascii="Times New Roman" w:hAnsi="Times New Roman" w:cs="Times New Roman"/>
                <w:b w:val="0"/>
                <w:bCs w:val="0"/>
                <w:color w:val="auto"/>
                <w:sz w:val="24"/>
                <w:szCs w:val="24"/>
                <w:highlight w:val="none"/>
                <w:vertAlign w:val="baseline"/>
                <w:lang w:val="en-US" w:eastAsia="zh-CN"/>
              </w:rPr>
              <w:t>絮</w:t>
            </w:r>
            <w:r>
              <w:rPr>
                <w:rFonts w:hint="default" w:ascii="Times New Roman" w:hAnsi="Times New Roman" w:cs="Times New Roman"/>
                <w:sz w:val="24"/>
                <w:szCs w:val="24"/>
              </w:rPr>
              <w:t>凝时间短，是目前水厂常采用的工艺。</w:t>
            </w:r>
            <w:r>
              <w:rPr>
                <w:rFonts w:hint="default" w:ascii="Times New Roman" w:hAnsi="Times New Roman" w:cs="Times New Roman"/>
                <w:b w:val="0"/>
                <w:bCs w:val="0"/>
                <w:color w:val="auto"/>
                <w:sz w:val="24"/>
                <w:szCs w:val="32"/>
                <w:highlight w:val="none"/>
                <w:vertAlign w:val="baseline"/>
                <w:lang w:val="en-US" w:eastAsia="zh-CN"/>
              </w:rPr>
              <w:t>该工序絮凝后产生一定的量的污泥，经排泥阀和排泥管道进入项目新建排泥池。</w:t>
            </w:r>
          </w:p>
          <w:p w14:paraId="5564B517">
            <w:pPr>
              <w:keepNext w:val="0"/>
              <w:keepLines w:val="0"/>
              <w:pageBreakBefore w:val="0"/>
              <w:kinsoku/>
              <w:wordWrap/>
              <w:overflowPunct/>
              <w:topLinePunct w:val="0"/>
              <w:autoSpaceDE/>
              <w:autoSpaceDN/>
              <w:bidi w:val="0"/>
              <w:snapToGrid/>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rPr>
              <w:t>沉淀</w:t>
            </w:r>
            <w:r>
              <w:rPr>
                <w:rFonts w:hint="eastAsia" w:ascii="Times New Roman" w:hAnsi="Times New Roman" w:eastAsia="宋体" w:cs="Times New Roman"/>
                <w:b/>
                <w:bCs/>
                <w:sz w:val="24"/>
                <w:szCs w:val="24"/>
                <w:lang w:eastAsia="zh-CN"/>
              </w:rPr>
              <w:t>：</w:t>
            </w:r>
            <w:r>
              <w:rPr>
                <w:rFonts w:hint="default" w:ascii="Times New Roman" w:hAnsi="Times New Roman" w:cs="Times New Roman"/>
                <w:b w:val="0"/>
                <w:bCs w:val="0"/>
                <w:color w:val="auto"/>
                <w:sz w:val="24"/>
                <w:szCs w:val="32"/>
                <w:highlight w:val="none"/>
                <w:vertAlign w:val="baseline"/>
                <w:lang w:val="en-US" w:eastAsia="zh-CN"/>
              </w:rPr>
              <w:t>采用上向流斜管沉淀池</w:t>
            </w:r>
            <w:r>
              <w:rPr>
                <w:rFonts w:hint="eastAsia" w:ascii="Times New Roman" w:hAnsi="Times New Roman" w:cs="Times New Roman"/>
                <w:b w:val="0"/>
                <w:bCs w:val="0"/>
                <w:color w:val="auto"/>
                <w:sz w:val="24"/>
                <w:szCs w:val="32"/>
                <w:highlight w:val="none"/>
                <w:vertAlign w:val="baseline"/>
                <w:lang w:val="en-US" w:eastAsia="zh-CN"/>
              </w:rPr>
              <w:t>，是根据浅池原理和层流原理，通过增加沉淀池的面积、缩短颗粒沉淀距离、促进颗粒再凝聚等方式提高沉淀效率。</w:t>
            </w:r>
            <w:r>
              <w:rPr>
                <w:rFonts w:hint="default" w:ascii="Times New Roman" w:hAnsi="Times New Roman" w:cs="Times New Roman"/>
                <w:b w:val="0"/>
                <w:bCs w:val="0"/>
                <w:color w:val="auto"/>
                <w:sz w:val="24"/>
                <w:szCs w:val="32"/>
                <w:highlight w:val="none"/>
                <w:vertAlign w:val="baseline"/>
                <w:lang w:val="en-US" w:eastAsia="zh-CN"/>
              </w:rPr>
              <w:t>该工序沉淀后产生一定的量的污泥，经排泥阀和排泥管道进入</w:t>
            </w:r>
            <w:r>
              <w:rPr>
                <w:rFonts w:hint="eastAsia" w:ascii="Times New Roman" w:hAnsi="Times New Roman" w:cs="Times New Roman"/>
                <w:b w:val="0"/>
                <w:bCs w:val="0"/>
                <w:color w:val="auto"/>
                <w:sz w:val="24"/>
                <w:szCs w:val="32"/>
                <w:highlight w:val="none"/>
                <w:vertAlign w:val="baseline"/>
                <w:lang w:val="en-US" w:eastAsia="zh-CN"/>
              </w:rPr>
              <w:t>排泥</w:t>
            </w:r>
            <w:r>
              <w:rPr>
                <w:rFonts w:hint="default" w:ascii="Times New Roman" w:hAnsi="Times New Roman" w:cs="Times New Roman"/>
                <w:b w:val="0"/>
                <w:bCs w:val="0"/>
                <w:color w:val="auto"/>
                <w:sz w:val="24"/>
                <w:szCs w:val="32"/>
                <w:highlight w:val="none"/>
                <w:vertAlign w:val="baseline"/>
                <w:lang w:val="en-US" w:eastAsia="zh-CN"/>
              </w:rPr>
              <w:t>池。</w:t>
            </w:r>
          </w:p>
          <w:p w14:paraId="54909273">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气浮：</w:t>
            </w:r>
            <w:r>
              <w:rPr>
                <w:rFonts w:hint="eastAsia" w:ascii="Times New Roman" w:hAnsi="Times New Roman" w:cs="Times New Roman"/>
                <w:b w:val="0"/>
                <w:bCs w:val="0"/>
                <w:color w:val="auto"/>
                <w:sz w:val="24"/>
                <w:szCs w:val="24"/>
                <w:highlight w:val="none"/>
                <w:vertAlign w:val="baseline"/>
                <w:lang w:val="en-US" w:eastAsia="zh-CN"/>
              </w:rPr>
              <w:t>采用部分回流溶气气浮池，处理效果显著、稳定，并能较大地节约能耗。通过将空气注入水中，形成大量的微小气泡，这些气泡与水中的悬浮物等物质结合，形成浮渣层，从而将其快速地分离出来。是一项从水中分离固体颗粒高效快速的方法。</w:t>
            </w:r>
            <w:r>
              <w:rPr>
                <w:rFonts w:hint="default" w:ascii="Times New Roman" w:hAnsi="Times New Roman" w:cs="Times New Roman"/>
                <w:b w:val="0"/>
                <w:bCs w:val="0"/>
                <w:color w:val="auto"/>
                <w:sz w:val="24"/>
                <w:szCs w:val="32"/>
                <w:highlight w:val="none"/>
                <w:vertAlign w:val="baseline"/>
                <w:lang w:val="en-US" w:eastAsia="zh-CN"/>
              </w:rPr>
              <w:t>该工序</w:t>
            </w:r>
            <w:r>
              <w:rPr>
                <w:rFonts w:hint="eastAsia" w:ascii="Times New Roman" w:hAnsi="Times New Roman" w:cs="Times New Roman"/>
                <w:b w:val="0"/>
                <w:bCs w:val="0"/>
                <w:color w:val="auto"/>
                <w:sz w:val="24"/>
                <w:szCs w:val="32"/>
                <w:highlight w:val="none"/>
                <w:vertAlign w:val="baseline"/>
                <w:lang w:val="en-US" w:eastAsia="zh-CN"/>
              </w:rPr>
              <w:t>气浮</w:t>
            </w:r>
            <w:r>
              <w:rPr>
                <w:rFonts w:hint="default" w:ascii="Times New Roman" w:hAnsi="Times New Roman" w:cs="Times New Roman"/>
                <w:b w:val="0"/>
                <w:bCs w:val="0"/>
                <w:color w:val="auto"/>
                <w:sz w:val="24"/>
                <w:szCs w:val="32"/>
                <w:highlight w:val="none"/>
                <w:vertAlign w:val="baseline"/>
                <w:lang w:val="en-US" w:eastAsia="zh-CN"/>
              </w:rPr>
              <w:t>后产生一定的量的污泥，经排泥阀和排泥管道进入</w:t>
            </w:r>
            <w:r>
              <w:rPr>
                <w:rFonts w:hint="eastAsia" w:ascii="Times New Roman" w:hAnsi="Times New Roman" w:cs="Times New Roman"/>
                <w:b w:val="0"/>
                <w:bCs w:val="0"/>
                <w:color w:val="auto"/>
                <w:sz w:val="24"/>
                <w:szCs w:val="32"/>
                <w:highlight w:val="none"/>
                <w:vertAlign w:val="baseline"/>
                <w:lang w:val="en-US" w:eastAsia="zh-CN"/>
              </w:rPr>
              <w:t>排泥</w:t>
            </w:r>
            <w:r>
              <w:rPr>
                <w:rFonts w:hint="default" w:ascii="Times New Roman" w:hAnsi="Times New Roman" w:cs="Times New Roman"/>
                <w:b w:val="0"/>
                <w:bCs w:val="0"/>
                <w:color w:val="auto"/>
                <w:sz w:val="24"/>
                <w:szCs w:val="32"/>
                <w:highlight w:val="none"/>
                <w:vertAlign w:val="baseline"/>
                <w:lang w:val="en-US" w:eastAsia="zh-CN"/>
              </w:rPr>
              <w:t>池。液面排渣采用刮渣机</w:t>
            </w:r>
            <w:r>
              <w:rPr>
                <w:rFonts w:hint="eastAsia" w:ascii="Times New Roman" w:hAnsi="Times New Roman" w:cs="Times New Roman"/>
                <w:b w:val="0"/>
                <w:bCs w:val="0"/>
                <w:color w:val="auto"/>
                <w:sz w:val="24"/>
                <w:szCs w:val="32"/>
                <w:highlight w:val="none"/>
                <w:vertAlign w:val="baseline"/>
                <w:lang w:val="en-US" w:eastAsia="zh-CN"/>
              </w:rPr>
              <w:t>。</w:t>
            </w:r>
          </w:p>
          <w:p w14:paraId="77F85B6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过</w:t>
            </w:r>
            <w:r>
              <w:rPr>
                <w:rFonts w:hint="default" w:ascii="Times New Roman" w:hAnsi="Times New Roman" w:cs="Times New Roman"/>
                <w:b/>
                <w:bCs/>
                <w:color w:val="auto"/>
                <w:sz w:val="24"/>
                <w:szCs w:val="24"/>
                <w:highlight w:val="none"/>
                <w:vertAlign w:val="baseline"/>
                <w:lang w:val="en-US" w:eastAsia="zh-CN"/>
              </w:rPr>
              <w:t>滤</w:t>
            </w:r>
            <w:r>
              <w:rPr>
                <w:rFonts w:hint="eastAsia" w:ascii="Times New Roman" w:hAnsi="Times New Roman" w:cs="Times New Roman"/>
                <w:b/>
                <w:bCs/>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采用</w:t>
            </w:r>
            <w:r>
              <w:rPr>
                <w:rFonts w:hint="default" w:ascii="Times New Roman" w:hAnsi="Times New Roman" w:cs="Times New Roman"/>
                <w:b w:val="0"/>
                <w:bCs w:val="0"/>
                <w:color w:val="auto"/>
                <w:sz w:val="24"/>
                <w:szCs w:val="32"/>
                <w:highlight w:val="none"/>
                <w:vertAlign w:val="baseline"/>
                <w:lang w:val="en-US" w:eastAsia="zh-CN"/>
              </w:rPr>
              <w:t>V型</w:t>
            </w:r>
            <w:r>
              <w:rPr>
                <w:rFonts w:hint="eastAsia" w:ascii="Times New Roman" w:hAnsi="Times New Roman" w:cs="Times New Roman"/>
                <w:b w:val="0"/>
                <w:bCs w:val="0"/>
                <w:color w:val="auto"/>
                <w:sz w:val="24"/>
                <w:szCs w:val="24"/>
                <w:highlight w:val="none"/>
                <w:vertAlign w:val="baseline"/>
                <w:lang w:val="en-US" w:eastAsia="zh-CN"/>
              </w:rPr>
              <w:t>砂滤池，</w:t>
            </w:r>
            <w:r>
              <w:rPr>
                <w:rFonts w:hint="default" w:ascii="Times New Roman" w:hAnsi="Times New Roman" w:cs="Times New Roman"/>
                <w:b w:val="0"/>
                <w:bCs w:val="0"/>
                <w:color w:val="auto"/>
                <w:sz w:val="24"/>
                <w:szCs w:val="32"/>
                <w:highlight w:val="none"/>
                <w:vertAlign w:val="baseline"/>
                <w:lang w:val="en-US" w:eastAsia="zh-CN"/>
              </w:rPr>
              <w:t>以石英砂粒状滤料层截留水中悬浮物质，从而使水获得澄清的工艺。</w:t>
            </w:r>
          </w:p>
          <w:p w14:paraId="346FA25C">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①</w:t>
            </w:r>
            <w:r>
              <w:rPr>
                <w:rFonts w:hint="default" w:ascii="Times New Roman" w:hAnsi="Times New Roman" w:cs="Times New Roman"/>
                <w:b w:val="0"/>
                <w:bCs w:val="0"/>
                <w:color w:val="auto"/>
                <w:sz w:val="24"/>
                <w:szCs w:val="32"/>
                <w:highlight w:val="none"/>
                <w:vertAlign w:val="baseline"/>
                <w:lang w:val="en-US" w:eastAsia="zh-CN"/>
              </w:rPr>
              <w:t>过滤过程：待滤水由进水总渠进水阀和方孔后，溢过堰口再经侧孔进入被待滤水淹没的滤槽，分别经槽底均布的配水孔和槽堰顶进入滤池。被均粒滤料滤层过滤的滤后水经长柄滤头流入底部空间，由配水方孔汇入气水分配管渠，再经管廊中的</w:t>
            </w:r>
            <w:r>
              <w:rPr>
                <w:rFonts w:hint="eastAsia" w:ascii="Times New Roman" w:hAnsi="Times New Roman" w:cs="Times New Roman"/>
                <w:b w:val="0"/>
                <w:bCs w:val="0"/>
                <w:color w:val="auto"/>
                <w:sz w:val="24"/>
                <w:szCs w:val="32"/>
                <w:highlight w:val="none"/>
                <w:vertAlign w:val="baseline"/>
                <w:lang w:val="en-US" w:eastAsia="zh-CN"/>
              </w:rPr>
              <w:t>管道</w:t>
            </w:r>
            <w:r>
              <w:rPr>
                <w:rFonts w:hint="default" w:ascii="Times New Roman" w:hAnsi="Times New Roman" w:cs="Times New Roman"/>
                <w:b w:val="0"/>
                <w:bCs w:val="0"/>
                <w:color w:val="auto"/>
                <w:sz w:val="24"/>
                <w:szCs w:val="32"/>
                <w:highlight w:val="none"/>
                <w:vertAlign w:val="baseline"/>
                <w:lang w:val="en-US" w:eastAsia="zh-CN"/>
              </w:rPr>
              <w:t>流入清水池。</w:t>
            </w:r>
          </w:p>
          <w:p w14:paraId="6BF64B4E">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②</w:t>
            </w:r>
            <w:r>
              <w:rPr>
                <w:rFonts w:hint="default" w:ascii="Times New Roman" w:hAnsi="Times New Roman" w:cs="Times New Roman"/>
                <w:b w:val="0"/>
                <w:bCs w:val="0"/>
                <w:color w:val="auto"/>
                <w:sz w:val="24"/>
                <w:szCs w:val="32"/>
                <w:highlight w:val="none"/>
                <w:vertAlign w:val="baseline"/>
                <w:lang w:val="en-US" w:eastAsia="zh-CN"/>
              </w:rPr>
              <w:t>反冲洗过程：关闭进水渠，但有一部分进水仍从两侧常开的方孔流入滤池，由槽一侧流向排水渠一侧，形成表面扫洗。而后开启排水阀将池面水从排水槽中排出直至滤池水面与槽顶相平。反冲洗过程常采用“气冲→气水同时反冲→水冲”三步。</w:t>
            </w:r>
          </w:p>
          <w:p w14:paraId="013E23FC">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a.</w:t>
            </w:r>
            <w:r>
              <w:rPr>
                <w:rFonts w:hint="default" w:ascii="Times New Roman" w:hAnsi="Times New Roman" w:cs="Times New Roman"/>
                <w:b w:val="0"/>
                <w:bCs w:val="0"/>
                <w:color w:val="auto"/>
                <w:sz w:val="24"/>
                <w:szCs w:val="32"/>
                <w:highlight w:val="none"/>
                <w:vertAlign w:val="baseline"/>
                <w:lang w:val="en-US" w:eastAsia="zh-CN"/>
              </w:rPr>
              <w:t>气冲：打开进气阀，开启供气设备，空气经气水分配渠的上部小孔均匀进入滤池底部，由长柄滤头喷出，将滤料表面杂质擦洗下来并悬浮于水中，被表面扫洗水冲入排水槽。</w:t>
            </w:r>
          </w:p>
          <w:p w14:paraId="14AD6D15">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b.</w:t>
            </w:r>
            <w:r>
              <w:rPr>
                <w:rFonts w:hint="default" w:ascii="Times New Roman" w:hAnsi="Times New Roman" w:cs="Times New Roman"/>
                <w:b w:val="0"/>
                <w:bCs w:val="0"/>
                <w:color w:val="auto"/>
                <w:sz w:val="24"/>
                <w:szCs w:val="32"/>
                <w:highlight w:val="none"/>
                <w:vertAlign w:val="baseline"/>
                <w:lang w:val="en-US" w:eastAsia="zh-CN"/>
              </w:rPr>
              <w:t>气水同时反冲洗：在气冲的同时启动冲洗水泵，打开冲洗水阀，反冲洗水也进入气水分配渠，气、水分别经小孔和配水方孔流入滤池底部配水区，经长柄滤头均匀进入滤池，滤料得到进一步冲洗，表扫仍继续进行。</w:t>
            </w:r>
          </w:p>
          <w:p w14:paraId="376A1995">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c.</w:t>
            </w:r>
            <w:r>
              <w:rPr>
                <w:rFonts w:hint="default" w:ascii="Times New Roman" w:hAnsi="Times New Roman" w:cs="Times New Roman"/>
                <w:b w:val="0"/>
                <w:bCs w:val="0"/>
                <w:color w:val="auto"/>
                <w:sz w:val="24"/>
                <w:szCs w:val="32"/>
                <w:highlight w:val="none"/>
                <w:vertAlign w:val="baseline"/>
                <w:lang w:val="en-US" w:eastAsia="zh-CN"/>
              </w:rPr>
              <w:t>停止冲洗，单独水冲，表扫仍继续，最后将水中杂质全部冲入排水槽。</w:t>
            </w:r>
          </w:p>
          <w:p w14:paraId="4131C49D">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项目滤池反冲洗工序产生一定量的反冲洗水，废水经排水阀和排水管道进入</w:t>
            </w:r>
            <w:r>
              <w:rPr>
                <w:rFonts w:hint="eastAsia" w:ascii="Times New Roman" w:hAnsi="Times New Roman" w:cs="Times New Roman"/>
                <w:b w:val="0"/>
                <w:bCs w:val="0"/>
                <w:color w:val="auto"/>
                <w:sz w:val="24"/>
                <w:szCs w:val="32"/>
                <w:highlight w:val="none"/>
                <w:vertAlign w:val="baseline"/>
                <w:lang w:val="en-US" w:eastAsia="zh-CN"/>
              </w:rPr>
              <w:t>排水</w:t>
            </w:r>
            <w:r>
              <w:rPr>
                <w:rFonts w:hint="default" w:ascii="Times New Roman" w:hAnsi="Times New Roman" w:cs="Times New Roman"/>
                <w:b w:val="0"/>
                <w:bCs w:val="0"/>
                <w:color w:val="auto"/>
                <w:sz w:val="24"/>
                <w:szCs w:val="32"/>
                <w:highlight w:val="none"/>
                <w:vertAlign w:val="baseline"/>
                <w:lang w:val="en-US" w:eastAsia="zh-CN"/>
              </w:rPr>
              <w:t>池。</w:t>
            </w:r>
          </w:p>
          <w:p w14:paraId="66EB2818">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消毒：</w:t>
            </w:r>
            <w:r>
              <w:rPr>
                <w:rFonts w:hint="default" w:ascii="Times New Roman" w:hAnsi="Times New Roman" w:cs="Times New Roman"/>
                <w:b w:val="0"/>
                <w:bCs w:val="0"/>
                <w:color w:val="auto"/>
                <w:sz w:val="24"/>
                <w:szCs w:val="24"/>
                <w:highlight w:val="none"/>
                <w:vertAlign w:val="baseline"/>
                <w:lang w:val="en-US" w:eastAsia="zh-CN"/>
              </w:rPr>
              <w:t>采用复合硫酸氢钠和复合氯酸钠反应产生二氧化氯对</w:t>
            </w:r>
            <w:r>
              <w:rPr>
                <w:rFonts w:hint="eastAsia" w:ascii="Times New Roman" w:hAnsi="Times New Roman" w:cs="Times New Roman"/>
                <w:b w:val="0"/>
                <w:bCs w:val="0"/>
                <w:color w:val="auto"/>
                <w:sz w:val="24"/>
                <w:szCs w:val="24"/>
                <w:highlight w:val="none"/>
                <w:vertAlign w:val="baseline"/>
                <w:lang w:val="en-US" w:eastAsia="zh-CN"/>
              </w:rPr>
              <w:t>清水</w:t>
            </w:r>
            <w:r>
              <w:rPr>
                <w:rFonts w:hint="default" w:ascii="Times New Roman" w:hAnsi="Times New Roman" w:cs="Times New Roman"/>
                <w:b w:val="0"/>
                <w:bCs w:val="0"/>
                <w:color w:val="auto"/>
                <w:sz w:val="24"/>
                <w:szCs w:val="24"/>
                <w:highlight w:val="none"/>
                <w:vertAlign w:val="baseline"/>
                <w:lang w:val="en-US" w:eastAsia="zh-CN"/>
              </w:rPr>
              <w:t>进行消毒，</w:t>
            </w:r>
            <w:r>
              <w:rPr>
                <w:rFonts w:hint="eastAsia"/>
                <w:sz w:val="24"/>
                <w:szCs w:val="24"/>
              </w:rPr>
              <w:t>投加点位于清水池进水管道上</w:t>
            </w:r>
            <w:r>
              <w:rPr>
                <w:rFonts w:hint="eastAsia"/>
                <w:sz w:val="24"/>
                <w:szCs w:val="24"/>
                <w:lang w:eastAsia="zh-CN"/>
              </w:rPr>
              <w:t>，</w:t>
            </w:r>
            <w:r>
              <w:rPr>
                <w:rFonts w:hint="default" w:ascii="Times New Roman" w:hAnsi="Times New Roman" w:cs="Times New Roman"/>
                <w:sz w:val="24"/>
                <w:szCs w:val="24"/>
                <w:lang w:eastAsia="zh-CN"/>
              </w:rPr>
              <w:t>设计最大投加量2.0mg/L</w:t>
            </w:r>
            <w:r>
              <w:rPr>
                <w:rFonts w:hint="eastAsia" w:ascii="Times New Roman" w:hAnsi="Times New Roman" w:cs="Times New Roman"/>
                <w:sz w:val="24"/>
                <w:szCs w:val="24"/>
                <w:lang w:eastAsia="zh-CN"/>
              </w:rPr>
              <w:t>。</w:t>
            </w:r>
          </w:p>
          <w:p w14:paraId="53C1E0F7">
            <w:pPr>
              <w:keepNext w:val="0"/>
              <w:keepLines w:val="0"/>
              <w:pageBreakBefore w:val="0"/>
              <w:kinsoku/>
              <w:wordWrap/>
              <w:overflowPunct/>
              <w:topLinePunct w:val="0"/>
              <w:autoSpaceDE/>
              <w:autoSpaceDN/>
              <w:bidi w:val="0"/>
              <w:snapToGrid/>
              <w:spacing w:line="360" w:lineRule="auto"/>
              <w:jc w:val="center"/>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NaCLO</w:t>
            </w:r>
            <w:r>
              <w:rPr>
                <w:rFonts w:hint="default" w:ascii="Times New Roman" w:hAnsi="Times New Roman" w:cs="Times New Roman"/>
                <w:b w:val="0"/>
                <w:bCs w:val="0"/>
                <w:color w:val="auto"/>
                <w:sz w:val="24"/>
                <w:szCs w:val="32"/>
                <w:highlight w:val="none"/>
                <w:vertAlign w:val="subscript"/>
                <w:lang w:val="en-US" w:eastAsia="zh-CN"/>
              </w:rPr>
              <w:t>2</w:t>
            </w:r>
            <w:r>
              <w:rPr>
                <w:rFonts w:hint="default" w:ascii="Times New Roman" w:hAnsi="Times New Roman" w:cs="Times New Roman"/>
                <w:b w:val="0"/>
                <w:bCs w:val="0"/>
                <w:color w:val="auto"/>
                <w:sz w:val="24"/>
                <w:szCs w:val="32"/>
                <w:highlight w:val="none"/>
                <w:vertAlign w:val="baseline"/>
                <w:lang w:val="en-US" w:eastAsia="zh-CN"/>
              </w:rPr>
              <w:t>+NaHSO</w:t>
            </w:r>
            <w:r>
              <w:rPr>
                <w:rFonts w:hint="default" w:ascii="Times New Roman" w:hAnsi="Times New Roman" w:cs="Times New Roman"/>
                <w:b w:val="0"/>
                <w:bCs w:val="0"/>
                <w:color w:val="auto"/>
                <w:sz w:val="24"/>
                <w:szCs w:val="32"/>
                <w:highlight w:val="none"/>
                <w:vertAlign w:val="subscript"/>
                <w:lang w:val="en-US" w:eastAsia="zh-CN"/>
              </w:rPr>
              <w:t>4</w:t>
            </w:r>
            <w:r>
              <w:rPr>
                <w:rFonts w:hint="default" w:ascii="Times New Roman" w:hAnsi="Times New Roman" w:cs="Times New Roman"/>
                <w:b w:val="0"/>
                <w:bCs w:val="0"/>
                <w:color w:val="auto"/>
                <w:sz w:val="24"/>
                <w:szCs w:val="32"/>
                <w:highlight w:val="none"/>
                <w:vertAlign w:val="baseline"/>
                <w:lang w:val="en-US" w:eastAsia="zh-CN"/>
              </w:rPr>
              <w:t>=HClO</w:t>
            </w:r>
            <w:r>
              <w:rPr>
                <w:rFonts w:hint="default" w:ascii="Times New Roman" w:hAnsi="Times New Roman" w:cs="Times New Roman"/>
                <w:b w:val="0"/>
                <w:bCs w:val="0"/>
                <w:color w:val="auto"/>
                <w:sz w:val="24"/>
                <w:szCs w:val="32"/>
                <w:highlight w:val="none"/>
                <w:vertAlign w:val="subscript"/>
                <w:lang w:val="en-US" w:eastAsia="zh-CN"/>
              </w:rPr>
              <w:t>2</w:t>
            </w:r>
            <w:r>
              <w:rPr>
                <w:rFonts w:hint="default" w:ascii="Times New Roman" w:hAnsi="Times New Roman" w:cs="Times New Roman"/>
                <w:b w:val="0"/>
                <w:bCs w:val="0"/>
                <w:color w:val="auto"/>
                <w:sz w:val="24"/>
                <w:szCs w:val="32"/>
                <w:highlight w:val="none"/>
                <w:vertAlign w:val="baseline"/>
                <w:lang w:val="en-US" w:eastAsia="zh-CN"/>
              </w:rPr>
              <w:t>+Na</w:t>
            </w:r>
            <w:r>
              <w:rPr>
                <w:rFonts w:hint="default" w:ascii="Times New Roman" w:hAnsi="Times New Roman" w:cs="Times New Roman"/>
                <w:b w:val="0"/>
                <w:bCs w:val="0"/>
                <w:color w:val="auto"/>
                <w:sz w:val="24"/>
                <w:szCs w:val="32"/>
                <w:highlight w:val="none"/>
                <w:vertAlign w:val="subscript"/>
                <w:lang w:val="en-US" w:eastAsia="zh-CN"/>
              </w:rPr>
              <w:t>2</w:t>
            </w:r>
            <w:r>
              <w:rPr>
                <w:rFonts w:hint="default" w:ascii="Times New Roman" w:hAnsi="Times New Roman" w:cs="Times New Roman"/>
                <w:b w:val="0"/>
                <w:bCs w:val="0"/>
                <w:color w:val="auto"/>
                <w:sz w:val="24"/>
                <w:szCs w:val="32"/>
                <w:highlight w:val="none"/>
                <w:vertAlign w:val="baseline"/>
                <w:lang w:val="en-US" w:eastAsia="zh-CN"/>
              </w:rPr>
              <w:t>SO</w:t>
            </w:r>
            <w:r>
              <w:rPr>
                <w:rFonts w:hint="default" w:ascii="Times New Roman" w:hAnsi="Times New Roman" w:cs="Times New Roman"/>
                <w:b w:val="0"/>
                <w:bCs w:val="0"/>
                <w:color w:val="auto"/>
                <w:sz w:val="24"/>
                <w:szCs w:val="32"/>
                <w:highlight w:val="none"/>
                <w:vertAlign w:val="subscript"/>
                <w:lang w:val="en-US" w:eastAsia="zh-CN"/>
              </w:rPr>
              <w:t>4</w:t>
            </w:r>
          </w:p>
          <w:p w14:paraId="48B5782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排泥池：</w:t>
            </w:r>
            <w:r>
              <w:rPr>
                <w:rFonts w:hint="default" w:ascii="Times New Roman" w:hAnsi="Times New Roman" w:cs="Times New Roman"/>
                <w:color w:val="auto"/>
                <w:sz w:val="24"/>
                <w:szCs w:val="24"/>
                <w:highlight w:val="none"/>
                <w:vertAlign w:val="baseline"/>
                <w:lang w:val="en-US" w:eastAsia="zh-CN"/>
              </w:rPr>
              <w:t>絮凝</w:t>
            </w:r>
            <w:r>
              <w:rPr>
                <w:rFonts w:hint="eastAsia" w:ascii="Times New Roman" w:hAnsi="Times New Roman" w:cs="Times New Roman"/>
                <w:color w:val="auto"/>
                <w:sz w:val="24"/>
                <w:szCs w:val="24"/>
                <w:highlight w:val="none"/>
                <w:vertAlign w:val="baseline"/>
                <w:lang w:val="en-US" w:eastAsia="zh-CN"/>
              </w:rPr>
              <w:t>池、斜管</w:t>
            </w:r>
            <w:r>
              <w:rPr>
                <w:rFonts w:hint="default" w:ascii="Times New Roman" w:hAnsi="Times New Roman" w:cs="Times New Roman"/>
                <w:color w:val="auto"/>
                <w:sz w:val="24"/>
                <w:szCs w:val="24"/>
                <w:highlight w:val="none"/>
                <w:vertAlign w:val="baseline"/>
                <w:lang w:val="en-US" w:eastAsia="zh-CN"/>
              </w:rPr>
              <w:t>沉淀</w:t>
            </w:r>
            <w:r>
              <w:rPr>
                <w:rFonts w:hint="eastAsia" w:ascii="Times New Roman" w:hAnsi="Times New Roman" w:cs="Times New Roman"/>
                <w:color w:val="auto"/>
                <w:sz w:val="24"/>
                <w:szCs w:val="24"/>
                <w:highlight w:val="none"/>
                <w:vertAlign w:val="baseline"/>
                <w:lang w:val="en-US" w:eastAsia="zh-CN"/>
              </w:rPr>
              <w:t>池、</w:t>
            </w:r>
            <w:r>
              <w:rPr>
                <w:rFonts w:hint="default" w:ascii="Times New Roman" w:hAnsi="Times New Roman" w:cs="Times New Roman"/>
                <w:color w:val="auto"/>
                <w:sz w:val="24"/>
                <w:szCs w:val="24"/>
                <w:highlight w:val="none"/>
                <w:vertAlign w:val="baseline"/>
                <w:lang w:val="en-US" w:eastAsia="zh-CN"/>
              </w:rPr>
              <w:t>气浮池</w:t>
            </w:r>
            <w:r>
              <w:rPr>
                <w:rFonts w:hint="eastAsia" w:ascii="Times New Roman" w:hAnsi="Times New Roman" w:cs="Times New Roman"/>
                <w:color w:val="auto"/>
                <w:sz w:val="24"/>
                <w:szCs w:val="24"/>
                <w:highlight w:val="none"/>
                <w:vertAlign w:val="baseline"/>
                <w:lang w:val="en-US" w:eastAsia="zh-CN"/>
              </w:rPr>
              <w:t>会产生</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，经排泥管道收集至排泥池后，沉淀后回用</w:t>
            </w:r>
            <w:r>
              <w:rPr>
                <w:rFonts w:hint="eastAsia"/>
                <w:sz w:val="24"/>
                <w:szCs w:val="24"/>
                <w:lang w:val="en-US" w:eastAsia="zh-CN"/>
              </w:rPr>
              <w:t>。</w:t>
            </w:r>
          </w:p>
          <w:p w14:paraId="311BDE5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b/>
                <w:bCs/>
                <w:sz w:val="24"/>
                <w:szCs w:val="24"/>
                <w:lang w:val="en-US" w:eastAsia="zh-CN"/>
              </w:rPr>
              <w:t>排水池：</w:t>
            </w:r>
            <w:r>
              <w:rPr>
                <w:rFonts w:hint="eastAsia" w:ascii="Times New Roman" w:hAnsi="Times New Roman" w:cs="Times New Roman"/>
                <w:color w:val="auto"/>
                <w:sz w:val="24"/>
                <w:szCs w:val="24"/>
                <w:highlight w:val="none"/>
                <w:vertAlign w:val="baseline"/>
                <w:lang w:val="en-US" w:eastAsia="zh-CN"/>
              </w:rPr>
              <w:t>滤池</w:t>
            </w:r>
            <w:r>
              <w:rPr>
                <w:rFonts w:hint="eastAsia" w:ascii="Times New Roman" w:hAnsi="Times New Roman" w:cs="Times New Roman"/>
                <w:color w:val="auto"/>
                <w:sz w:val="24"/>
                <w:szCs w:val="32"/>
                <w:highlight w:val="none"/>
                <w:vertAlign w:val="baseline"/>
                <w:lang w:val="en-US" w:eastAsia="zh-CN"/>
              </w:rPr>
              <w:t>会产生</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，经废水管道收集至排水池，全部返回净水设施处理。</w:t>
            </w:r>
          </w:p>
          <w:p w14:paraId="59E97A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2）产污环节</w:t>
            </w:r>
          </w:p>
          <w:p w14:paraId="33A856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隘口水厂运营期</w:t>
            </w:r>
            <w:r>
              <w:rPr>
                <w:rFonts w:hint="default" w:ascii="Times New Roman" w:hAnsi="Times New Roman" w:eastAsia="宋体" w:cs="Times New Roman"/>
                <w:color w:val="auto"/>
                <w:sz w:val="24"/>
                <w:szCs w:val="24"/>
                <w:highlight w:val="none"/>
                <w:lang w:val="en-US" w:eastAsia="zh-CN"/>
              </w:rPr>
              <w:t>主要产污工序及</w:t>
            </w:r>
            <w:r>
              <w:rPr>
                <w:rFonts w:hint="default" w:ascii="Times New Roman" w:hAnsi="Times New Roman" w:eastAsia="宋体" w:cs="Times New Roman"/>
                <w:color w:val="auto"/>
                <w:sz w:val="24"/>
                <w:szCs w:val="24"/>
                <w:highlight w:val="none"/>
              </w:rPr>
              <w:t>污染物如下表</w:t>
            </w:r>
            <w:r>
              <w:rPr>
                <w:rFonts w:hint="eastAsia" w:ascii="Times New Roman" w:hAnsi="Times New Roman" w:eastAsia="宋体" w:cs="Times New Roman"/>
                <w:color w:val="auto"/>
                <w:sz w:val="24"/>
                <w:szCs w:val="24"/>
                <w:highlight w:val="none"/>
                <w:lang w:eastAsia="zh-CN"/>
              </w:rPr>
              <w:t>。</w:t>
            </w:r>
          </w:p>
          <w:p w14:paraId="5AE4EF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sz w:val="21"/>
                <w:szCs w:val="21"/>
                <w:highlight w:val="none"/>
                <w:lang w:val="zh-CN"/>
              </w:rPr>
            </w:pPr>
            <w:r>
              <w:rPr>
                <w:rFonts w:hint="default" w:ascii="Times New Roman" w:hAnsi="Times New Roman" w:eastAsia="黑体" w:cs="Times New Roman"/>
                <w:b w:val="0"/>
                <w:bCs/>
                <w:color w:val="auto"/>
                <w:sz w:val="21"/>
                <w:szCs w:val="21"/>
                <w:highlight w:val="none"/>
                <w:lang w:val="zh-CN"/>
              </w:rPr>
              <w:t>表</w:t>
            </w:r>
            <w:r>
              <w:rPr>
                <w:rFonts w:hint="default" w:ascii="Times New Roman" w:hAnsi="Times New Roman" w:eastAsia="黑体" w:cs="Times New Roman"/>
                <w:b w:val="0"/>
                <w:bCs/>
                <w:color w:val="auto"/>
                <w:sz w:val="21"/>
                <w:szCs w:val="21"/>
                <w:highlight w:val="none"/>
              </w:rPr>
              <w:t>2-</w:t>
            </w:r>
            <w:r>
              <w:rPr>
                <w:rFonts w:hint="eastAsia" w:ascii="Times New Roman" w:hAnsi="Times New Roman" w:eastAsia="黑体" w:cs="Times New Roman"/>
                <w:b w:val="0"/>
                <w:bCs/>
                <w:color w:val="auto"/>
                <w:sz w:val="21"/>
                <w:szCs w:val="21"/>
                <w:highlight w:val="none"/>
                <w:lang w:val="en-US" w:eastAsia="zh-CN"/>
              </w:rPr>
              <w:t>8</w:t>
            </w:r>
            <w:r>
              <w:rPr>
                <w:rFonts w:hint="default" w:ascii="Times New Roman" w:hAnsi="Times New Roman" w:eastAsia="黑体" w:cs="Times New Roman"/>
                <w:b w:val="0"/>
                <w:bCs/>
                <w:color w:val="auto"/>
                <w:sz w:val="21"/>
                <w:szCs w:val="21"/>
                <w:highlight w:val="none"/>
                <w:lang w:val="zh-CN"/>
              </w:rPr>
              <w:t xml:space="preserve"> </w:t>
            </w:r>
            <w:r>
              <w:rPr>
                <w:rFonts w:hint="eastAsia" w:ascii="Times New Roman" w:hAnsi="Times New Roman" w:eastAsia="黑体" w:cs="Times New Roman"/>
                <w:b w:val="0"/>
                <w:bCs/>
                <w:color w:val="auto"/>
                <w:sz w:val="21"/>
                <w:szCs w:val="21"/>
                <w:highlight w:val="none"/>
                <w:lang w:val="en-US" w:eastAsia="zh-CN"/>
              </w:rPr>
              <w:t>隘口水厂</w:t>
            </w:r>
            <w:r>
              <w:rPr>
                <w:rFonts w:hint="default" w:ascii="Times New Roman" w:hAnsi="Times New Roman" w:eastAsia="黑体" w:cs="Times New Roman"/>
                <w:b w:val="0"/>
                <w:bCs/>
                <w:color w:val="auto"/>
                <w:sz w:val="21"/>
                <w:szCs w:val="21"/>
                <w:highlight w:val="none"/>
                <w:lang w:val="zh-CN"/>
              </w:rPr>
              <w:t>主要产污环节</w:t>
            </w:r>
          </w:p>
          <w:tbl>
            <w:tblPr>
              <w:tblStyle w:val="2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320"/>
              <w:gridCol w:w="2910"/>
              <w:gridCol w:w="3167"/>
            </w:tblGrid>
            <w:tr w14:paraId="4BA0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1" w:type="dxa"/>
                  <w:tcBorders>
                    <w:tl2br w:val="nil"/>
                    <w:tr2bl w:val="nil"/>
                  </w:tcBorders>
                  <w:vAlign w:val="center"/>
                </w:tcPr>
                <w:p w14:paraId="4B7A2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eastAsia="zh-CN"/>
                    </w:rPr>
                    <w:t>类别</w:t>
                  </w:r>
                </w:p>
              </w:tc>
              <w:tc>
                <w:tcPr>
                  <w:tcW w:w="2320" w:type="dxa"/>
                  <w:tcBorders>
                    <w:tl2br w:val="nil"/>
                    <w:tr2bl w:val="nil"/>
                  </w:tcBorders>
                  <w:vAlign w:val="center"/>
                </w:tcPr>
                <w:p w14:paraId="57D77F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eastAsia="zh-CN"/>
                    </w:rPr>
                    <w:t>产污工序</w:t>
                  </w:r>
                  <w:r>
                    <w:rPr>
                      <w:rFonts w:hint="default" w:ascii="Times New Roman" w:hAnsi="Times New Roman" w:eastAsia="宋体" w:cs="Times New Roman"/>
                      <w:b/>
                      <w:color w:val="auto"/>
                      <w:kern w:val="0"/>
                      <w:sz w:val="21"/>
                      <w:szCs w:val="21"/>
                      <w:highlight w:val="none"/>
                      <w:lang w:val="en-US" w:eastAsia="zh-CN"/>
                    </w:rPr>
                    <w:t>/位置</w:t>
                  </w:r>
                </w:p>
              </w:tc>
              <w:tc>
                <w:tcPr>
                  <w:tcW w:w="2910" w:type="dxa"/>
                  <w:tcBorders>
                    <w:tl2br w:val="nil"/>
                    <w:tr2bl w:val="nil"/>
                  </w:tcBorders>
                  <w:vAlign w:val="center"/>
                </w:tcPr>
                <w:p w14:paraId="4D46F9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eastAsia="zh-CN"/>
                    </w:rPr>
                    <w:t>污染物名称</w:t>
                  </w:r>
                </w:p>
              </w:tc>
              <w:tc>
                <w:tcPr>
                  <w:tcW w:w="3167" w:type="dxa"/>
                  <w:tcBorders>
                    <w:tl2br w:val="nil"/>
                    <w:tr2bl w:val="nil"/>
                  </w:tcBorders>
                  <w:vAlign w:val="center"/>
                </w:tcPr>
                <w:p w14:paraId="52CA6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eastAsia="zh-CN"/>
                    </w:rPr>
                    <w:t>主要污染因子</w:t>
                  </w:r>
                  <w:r>
                    <w:rPr>
                      <w:rFonts w:hint="default" w:ascii="Times New Roman" w:hAnsi="Times New Roman" w:eastAsia="宋体" w:cs="Times New Roman"/>
                      <w:b/>
                      <w:color w:val="auto"/>
                      <w:kern w:val="0"/>
                      <w:sz w:val="21"/>
                      <w:szCs w:val="21"/>
                      <w:highlight w:val="none"/>
                      <w:lang w:val="en-US" w:eastAsia="zh-CN"/>
                    </w:rPr>
                    <w:t>/废物类别</w:t>
                  </w:r>
                </w:p>
              </w:tc>
            </w:tr>
            <w:tr w14:paraId="1729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tcBorders>
                    <w:tl2br w:val="nil"/>
                    <w:tr2bl w:val="nil"/>
                  </w:tcBorders>
                  <w:vAlign w:val="center"/>
                </w:tcPr>
                <w:p w14:paraId="1B6254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废气</w:t>
                  </w:r>
                </w:p>
              </w:tc>
              <w:tc>
                <w:tcPr>
                  <w:tcW w:w="2320" w:type="dxa"/>
                  <w:tcBorders>
                    <w:tl2br w:val="nil"/>
                    <w:tr2bl w:val="nil"/>
                  </w:tcBorders>
                  <w:vAlign w:val="center"/>
                </w:tcPr>
                <w:p w14:paraId="4C77C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2910" w:type="dxa"/>
                  <w:tcBorders>
                    <w:tl2br w:val="nil"/>
                    <w:tr2bl w:val="nil"/>
                  </w:tcBorders>
                  <w:vAlign w:val="center"/>
                </w:tcPr>
                <w:p w14:paraId="26266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3167" w:type="dxa"/>
                  <w:tcBorders>
                    <w:tl2br w:val="nil"/>
                    <w:tr2bl w:val="nil"/>
                  </w:tcBorders>
                  <w:vAlign w:val="center"/>
                </w:tcPr>
                <w:p w14:paraId="4C421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14:paraId="0EF1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restart"/>
                  <w:tcBorders>
                    <w:tl2br w:val="nil"/>
                    <w:tr2bl w:val="nil"/>
                  </w:tcBorders>
                  <w:vAlign w:val="center"/>
                </w:tcPr>
                <w:p w14:paraId="139D1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2320" w:type="dxa"/>
                  <w:tcBorders>
                    <w:tl2br w:val="nil"/>
                    <w:tr2bl w:val="nil"/>
                  </w:tcBorders>
                  <w:vAlign w:val="center"/>
                </w:tcPr>
                <w:p w14:paraId="3BD5A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办公生活区</w:t>
                  </w:r>
                </w:p>
              </w:tc>
              <w:tc>
                <w:tcPr>
                  <w:tcW w:w="2910" w:type="dxa"/>
                  <w:tcBorders>
                    <w:tl2br w:val="nil"/>
                    <w:tr2bl w:val="nil"/>
                  </w:tcBorders>
                  <w:shd w:val="clear" w:color="auto" w:fill="auto"/>
                  <w:vAlign w:val="center"/>
                </w:tcPr>
                <w:p w14:paraId="5E4115AC">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生活污水</w:t>
                  </w:r>
                </w:p>
              </w:tc>
              <w:tc>
                <w:tcPr>
                  <w:tcW w:w="3167" w:type="dxa"/>
                  <w:tcBorders>
                    <w:tl2br w:val="nil"/>
                    <w:tr2bl w:val="nil"/>
                  </w:tcBorders>
                  <w:vAlign w:val="center"/>
                </w:tcPr>
                <w:p w14:paraId="7082F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COD、BOD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、SS、NH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TP</w:t>
                  </w:r>
                </w:p>
              </w:tc>
            </w:tr>
            <w:tr w14:paraId="79E7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78A06D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04870F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cs="Times New Roman"/>
                      <w:color w:val="auto"/>
                      <w:sz w:val="21"/>
                      <w:szCs w:val="21"/>
                      <w:highlight w:val="none"/>
                      <w:vertAlign w:val="baseline"/>
                      <w:lang w:val="en-US" w:eastAsia="zh-CN"/>
                    </w:rPr>
                    <w:t>絮凝</w:t>
                  </w:r>
                  <w:r>
                    <w:rPr>
                      <w:rFonts w:hint="eastAsia" w:ascii="Times New Roman" w:hAnsi="Times New Roman" w:cs="Times New Roman"/>
                      <w:color w:val="auto"/>
                      <w:sz w:val="21"/>
                      <w:szCs w:val="21"/>
                      <w:highlight w:val="none"/>
                      <w:vertAlign w:val="baseline"/>
                      <w:lang w:val="en-US" w:eastAsia="zh-CN"/>
                    </w:rPr>
                    <w:t>池、斜管</w:t>
                  </w:r>
                  <w:r>
                    <w:rPr>
                      <w:rFonts w:hint="default" w:ascii="Times New Roman" w:hAnsi="Times New Roman" w:cs="Times New Roman"/>
                      <w:color w:val="auto"/>
                      <w:sz w:val="21"/>
                      <w:szCs w:val="21"/>
                      <w:highlight w:val="none"/>
                      <w:vertAlign w:val="baseline"/>
                      <w:lang w:val="en-US" w:eastAsia="zh-CN"/>
                    </w:rPr>
                    <w:t>沉淀</w:t>
                  </w:r>
                  <w:r>
                    <w:rPr>
                      <w:rFonts w:hint="eastAsia" w:ascii="Times New Roman" w:hAnsi="Times New Roman" w:cs="Times New Roman"/>
                      <w:color w:val="auto"/>
                      <w:sz w:val="21"/>
                      <w:szCs w:val="21"/>
                      <w:highlight w:val="none"/>
                      <w:vertAlign w:val="baseline"/>
                      <w:lang w:val="en-US" w:eastAsia="zh-CN"/>
                    </w:rPr>
                    <w:t>池、</w:t>
                  </w:r>
                  <w:r>
                    <w:rPr>
                      <w:rFonts w:hint="default" w:ascii="Times New Roman" w:hAnsi="Times New Roman" w:cs="Times New Roman"/>
                      <w:color w:val="auto"/>
                      <w:sz w:val="21"/>
                      <w:szCs w:val="21"/>
                      <w:highlight w:val="none"/>
                      <w:vertAlign w:val="baseline"/>
                      <w:lang w:val="en-US" w:eastAsia="zh-CN"/>
                    </w:rPr>
                    <w:t>气浮池</w:t>
                  </w:r>
                </w:p>
              </w:tc>
              <w:tc>
                <w:tcPr>
                  <w:tcW w:w="2910" w:type="dxa"/>
                  <w:tcBorders>
                    <w:tl2br w:val="nil"/>
                    <w:tr2bl w:val="nil"/>
                  </w:tcBorders>
                  <w:shd w:val="clear" w:color="auto" w:fill="auto"/>
                  <w:vAlign w:val="center"/>
                </w:tcPr>
                <w:p w14:paraId="54A2DB77">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排泥水</w:t>
                  </w:r>
                </w:p>
              </w:tc>
              <w:tc>
                <w:tcPr>
                  <w:tcW w:w="3167" w:type="dxa"/>
                  <w:tcBorders>
                    <w:tl2br w:val="nil"/>
                    <w:tr2bl w:val="nil"/>
                  </w:tcBorders>
                  <w:vAlign w:val="center"/>
                </w:tcPr>
                <w:p w14:paraId="08A98B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SS</w:t>
                  </w:r>
                </w:p>
              </w:tc>
            </w:tr>
            <w:tr w14:paraId="409A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1A3B31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3C38F5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cs="Times New Roman"/>
                      <w:color w:val="auto"/>
                      <w:sz w:val="21"/>
                      <w:szCs w:val="21"/>
                      <w:highlight w:val="none"/>
                      <w:vertAlign w:val="baseline"/>
                      <w:lang w:val="en-US" w:eastAsia="zh-CN"/>
                    </w:rPr>
                    <w:t>滤池</w:t>
                  </w:r>
                </w:p>
              </w:tc>
              <w:tc>
                <w:tcPr>
                  <w:tcW w:w="2910" w:type="dxa"/>
                  <w:tcBorders>
                    <w:tl2br w:val="nil"/>
                    <w:tr2bl w:val="nil"/>
                  </w:tcBorders>
                  <w:shd w:val="clear" w:color="auto" w:fill="auto"/>
                  <w:vAlign w:val="center"/>
                </w:tcPr>
                <w:p w14:paraId="3E81B690">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反冲洗水</w:t>
                  </w:r>
                </w:p>
              </w:tc>
              <w:tc>
                <w:tcPr>
                  <w:tcW w:w="3167" w:type="dxa"/>
                  <w:tcBorders>
                    <w:tl2br w:val="nil"/>
                    <w:tr2bl w:val="nil"/>
                  </w:tcBorders>
                  <w:vAlign w:val="center"/>
                </w:tcPr>
                <w:p w14:paraId="3C495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SS</w:t>
                  </w:r>
                </w:p>
              </w:tc>
            </w:tr>
            <w:tr w14:paraId="0F9E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tcBorders>
                    <w:tl2br w:val="nil"/>
                    <w:tr2bl w:val="nil"/>
                  </w:tcBorders>
                  <w:vAlign w:val="center"/>
                </w:tcPr>
                <w:p w14:paraId="6603F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2320" w:type="dxa"/>
                  <w:tcBorders>
                    <w:tl2br w:val="nil"/>
                    <w:tr2bl w:val="nil"/>
                  </w:tcBorders>
                  <w:shd w:val="clear" w:color="auto" w:fill="auto"/>
                  <w:vAlign w:val="center"/>
                </w:tcPr>
                <w:p w14:paraId="7C9215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工艺设备</w:t>
                  </w:r>
                </w:p>
              </w:tc>
              <w:tc>
                <w:tcPr>
                  <w:tcW w:w="2910" w:type="dxa"/>
                  <w:tcBorders>
                    <w:tl2br w:val="nil"/>
                    <w:tr2bl w:val="nil"/>
                  </w:tcBorders>
                  <w:shd w:val="clear" w:color="auto" w:fill="auto"/>
                  <w:vAlign w:val="center"/>
                </w:tcPr>
                <w:p w14:paraId="1CFD0D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设备噪声</w:t>
                  </w:r>
                </w:p>
              </w:tc>
              <w:tc>
                <w:tcPr>
                  <w:tcW w:w="3167" w:type="dxa"/>
                  <w:tcBorders>
                    <w:tl2br w:val="nil"/>
                    <w:tr2bl w:val="nil"/>
                  </w:tcBorders>
                  <w:vAlign w:val="center"/>
                </w:tcPr>
                <w:p w14:paraId="200AE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26FE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restart"/>
                  <w:tcBorders>
                    <w:tl2br w:val="nil"/>
                    <w:tr2bl w:val="nil"/>
                  </w:tcBorders>
                  <w:vAlign w:val="center"/>
                </w:tcPr>
                <w:p w14:paraId="79C27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固体废物</w:t>
                  </w:r>
                </w:p>
              </w:tc>
              <w:tc>
                <w:tcPr>
                  <w:tcW w:w="2320" w:type="dxa"/>
                  <w:tcBorders>
                    <w:tl2br w:val="nil"/>
                    <w:tr2bl w:val="nil"/>
                  </w:tcBorders>
                  <w:vAlign w:val="center"/>
                </w:tcPr>
                <w:p w14:paraId="0CAE18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办公生活区</w:t>
                  </w:r>
                </w:p>
              </w:tc>
              <w:tc>
                <w:tcPr>
                  <w:tcW w:w="2910" w:type="dxa"/>
                  <w:tcBorders>
                    <w:tl2br w:val="nil"/>
                    <w:tr2bl w:val="nil"/>
                  </w:tcBorders>
                  <w:shd w:val="clear" w:color="auto" w:fill="auto"/>
                  <w:vAlign w:val="center"/>
                </w:tcPr>
                <w:p w14:paraId="54E421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生活垃圾</w:t>
                  </w:r>
                </w:p>
              </w:tc>
              <w:tc>
                <w:tcPr>
                  <w:tcW w:w="3167" w:type="dxa"/>
                  <w:tcBorders>
                    <w:tl2br w:val="nil"/>
                    <w:tr2bl w:val="nil"/>
                  </w:tcBorders>
                  <w:vAlign w:val="center"/>
                </w:tcPr>
                <w:p w14:paraId="52BB7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一般废物</w:t>
                  </w:r>
                </w:p>
              </w:tc>
            </w:tr>
            <w:tr w14:paraId="0CA1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44A6A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0E90E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取水处</w:t>
                  </w:r>
                </w:p>
              </w:tc>
              <w:tc>
                <w:tcPr>
                  <w:tcW w:w="2910" w:type="dxa"/>
                  <w:tcBorders>
                    <w:tl2br w:val="nil"/>
                    <w:tr2bl w:val="nil"/>
                  </w:tcBorders>
                  <w:shd w:val="clear" w:color="auto" w:fill="auto"/>
                  <w:vAlign w:val="center"/>
                </w:tcPr>
                <w:p w14:paraId="45DB7F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栅渣及沉砂</w:t>
                  </w:r>
                </w:p>
              </w:tc>
              <w:tc>
                <w:tcPr>
                  <w:tcW w:w="3167" w:type="dxa"/>
                  <w:tcBorders>
                    <w:tl2br w:val="nil"/>
                    <w:tr2bl w:val="nil"/>
                  </w:tcBorders>
                  <w:vAlign w:val="center"/>
                </w:tcPr>
                <w:p w14:paraId="4E5BC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一般废物</w:t>
                  </w:r>
                </w:p>
              </w:tc>
            </w:tr>
            <w:tr w14:paraId="7EDE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3E4736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420C4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污水处理</w:t>
                  </w:r>
                </w:p>
              </w:tc>
              <w:tc>
                <w:tcPr>
                  <w:tcW w:w="2910" w:type="dxa"/>
                  <w:tcBorders>
                    <w:tl2br w:val="nil"/>
                    <w:tr2bl w:val="nil"/>
                  </w:tcBorders>
                  <w:shd w:val="clear" w:color="auto" w:fill="auto"/>
                  <w:vAlign w:val="center"/>
                </w:tcPr>
                <w:p w14:paraId="12F719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污泥</w:t>
                  </w:r>
                </w:p>
              </w:tc>
              <w:tc>
                <w:tcPr>
                  <w:tcW w:w="3167" w:type="dxa"/>
                  <w:tcBorders>
                    <w:tl2br w:val="nil"/>
                    <w:tr2bl w:val="nil"/>
                  </w:tcBorders>
                  <w:shd w:val="clear" w:color="auto" w:fill="auto"/>
                  <w:vAlign w:val="center"/>
                </w:tcPr>
                <w:p w14:paraId="2A8D7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一般废物</w:t>
                  </w:r>
                </w:p>
              </w:tc>
            </w:tr>
            <w:tr w14:paraId="0247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3A862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0DF811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滤池</w:t>
                  </w:r>
                </w:p>
              </w:tc>
              <w:tc>
                <w:tcPr>
                  <w:tcW w:w="2910" w:type="dxa"/>
                  <w:tcBorders>
                    <w:tl2br w:val="nil"/>
                    <w:tr2bl w:val="nil"/>
                  </w:tcBorders>
                  <w:shd w:val="clear" w:color="auto" w:fill="auto"/>
                  <w:vAlign w:val="center"/>
                </w:tcPr>
                <w:p w14:paraId="69D2B0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废填料</w:t>
                  </w:r>
                </w:p>
              </w:tc>
              <w:tc>
                <w:tcPr>
                  <w:tcW w:w="3167" w:type="dxa"/>
                  <w:tcBorders>
                    <w:tl2br w:val="nil"/>
                    <w:tr2bl w:val="nil"/>
                  </w:tcBorders>
                  <w:shd w:val="clear" w:color="auto" w:fill="auto"/>
                  <w:vAlign w:val="center"/>
                </w:tcPr>
                <w:p w14:paraId="14DF5D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一般废物</w:t>
                  </w:r>
                </w:p>
              </w:tc>
            </w:tr>
            <w:tr w14:paraId="35F3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Pr>
                <w:p w14:paraId="6F0DB4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0" w:type="auto"/>
                </w:tcPr>
                <w:p w14:paraId="3FAA9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原辅材料</w:t>
                  </w:r>
                </w:p>
              </w:tc>
              <w:tc>
                <w:tcPr>
                  <w:tcW w:w="0" w:type="auto"/>
                  <w:shd w:val="clear" w:color="auto" w:fill="auto"/>
                  <w:vAlign w:val="center"/>
                </w:tcPr>
                <w:p w14:paraId="044ED9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废包装材料</w:t>
                  </w:r>
                </w:p>
              </w:tc>
              <w:tc>
                <w:tcPr>
                  <w:tcW w:w="0" w:type="auto"/>
                </w:tcPr>
                <w:p w14:paraId="6FCE5C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一般废物</w:t>
                  </w:r>
                </w:p>
              </w:tc>
            </w:tr>
          </w:tbl>
          <w:p w14:paraId="21A1D8B0">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（2）马渡关水厂</w:t>
            </w:r>
          </w:p>
          <w:p w14:paraId="359320C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32"/>
                <w:highlight w:val="none"/>
                <w:vertAlign w:val="baseline"/>
                <w:lang w:val="en-US" w:eastAsia="zh-CN"/>
              </w:rPr>
            </w:pPr>
            <w:r>
              <w:rPr>
                <w:rFonts w:hint="eastAsia" w:ascii="Times New Roman" w:hAnsi="Times New Roman" w:cs="Times New Roman"/>
                <w:b w:val="0"/>
                <w:bCs w:val="0"/>
                <w:color w:val="auto"/>
                <w:sz w:val="24"/>
                <w:szCs w:val="32"/>
                <w:highlight w:val="none"/>
                <w:vertAlign w:val="baseline"/>
                <w:lang w:val="en-US" w:eastAsia="zh-CN"/>
              </w:rPr>
              <w:t xml:space="preserve">    </w:t>
            </w:r>
            <w:r>
              <w:rPr>
                <w:rFonts w:hint="eastAsia" w:ascii="Times New Roman" w:hAnsi="Times New Roman" w:cs="Times New Roman"/>
                <w:b/>
                <w:bCs/>
                <w:color w:val="auto"/>
                <w:sz w:val="24"/>
                <w:szCs w:val="32"/>
                <w:highlight w:val="none"/>
                <w:vertAlign w:val="baseline"/>
                <w:lang w:val="en-US" w:eastAsia="zh-CN"/>
              </w:rPr>
              <w:t>1）工艺流程</w:t>
            </w:r>
          </w:p>
          <w:p w14:paraId="30E15E5D">
            <w:pPr>
              <w:keepNext w:val="0"/>
              <w:keepLines w:val="0"/>
              <w:pageBreakBefore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马渡关</w:t>
            </w: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水厂采用</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w:t>
            </w:r>
            <w:r>
              <w:rPr>
                <w:rFonts w:hint="default" w:ascii="Times New Roman" w:hAnsi="Times New Roman" w:cs="Times New Roman"/>
                <w:color w:val="auto"/>
                <w:sz w:val="24"/>
                <w:szCs w:val="24"/>
                <w:highlight w:val="none"/>
                <w:vertAlign w:val="baseline"/>
                <w:lang w:val="en-US" w:eastAsia="zh-CN"/>
              </w:rPr>
              <w:t>预沉淀+絮凝+沉淀+过滤+二氧化氯消毒</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”工艺，</w:t>
            </w: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运营期工艺流程及产污位置</w:t>
            </w:r>
            <w: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见</w:t>
            </w:r>
            <w: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下图</w:t>
            </w:r>
            <w: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t>。</w:t>
            </w:r>
          </w:p>
          <w:p w14:paraId="4B3B0224">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79AC3FF7">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0BE081E6">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56EFD531">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6F74EA51">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3E89D530">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66D2DF55">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22BE3C5A">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60DC29E9">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6317E202">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2AC1C7CD">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0295CD17">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5A172B7E">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3BB02974">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351653A9">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2D10CB48">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7C6B9628">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772FF954">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474258D5">
            <w:pPr>
              <w:pStyle w:val="21"/>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12795FD6">
            <w:pPr>
              <w:rPr>
                <w:rFonts w:hint="eastAsia"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p>
          <w:p w14:paraId="0A0D240B">
            <w:pPr>
              <w:pStyle w:val="21"/>
              <w:rPr>
                <w:rFonts w:hint="default"/>
                <w:lang w:val="en-US" w:eastAsia="zh-CN"/>
              </w:rPr>
            </w:pPr>
          </w:p>
          <w:p w14:paraId="29E702D1">
            <w:pPr>
              <w:keepNext w:val="0"/>
              <w:keepLines w:val="0"/>
              <w:pageBreakBefore w:val="0"/>
              <w:kinsoku/>
              <w:wordWrap/>
              <w:overflowPunct/>
              <w:topLinePunct w:val="0"/>
              <w:autoSpaceDE/>
              <w:autoSpaceDN/>
              <w:bidi w:val="0"/>
              <w:snapToGrid/>
              <w:spacing w:line="360" w:lineRule="auto"/>
              <w:jc w:val="cente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r>
              <w:drawing>
                <wp:inline distT="0" distB="0" distL="114300" distR="114300">
                  <wp:extent cx="4876800" cy="5534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4876800" cy="5534025"/>
                          </a:xfrm>
                          <a:prstGeom prst="rect">
                            <a:avLst/>
                          </a:prstGeom>
                          <a:noFill/>
                          <a:ln>
                            <a:noFill/>
                          </a:ln>
                        </pic:spPr>
                      </pic:pic>
                    </a:graphicData>
                  </a:graphic>
                </wp:inline>
              </w:drawing>
            </w:r>
          </w:p>
          <w:p w14:paraId="5F15507E">
            <w:pPr>
              <w:keepNext w:val="0"/>
              <w:keepLines w:val="0"/>
              <w:pageBreakBefore w:val="0"/>
              <w:kinsoku/>
              <w:wordWrap/>
              <w:overflowPunct/>
              <w:topLinePunct w:val="0"/>
              <w:autoSpaceDE/>
              <w:autoSpaceDN/>
              <w:bidi w:val="0"/>
              <w:snapToGrid/>
              <w:spacing w:line="360" w:lineRule="auto"/>
              <w:jc w:val="center"/>
              <w:rPr>
                <w:rFonts w:hint="default" w:ascii="Times New Roman" w:hAnsi="Times New Roman" w:cs="Times New Roman"/>
                <w:b w:val="0"/>
                <w:bCs w:val="0"/>
                <w:color w:val="000000" w:themeColor="text1"/>
                <w:sz w:val="24"/>
                <w:szCs w:val="32"/>
                <w:highlight w:val="none"/>
                <w:vertAlign w:val="baseline"/>
                <w:lang w:val="en-US" w:eastAsia="zh-CN"/>
                <w14:textFill>
                  <w14:solidFill>
                    <w14:schemeClr w14:val="tx1"/>
                  </w14:solidFill>
                </w14:textFill>
              </w:rPr>
            </w:pPr>
            <w:r>
              <w:rPr>
                <w:rFonts w:hint="default" w:ascii="Times New Roman" w:hAnsi="Times New Roman" w:eastAsia="黑体" w:cs="Times New Roman"/>
                <w:color w:val="auto"/>
                <w:szCs w:val="21"/>
                <w:highlight w:val="none"/>
                <w:lang w:val="en-US" w:eastAsia="zh-CN"/>
              </w:rPr>
              <w:t>图2-</w:t>
            </w:r>
            <w:r>
              <w:rPr>
                <w:rFonts w:hint="eastAsia" w:ascii="Times New Roman" w:hAnsi="Times New Roman" w:eastAsia="黑体" w:cs="Times New Roman"/>
                <w:color w:val="auto"/>
                <w:szCs w:val="21"/>
                <w:highlight w:val="none"/>
                <w:lang w:val="en-US" w:eastAsia="zh-CN"/>
              </w:rPr>
              <w:t>6 马渡关水厂</w:t>
            </w:r>
            <w:r>
              <w:rPr>
                <w:rFonts w:hint="default" w:ascii="Times New Roman" w:hAnsi="Times New Roman" w:eastAsia="黑体" w:cs="Times New Roman"/>
                <w:color w:val="auto"/>
                <w:szCs w:val="21"/>
                <w:highlight w:val="none"/>
                <w:lang w:val="en-US" w:eastAsia="zh-CN"/>
              </w:rPr>
              <w:t>运营期工艺流程及产污位置图</w:t>
            </w:r>
          </w:p>
          <w:p w14:paraId="6A1C1CF8">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bCs/>
                <w:color w:val="auto"/>
                <w:sz w:val="24"/>
                <w:szCs w:val="32"/>
                <w:highlight w:val="none"/>
                <w:vertAlign w:val="baseline"/>
                <w:lang w:val="en-US" w:eastAsia="zh-CN"/>
              </w:rPr>
              <w:t>主要工序简述：</w:t>
            </w:r>
          </w:p>
          <w:p w14:paraId="69E41A95">
            <w:pPr>
              <w:keepNext w:val="0"/>
              <w:keepLines w:val="0"/>
              <w:pageBreakBefore w:val="0"/>
              <w:kinsoku/>
              <w:wordWrap/>
              <w:overflowPunct/>
              <w:topLinePunct w:val="0"/>
              <w:autoSpaceDE/>
              <w:autoSpaceDN/>
              <w:bidi w:val="0"/>
              <w:snapToGrid/>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预</w:t>
            </w:r>
            <w:r>
              <w:rPr>
                <w:rFonts w:hint="default" w:ascii="Times New Roman" w:hAnsi="Times New Roman" w:eastAsia="宋体" w:cs="Times New Roman"/>
                <w:b/>
                <w:bCs/>
                <w:sz w:val="24"/>
                <w:szCs w:val="24"/>
              </w:rPr>
              <w:t>沉淀</w:t>
            </w:r>
            <w:r>
              <w:rPr>
                <w:rFonts w:hint="eastAsia" w:ascii="Times New Roman" w:hAnsi="Times New Roman" w:eastAsia="宋体" w:cs="Times New Roman"/>
                <w:b/>
                <w:bCs/>
                <w:sz w:val="24"/>
                <w:szCs w:val="24"/>
                <w:lang w:eastAsia="zh-CN"/>
              </w:rPr>
              <w:t>：</w:t>
            </w:r>
            <w:r>
              <w:rPr>
                <w:rFonts w:hint="default" w:ascii="Times New Roman" w:hAnsi="Times New Roman" w:cs="Times New Roman"/>
                <w:color w:val="auto"/>
                <w:sz w:val="24"/>
                <w:szCs w:val="24"/>
              </w:rPr>
              <w:t>原水经</w:t>
            </w:r>
            <w:r>
              <w:rPr>
                <w:rFonts w:hint="eastAsia" w:ascii="Times New Roman" w:hAnsi="Times New Roman" w:cs="Times New Roman"/>
                <w:color w:val="auto"/>
                <w:sz w:val="24"/>
                <w:szCs w:val="24"/>
                <w:lang w:val="en-US" w:eastAsia="zh-CN"/>
              </w:rPr>
              <w:t>泵</w:t>
            </w:r>
            <w:r>
              <w:rPr>
                <w:rFonts w:hint="default" w:ascii="Times New Roman" w:hAnsi="Times New Roman" w:cs="Times New Roman"/>
                <w:color w:val="auto"/>
                <w:sz w:val="24"/>
                <w:szCs w:val="24"/>
                <w:lang w:val="en-US" w:eastAsia="zh-CN"/>
              </w:rPr>
              <w:t>至</w:t>
            </w:r>
            <w:r>
              <w:rPr>
                <w:rFonts w:hint="default" w:ascii="Times New Roman" w:hAnsi="Times New Roman" w:cs="Times New Roman"/>
                <w:color w:val="auto"/>
                <w:sz w:val="24"/>
                <w:szCs w:val="24"/>
              </w:rPr>
              <w:t>原水输水管道进入</w:t>
            </w:r>
            <w:r>
              <w:rPr>
                <w:rFonts w:hint="default" w:ascii="Times New Roman" w:hAnsi="Times New Roman" w:cs="Times New Roman"/>
                <w:color w:val="auto"/>
                <w:sz w:val="24"/>
                <w:szCs w:val="24"/>
                <w:lang w:val="en-US" w:eastAsia="zh-CN"/>
              </w:rPr>
              <w:t>供水厂净水处理设施</w:t>
            </w:r>
            <w:r>
              <w:rPr>
                <w:rFonts w:hint="eastAsia" w:ascii="Times New Roman" w:hAnsi="Times New Roman" w:eastAsia="宋体" w:cs="Times New Roman"/>
                <w:sz w:val="24"/>
                <w:szCs w:val="24"/>
                <w:lang w:val="en-US" w:eastAsia="zh-CN"/>
              </w:rPr>
              <w:t>预沉淀池进行初步沉淀。</w:t>
            </w:r>
            <w:r>
              <w:rPr>
                <w:rFonts w:hint="default" w:ascii="Times New Roman" w:hAnsi="Times New Roman" w:cs="Times New Roman"/>
                <w:b w:val="0"/>
                <w:bCs w:val="0"/>
                <w:color w:val="auto"/>
                <w:sz w:val="24"/>
                <w:szCs w:val="32"/>
                <w:highlight w:val="none"/>
                <w:vertAlign w:val="baseline"/>
                <w:lang w:val="en-US" w:eastAsia="zh-CN"/>
              </w:rPr>
              <w:t>采用上向流斜管沉淀池</w:t>
            </w:r>
            <w:r>
              <w:rPr>
                <w:rFonts w:hint="eastAsia" w:ascii="Times New Roman" w:hAnsi="Times New Roman" w:cs="Times New Roman"/>
                <w:b w:val="0"/>
                <w:bCs w:val="0"/>
                <w:color w:val="auto"/>
                <w:sz w:val="24"/>
                <w:szCs w:val="32"/>
                <w:highlight w:val="none"/>
                <w:vertAlign w:val="baseline"/>
                <w:lang w:val="en-US" w:eastAsia="zh-CN"/>
              </w:rPr>
              <w:t>，是根据浅池原理和层流原理，通过增加沉淀池的面积、缩短颗粒沉淀距离、促进颗粒再凝聚等方式提高沉淀效率。</w:t>
            </w:r>
            <w:r>
              <w:rPr>
                <w:rFonts w:hint="default" w:ascii="Times New Roman" w:hAnsi="Times New Roman" w:cs="Times New Roman"/>
                <w:b w:val="0"/>
                <w:bCs w:val="0"/>
                <w:color w:val="auto"/>
                <w:sz w:val="24"/>
                <w:szCs w:val="32"/>
                <w:highlight w:val="none"/>
                <w:vertAlign w:val="baseline"/>
                <w:lang w:val="en-US" w:eastAsia="zh-CN"/>
              </w:rPr>
              <w:t>该工序沉淀后产生一定的量的污泥，经排泥阀和排泥管道进入</w:t>
            </w:r>
            <w:r>
              <w:rPr>
                <w:rFonts w:hint="eastAsia" w:ascii="Times New Roman" w:hAnsi="Times New Roman" w:cs="Times New Roman"/>
                <w:b w:val="0"/>
                <w:bCs w:val="0"/>
                <w:color w:val="auto"/>
                <w:sz w:val="24"/>
                <w:szCs w:val="32"/>
                <w:highlight w:val="none"/>
                <w:vertAlign w:val="baseline"/>
                <w:lang w:val="en-US" w:eastAsia="zh-CN"/>
              </w:rPr>
              <w:t>排泥</w:t>
            </w:r>
            <w:r>
              <w:rPr>
                <w:rFonts w:hint="default" w:ascii="Times New Roman" w:hAnsi="Times New Roman" w:cs="Times New Roman"/>
                <w:b w:val="0"/>
                <w:bCs w:val="0"/>
                <w:color w:val="auto"/>
                <w:sz w:val="24"/>
                <w:szCs w:val="32"/>
                <w:highlight w:val="none"/>
                <w:vertAlign w:val="baseline"/>
                <w:lang w:val="en-US" w:eastAsia="zh-CN"/>
              </w:rPr>
              <w:t>池。</w:t>
            </w:r>
          </w:p>
          <w:p w14:paraId="1B223181">
            <w:pPr>
              <w:keepNext w:val="0"/>
              <w:keepLines w:val="0"/>
              <w:pageBreakBefore w:val="0"/>
              <w:widowControl w:val="0"/>
              <w:kinsoku/>
              <w:wordWrap/>
              <w:overflowPunct/>
              <w:topLinePunct w:val="0"/>
              <w:autoSpaceDE w:val="0"/>
              <w:autoSpaceDN w:val="0"/>
              <w:bidi w:val="0"/>
              <w:spacing w:line="360" w:lineRule="auto"/>
              <w:ind w:left="0" w:leftChars="0" w:right="0" w:firstLine="482" w:firstLineChars="200"/>
              <w:textAlignment w:val="auto"/>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eastAsia="宋体" w:cs="Times New Roman"/>
                <w:b/>
                <w:bCs/>
                <w:sz w:val="24"/>
                <w:szCs w:val="24"/>
              </w:rPr>
              <w:t>絮凝</w:t>
            </w:r>
            <w:r>
              <w:rPr>
                <w:rFonts w:hint="default" w:ascii="Times New Roman" w:hAnsi="Times New Roman" w:cs="Times New Roman"/>
                <w:b/>
                <w:bCs/>
                <w:color w:val="auto"/>
                <w:sz w:val="24"/>
                <w:szCs w:val="24"/>
                <w:highlight w:val="none"/>
              </w:rPr>
              <w:t>：</w:t>
            </w:r>
            <w:r>
              <w:rPr>
                <w:rFonts w:hint="default" w:ascii="Times New Roman" w:hAnsi="Times New Roman" w:cs="Times New Roman"/>
                <w:sz w:val="24"/>
                <w:szCs w:val="24"/>
              </w:rPr>
              <w:t>采用机械混合+栅条</w:t>
            </w:r>
            <w:r>
              <w:rPr>
                <w:rFonts w:hint="eastAsia" w:ascii="Times New Roman" w:hAnsi="Times New Roman" w:cs="Times New Roman"/>
                <w:sz w:val="24"/>
                <w:szCs w:val="24"/>
                <w:lang w:val="en-US" w:eastAsia="zh-CN"/>
              </w:rPr>
              <w:t>池</w:t>
            </w:r>
            <w:r>
              <w:rPr>
                <w:rFonts w:hint="default" w:ascii="Times New Roman" w:hAnsi="Times New Roman" w:cs="Times New Roman"/>
                <w:sz w:val="24"/>
                <w:szCs w:val="24"/>
              </w:rPr>
              <w:t>进行</w:t>
            </w:r>
            <w:r>
              <w:rPr>
                <w:rFonts w:hint="default" w:ascii="Times New Roman" w:hAnsi="Times New Roman" w:cs="Times New Roman"/>
                <w:b w:val="0"/>
                <w:bCs w:val="0"/>
                <w:color w:val="auto"/>
                <w:sz w:val="24"/>
                <w:szCs w:val="24"/>
                <w:highlight w:val="none"/>
                <w:vertAlign w:val="baseline"/>
                <w:lang w:val="en-US" w:eastAsia="zh-CN"/>
              </w:rPr>
              <w:t>絮</w:t>
            </w:r>
            <w:r>
              <w:rPr>
                <w:rFonts w:hint="default" w:ascii="Times New Roman" w:hAnsi="Times New Roman" w:cs="Times New Roman"/>
                <w:sz w:val="24"/>
                <w:szCs w:val="24"/>
              </w:rPr>
              <w:t>凝。</w:t>
            </w:r>
            <w:r>
              <w:rPr>
                <w:rFonts w:hint="eastAsia" w:ascii="Times New Roman" w:hAnsi="Times New Roman" w:cs="Times New Roman"/>
                <w:b w:val="0"/>
                <w:bCs w:val="0"/>
                <w:color w:val="auto"/>
                <w:sz w:val="24"/>
                <w:szCs w:val="32"/>
                <w:highlight w:val="none"/>
                <w:vertAlign w:val="baseline"/>
                <w:lang w:val="en-US" w:eastAsia="zh-CN"/>
              </w:rPr>
              <w:t>同上，不再简述。</w:t>
            </w:r>
            <w:r>
              <w:rPr>
                <w:rFonts w:hint="default" w:ascii="Times New Roman" w:hAnsi="Times New Roman" w:cs="Times New Roman"/>
                <w:b w:val="0"/>
                <w:bCs w:val="0"/>
                <w:color w:val="auto"/>
                <w:sz w:val="24"/>
                <w:szCs w:val="32"/>
                <w:highlight w:val="none"/>
                <w:vertAlign w:val="baseline"/>
                <w:lang w:val="en-US" w:eastAsia="zh-CN"/>
              </w:rPr>
              <w:t>该工序絮凝后产生一定的量的污泥，经排泥阀和排泥管道进入项目新建排泥池。</w:t>
            </w:r>
          </w:p>
          <w:p w14:paraId="6197DA2B">
            <w:pPr>
              <w:keepNext w:val="0"/>
              <w:keepLines w:val="0"/>
              <w:pageBreakBefore w:val="0"/>
              <w:kinsoku/>
              <w:wordWrap/>
              <w:overflowPunct/>
              <w:topLinePunct w:val="0"/>
              <w:autoSpaceDE/>
              <w:autoSpaceDN/>
              <w:bidi w:val="0"/>
              <w:snapToGrid/>
              <w:spacing w:line="360" w:lineRule="auto"/>
              <w:ind w:left="0" w:leftChars="0" w:firstLine="482"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rPr>
              <w:t>沉淀</w:t>
            </w:r>
            <w:r>
              <w:rPr>
                <w:rFonts w:hint="eastAsia" w:ascii="Times New Roman" w:hAnsi="Times New Roman" w:eastAsia="宋体" w:cs="Times New Roman"/>
                <w:b/>
                <w:bCs/>
                <w:sz w:val="24"/>
                <w:szCs w:val="24"/>
                <w:lang w:eastAsia="zh-CN"/>
              </w:rPr>
              <w:t>：</w:t>
            </w:r>
            <w:r>
              <w:rPr>
                <w:rFonts w:hint="default" w:ascii="Times New Roman" w:hAnsi="Times New Roman" w:cs="Times New Roman"/>
                <w:b w:val="0"/>
                <w:bCs w:val="0"/>
                <w:color w:val="auto"/>
                <w:sz w:val="24"/>
                <w:szCs w:val="32"/>
                <w:highlight w:val="none"/>
                <w:vertAlign w:val="baseline"/>
                <w:lang w:val="en-US" w:eastAsia="zh-CN"/>
              </w:rPr>
              <w:t>采用上向流斜管沉淀池</w:t>
            </w:r>
            <w:r>
              <w:rPr>
                <w:rFonts w:hint="eastAsia" w:ascii="Times New Roman" w:hAnsi="Times New Roman" w:cs="Times New Roman"/>
                <w:b w:val="0"/>
                <w:bCs w:val="0"/>
                <w:color w:val="auto"/>
                <w:sz w:val="24"/>
                <w:szCs w:val="32"/>
                <w:highlight w:val="none"/>
                <w:vertAlign w:val="baseline"/>
                <w:lang w:val="en-US" w:eastAsia="zh-CN"/>
              </w:rPr>
              <w:t>，再次沉淀</w:t>
            </w:r>
            <w:r>
              <w:rPr>
                <w:rFonts w:hint="default" w:ascii="Times New Roman" w:hAnsi="Times New Roman" w:cs="Times New Roman"/>
                <w:b w:val="0"/>
                <w:bCs w:val="0"/>
                <w:color w:val="auto"/>
                <w:sz w:val="24"/>
                <w:szCs w:val="32"/>
                <w:highlight w:val="none"/>
                <w:vertAlign w:val="baseline"/>
                <w:lang w:val="en-US" w:eastAsia="zh-CN"/>
              </w:rPr>
              <w:t>。该工序沉淀后产生一定的量的污泥，经排泥阀和排泥管道进入</w:t>
            </w:r>
            <w:r>
              <w:rPr>
                <w:rFonts w:hint="eastAsia" w:ascii="Times New Roman" w:hAnsi="Times New Roman" w:cs="Times New Roman"/>
                <w:b w:val="0"/>
                <w:bCs w:val="0"/>
                <w:color w:val="auto"/>
                <w:sz w:val="24"/>
                <w:szCs w:val="32"/>
                <w:highlight w:val="none"/>
                <w:vertAlign w:val="baseline"/>
                <w:lang w:val="en-US" w:eastAsia="zh-CN"/>
              </w:rPr>
              <w:t>排泥</w:t>
            </w:r>
            <w:r>
              <w:rPr>
                <w:rFonts w:hint="default" w:ascii="Times New Roman" w:hAnsi="Times New Roman" w:cs="Times New Roman"/>
                <w:b w:val="0"/>
                <w:bCs w:val="0"/>
                <w:color w:val="auto"/>
                <w:sz w:val="24"/>
                <w:szCs w:val="32"/>
                <w:highlight w:val="none"/>
                <w:vertAlign w:val="baseline"/>
                <w:lang w:val="en-US" w:eastAsia="zh-CN"/>
              </w:rPr>
              <w:t>池。</w:t>
            </w:r>
          </w:p>
          <w:p w14:paraId="09F126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过</w:t>
            </w:r>
            <w:r>
              <w:rPr>
                <w:rFonts w:hint="default" w:ascii="Times New Roman" w:hAnsi="Times New Roman" w:cs="Times New Roman"/>
                <w:b/>
                <w:bCs/>
                <w:color w:val="auto"/>
                <w:sz w:val="24"/>
                <w:szCs w:val="24"/>
                <w:highlight w:val="none"/>
                <w:vertAlign w:val="baseline"/>
                <w:lang w:val="en-US" w:eastAsia="zh-CN"/>
              </w:rPr>
              <w:t>滤</w:t>
            </w:r>
            <w:r>
              <w:rPr>
                <w:rFonts w:hint="eastAsia" w:ascii="Times New Roman" w:hAnsi="Times New Roman" w:cs="Times New Roman"/>
                <w:b/>
                <w:bCs/>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采用</w:t>
            </w:r>
            <w:r>
              <w:rPr>
                <w:rFonts w:hint="default" w:ascii="Times New Roman" w:hAnsi="Times New Roman" w:cs="Times New Roman"/>
                <w:b w:val="0"/>
                <w:bCs w:val="0"/>
                <w:color w:val="auto"/>
                <w:sz w:val="24"/>
                <w:szCs w:val="32"/>
                <w:highlight w:val="none"/>
                <w:vertAlign w:val="baseline"/>
                <w:lang w:val="en-US" w:eastAsia="zh-CN"/>
              </w:rPr>
              <w:t>V型</w:t>
            </w:r>
            <w:r>
              <w:rPr>
                <w:rFonts w:hint="eastAsia" w:ascii="Times New Roman" w:hAnsi="Times New Roman" w:cs="Times New Roman"/>
                <w:b w:val="0"/>
                <w:bCs w:val="0"/>
                <w:color w:val="auto"/>
                <w:sz w:val="24"/>
                <w:szCs w:val="24"/>
                <w:highlight w:val="none"/>
                <w:vertAlign w:val="baseline"/>
                <w:lang w:val="en-US" w:eastAsia="zh-CN"/>
              </w:rPr>
              <w:t>砂滤池，</w:t>
            </w:r>
            <w:r>
              <w:rPr>
                <w:rFonts w:hint="default" w:ascii="Times New Roman" w:hAnsi="Times New Roman" w:cs="Times New Roman"/>
                <w:b w:val="0"/>
                <w:bCs w:val="0"/>
                <w:color w:val="auto"/>
                <w:sz w:val="24"/>
                <w:szCs w:val="32"/>
                <w:highlight w:val="none"/>
                <w:vertAlign w:val="baseline"/>
                <w:lang w:val="en-US" w:eastAsia="zh-CN"/>
              </w:rPr>
              <w:t>以石英砂粒状滤料层截留水中悬浮物质，从而使水获得澄清的工艺。</w:t>
            </w:r>
            <w:r>
              <w:rPr>
                <w:rFonts w:hint="eastAsia" w:ascii="Times New Roman" w:hAnsi="Times New Roman" w:cs="Times New Roman"/>
                <w:b w:val="0"/>
                <w:bCs w:val="0"/>
                <w:color w:val="auto"/>
                <w:sz w:val="24"/>
                <w:szCs w:val="32"/>
                <w:highlight w:val="none"/>
                <w:vertAlign w:val="baseline"/>
                <w:lang w:val="en-US" w:eastAsia="zh-CN"/>
              </w:rPr>
              <w:t>同上，不再简述。</w:t>
            </w:r>
          </w:p>
          <w:p w14:paraId="590FC8A7">
            <w:pPr>
              <w:keepNext w:val="0"/>
              <w:keepLines w:val="0"/>
              <w:pageBreakBefore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项目滤池反冲洗工序产生一定量的反冲洗水，废水经排水阀和排水管道进入</w:t>
            </w:r>
            <w:r>
              <w:rPr>
                <w:rFonts w:hint="eastAsia" w:ascii="Times New Roman" w:hAnsi="Times New Roman" w:cs="Times New Roman"/>
                <w:b w:val="0"/>
                <w:bCs w:val="0"/>
                <w:color w:val="auto"/>
                <w:sz w:val="24"/>
                <w:szCs w:val="32"/>
                <w:highlight w:val="none"/>
                <w:vertAlign w:val="baseline"/>
                <w:lang w:val="en-US" w:eastAsia="zh-CN"/>
              </w:rPr>
              <w:t>排水</w:t>
            </w:r>
            <w:r>
              <w:rPr>
                <w:rFonts w:hint="default" w:ascii="Times New Roman" w:hAnsi="Times New Roman" w:cs="Times New Roman"/>
                <w:b w:val="0"/>
                <w:bCs w:val="0"/>
                <w:color w:val="auto"/>
                <w:sz w:val="24"/>
                <w:szCs w:val="32"/>
                <w:highlight w:val="none"/>
                <w:vertAlign w:val="baseline"/>
                <w:lang w:val="en-US" w:eastAsia="zh-CN"/>
              </w:rPr>
              <w:t>池。</w:t>
            </w:r>
          </w:p>
          <w:p w14:paraId="4E3896E4">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消毒：</w:t>
            </w:r>
            <w:r>
              <w:rPr>
                <w:rFonts w:hint="default" w:ascii="Times New Roman" w:hAnsi="Times New Roman" w:cs="Times New Roman"/>
                <w:b w:val="0"/>
                <w:bCs w:val="0"/>
                <w:color w:val="auto"/>
                <w:sz w:val="24"/>
                <w:szCs w:val="24"/>
                <w:highlight w:val="none"/>
                <w:vertAlign w:val="baseline"/>
                <w:lang w:val="en-US" w:eastAsia="zh-CN"/>
              </w:rPr>
              <w:t>采用复合硫酸氢钠和复合氯酸钠反应产生二氧化氯对</w:t>
            </w:r>
            <w:r>
              <w:rPr>
                <w:rFonts w:hint="eastAsia" w:ascii="Times New Roman" w:hAnsi="Times New Roman" w:cs="Times New Roman"/>
                <w:b w:val="0"/>
                <w:bCs w:val="0"/>
                <w:color w:val="auto"/>
                <w:sz w:val="24"/>
                <w:szCs w:val="24"/>
                <w:highlight w:val="none"/>
                <w:vertAlign w:val="baseline"/>
                <w:lang w:val="en-US" w:eastAsia="zh-CN"/>
              </w:rPr>
              <w:t>清水</w:t>
            </w:r>
            <w:r>
              <w:rPr>
                <w:rFonts w:hint="default" w:ascii="Times New Roman" w:hAnsi="Times New Roman" w:cs="Times New Roman"/>
                <w:b w:val="0"/>
                <w:bCs w:val="0"/>
                <w:color w:val="auto"/>
                <w:sz w:val="24"/>
                <w:szCs w:val="24"/>
                <w:highlight w:val="none"/>
                <w:vertAlign w:val="baseline"/>
                <w:lang w:val="en-US" w:eastAsia="zh-CN"/>
              </w:rPr>
              <w:t>进行消毒，</w:t>
            </w:r>
            <w:r>
              <w:rPr>
                <w:rFonts w:hint="eastAsia"/>
                <w:sz w:val="24"/>
                <w:szCs w:val="24"/>
              </w:rPr>
              <w:t>投加点位于清水池进水管道上</w:t>
            </w:r>
            <w:r>
              <w:rPr>
                <w:rFonts w:hint="eastAsia"/>
                <w:sz w:val="24"/>
                <w:szCs w:val="24"/>
                <w:lang w:eastAsia="zh-CN"/>
              </w:rPr>
              <w:t>，</w:t>
            </w:r>
            <w:r>
              <w:rPr>
                <w:rFonts w:hint="default" w:ascii="Times New Roman" w:hAnsi="Times New Roman" w:cs="Times New Roman"/>
                <w:sz w:val="24"/>
                <w:szCs w:val="24"/>
                <w:lang w:eastAsia="zh-CN"/>
              </w:rPr>
              <w:t>设计最大投加量2.0mg/L</w:t>
            </w:r>
            <w:r>
              <w:rPr>
                <w:rFonts w:hint="eastAsia" w:ascii="Times New Roman" w:hAnsi="Times New Roman" w:cs="Times New Roman"/>
                <w:sz w:val="24"/>
                <w:szCs w:val="24"/>
                <w:lang w:eastAsia="zh-CN"/>
              </w:rPr>
              <w:t>。</w:t>
            </w:r>
          </w:p>
          <w:p w14:paraId="3BC7C90F">
            <w:pPr>
              <w:keepNext w:val="0"/>
              <w:keepLines w:val="0"/>
              <w:pageBreakBefore w:val="0"/>
              <w:kinsoku/>
              <w:wordWrap/>
              <w:overflowPunct/>
              <w:topLinePunct w:val="0"/>
              <w:autoSpaceDE/>
              <w:autoSpaceDN/>
              <w:bidi w:val="0"/>
              <w:snapToGrid/>
              <w:spacing w:line="360" w:lineRule="auto"/>
              <w:jc w:val="center"/>
              <w:rPr>
                <w:rFonts w:hint="default" w:ascii="Times New Roman" w:hAnsi="Times New Roman" w:cs="Times New Roman"/>
                <w:b w:val="0"/>
                <w:bCs w:val="0"/>
                <w:color w:val="auto"/>
                <w:sz w:val="24"/>
                <w:szCs w:val="32"/>
                <w:highlight w:val="none"/>
                <w:vertAlign w:val="baseline"/>
                <w:lang w:val="en-US" w:eastAsia="zh-CN"/>
              </w:rPr>
            </w:pPr>
            <w:r>
              <w:rPr>
                <w:rFonts w:hint="default" w:ascii="Times New Roman" w:hAnsi="Times New Roman" w:cs="Times New Roman"/>
                <w:b w:val="0"/>
                <w:bCs w:val="0"/>
                <w:color w:val="auto"/>
                <w:sz w:val="24"/>
                <w:szCs w:val="32"/>
                <w:highlight w:val="none"/>
                <w:vertAlign w:val="baseline"/>
                <w:lang w:val="en-US" w:eastAsia="zh-CN"/>
              </w:rPr>
              <w:t>NaCLO</w:t>
            </w:r>
            <w:r>
              <w:rPr>
                <w:rFonts w:hint="default" w:ascii="Times New Roman" w:hAnsi="Times New Roman" w:cs="Times New Roman"/>
                <w:b w:val="0"/>
                <w:bCs w:val="0"/>
                <w:color w:val="auto"/>
                <w:sz w:val="24"/>
                <w:szCs w:val="32"/>
                <w:highlight w:val="none"/>
                <w:vertAlign w:val="subscript"/>
                <w:lang w:val="en-US" w:eastAsia="zh-CN"/>
              </w:rPr>
              <w:t>2</w:t>
            </w:r>
            <w:r>
              <w:rPr>
                <w:rFonts w:hint="default" w:ascii="Times New Roman" w:hAnsi="Times New Roman" w:cs="Times New Roman"/>
                <w:b w:val="0"/>
                <w:bCs w:val="0"/>
                <w:color w:val="auto"/>
                <w:sz w:val="24"/>
                <w:szCs w:val="32"/>
                <w:highlight w:val="none"/>
                <w:vertAlign w:val="baseline"/>
                <w:lang w:val="en-US" w:eastAsia="zh-CN"/>
              </w:rPr>
              <w:t>+NaHSO</w:t>
            </w:r>
            <w:r>
              <w:rPr>
                <w:rFonts w:hint="default" w:ascii="Times New Roman" w:hAnsi="Times New Roman" w:cs="Times New Roman"/>
                <w:b w:val="0"/>
                <w:bCs w:val="0"/>
                <w:color w:val="auto"/>
                <w:sz w:val="24"/>
                <w:szCs w:val="32"/>
                <w:highlight w:val="none"/>
                <w:vertAlign w:val="subscript"/>
                <w:lang w:val="en-US" w:eastAsia="zh-CN"/>
              </w:rPr>
              <w:t>4</w:t>
            </w:r>
            <w:r>
              <w:rPr>
                <w:rFonts w:hint="default" w:ascii="Times New Roman" w:hAnsi="Times New Roman" w:cs="Times New Roman"/>
                <w:b w:val="0"/>
                <w:bCs w:val="0"/>
                <w:color w:val="auto"/>
                <w:sz w:val="24"/>
                <w:szCs w:val="32"/>
                <w:highlight w:val="none"/>
                <w:vertAlign w:val="baseline"/>
                <w:lang w:val="en-US" w:eastAsia="zh-CN"/>
              </w:rPr>
              <w:t>=HClO</w:t>
            </w:r>
            <w:r>
              <w:rPr>
                <w:rFonts w:hint="default" w:ascii="Times New Roman" w:hAnsi="Times New Roman" w:cs="Times New Roman"/>
                <w:b w:val="0"/>
                <w:bCs w:val="0"/>
                <w:color w:val="auto"/>
                <w:sz w:val="24"/>
                <w:szCs w:val="32"/>
                <w:highlight w:val="none"/>
                <w:vertAlign w:val="subscript"/>
                <w:lang w:val="en-US" w:eastAsia="zh-CN"/>
              </w:rPr>
              <w:t>2</w:t>
            </w:r>
            <w:r>
              <w:rPr>
                <w:rFonts w:hint="default" w:ascii="Times New Roman" w:hAnsi="Times New Roman" w:cs="Times New Roman"/>
                <w:b w:val="0"/>
                <w:bCs w:val="0"/>
                <w:color w:val="auto"/>
                <w:sz w:val="24"/>
                <w:szCs w:val="32"/>
                <w:highlight w:val="none"/>
                <w:vertAlign w:val="baseline"/>
                <w:lang w:val="en-US" w:eastAsia="zh-CN"/>
              </w:rPr>
              <w:t>+Na</w:t>
            </w:r>
            <w:r>
              <w:rPr>
                <w:rFonts w:hint="default" w:ascii="Times New Roman" w:hAnsi="Times New Roman" w:cs="Times New Roman"/>
                <w:b w:val="0"/>
                <w:bCs w:val="0"/>
                <w:color w:val="auto"/>
                <w:sz w:val="24"/>
                <w:szCs w:val="32"/>
                <w:highlight w:val="none"/>
                <w:vertAlign w:val="subscript"/>
                <w:lang w:val="en-US" w:eastAsia="zh-CN"/>
              </w:rPr>
              <w:t>2</w:t>
            </w:r>
            <w:r>
              <w:rPr>
                <w:rFonts w:hint="default" w:ascii="Times New Roman" w:hAnsi="Times New Roman" w:cs="Times New Roman"/>
                <w:b w:val="0"/>
                <w:bCs w:val="0"/>
                <w:color w:val="auto"/>
                <w:sz w:val="24"/>
                <w:szCs w:val="32"/>
                <w:highlight w:val="none"/>
                <w:vertAlign w:val="baseline"/>
                <w:lang w:val="en-US" w:eastAsia="zh-CN"/>
              </w:rPr>
              <w:t>SO</w:t>
            </w:r>
            <w:r>
              <w:rPr>
                <w:rFonts w:hint="default" w:ascii="Times New Roman" w:hAnsi="Times New Roman" w:cs="Times New Roman"/>
                <w:b w:val="0"/>
                <w:bCs w:val="0"/>
                <w:color w:val="auto"/>
                <w:sz w:val="24"/>
                <w:szCs w:val="32"/>
                <w:highlight w:val="none"/>
                <w:vertAlign w:val="subscript"/>
                <w:lang w:val="en-US" w:eastAsia="zh-CN"/>
              </w:rPr>
              <w:t>4</w:t>
            </w:r>
          </w:p>
          <w:p w14:paraId="0164C4C5">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排泥池：</w:t>
            </w:r>
            <w:r>
              <w:rPr>
                <w:rFonts w:hint="eastAsia" w:ascii="Times New Roman" w:hAnsi="Times New Roman" w:cs="Times New Roman"/>
                <w:color w:val="auto"/>
                <w:sz w:val="24"/>
                <w:szCs w:val="24"/>
                <w:highlight w:val="none"/>
                <w:vertAlign w:val="baseline"/>
                <w:lang w:val="en-US" w:eastAsia="zh-CN"/>
              </w:rPr>
              <w:t>预沉池、</w:t>
            </w:r>
            <w:r>
              <w:rPr>
                <w:rFonts w:hint="default" w:ascii="Times New Roman" w:hAnsi="Times New Roman" w:cs="Times New Roman"/>
                <w:color w:val="auto"/>
                <w:sz w:val="24"/>
                <w:szCs w:val="24"/>
                <w:highlight w:val="none"/>
                <w:vertAlign w:val="baseline"/>
                <w:lang w:val="en-US" w:eastAsia="zh-CN"/>
              </w:rPr>
              <w:t>絮凝</w:t>
            </w:r>
            <w:r>
              <w:rPr>
                <w:rFonts w:hint="eastAsia" w:ascii="Times New Roman" w:hAnsi="Times New Roman" w:cs="Times New Roman"/>
                <w:color w:val="auto"/>
                <w:sz w:val="24"/>
                <w:szCs w:val="24"/>
                <w:highlight w:val="none"/>
                <w:vertAlign w:val="baseline"/>
                <w:lang w:val="en-US" w:eastAsia="zh-CN"/>
              </w:rPr>
              <w:t>池、斜管</w:t>
            </w:r>
            <w:r>
              <w:rPr>
                <w:rFonts w:hint="default" w:ascii="Times New Roman" w:hAnsi="Times New Roman" w:cs="Times New Roman"/>
                <w:color w:val="auto"/>
                <w:sz w:val="24"/>
                <w:szCs w:val="24"/>
                <w:highlight w:val="none"/>
                <w:vertAlign w:val="baseline"/>
                <w:lang w:val="en-US" w:eastAsia="zh-CN"/>
              </w:rPr>
              <w:t>沉淀</w:t>
            </w:r>
            <w:r>
              <w:rPr>
                <w:rFonts w:hint="eastAsia" w:ascii="Times New Roman" w:hAnsi="Times New Roman" w:cs="Times New Roman"/>
                <w:color w:val="auto"/>
                <w:sz w:val="24"/>
                <w:szCs w:val="24"/>
                <w:highlight w:val="none"/>
                <w:vertAlign w:val="baseline"/>
                <w:lang w:val="en-US" w:eastAsia="zh-CN"/>
              </w:rPr>
              <w:t>池会产生</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，经排泥管道收集至排泥池后，沉淀后回用</w:t>
            </w:r>
            <w:r>
              <w:rPr>
                <w:rFonts w:hint="eastAsia"/>
                <w:sz w:val="24"/>
                <w:szCs w:val="24"/>
                <w:lang w:val="en-US" w:eastAsia="zh-CN"/>
              </w:rPr>
              <w:t>。</w:t>
            </w:r>
          </w:p>
          <w:p w14:paraId="6C8417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b/>
                <w:bCs/>
                <w:sz w:val="24"/>
                <w:szCs w:val="24"/>
                <w:lang w:val="en-US" w:eastAsia="zh-CN"/>
              </w:rPr>
              <w:t>排水池：</w:t>
            </w:r>
            <w:r>
              <w:rPr>
                <w:rFonts w:hint="eastAsia" w:ascii="Times New Roman" w:hAnsi="Times New Roman" w:cs="Times New Roman"/>
                <w:color w:val="auto"/>
                <w:sz w:val="24"/>
                <w:szCs w:val="24"/>
                <w:highlight w:val="none"/>
                <w:vertAlign w:val="baseline"/>
                <w:lang w:val="en-US" w:eastAsia="zh-CN"/>
              </w:rPr>
              <w:t>滤池</w:t>
            </w:r>
            <w:r>
              <w:rPr>
                <w:rFonts w:hint="eastAsia" w:ascii="Times New Roman" w:hAnsi="Times New Roman" w:cs="Times New Roman"/>
                <w:color w:val="auto"/>
                <w:sz w:val="24"/>
                <w:szCs w:val="32"/>
                <w:highlight w:val="none"/>
                <w:vertAlign w:val="baseline"/>
                <w:lang w:val="en-US" w:eastAsia="zh-CN"/>
              </w:rPr>
              <w:t>会产生</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，经废水管道收集至排水池，全部返回净水设施处理。</w:t>
            </w:r>
          </w:p>
          <w:p w14:paraId="2D7C30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2）产污环节</w:t>
            </w:r>
          </w:p>
          <w:p w14:paraId="3D4964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马渡关水厂运营期</w:t>
            </w:r>
            <w:r>
              <w:rPr>
                <w:rFonts w:hint="default" w:ascii="Times New Roman" w:hAnsi="Times New Roman" w:eastAsia="宋体" w:cs="Times New Roman"/>
                <w:color w:val="auto"/>
                <w:sz w:val="24"/>
                <w:szCs w:val="24"/>
                <w:highlight w:val="none"/>
                <w:lang w:val="en-US" w:eastAsia="zh-CN"/>
              </w:rPr>
              <w:t>主要产污工序及</w:t>
            </w:r>
            <w:r>
              <w:rPr>
                <w:rFonts w:hint="default" w:ascii="Times New Roman" w:hAnsi="Times New Roman" w:eastAsia="宋体" w:cs="Times New Roman"/>
                <w:color w:val="auto"/>
                <w:sz w:val="24"/>
                <w:szCs w:val="24"/>
                <w:highlight w:val="none"/>
              </w:rPr>
              <w:t>污染物如下表</w:t>
            </w:r>
            <w:r>
              <w:rPr>
                <w:rFonts w:hint="eastAsia" w:ascii="Times New Roman" w:hAnsi="Times New Roman" w:eastAsia="宋体" w:cs="Times New Roman"/>
                <w:color w:val="auto"/>
                <w:sz w:val="24"/>
                <w:szCs w:val="24"/>
                <w:highlight w:val="none"/>
                <w:lang w:eastAsia="zh-CN"/>
              </w:rPr>
              <w:t>。</w:t>
            </w:r>
          </w:p>
          <w:p w14:paraId="748F4E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sz w:val="21"/>
                <w:szCs w:val="21"/>
                <w:highlight w:val="none"/>
                <w:lang w:val="zh-CN"/>
              </w:rPr>
            </w:pPr>
            <w:r>
              <w:rPr>
                <w:rFonts w:hint="default" w:ascii="Times New Roman" w:hAnsi="Times New Roman" w:eastAsia="黑体" w:cs="Times New Roman"/>
                <w:b w:val="0"/>
                <w:bCs/>
                <w:color w:val="auto"/>
                <w:sz w:val="21"/>
                <w:szCs w:val="21"/>
                <w:highlight w:val="none"/>
                <w:lang w:val="zh-CN"/>
              </w:rPr>
              <w:t>表</w:t>
            </w:r>
            <w:r>
              <w:rPr>
                <w:rFonts w:hint="default" w:ascii="Times New Roman" w:hAnsi="Times New Roman" w:eastAsia="黑体" w:cs="Times New Roman"/>
                <w:b w:val="0"/>
                <w:bCs/>
                <w:color w:val="auto"/>
                <w:sz w:val="21"/>
                <w:szCs w:val="21"/>
                <w:highlight w:val="none"/>
              </w:rPr>
              <w:t>2-</w:t>
            </w:r>
            <w:r>
              <w:rPr>
                <w:rFonts w:hint="eastAsia" w:ascii="Times New Roman" w:hAnsi="Times New Roman" w:eastAsia="黑体" w:cs="Times New Roman"/>
                <w:b w:val="0"/>
                <w:bCs/>
                <w:color w:val="auto"/>
                <w:sz w:val="21"/>
                <w:szCs w:val="21"/>
                <w:highlight w:val="none"/>
                <w:lang w:val="en-US" w:eastAsia="zh-CN"/>
              </w:rPr>
              <w:t>9</w:t>
            </w:r>
            <w:r>
              <w:rPr>
                <w:rFonts w:hint="default" w:ascii="Times New Roman" w:hAnsi="Times New Roman" w:eastAsia="黑体" w:cs="Times New Roman"/>
                <w:b w:val="0"/>
                <w:bCs/>
                <w:color w:val="auto"/>
                <w:sz w:val="21"/>
                <w:szCs w:val="21"/>
                <w:highlight w:val="none"/>
                <w:lang w:val="zh-CN"/>
              </w:rPr>
              <w:t xml:space="preserve"> </w:t>
            </w:r>
            <w:r>
              <w:rPr>
                <w:rFonts w:hint="eastAsia" w:ascii="Times New Roman" w:hAnsi="Times New Roman" w:eastAsia="黑体" w:cs="Times New Roman"/>
                <w:b w:val="0"/>
                <w:bCs/>
                <w:color w:val="auto"/>
                <w:sz w:val="21"/>
                <w:szCs w:val="21"/>
                <w:highlight w:val="none"/>
                <w:lang w:val="en-US" w:eastAsia="zh-CN"/>
              </w:rPr>
              <w:t>马渡关水厂</w:t>
            </w:r>
            <w:r>
              <w:rPr>
                <w:rFonts w:hint="default" w:ascii="Times New Roman" w:hAnsi="Times New Roman" w:eastAsia="黑体" w:cs="Times New Roman"/>
                <w:b w:val="0"/>
                <w:bCs/>
                <w:color w:val="auto"/>
                <w:sz w:val="21"/>
                <w:szCs w:val="21"/>
                <w:highlight w:val="none"/>
                <w:lang w:val="zh-CN"/>
              </w:rPr>
              <w:t>主要产污环节</w:t>
            </w:r>
          </w:p>
          <w:tbl>
            <w:tblPr>
              <w:tblStyle w:val="25"/>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320"/>
              <w:gridCol w:w="2910"/>
              <w:gridCol w:w="3167"/>
            </w:tblGrid>
            <w:tr w14:paraId="6C49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1" w:type="dxa"/>
                  <w:tcBorders>
                    <w:tl2br w:val="nil"/>
                    <w:tr2bl w:val="nil"/>
                  </w:tcBorders>
                  <w:vAlign w:val="center"/>
                </w:tcPr>
                <w:p w14:paraId="5643F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eastAsia="zh-CN"/>
                    </w:rPr>
                    <w:t>类别</w:t>
                  </w:r>
                </w:p>
              </w:tc>
              <w:tc>
                <w:tcPr>
                  <w:tcW w:w="2320" w:type="dxa"/>
                  <w:tcBorders>
                    <w:tl2br w:val="nil"/>
                    <w:tr2bl w:val="nil"/>
                  </w:tcBorders>
                  <w:vAlign w:val="center"/>
                </w:tcPr>
                <w:p w14:paraId="7DF10A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eastAsia="zh-CN"/>
                    </w:rPr>
                    <w:t>产污工序</w:t>
                  </w:r>
                  <w:r>
                    <w:rPr>
                      <w:rFonts w:hint="default" w:ascii="Times New Roman" w:hAnsi="Times New Roman" w:eastAsia="宋体" w:cs="Times New Roman"/>
                      <w:b/>
                      <w:color w:val="auto"/>
                      <w:kern w:val="0"/>
                      <w:sz w:val="21"/>
                      <w:szCs w:val="21"/>
                      <w:highlight w:val="none"/>
                      <w:lang w:val="en-US" w:eastAsia="zh-CN"/>
                    </w:rPr>
                    <w:t>/位置</w:t>
                  </w:r>
                </w:p>
              </w:tc>
              <w:tc>
                <w:tcPr>
                  <w:tcW w:w="2910" w:type="dxa"/>
                  <w:tcBorders>
                    <w:tl2br w:val="nil"/>
                    <w:tr2bl w:val="nil"/>
                  </w:tcBorders>
                  <w:vAlign w:val="center"/>
                </w:tcPr>
                <w:p w14:paraId="22358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eastAsia="zh-CN"/>
                    </w:rPr>
                  </w:pPr>
                  <w:r>
                    <w:rPr>
                      <w:rFonts w:hint="default" w:ascii="Times New Roman" w:hAnsi="Times New Roman" w:eastAsia="宋体" w:cs="Times New Roman"/>
                      <w:b/>
                      <w:color w:val="auto"/>
                      <w:kern w:val="0"/>
                      <w:sz w:val="21"/>
                      <w:szCs w:val="21"/>
                      <w:highlight w:val="none"/>
                      <w:lang w:eastAsia="zh-CN"/>
                    </w:rPr>
                    <w:t>污染物名称</w:t>
                  </w:r>
                </w:p>
              </w:tc>
              <w:tc>
                <w:tcPr>
                  <w:tcW w:w="3167" w:type="dxa"/>
                  <w:tcBorders>
                    <w:tl2br w:val="nil"/>
                    <w:tr2bl w:val="nil"/>
                  </w:tcBorders>
                  <w:vAlign w:val="center"/>
                </w:tcPr>
                <w:p w14:paraId="2F36C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eastAsia="zh-CN"/>
                    </w:rPr>
                    <w:t>主要污染因子</w:t>
                  </w:r>
                  <w:r>
                    <w:rPr>
                      <w:rFonts w:hint="default" w:ascii="Times New Roman" w:hAnsi="Times New Roman" w:eastAsia="宋体" w:cs="Times New Roman"/>
                      <w:b/>
                      <w:color w:val="auto"/>
                      <w:kern w:val="0"/>
                      <w:sz w:val="21"/>
                      <w:szCs w:val="21"/>
                      <w:highlight w:val="none"/>
                      <w:lang w:val="en-US" w:eastAsia="zh-CN"/>
                    </w:rPr>
                    <w:t>/废物类别</w:t>
                  </w:r>
                </w:p>
              </w:tc>
            </w:tr>
            <w:tr w14:paraId="4563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tcBorders>
                    <w:tl2br w:val="nil"/>
                    <w:tr2bl w:val="nil"/>
                  </w:tcBorders>
                  <w:vAlign w:val="center"/>
                </w:tcPr>
                <w:p w14:paraId="036BE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废气</w:t>
                  </w:r>
                </w:p>
              </w:tc>
              <w:tc>
                <w:tcPr>
                  <w:tcW w:w="2320" w:type="dxa"/>
                  <w:tcBorders>
                    <w:tl2br w:val="nil"/>
                    <w:tr2bl w:val="nil"/>
                  </w:tcBorders>
                  <w:vAlign w:val="center"/>
                </w:tcPr>
                <w:p w14:paraId="6EBA9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2910" w:type="dxa"/>
                  <w:tcBorders>
                    <w:tl2br w:val="nil"/>
                    <w:tr2bl w:val="nil"/>
                  </w:tcBorders>
                  <w:vAlign w:val="center"/>
                </w:tcPr>
                <w:p w14:paraId="71C96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3167" w:type="dxa"/>
                  <w:tcBorders>
                    <w:tl2br w:val="nil"/>
                    <w:tr2bl w:val="nil"/>
                  </w:tcBorders>
                  <w:vAlign w:val="center"/>
                </w:tcPr>
                <w:p w14:paraId="290C4A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r>
            <w:tr w14:paraId="5577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restart"/>
                  <w:tcBorders>
                    <w:tl2br w:val="nil"/>
                    <w:tr2bl w:val="nil"/>
                  </w:tcBorders>
                  <w:vAlign w:val="center"/>
                </w:tcPr>
                <w:p w14:paraId="0890A4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废水</w:t>
                  </w:r>
                </w:p>
              </w:tc>
              <w:tc>
                <w:tcPr>
                  <w:tcW w:w="2320" w:type="dxa"/>
                  <w:tcBorders>
                    <w:tl2br w:val="nil"/>
                    <w:tr2bl w:val="nil"/>
                  </w:tcBorders>
                  <w:vAlign w:val="center"/>
                </w:tcPr>
                <w:p w14:paraId="13452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办公生活区</w:t>
                  </w:r>
                </w:p>
              </w:tc>
              <w:tc>
                <w:tcPr>
                  <w:tcW w:w="2910" w:type="dxa"/>
                  <w:tcBorders>
                    <w:tl2br w:val="nil"/>
                    <w:tr2bl w:val="nil"/>
                  </w:tcBorders>
                  <w:shd w:val="clear" w:color="auto" w:fill="auto"/>
                  <w:vAlign w:val="center"/>
                </w:tcPr>
                <w:p w14:paraId="7C1230B3">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生活污水</w:t>
                  </w:r>
                </w:p>
              </w:tc>
              <w:tc>
                <w:tcPr>
                  <w:tcW w:w="3167" w:type="dxa"/>
                  <w:tcBorders>
                    <w:tl2br w:val="nil"/>
                    <w:tr2bl w:val="nil"/>
                  </w:tcBorders>
                  <w:vAlign w:val="center"/>
                </w:tcPr>
                <w:p w14:paraId="4CC62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COD、BOD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、SS、NH</w:t>
                  </w:r>
                  <w:r>
                    <w:rPr>
                      <w:rFonts w:hint="default" w:ascii="Times New Roman" w:hAnsi="Times New Roman" w:eastAsia="宋体" w:cs="Times New Roman"/>
                      <w:color w:val="auto"/>
                      <w:kern w:val="0"/>
                      <w:sz w:val="21"/>
                      <w:szCs w:val="21"/>
                      <w:highlight w:val="none"/>
                      <w:vertAlign w:val="subscript"/>
                      <w:lang w:val="en-US" w:eastAsia="zh-CN"/>
                    </w:rPr>
                    <w:t>3</w:t>
                  </w:r>
                  <w:r>
                    <w:rPr>
                      <w:rFonts w:hint="default" w:ascii="Times New Roman" w:hAnsi="Times New Roman" w:eastAsia="宋体" w:cs="Times New Roman"/>
                      <w:color w:val="auto"/>
                      <w:kern w:val="0"/>
                      <w:sz w:val="21"/>
                      <w:szCs w:val="21"/>
                      <w:highlight w:val="none"/>
                      <w:lang w:val="en-US" w:eastAsia="zh-CN"/>
                    </w:rPr>
                    <w:t>-N</w:t>
                  </w:r>
                  <w:r>
                    <w:rPr>
                      <w:rFonts w:hint="eastAsia"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TP</w:t>
                  </w:r>
                </w:p>
              </w:tc>
            </w:tr>
            <w:tr w14:paraId="1BCC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761B81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37871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预沉池、</w:t>
                  </w:r>
                  <w:r>
                    <w:rPr>
                      <w:rFonts w:hint="default" w:ascii="Times New Roman" w:hAnsi="Times New Roman" w:cs="Times New Roman"/>
                      <w:color w:val="auto"/>
                      <w:sz w:val="21"/>
                      <w:szCs w:val="21"/>
                      <w:highlight w:val="none"/>
                      <w:vertAlign w:val="baseline"/>
                      <w:lang w:val="en-US" w:eastAsia="zh-CN"/>
                    </w:rPr>
                    <w:t>絮凝</w:t>
                  </w:r>
                  <w:r>
                    <w:rPr>
                      <w:rFonts w:hint="eastAsia" w:ascii="Times New Roman" w:hAnsi="Times New Roman" w:cs="Times New Roman"/>
                      <w:color w:val="auto"/>
                      <w:sz w:val="21"/>
                      <w:szCs w:val="21"/>
                      <w:highlight w:val="none"/>
                      <w:vertAlign w:val="baseline"/>
                      <w:lang w:val="en-US" w:eastAsia="zh-CN"/>
                    </w:rPr>
                    <w:t>池、斜管</w:t>
                  </w:r>
                  <w:r>
                    <w:rPr>
                      <w:rFonts w:hint="default" w:ascii="Times New Roman" w:hAnsi="Times New Roman" w:cs="Times New Roman"/>
                      <w:color w:val="auto"/>
                      <w:sz w:val="21"/>
                      <w:szCs w:val="21"/>
                      <w:highlight w:val="none"/>
                      <w:vertAlign w:val="baseline"/>
                      <w:lang w:val="en-US" w:eastAsia="zh-CN"/>
                    </w:rPr>
                    <w:t>沉淀</w:t>
                  </w:r>
                  <w:r>
                    <w:rPr>
                      <w:rFonts w:hint="eastAsia" w:ascii="Times New Roman" w:hAnsi="Times New Roman" w:cs="Times New Roman"/>
                      <w:color w:val="auto"/>
                      <w:sz w:val="21"/>
                      <w:szCs w:val="21"/>
                      <w:highlight w:val="none"/>
                      <w:vertAlign w:val="baseline"/>
                      <w:lang w:val="en-US" w:eastAsia="zh-CN"/>
                    </w:rPr>
                    <w:t>池</w:t>
                  </w:r>
                </w:p>
              </w:tc>
              <w:tc>
                <w:tcPr>
                  <w:tcW w:w="2910" w:type="dxa"/>
                  <w:tcBorders>
                    <w:tl2br w:val="nil"/>
                    <w:tr2bl w:val="nil"/>
                  </w:tcBorders>
                  <w:shd w:val="clear" w:color="auto" w:fill="auto"/>
                  <w:vAlign w:val="center"/>
                </w:tcPr>
                <w:p w14:paraId="6C1FA718">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排泥水</w:t>
                  </w:r>
                </w:p>
              </w:tc>
              <w:tc>
                <w:tcPr>
                  <w:tcW w:w="3167" w:type="dxa"/>
                  <w:tcBorders>
                    <w:tl2br w:val="nil"/>
                    <w:tr2bl w:val="nil"/>
                  </w:tcBorders>
                  <w:vAlign w:val="center"/>
                </w:tcPr>
                <w:p w14:paraId="12CF5B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SS</w:t>
                  </w:r>
                </w:p>
              </w:tc>
            </w:tr>
            <w:tr w14:paraId="7EB0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7B8EE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62312A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highlight w:val="none"/>
                      <w:lang w:eastAsia="zh-CN"/>
                    </w:rPr>
                  </w:pPr>
                  <w:r>
                    <w:rPr>
                      <w:rFonts w:hint="eastAsia" w:ascii="Times New Roman" w:hAnsi="Times New Roman" w:cs="Times New Roman"/>
                      <w:color w:val="auto"/>
                      <w:sz w:val="21"/>
                      <w:szCs w:val="21"/>
                      <w:highlight w:val="none"/>
                      <w:vertAlign w:val="baseline"/>
                      <w:lang w:val="en-US" w:eastAsia="zh-CN"/>
                    </w:rPr>
                    <w:t>滤池</w:t>
                  </w:r>
                </w:p>
              </w:tc>
              <w:tc>
                <w:tcPr>
                  <w:tcW w:w="2910" w:type="dxa"/>
                  <w:tcBorders>
                    <w:tl2br w:val="nil"/>
                    <w:tr2bl w:val="nil"/>
                  </w:tcBorders>
                  <w:shd w:val="clear" w:color="auto" w:fill="auto"/>
                  <w:vAlign w:val="center"/>
                </w:tcPr>
                <w:p w14:paraId="1E1FE7E1">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反冲洗水</w:t>
                  </w:r>
                </w:p>
              </w:tc>
              <w:tc>
                <w:tcPr>
                  <w:tcW w:w="3167" w:type="dxa"/>
                  <w:tcBorders>
                    <w:tl2br w:val="nil"/>
                    <w:tr2bl w:val="nil"/>
                  </w:tcBorders>
                  <w:vAlign w:val="center"/>
                </w:tcPr>
                <w:p w14:paraId="18D48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SS</w:t>
                  </w:r>
                </w:p>
              </w:tc>
            </w:tr>
            <w:tr w14:paraId="16C7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tcBorders>
                    <w:tl2br w:val="nil"/>
                    <w:tr2bl w:val="nil"/>
                  </w:tcBorders>
                  <w:vAlign w:val="center"/>
                </w:tcPr>
                <w:p w14:paraId="1AC4E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噪声</w:t>
                  </w:r>
                </w:p>
              </w:tc>
              <w:tc>
                <w:tcPr>
                  <w:tcW w:w="2320" w:type="dxa"/>
                  <w:tcBorders>
                    <w:tl2br w:val="nil"/>
                    <w:tr2bl w:val="nil"/>
                  </w:tcBorders>
                  <w:shd w:val="clear" w:color="auto" w:fill="auto"/>
                  <w:vAlign w:val="center"/>
                </w:tcPr>
                <w:p w14:paraId="42543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工艺设备</w:t>
                  </w:r>
                </w:p>
              </w:tc>
              <w:tc>
                <w:tcPr>
                  <w:tcW w:w="2910" w:type="dxa"/>
                  <w:tcBorders>
                    <w:tl2br w:val="nil"/>
                    <w:tr2bl w:val="nil"/>
                  </w:tcBorders>
                  <w:shd w:val="clear" w:color="auto" w:fill="auto"/>
                  <w:vAlign w:val="center"/>
                </w:tcPr>
                <w:p w14:paraId="2C9E1D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设备噪声</w:t>
                  </w:r>
                </w:p>
              </w:tc>
              <w:tc>
                <w:tcPr>
                  <w:tcW w:w="3167" w:type="dxa"/>
                  <w:tcBorders>
                    <w:tl2br w:val="nil"/>
                    <w:tr2bl w:val="nil"/>
                  </w:tcBorders>
                  <w:vAlign w:val="center"/>
                </w:tcPr>
                <w:p w14:paraId="69A63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w:t>
                  </w:r>
                </w:p>
              </w:tc>
            </w:tr>
            <w:tr w14:paraId="770A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restart"/>
                  <w:tcBorders>
                    <w:tl2br w:val="nil"/>
                    <w:tr2bl w:val="nil"/>
                  </w:tcBorders>
                  <w:vAlign w:val="center"/>
                </w:tcPr>
                <w:p w14:paraId="2C6B7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固体废物</w:t>
                  </w:r>
                </w:p>
              </w:tc>
              <w:tc>
                <w:tcPr>
                  <w:tcW w:w="2320" w:type="dxa"/>
                  <w:tcBorders>
                    <w:tl2br w:val="nil"/>
                    <w:tr2bl w:val="nil"/>
                  </w:tcBorders>
                  <w:vAlign w:val="center"/>
                </w:tcPr>
                <w:p w14:paraId="530E5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办公生活区</w:t>
                  </w:r>
                </w:p>
              </w:tc>
              <w:tc>
                <w:tcPr>
                  <w:tcW w:w="2910" w:type="dxa"/>
                  <w:tcBorders>
                    <w:tl2br w:val="nil"/>
                    <w:tr2bl w:val="nil"/>
                  </w:tcBorders>
                  <w:shd w:val="clear" w:color="auto" w:fill="auto"/>
                  <w:vAlign w:val="center"/>
                </w:tcPr>
                <w:p w14:paraId="2841D3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生活垃圾</w:t>
                  </w:r>
                </w:p>
              </w:tc>
              <w:tc>
                <w:tcPr>
                  <w:tcW w:w="3167" w:type="dxa"/>
                  <w:tcBorders>
                    <w:tl2br w:val="nil"/>
                    <w:tr2bl w:val="nil"/>
                  </w:tcBorders>
                  <w:vAlign w:val="center"/>
                </w:tcPr>
                <w:p w14:paraId="1876AA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一般废物</w:t>
                  </w:r>
                </w:p>
              </w:tc>
            </w:tr>
            <w:tr w14:paraId="0906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0E232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77784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取水处</w:t>
                  </w:r>
                </w:p>
              </w:tc>
              <w:tc>
                <w:tcPr>
                  <w:tcW w:w="2910" w:type="dxa"/>
                  <w:tcBorders>
                    <w:tl2br w:val="nil"/>
                    <w:tr2bl w:val="nil"/>
                  </w:tcBorders>
                  <w:shd w:val="clear" w:color="auto" w:fill="auto"/>
                  <w:vAlign w:val="center"/>
                </w:tcPr>
                <w:p w14:paraId="2586C6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栅渣及沉砂</w:t>
                  </w:r>
                </w:p>
              </w:tc>
              <w:tc>
                <w:tcPr>
                  <w:tcW w:w="3167" w:type="dxa"/>
                  <w:tcBorders>
                    <w:tl2br w:val="nil"/>
                    <w:tr2bl w:val="nil"/>
                  </w:tcBorders>
                  <w:vAlign w:val="center"/>
                </w:tcPr>
                <w:p w14:paraId="4329E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eastAsia="zh-CN"/>
                    </w:rPr>
                    <w:t>一般废物</w:t>
                  </w:r>
                </w:p>
              </w:tc>
            </w:tr>
            <w:tr w14:paraId="5D50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37FDB7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78AC56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污水处理</w:t>
                  </w:r>
                </w:p>
              </w:tc>
              <w:tc>
                <w:tcPr>
                  <w:tcW w:w="2910" w:type="dxa"/>
                  <w:tcBorders>
                    <w:tl2br w:val="nil"/>
                    <w:tr2bl w:val="nil"/>
                  </w:tcBorders>
                  <w:shd w:val="clear" w:color="auto" w:fill="auto"/>
                  <w:vAlign w:val="center"/>
                </w:tcPr>
                <w:p w14:paraId="200AB6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污泥</w:t>
                  </w:r>
                </w:p>
              </w:tc>
              <w:tc>
                <w:tcPr>
                  <w:tcW w:w="3167" w:type="dxa"/>
                  <w:tcBorders>
                    <w:tl2br w:val="nil"/>
                    <w:tr2bl w:val="nil"/>
                  </w:tcBorders>
                  <w:shd w:val="clear" w:color="auto" w:fill="auto"/>
                  <w:vAlign w:val="center"/>
                </w:tcPr>
                <w:p w14:paraId="64AC99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一般废物</w:t>
                  </w:r>
                </w:p>
              </w:tc>
            </w:tr>
            <w:tr w14:paraId="2A5B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Borders>
                    <w:tl2br w:val="nil"/>
                    <w:tr2bl w:val="nil"/>
                  </w:tcBorders>
                  <w:vAlign w:val="center"/>
                </w:tcPr>
                <w:p w14:paraId="655C08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2320" w:type="dxa"/>
                  <w:tcBorders>
                    <w:tl2br w:val="nil"/>
                    <w:tr2bl w:val="nil"/>
                  </w:tcBorders>
                  <w:vAlign w:val="center"/>
                </w:tcPr>
                <w:p w14:paraId="3418D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滤池</w:t>
                  </w:r>
                </w:p>
              </w:tc>
              <w:tc>
                <w:tcPr>
                  <w:tcW w:w="2910" w:type="dxa"/>
                  <w:tcBorders>
                    <w:tl2br w:val="nil"/>
                    <w:tr2bl w:val="nil"/>
                  </w:tcBorders>
                  <w:shd w:val="clear" w:color="auto" w:fill="auto"/>
                  <w:vAlign w:val="center"/>
                </w:tcPr>
                <w:p w14:paraId="25163C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lang w:val="en-US" w:eastAsia="zh-CN"/>
                    </w:rPr>
                    <w:t>废填料</w:t>
                  </w:r>
                </w:p>
              </w:tc>
              <w:tc>
                <w:tcPr>
                  <w:tcW w:w="3167" w:type="dxa"/>
                  <w:tcBorders>
                    <w:tl2br w:val="nil"/>
                    <w:tr2bl w:val="nil"/>
                  </w:tcBorders>
                  <w:shd w:val="clear" w:color="auto" w:fill="auto"/>
                  <w:vAlign w:val="center"/>
                </w:tcPr>
                <w:p w14:paraId="0C6B7D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一般废物</w:t>
                  </w:r>
                </w:p>
              </w:tc>
            </w:tr>
            <w:tr w14:paraId="2554D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vMerge w:val="continue"/>
                </w:tcPr>
                <w:p w14:paraId="4D6B5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rPr>
                  </w:pPr>
                </w:p>
              </w:tc>
              <w:tc>
                <w:tcPr>
                  <w:tcW w:w="0" w:type="auto"/>
                </w:tcPr>
                <w:p w14:paraId="39E1D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原辅材料</w:t>
                  </w:r>
                </w:p>
              </w:tc>
              <w:tc>
                <w:tcPr>
                  <w:tcW w:w="0" w:type="auto"/>
                  <w:shd w:val="clear" w:color="auto" w:fill="auto"/>
                  <w:vAlign w:val="center"/>
                </w:tcPr>
                <w:p w14:paraId="33CC0F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废包装材料</w:t>
                  </w:r>
                </w:p>
              </w:tc>
              <w:tc>
                <w:tcPr>
                  <w:tcW w:w="0" w:type="auto"/>
                </w:tcPr>
                <w:p w14:paraId="175B6C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eastAsia="zh-CN"/>
                    </w:rPr>
                    <w:t>一般废物</w:t>
                  </w:r>
                </w:p>
              </w:tc>
            </w:tr>
          </w:tbl>
          <w:p w14:paraId="6D096F8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auto"/>
                <w:sz w:val="24"/>
                <w:szCs w:val="32"/>
                <w:highlight w:val="none"/>
                <w:vertAlign w:val="baseline"/>
                <w:lang w:val="en-US" w:eastAsia="zh-CN"/>
              </w:rPr>
            </w:pPr>
          </w:p>
        </w:tc>
      </w:tr>
      <w:tr w14:paraId="33AF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vAlign w:val="center"/>
          </w:tcPr>
          <w:p w14:paraId="4C41A9D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 w:val="24"/>
                <w:szCs w:val="24"/>
                <w:highlight w:val="none"/>
              </w:rPr>
              <w:t>与项目有关的原有环境污染问题</w:t>
            </w:r>
          </w:p>
        </w:tc>
        <w:tc>
          <w:tcPr>
            <w:tcW w:w="4707" w:type="pct"/>
            <w:vAlign w:val="center"/>
          </w:tcPr>
          <w:p w14:paraId="5642B406">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b/>
                <w:bCs/>
                <w:color w:val="auto"/>
                <w:sz w:val="24"/>
                <w:szCs w:val="24"/>
                <w:highlight w:val="none"/>
              </w:rPr>
              <w:t>1、现有项目概况</w:t>
            </w:r>
          </w:p>
          <w:p w14:paraId="66DA57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b/>
                <w:bCs/>
                <w:color w:val="auto"/>
                <w:kern w:val="0"/>
                <w:sz w:val="24"/>
              </w:rPr>
              <w:t>（1）项目名称</w:t>
            </w:r>
            <w:r>
              <w:rPr>
                <w:rFonts w:hint="default" w:ascii="Times New Roman" w:hAnsi="Times New Roman" w:eastAsia="宋体" w:cs="Times New Roman"/>
                <w:b w:val="0"/>
                <w:bCs w:val="0"/>
                <w:color w:val="auto"/>
                <w:kern w:val="0"/>
                <w:sz w:val="24"/>
              </w:rPr>
              <w:t>：</w:t>
            </w:r>
            <w:r>
              <w:rPr>
                <w:rFonts w:hint="eastAsia" w:ascii="Times New Roman" w:hAnsi="Times New Roman" w:eastAsia="宋体" w:cs="Times New Roman"/>
                <w:color w:val="auto"/>
                <w:sz w:val="24"/>
                <w:szCs w:val="32"/>
                <w:highlight w:val="none"/>
                <w:vertAlign w:val="baseline"/>
                <w:lang w:val="en-US" w:eastAsia="zh-CN"/>
              </w:rPr>
              <w:t>隘口水厂</w:t>
            </w:r>
          </w:p>
          <w:p w14:paraId="490EF8C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lang w:val="en-US"/>
              </w:rPr>
            </w:pPr>
            <w:r>
              <w:rPr>
                <w:rFonts w:hint="default" w:ascii="Times New Roman" w:hAnsi="Times New Roman" w:eastAsia="宋体" w:cs="Times New Roman"/>
                <w:b/>
                <w:bCs/>
                <w:color w:val="auto"/>
                <w:kern w:val="0"/>
                <w:sz w:val="24"/>
              </w:rPr>
              <w:t>（2）建设地点</w:t>
            </w:r>
            <w:r>
              <w:rPr>
                <w:rFonts w:hint="default" w:ascii="Times New Roman" w:hAnsi="Times New Roman" w:eastAsia="宋体" w:cs="Times New Roman"/>
                <w:b w:val="0"/>
                <w:bCs w:val="0"/>
                <w:color w:val="auto"/>
                <w:kern w:val="0"/>
                <w:sz w:val="24"/>
              </w:rPr>
              <w:t>：</w:t>
            </w:r>
            <w:r>
              <w:rPr>
                <w:rFonts w:hint="eastAsia" w:ascii="Times New Roman" w:hAnsi="Times New Roman" w:eastAsia="宋体" w:cs="Times New Roman"/>
                <w:color w:val="auto"/>
                <w:sz w:val="24"/>
                <w:szCs w:val="32"/>
                <w:highlight w:val="none"/>
                <w:vertAlign w:val="baseline"/>
                <w:lang w:val="en-US" w:eastAsia="zh-CN"/>
              </w:rPr>
              <w:t>宣汉县马渡关镇隘口社区</w:t>
            </w:r>
          </w:p>
          <w:p w14:paraId="6CD182C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rPr>
              <w:t>（3）</w:t>
            </w:r>
            <w:r>
              <w:rPr>
                <w:rFonts w:hint="eastAsia" w:ascii="Times New Roman" w:hAnsi="Times New Roman" w:eastAsia="宋体" w:cs="Times New Roman"/>
                <w:b/>
                <w:bCs/>
                <w:color w:val="auto"/>
                <w:kern w:val="0"/>
                <w:sz w:val="24"/>
                <w:lang w:val="en-US" w:eastAsia="zh-CN"/>
              </w:rPr>
              <w:t>占地</w:t>
            </w:r>
            <w:r>
              <w:rPr>
                <w:rFonts w:hint="default" w:ascii="Times New Roman" w:hAnsi="Times New Roman" w:eastAsia="宋体" w:cs="Times New Roman"/>
                <w:b/>
                <w:bCs/>
                <w:color w:val="auto"/>
                <w:kern w:val="0"/>
                <w:sz w:val="24"/>
                <w:lang w:val="en-US" w:eastAsia="zh-CN"/>
              </w:rPr>
              <w:t>面积</w:t>
            </w:r>
            <w:r>
              <w:rPr>
                <w:rFonts w:hint="default" w:ascii="Times New Roman" w:hAnsi="Times New Roman" w:eastAsia="宋体" w:cs="Times New Roman"/>
                <w:b w:val="0"/>
                <w:bCs w:val="0"/>
                <w:color w:val="auto"/>
                <w:kern w:val="0"/>
                <w:sz w:val="24"/>
              </w:rPr>
              <w:t>：</w:t>
            </w:r>
            <w:r>
              <w:rPr>
                <w:rFonts w:hint="eastAsia" w:ascii="Times New Roman" w:hAnsi="Times New Roman" w:eastAsia="宋体" w:cs="Times New Roman"/>
                <w:b w:val="0"/>
                <w:bCs w:val="0"/>
                <w:color w:val="auto"/>
                <w:kern w:val="0"/>
                <w:sz w:val="24"/>
                <w:highlight w:val="none"/>
                <w:lang w:val="en-US" w:eastAsia="zh-CN"/>
              </w:rPr>
              <w:t>1046</w:t>
            </w:r>
            <w:r>
              <w:rPr>
                <w:rFonts w:hint="default" w:ascii="Times New Roman" w:hAnsi="Times New Roman" w:eastAsia="宋体" w:cs="Times New Roman"/>
                <w:b w:val="0"/>
                <w:bCs w:val="0"/>
                <w:color w:val="auto"/>
                <w:kern w:val="0"/>
                <w:sz w:val="24"/>
                <w:lang w:val="en-US" w:eastAsia="zh-CN"/>
              </w:rPr>
              <w:t>m</w:t>
            </w:r>
            <w:r>
              <w:rPr>
                <w:rFonts w:hint="default" w:ascii="Times New Roman" w:hAnsi="Times New Roman" w:eastAsia="宋体" w:cs="Times New Roman"/>
                <w:b w:val="0"/>
                <w:bCs w:val="0"/>
                <w:color w:val="auto"/>
                <w:kern w:val="0"/>
                <w:sz w:val="24"/>
                <w:vertAlign w:val="superscript"/>
                <w:lang w:val="en-US" w:eastAsia="zh-CN"/>
              </w:rPr>
              <w:t>2</w:t>
            </w:r>
          </w:p>
          <w:p w14:paraId="57E12E5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rPr>
              <w:t>（4）投资规模</w:t>
            </w:r>
            <w:r>
              <w:rPr>
                <w:rFonts w:hint="default" w:ascii="Times New Roman" w:hAnsi="Times New Roman" w:eastAsia="宋体" w:cs="Times New Roman"/>
                <w:b w:val="0"/>
                <w:bCs w:val="0"/>
                <w:color w:val="auto"/>
                <w:kern w:val="0"/>
                <w:sz w:val="24"/>
              </w:rPr>
              <w:t>：</w:t>
            </w:r>
            <w:r>
              <w:rPr>
                <w:rFonts w:hint="eastAsia" w:ascii="Times New Roman" w:hAnsi="Times New Roman" w:eastAsia="宋体" w:cs="Times New Roman"/>
                <w:b w:val="0"/>
                <w:bCs w:val="0"/>
                <w:color w:val="auto"/>
                <w:kern w:val="0"/>
                <w:sz w:val="24"/>
                <w:lang w:val="en-US" w:eastAsia="zh-CN"/>
              </w:rPr>
              <w:t>4</w:t>
            </w:r>
            <w:r>
              <w:rPr>
                <w:rFonts w:hint="default" w:ascii="Times New Roman" w:hAnsi="Times New Roman" w:eastAsia="宋体" w:cs="Times New Roman"/>
                <w:b w:val="0"/>
                <w:bCs w:val="0"/>
                <w:color w:val="auto"/>
                <w:kern w:val="0"/>
                <w:sz w:val="24"/>
                <w:lang w:val="en-US" w:eastAsia="zh-CN"/>
              </w:rPr>
              <w:t>00万元</w:t>
            </w:r>
          </w:p>
          <w:p w14:paraId="52D1F8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kern w:val="0"/>
                <w:sz w:val="24"/>
              </w:rPr>
            </w:pPr>
            <w:r>
              <w:rPr>
                <w:rFonts w:hint="default" w:ascii="Times New Roman" w:hAnsi="Times New Roman" w:eastAsia="宋体" w:cs="Times New Roman"/>
                <w:b/>
                <w:bCs/>
                <w:color w:val="auto"/>
                <w:kern w:val="0"/>
                <w:sz w:val="24"/>
              </w:rPr>
              <w:t>（5）建设内容：</w:t>
            </w:r>
            <w:r>
              <w:rPr>
                <w:rFonts w:hint="default" w:ascii="Times New Roman" w:hAnsi="Times New Roman" w:eastAsia="宋体" w:cs="Times New Roman"/>
                <w:color w:val="auto"/>
                <w:sz w:val="24"/>
                <w:szCs w:val="24"/>
                <w:lang w:val="en-US" w:eastAsia="zh-CN"/>
              </w:rPr>
              <w:t>设计供水规模</w:t>
            </w:r>
            <w:r>
              <w:rPr>
                <w:rFonts w:hint="eastAsia" w:ascii="Times New Roman" w:hAnsi="Times New Roman" w:eastAsia="宋体" w:cs="Times New Roman"/>
                <w:color w:val="auto"/>
                <w:sz w:val="24"/>
                <w:szCs w:val="24"/>
                <w:lang w:val="en-US" w:eastAsia="zh-CN"/>
              </w:rPr>
              <w:t>220</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取水</w:t>
            </w:r>
            <w:r>
              <w:rPr>
                <w:rFonts w:hint="default" w:ascii="Times New Roman" w:hAnsi="Times New Roman" w:eastAsia="宋体" w:cs="Times New Roman"/>
                <w:color w:val="auto"/>
                <w:sz w:val="24"/>
                <w:szCs w:val="24"/>
                <w:lang w:val="en-US" w:eastAsia="zh-CN"/>
              </w:rPr>
              <w:t>规模</w:t>
            </w:r>
            <w:r>
              <w:rPr>
                <w:rFonts w:hint="eastAsia" w:ascii="Times New Roman" w:hAnsi="Times New Roman" w:eastAsia="宋体" w:cs="Times New Roman"/>
                <w:color w:val="auto"/>
                <w:sz w:val="24"/>
                <w:szCs w:val="24"/>
                <w:lang w:val="en-US" w:eastAsia="zh-CN"/>
              </w:rPr>
              <w:t>220</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w:t>
            </w:r>
            <w:r>
              <w:rPr>
                <w:rFonts w:hint="default" w:ascii="Times New Roman" w:hAnsi="Times New Roman" w:eastAsia="宋体" w:cs="Times New Roman"/>
                <w:bCs/>
                <w:color w:val="auto"/>
                <w:sz w:val="24"/>
                <w:szCs w:val="24"/>
                <w:lang w:val="en-US" w:eastAsia="zh-CN"/>
              </w:rPr>
              <w:t>的供水厂一座</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以及配套建设</w:t>
            </w:r>
            <w:r>
              <w:rPr>
                <w:rFonts w:hint="default" w:ascii="Times New Roman" w:hAnsi="Times New Roman" w:eastAsia="宋体" w:cs="Times New Roman"/>
                <w:sz w:val="24"/>
                <w:szCs w:val="24"/>
              </w:rPr>
              <w:t>抽水设施、蓄水池及管网等</w:t>
            </w:r>
            <w:r>
              <w:rPr>
                <w:rFonts w:hint="default" w:ascii="Times New Roman" w:hAnsi="Times New Roman" w:eastAsia="宋体" w:cs="Times New Roman"/>
                <w:b w:val="0"/>
                <w:bCs w:val="0"/>
                <w:color w:val="auto"/>
                <w:kern w:val="0"/>
                <w:sz w:val="24"/>
              </w:rPr>
              <w:t>。</w:t>
            </w:r>
          </w:p>
          <w:p w14:paraId="50A031C1">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（6）</w:t>
            </w:r>
            <w:r>
              <w:rPr>
                <w:rFonts w:hint="default" w:ascii="Times New Roman" w:hAnsi="Times New Roman" w:cs="Times New Roman"/>
                <w:b/>
                <w:bCs/>
                <w:color w:val="auto"/>
                <w:sz w:val="24"/>
                <w:szCs w:val="32"/>
                <w:highlight w:val="none"/>
                <w:vertAlign w:val="baseline"/>
                <w:lang w:val="en-US" w:eastAsia="zh-CN"/>
              </w:rPr>
              <w:t>服务范围：</w:t>
            </w:r>
            <w:r>
              <w:rPr>
                <w:rFonts w:hint="eastAsia" w:ascii="Times New Roman" w:hAnsi="Times New Roman" w:cs="Times New Roman"/>
                <w:color w:val="auto"/>
                <w:sz w:val="24"/>
                <w:szCs w:val="24"/>
                <w:highlight w:val="none"/>
                <w:vertAlign w:val="baseline"/>
                <w:lang w:val="en-US" w:eastAsia="zh-CN"/>
              </w:rPr>
              <w:t>隘口社区</w:t>
            </w:r>
          </w:p>
          <w:p w14:paraId="14C8E9B1">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（7）</w:t>
            </w:r>
            <w:r>
              <w:rPr>
                <w:rFonts w:hint="default" w:ascii="Times New Roman" w:hAnsi="Times New Roman" w:cs="Times New Roman"/>
                <w:b/>
                <w:bCs/>
                <w:color w:val="auto"/>
                <w:sz w:val="24"/>
                <w:szCs w:val="32"/>
                <w:highlight w:val="none"/>
                <w:vertAlign w:val="baseline"/>
                <w:lang w:val="en-US" w:eastAsia="zh-CN"/>
              </w:rPr>
              <w:t>供水水源：</w:t>
            </w:r>
            <w:r>
              <w:rPr>
                <w:rFonts w:hint="eastAsia" w:ascii="Times New Roman" w:hAnsi="Times New Roman" w:eastAsia="宋体" w:cs="Times New Roman"/>
                <w:b w:val="0"/>
                <w:bCs w:val="0"/>
                <w:color w:val="auto"/>
                <w:sz w:val="24"/>
                <w:szCs w:val="24"/>
                <w:lang w:val="en-US" w:eastAsia="zh-CN"/>
              </w:rPr>
              <w:t>肖厂沟山坪塘（位于已划定水源地：宣汉县马渡关镇肖厂沟山坪塘（村级）集中式饮用水水源地）</w:t>
            </w:r>
          </w:p>
          <w:p w14:paraId="3BAEB6D2">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（8）</w:t>
            </w:r>
            <w:r>
              <w:rPr>
                <w:rFonts w:hint="default" w:ascii="Times New Roman" w:hAnsi="Times New Roman" w:cs="Times New Roman"/>
                <w:b/>
                <w:bCs/>
                <w:color w:val="auto"/>
                <w:sz w:val="24"/>
                <w:szCs w:val="32"/>
                <w:highlight w:val="none"/>
                <w:vertAlign w:val="baseline"/>
                <w:lang w:val="en-US" w:eastAsia="zh-CN"/>
              </w:rPr>
              <w:t>供水用途：</w:t>
            </w:r>
            <w:r>
              <w:rPr>
                <w:rFonts w:hint="default" w:ascii="Times New Roman" w:hAnsi="Times New Roman" w:cs="Times New Roman"/>
                <w:color w:val="auto"/>
                <w:sz w:val="24"/>
                <w:szCs w:val="32"/>
                <w:highlight w:val="none"/>
                <w:vertAlign w:val="baseline"/>
                <w:lang w:val="en-US" w:eastAsia="zh-CN"/>
              </w:rPr>
              <w:t>饮用水</w:t>
            </w:r>
          </w:p>
          <w:p w14:paraId="2ED5F321">
            <w:pPr>
              <w:keepNext w:val="0"/>
              <w:keepLines w:val="0"/>
              <w:pageBreakBefore w:val="0"/>
              <w:kinsoku/>
              <w:wordWrap/>
              <w:overflowPunct/>
              <w:topLinePunct w:val="0"/>
              <w:autoSpaceDE/>
              <w:autoSpaceDN/>
              <w:bidi w:val="0"/>
              <w:snapToGrid/>
              <w:spacing w:line="360" w:lineRule="auto"/>
              <w:ind w:left="0" w:leftChars="0" w:firstLine="482" w:firstLineChars="200"/>
              <w:rPr>
                <w:rFonts w:hint="default" w:ascii="Times New Roman" w:hAnsi="Times New Roman" w:cs="Times New Roman"/>
                <w:color w:val="auto"/>
                <w:sz w:val="24"/>
                <w:szCs w:val="32"/>
                <w:highlight w:val="none"/>
                <w:vertAlign w:val="baseline"/>
                <w:lang w:val="en-US" w:eastAsia="zh-CN"/>
              </w:rPr>
            </w:pPr>
            <w:r>
              <w:rPr>
                <w:rFonts w:hint="eastAsia" w:ascii="Times New Roman" w:hAnsi="Times New Roman" w:cs="Times New Roman"/>
                <w:b/>
                <w:bCs/>
                <w:color w:val="auto"/>
                <w:sz w:val="24"/>
                <w:szCs w:val="32"/>
                <w:highlight w:val="none"/>
                <w:vertAlign w:val="baseline"/>
                <w:lang w:val="en-US" w:eastAsia="zh-CN"/>
              </w:rPr>
              <w:t>（9）</w:t>
            </w:r>
            <w:r>
              <w:rPr>
                <w:rFonts w:hint="default" w:ascii="Times New Roman" w:hAnsi="Times New Roman" w:cs="Times New Roman"/>
                <w:b/>
                <w:bCs/>
                <w:color w:val="auto"/>
                <w:sz w:val="24"/>
                <w:szCs w:val="32"/>
                <w:highlight w:val="none"/>
                <w:vertAlign w:val="baseline"/>
                <w:lang w:val="en-US" w:eastAsia="zh-CN"/>
              </w:rPr>
              <w:t>净水工艺：</w:t>
            </w:r>
            <w:r>
              <w:rPr>
                <w:rFonts w:hint="default" w:ascii="Times New Roman" w:hAnsi="Times New Roman" w:cs="Times New Roman"/>
                <w:color w:val="auto"/>
                <w:sz w:val="24"/>
                <w:szCs w:val="32"/>
                <w:highlight w:val="none"/>
                <w:vertAlign w:val="baseline"/>
                <w:lang w:val="en-US" w:eastAsia="zh-CN"/>
              </w:rPr>
              <w:t>采用“</w:t>
            </w:r>
            <w:r>
              <w:rPr>
                <w:rFonts w:hint="default" w:ascii="Times New Roman" w:hAnsi="Times New Roman" w:eastAsia="宋体" w:cs="Times New Roman"/>
                <w:sz w:val="24"/>
                <w:szCs w:val="24"/>
              </w:rPr>
              <w:t>慢滤池</w:t>
            </w:r>
            <w:r>
              <w:rPr>
                <w:rFonts w:hint="eastAsia" w:ascii="Times New Roman" w:hAnsi="Times New Roman" w:eastAsia="宋体" w:cs="Times New Roman"/>
                <w:sz w:val="24"/>
                <w:szCs w:val="24"/>
                <w:lang w:val="en-US" w:eastAsia="zh-CN"/>
              </w:rPr>
              <w:t>+清水池</w:t>
            </w:r>
            <w:r>
              <w:rPr>
                <w:rFonts w:hint="eastAsia" w:ascii="Times New Roman" w:hAnsi="Times New Roman" w:cs="Times New Roman"/>
                <w:color w:val="auto"/>
                <w:sz w:val="24"/>
                <w:szCs w:val="32"/>
                <w:highlight w:val="none"/>
                <w:vertAlign w:val="baseline"/>
                <w:lang w:val="en-US" w:eastAsia="zh-CN"/>
              </w:rPr>
              <w:t>+次氯酸钠消毒</w:t>
            </w:r>
            <w:r>
              <w:rPr>
                <w:rFonts w:hint="default" w:ascii="Times New Roman" w:hAnsi="Times New Roman" w:cs="Times New Roman"/>
                <w:color w:val="auto"/>
                <w:sz w:val="24"/>
                <w:szCs w:val="32"/>
                <w:highlight w:val="none"/>
                <w:vertAlign w:val="baseline"/>
                <w:lang w:val="en-US" w:eastAsia="zh-CN"/>
              </w:rPr>
              <w:t>”</w:t>
            </w:r>
          </w:p>
          <w:p w14:paraId="761965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kern w:val="0"/>
                <w:sz w:val="24"/>
                <w:lang w:val="en-US" w:eastAsia="zh-CN"/>
              </w:rPr>
            </w:pPr>
            <w:r>
              <w:rPr>
                <w:rFonts w:hint="default" w:ascii="Times New Roman" w:hAnsi="Times New Roman" w:eastAsia="宋体" w:cs="Times New Roman"/>
                <w:b/>
                <w:bCs/>
                <w:color w:val="auto"/>
                <w:kern w:val="0"/>
                <w:sz w:val="24"/>
              </w:rPr>
              <w:t>（</w:t>
            </w:r>
            <w:r>
              <w:rPr>
                <w:rFonts w:hint="eastAsia" w:ascii="Times New Roman" w:hAnsi="Times New Roman" w:eastAsia="宋体" w:cs="Times New Roman"/>
                <w:b/>
                <w:bCs/>
                <w:color w:val="auto"/>
                <w:kern w:val="0"/>
                <w:sz w:val="24"/>
                <w:lang w:val="en-US" w:eastAsia="zh-CN"/>
              </w:rPr>
              <w:t>10</w:t>
            </w:r>
            <w:r>
              <w:rPr>
                <w:rFonts w:hint="default" w:ascii="Times New Roman" w:hAnsi="Times New Roman" w:eastAsia="宋体" w:cs="Times New Roman"/>
                <w:b/>
                <w:bCs/>
                <w:color w:val="auto"/>
                <w:kern w:val="0"/>
                <w:sz w:val="24"/>
              </w:rPr>
              <w:t>）劳动定员及工作制度</w:t>
            </w:r>
            <w:r>
              <w:rPr>
                <w:rFonts w:hint="default" w:ascii="Times New Roman" w:hAnsi="Times New Roman" w:eastAsia="宋体" w:cs="Times New Roman"/>
                <w:b w:val="0"/>
                <w:bCs w:val="0"/>
                <w:color w:val="auto"/>
                <w:kern w:val="0"/>
                <w:sz w:val="24"/>
              </w:rPr>
              <w:t>：</w:t>
            </w:r>
            <w:r>
              <w:rPr>
                <w:rFonts w:hint="eastAsia" w:ascii="Times New Roman" w:hAnsi="Times New Roman" w:eastAsia="宋体" w:cs="Times New Roman"/>
                <w:b w:val="0"/>
                <w:bCs w:val="0"/>
                <w:color w:val="auto"/>
                <w:kern w:val="0"/>
                <w:sz w:val="24"/>
                <w:lang w:val="en-US" w:eastAsia="zh-CN"/>
              </w:rPr>
              <w:t>2</w:t>
            </w:r>
            <w:r>
              <w:rPr>
                <w:rFonts w:hint="default" w:ascii="Times New Roman" w:hAnsi="Times New Roman" w:eastAsia="宋体" w:cs="Times New Roman"/>
                <w:b w:val="0"/>
                <w:bCs w:val="0"/>
                <w:color w:val="auto"/>
                <w:kern w:val="0"/>
                <w:sz w:val="24"/>
              </w:rPr>
              <w:t>人，年作业</w:t>
            </w:r>
            <w:r>
              <w:rPr>
                <w:rFonts w:hint="eastAsia" w:ascii="Times New Roman" w:hAnsi="Times New Roman" w:eastAsia="宋体" w:cs="Times New Roman"/>
                <w:b w:val="0"/>
                <w:bCs w:val="0"/>
                <w:color w:val="auto"/>
                <w:kern w:val="0"/>
                <w:sz w:val="24"/>
                <w:lang w:val="en-US" w:eastAsia="zh-CN"/>
              </w:rPr>
              <w:t>365</w:t>
            </w:r>
            <w:r>
              <w:rPr>
                <w:rFonts w:hint="default" w:ascii="Times New Roman" w:hAnsi="Times New Roman" w:eastAsia="宋体" w:cs="Times New Roman"/>
                <w:b w:val="0"/>
                <w:bCs w:val="0"/>
                <w:color w:val="auto"/>
                <w:kern w:val="0"/>
                <w:sz w:val="24"/>
              </w:rPr>
              <w:t>天，日工作</w:t>
            </w:r>
            <w:r>
              <w:rPr>
                <w:rFonts w:hint="eastAsia" w:ascii="Times New Roman" w:hAnsi="Times New Roman" w:eastAsia="宋体" w:cs="Times New Roman"/>
                <w:b w:val="0"/>
                <w:bCs w:val="0"/>
                <w:color w:val="auto"/>
                <w:kern w:val="0"/>
                <w:sz w:val="24"/>
                <w:lang w:val="en-US" w:eastAsia="zh-CN"/>
              </w:rPr>
              <w:t>24</w:t>
            </w:r>
            <w:r>
              <w:rPr>
                <w:rFonts w:hint="default" w:ascii="Times New Roman" w:hAnsi="Times New Roman" w:eastAsia="宋体" w:cs="Times New Roman"/>
                <w:b w:val="0"/>
                <w:bCs w:val="0"/>
                <w:color w:val="auto"/>
                <w:kern w:val="0"/>
                <w:sz w:val="24"/>
              </w:rPr>
              <w:t>小时</w:t>
            </w:r>
            <w:r>
              <w:rPr>
                <w:rFonts w:hint="eastAsia" w:ascii="Times New Roman" w:hAnsi="Times New Roman" w:eastAsia="宋体" w:cs="Times New Roman"/>
                <w:b w:val="0"/>
                <w:bCs w:val="0"/>
                <w:color w:val="auto"/>
                <w:kern w:val="0"/>
                <w:sz w:val="24"/>
                <w:lang w:eastAsia="zh-CN"/>
              </w:rPr>
              <w:t>，</w:t>
            </w:r>
            <w:r>
              <w:rPr>
                <w:rFonts w:hint="default" w:ascii="Times New Roman" w:hAnsi="Times New Roman" w:cs="Times New Roman"/>
                <w:color w:val="auto"/>
                <w:sz w:val="24"/>
                <w:szCs w:val="32"/>
                <w:highlight w:val="none"/>
                <w:vertAlign w:val="baseline"/>
                <w:lang w:val="en-US" w:eastAsia="zh-CN"/>
              </w:rPr>
              <w:t>实行三班工作制，8h/班。供水厂内不设置</w:t>
            </w:r>
            <w:r>
              <w:rPr>
                <w:rFonts w:hint="eastAsia" w:ascii="Times New Roman" w:hAnsi="Times New Roman" w:cs="Times New Roman"/>
                <w:color w:val="auto"/>
                <w:sz w:val="24"/>
                <w:szCs w:val="32"/>
                <w:highlight w:val="none"/>
                <w:vertAlign w:val="baseline"/>
                <w:lang w:val="en-US" w:eastAsia="zh-CN"/>
              </w:rPr>
              <w:t>食</w:t>
            </w:r>
            <w:r>
              <w:rPr>
                <w:rFonts w:hint="default" w:ascii="Times New Roman" w:hAnsi="Times New Roman" w:cs="Times New Roman"/>
                <w:color w:val="auto"/>
                <w:sz w:val="24"/>
                <w:szCs w:val="32"/>
                <w:highlight w:val="none"/>
                <w:vertAlign w:val="baseline"/>
                <w:lang w:val="en-US" w:eastAsia="zh-CN"/>
              </w:rPr>
              <w:t>宿。</w:t>
            </w:r>
          </w:p>
          <w:p w14:paraId="5E08E6B5">
            <w:pPr>
              <w:pageBreakBefore w:val="0"/>
              <w:kinsoku/>
              <w:wordWrap/>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2、现有项目环保手续</w:t>
            </w:r>
          </w:p>
          <w:p w14:paraId="138A6CEC">
            <w:pPr>
              <w:pageBreakBefore w:val="0"/>
              <w:kinsoku/>
              <w:wordWrap/>
              <w:bidi w:val="0"/>
              <w:spacing w:line="360" w:lineRule="auto"/>
              <w:ind w:left="0" w:leftChars="0" w:right="0" w:firstLine="480" w:firstLineChars="200"/>
              <w:rPr>
                <w:rFonts w:hint="default" w:ascii="Times New Roman"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暂未进行环评</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暂未进行验收。</w:t>
            </w:r>
            <w:r>
              <w:rPr>
                <w:rFonts w:hint="eastAsia" w:ascii="Times New Roman" w:cs="Times New Roman"/>
                <w:color w:val="auto"/>
                <w:sz w:val="24"/>
                <w:szCs w:val="24"/>
                <w:lang w:val="en-US" w:eastAsia="zh-CN"/>
              </w:rPr>
              <w:t>暂未进行排污登记。</w:t>
            </w:r>
          </w:p>
          <w:p w14:paraId="00A2EE22">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cs="Times New Roman"/>
                <w:b/>
                <w:bCs/>
                <w:color w:val="auto"/>
                <w:sz w:val="24"/>
                <w:szCs w:val="24"/>
                <w:lang w:val="en-US" w:eastAsia="zh-CN"/>
              </w:rPr>
              <w:t>3、现有项目工艺</w:t>
            </w:r>
          </w:p>
          <w:p w14:paraId="146096A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Cs/>
                <w:color w:val="auto"/>
                <w:kern w:val="0"/>
                <w:sz w:val="24"/>
                <w:lang w:val="en-US" w:eastAsia="zh-CN"/>
              </w:rPr>
            </w:pPr>
            <w:r>
              <w:rPr>
                <w:rFonts w:hint="eastAsia" w:ascii="Times New Roman" w:hAnsi="Times New Roman" w:cs="Times New Roman"/>
                <w:color w:val="auto"/>
                <w:kern w:val="0"/>
                <w:sz w:val="24"/>
                <w:lang w:val="en-US" w:eastAsia="zh-CN"/>
              </w:rPr>
              <w:t>现有</w:t>
            </w:r>
            <w:r>
              <w:rPr>
                <w:rFonts w:hint="default" w:ascii="Times New Roman" w:hAnsi="Times New Roman" w:cs="Times New Roman"/>
                <w:color w:val="auto"/>
                <w:kern w:val="0"/>
                <w:sz w:val="24"/>
              </w:rPr>
              <w:t>项目工艺流程及产污环节如下图所示</w:t>
            </w:r>
            <w:r>
              <w:rPr>
                <w:rFonts w:hint="default" w:ascii="Times New Roman" w:hAnsi="Times New Roman" w:cs="Times New Roman"/>
                <w:bCs/>
                <w:color w:val="auto"/>
                <w:kern w:val="0"/>
                <w:sz w:val="24"/>
              </w:rPr>
              <w:t>。</w:t>
            </w:r>
          </w:p>
          <w:p w14:paraId="46045574">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auto"/>
                <w:sz w:val="24"/>
                <w:szCs w:val="24"/>
                <w:lang w:val="en-US" w:eastAsia="zh-CN"/>
              </w:rPr>
            </w:pPr>
            <w:r>
              <w:drawing>
                <wp:inline distT="0" distB="0" distL="114300" distR="114300">
                  <wp:extent cx="3190875" cy="3305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190875" cy="3305175"/>
                          </a:xfrm>
                          <a:prstGeom prst="rect">
                            <a:avLst/>
                          </a:prstGeom>
                          <a:noFill/>
                          <a:ln>
                            <a:noFill/>
                          </a:ln>
                        </pic:spPr>
                      </pic:pic>
                    </a:graphicData>
                  </a:graphic>
                </wp:inline>
              </w:drawing>
            </w:r>
          </w:p>
          <w:p w14:paraId="0F73CBC6">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黑体" w:cs="Times New Roman"/>
                <w:color w:val="auto"/>
                <w:sz w:val="21"/>
                <w:szCs w:val="21"/>
                <w:lang w:val="en-US" w:eastAsia="zh-CN"/>
              </w:rPr>
              <w:t>图2-</w:t>
            </w:r>
            <w:r>
              <w:rPr>
                <w:rFonts w:hint="eastAsia" w:ascii="Times New Roman" w:eastAsia="黑体" w:cs="Times New Roman"/>
                <w:color w:val="auto"/>
                <w:sz w:val="21"/>
                <w:szCs w:val="21"/>
                <w:lang w:val="en-US" w:eastAsia="zh-CN"/>
              </w:rPr>
              <w:t>7</w:t>
            </w:r>
            <w:r>
              <w:rPr>
                <w:rFonts w:hint="default" w:ascii="Times New Roman" w:hAnsi="Times New Roman" w:eastAsia="黑体" w:cs="Times New Roman"/>
                <w:color w:val="auto"/>
                <w:sz w:val="21"/>
                <w:szCs w:val="21"/>
                <w:lang w:val="en-US" w:eastAsia="zh-CN"/>
              </w:rPr>
              <w:t xml:space="preserve">  </w:t>
            </w:r>
            <w:r>
              <w:rPr>
                <w:rFonts w:hint="eastAsia" w:ascii="Times New Roman" w:hAnsi="Times New Roman" w:eastAsia="黑体" w:cs="Times New Roman"/>
                <w:color w:val="auto"/>
                <w:sz w:val="21"/>
                <w:szCs w:val="21"/>
                <w:lang w:val="en-US" w:eastAsia="zh-CN"/>
              </w:rPr>
              <w:t>现有项目</w:t>
            </w:r>
            <w:r>
              <w:rPr>
                <w:rFonts w:hint="default" w:ascii="Times New Roman" w:hAnsi="Times New Roman" w:eastAsia="黑体" w:cs="Times New Roman"/>
                <w:color w:val="auto"/>
                <w:sz w:val="21"/>
                <w:szCs w:val="21"/>
                <w:lang w:val="en-US" w:eastAsia="zh-CN"/>
              </w:rPr>
              <w:t>工艺流程图</w:t>
            </w:r>
          </w:p>
          <w:p w14:paraId="0A90F054">
            <w:pPr>
              <w:spacing w:line="360" w:lineRule="auto"/>
              <w:ind w:firstLine="482" w:firstLineChars="200"/>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4、原项目污染物治理及达标排放情况</w:t>
            </w:r>
          </w:p>
          <w:p w14:paraId="3CA1E1DF">
            <w:pPr>
              <w:spacing w:line="360" w:lineRule="auto"/>
              <w:ind w:firstLine="482" w:firstLineChars="200"/>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（1）污染治理措施</w:t>
            </w:r>
          </w:p>
          <w:p w14:paraId="20968DC7">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cs="Times New Roman"/>
                <w:b/>
                <w:bCs/>
                <w:color w:val="auto"/>
                <w:sz w:val="24"/>
                <w:szCs w:val="24"/>
                <w:lang w:val="en-US" w:eastAsia="zh-CN"/>
              </w:rPr>
              <w:t>1）废水</w:t>
            </w:r>
            <w:r>
              <w:rPr>
                <w:rFonts w:hint="eastAsia" w:eastAsia="宋体"/>
                <w:b/>
                <w:bCs/>
                <w:color w:val="auto"/>
                <w:sz w:val="24"/>
                <w:szCs w:val="24"/>
                <w:lang w:val="en-US" w:eastAsia="zh-CN"/>
              </w:rPr>
              <w:t>治理措施</w:t>
            </w:r>
          </w:p>
          <w:p w14:paraId="404D81D3">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cs="Times New Roman"/>
                <w:color w:val="auto"/>
                <w:sz w:val="24"/>
                <w:szCs w:val="24"/>
                <w:lang w:val="en-US" w:eastAsia="zh-CN"/>
              </w:rPr>
              <w:t>①生活污水</w:t>
            </w:r>
          </w:p>
          <w:p w14:paraId="26DF4BD3">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cs="Times New Roman"/>
                <w:color w:val="auto"/>
                <w:sz w:val="24"/>
                <w:szCs w:val="24"/>
                <w:lang w:val="en-US" w:eastAsia="zh-CN"/>
              </w:rPr>
              <w:t>经化粪池收集后，用作农肥。</w:t>
            </w:r>
          </w:p>
          <w:p w14:paraId="3DB63EBE">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cs="Times New Roman"/>
                <w:color w:val="auto"/>
                <w:sz w:val="24"/>
                <w:szCs w:val="24"/>
                <w:lang w:val="en-US" w:eastAsia="zh-CN"/>
              </w:rPr>
              <w:t>②排泥水、反冲洗水</w:t>
            </w:r>
          </w:p>
          <w:p w14:paraId="45587AD0">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cs="Times New Roman"/>
                <w:color w:val="auto"/>
                <w:sz w:val="24"/>
                <w:szCs w:val="24"/>
                <w:lang w:val="en-US" w:eastAsia="zh-CN"/>
              </w:rPr>
              <w:t>直接外排附近沟渠。</w:t>
            </w:r>
          </w:p>
          <w:p w14:paraId="67B39CF9">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cs="Times New Roman"/>
                <w:b/>
                <w:bCs/>
                <w:color w:val="auto"/>
                <w:sz w:val="24"/>
                <w:szCs w:val="24"/>
                <w:lang w:val="en-US" w:eastAsia="zh-CN"/>
              </w:rPr>
              <w:t>2）噪声治理措施</w:t>
            </w:r>
          </w:p>
          <w:p w14:paraId="1452EBCF">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rPr>
              <w:t>选用低噪声设备；各类污水泵采用潜水泵，噪声源位于液面以下；高噪声设备置于单独的房间内，安装设备减震器</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消音器</w:t>
            </w:r>
            <w:r>
              <w:rPr>
                <w:rFonts w:hint="default" w:ascii="Times New Roman" w:hAnsi="Times New Roman" w:cs="Times New Roman"/>
                <w:color w:val="auto"/>
                <w:sz w:val="24"/>
                <w:szCs w:val="24"/>
                <w:highlight w:val="none"/>
              </w:rPr>
              <w:t>加强管理，通过隔声和距离衰减使噪声达标</w:t>
            </w:r>
            <w:r>
              <w:rPr>
                <w:rFonts w:hint="default" w:ascii="Times New Roman" w:hAnsi="Times New Roman" w:cs="Times New Roman"/>
                <w:color w:val="auto"/>
                <w:sz w:val="24"/>
                <w:szCs w:val="24"/>
                <w:highlight w:val="none"/>
                <w:lang w:eastAsia="zh-CN"/>
              </w:rPr>
              <w:t>。</w:t>
            </w:r>
          </w:p>
          <w:p w14:paraId="68D1369C">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b/>
                <w:bCs/>
                <w:color w:val="auto"/>
                <w:sz w:val="24"/>
                <w:szCs w:val="24"/>
                <w:lang w:val="en-US" w:eastAsia="zh-CN"/>
              </w:rPr>
              <w:t>3）固废治理措施</w:t>
            </w:r>
          </w:p>
          <w:p w14:paraId="45235517">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①</w:t>
            </w:r>
            <w:r>
              <w:rPr>
                <w:rFonts w:hint="default" w:ascii="Times New Roman" w:hAnsi="Times New Roman" w:cs="Times New Roman"/>
                <w:b w:val="0"/>
                <w:bCs w:val="0"/>
                <w:color w:val="auto"/>
                <w:sz w:val="24"/>
                <w:szCs w:val="24"/>
                <w:highlight w:val="none"/>
              </w:rPr>
              <w:t>生活垃圾</w:t>
            </w:r>
          </w:p>
          <w:p w14:paraId="6AC1453E">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项目营运期生活垃圾经装袋收集后交由环卫统一清运。</w:t>
            </w:r>
          </w:p>
          <w:p w14:paraId="05C299B6">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②</w:t>
            </w:r>
            <w:r>
              <w:rPr>
                <w:rFonts w:hint="default" w:ascii="Times New Roman" w:hAnsi="Times New Roman" w:cs="Times New Roman"/>
                <w:b w:val="0"/>
                <w:bCs w:val="0"/>
                <w:color w:val="auto"/>
                <w:sz w:val="24"/>
                <w:szCs w:val="24"/>
                <w:highlight w:val="none"/>
              </w:rPr>
              <w:t>栅渣及沉砂</w:t>
            </w:r>
          </w:p>
          <w:p w14:paraId="2A8A6916">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定期还田处理</w:t>
            </w:r>
            <w:r>
              <w:rPr>
                <w:rFonts w:hint="eastAsia" w:ascii="Times New Roman" w:hAnsi="Times New Roman" w:cs="Times New Roman"/>
                <w:color w:val="auto"/>
                <w:sz w:val="24"/>
                <w:szCs w:val="24"/>
                <w:highlight w:val="none"/>
                <w:lang w:val="en-US" w:eastAsia="zh-CN"/>
              </w:rPr>
              <w:t>。</w:t>
            </w:r>
          </w:p>
          <w:p w14:paraId="275C0879">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lang w:val="en-US" w:eastAsia="zh-CN"/>
              </w:rPr>
              <w:t>③</w:t>
            </w:r>
            <w:r>
              <w:rPr>
                <w:rFonts w:hint="default" w:ascii="Times New Roman" w:hAnsi="Times New Roman" w:cs="Times New Roman"/>
                <w:b w:val="0"/>
                <w:bCs w:val="0"/>
                <w:color w:val="auto"/>
                <w:sz w:val="24"/>
                <w:szCs w:val="24"/>
                <w:highlight w:val="none"/>
              </w:rPr>
              <w:t>污泥</w:t>
            </w:r>
          </w:p>
          <w:p w14:paraId="67C4ED2C">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b/>
                <w:color w:val="auto"/>
                <w:sz w:val="24"/>
                <w:szCs w:val="24"/>
              </w:rPr>
            </w:pPr>
            <w:r>
              <w:rPr>
                <w:rFonts w:hint="eastAsia" w:ascii="Times New Roman" w:hAnsi="Times New Roman" w:cs="Times New Roman"/>
                <w:sz w:val="24"/>
                <w:szCs w:val="24"/>
                <w:lang w:val="en-US" w:eastAsia="zh-CN"/>
              </w:rPr>
              <w:t>干化后还田处理。</w:t>
            </w:r>
          </w:p>
          <w:p w14:paraId="7B53C395">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④废滤料</w:t>
            </w:r>
          </w:p>
          <w:p w14:paraId="2C379A09">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eastAsia="zh-CN"/>
              </w:rPr>
              <w:t>交由厂商回收处理</w:t>
            </w:r>
            <w:r>
              <w:rPr>
                <w:rFonts w:hint="eastAsia" w:ascii="Times New Roman" w:hAnsi="Times New Roman" w:cs="Times New Roman"/>
                <w:color w:val="auto"/>
                <w:sz w:val="24"/>
                <w:szCs w:val="24"/>
                <w:highlight w:val="none"/>
                <w:lang w:eastAsia="zh-CN"/>
              </w:rPr>
              <w:t>。</w:t>
            </w:r>
          </w:p>
          <w:p w14:paraId="23E46A1E">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⑤</w:t>
            </w:r>
            <w:r>
              <w:rPr>
                <w:rFonts w:hint="default" w:ascii="Times New Roman" w:hAnsi="Times New Roman" w:cs="Times New Roman"/>
                <w:b w:val="0"/>
                <w:bCs w:val="0"/>
                <w:color w:val="auto"/>
                <w:sz w:val="24"/>
                <w:szCs w:val="24"/>
                <w:highlight w:val="none"/>
                <w:lang w:val="en-US" w:eastAsia="zh-CN"/>
              </w:rPr>
              <w:t>废包装材料</w:t>
            </w:r>
          </w:p>
          <w:p w14:paraId="3E5C74E0">
            <w:pPr>
              <w:keepNext w:val="0"/>
              <w:keepLines w:val="0"/>
              <w:pageBreakBefore w:val="0"/>
              <w:widowControl w:val="0"/>
              <w:tabs>
                <w:tab w:val="left" w:pos="2010"/>
              </w:tabs>
              <w:kinsoku/>
              <w:wordWrap/>
              <w:overflowPunct/>
              <w:topLinePunct w:val="0"/>
              <w:autoSpaceDE/>
              <w:autoSpaceDN/>
              <w:bidi w:val="0"/>
              <w:adjustRightInd/>
              <w:snapToGrid w:val="0"/>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项目营运期</w:t>
            </w:r>
            <w:r>
              <w:rPr>
                <w:rFonts w:hint="default" w:ascii="Times New Roman" w:hAnsi="Times New Roman" w:cs="Times New Roman"/>
                <w:color w:val="auto"/>
                <w:sz w:val="24"/>
                <w:szCs w:val="24"/>
                <w:highlight w:val="none"/>
              </w:rPr>
              <w:t>废包装材料定期交由废品收购站回收。</w:t>
            </w:r>
          </w:p>
          <w:p w14:paraId="11D74FB3">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（2）达标情况</w:t>
            </w:r>
          </w:p>
          <w:p w14:paraId="5BC82F35">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cs="Times New Roman"/>
                <w:b/>
                <w:bCs/>
                <w:color w:val="auto"/>
                <w:sz w:val="24"/>
                <w:szCs w:val="24"/>
                <w:lang w:val="en-US" w:eastAsia="zh-CN"/>
              </w:rPr>
              <w:t>1）噪声</w:t>
            </w:r>
          </w:p>
          <w:p w14:paraId="0EF3CE2A">
            <w:pPr>
              <w:pStyle w:val="4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snapToGrid w:val="0"/>
                <w:sz w:val="24"/>
                <w:szCs w:val="24"/>
                <w:lang w:val="en-US" w:eastAsia="zh-CN"/>
              </w:rPr>
              <w:t>本次评价委托</w:t>
            </w:r>
            <w:r>
              <w:rPr>
                <w:rFonts w:hint="default" w:ascii="Times New Roman" w:hAnsi="Times New Roman" w:cs="Times New Roman"/>
                <w:sz w:val="24"/>
                <w:szCs w:val="24"/>
              </w:rPr>
              <w:t>达州恒福环境监测服务有限公司</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于</w:t>
            </w:r>
            <w:r>
              <w:rPr>
                <w:rFonts w:hint="default" w:ascii="Times New Roman" w:hAnsi="Times New Roman" w:cs="Times New Roman"/>
                <w:snapToGrid w:val="0"/>
                <w:sz w:val="24"/>
                <w:szCs w:val="24"/>
              </w:rPr>
              <w:t>2025年</w:t>
            </w:r>
            <w:r>
              <w:rPr>
                <w:rFonts w:hint="eastAsia" w:ascii="Times New Roman" w:cs="Times New Roman"/>
                <w:snapToGrid w:val="0"/>
                <w:sz w:val="24"/>
                <w:szCs w:val="24"/>
                <w:lang w:val="en-US" w:eastAsia="zh-CN"/>
              </w:rPr>
              <w:t>7</w:t>
            </w:r>
            <w:r>
              <w:rPr>
                <w:rFonts w:hint="default" w:ascii="Times New Roman" w:hAnsi="Times New Roman" w:cs="Times New Roman"/>
                <w:snapToGrid w:val="0"/>
                <w:sz w:val="24"/>
                <w:szCs w:val="24"/>
              </w:rPr>
              <w:t>月</w:t>
            </w:r>
            <w:r>
              <w:rPr>
                <w:rFonts w:hint="eastAsia" w:ascii="Times New Roman" w:cs="Times New Roman"/>
                <w:snapToGrid w:val="0"/>
                <w:sz w:val="24"/>
                <w:szCs w:val="24"/>
                <w:lang w:val="en-US" w:eastAsia="zh-CN"/>
              </w:rPr>
              <w:t>30</w:t>
            </w:r>
            <w:r>
              <w:rPr>
                <w:rFonts w:hint="default" w:ascii="Times New Roman" w:hAnsi="Times New Roman" w:cs="Times New Roman"/>
                <w:snapToGrid w:val="0"/>
                <w:sz w:val="24"/>
                <w:szCs w:val="24"/>
              </w:rPr>
              <w:t>日</w:t>
            </w:r>
            <w:r>
              <w:rPr>
                <w:rFonts w:hint="default" w:ascii="Times New Roman" w:hAnsi="Times New Roman" w:cs="Times New Roman"/>
                <w:snapToGrid w:val="0"/>
                <w:sz w:val="24"/>
                <w:szCs w:val="24"/>
                <w:lang w:val="en-US" w:eastAsia="zh-CN"/>
              </w:rPr>
              <w:t>对</w:t>
            </w:r>
            <w:r>
              <w:rPr>
                <w:rFonts w:hint="eastAsia" w:ascii="Times New Roman" w:cs="Times New Roman"/>
                <w:snapToGrid w:val="0"/>
                <w:sz w:val="24"/>
                <w:szCs w:val="24"/>
                <w:lang w:val="en-US" w:eastAsia="zh-CN"/>
              </w:rPr>
              <w:t>隘口</w:t>
            </w:r>
            <w:r>
              <w:rPr>
                <w:rFonts w:hint="default" w:ascii="Times New Roman" w:hAnsi="Times New Roman" w:cs="Times New Roman"/>
                <w:snapToGrid w:val="0"/>
                <w:sz w:val="24"/>
                <w:szCs w:val="24"/>
                <w:lang w:val="en-US" w:eastAsia="zh-CN"/>
              </w:rPr>
              <w:t>水厂的厂界噪声进行了监测，监测结果如下：</w:t>
            </w:r>
          </w:p>
          <w:p w14:paraId="0D87AF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b w:val="0"/>
                <w:bCs/>
                <w:sz w:val="21"/>
                <w:szCs w:val="21"/>
                <w:lang w:eastAsia="zh-CN"/>
              </w:rPr>
            </w:pPr>
            <w:r>
              <w:rPr>
                <w:rFonts w:hint="default" w:ascii="Times New Roman" w:hAnsi="Times New Roman" w:eastAsia="黑体" w:cs="Times New Roman"/>
                <w:b w:val="0"/>
                <w:bCs/>
                <w:sz w:val="21"/>
                <w:szCs w:val="21"/>
              </w:rPr>
              <w:t>表</w:t>
            </w:r>
            <w:r>
              <w:rPr>
                <w:rFonts w:hint="default" w:ascii="Times New Roman" w:hAnsi="Times New Roman" w:eastAsia="黑体" w:cs="Times New Roman"/>
                <w:b w:val="0"/>
                <w:bCs/>
                <w:sz w:val="21"/>
                <w:szCs w:val="21"/>
                <w:lang w:val="en-US" w:eastAsia="zh-CN"/>
              </w:rPr>
              <w:t>2-1</w:t>
            </w:r>
            <w:r>
              <w:rPr>
                <w:rFonts w:hint="eastAsia" w:ascii="Times New Roman" w:hAnsi="Times New Roman" w:eastAsia="黑体" w:cs="Times New Roman"/>
                <w:b w:val="0"/>
                <w:bCs/>
                <w:sz w:val="21"/>
                <w:szCs w:val="21"/>
                <w:lang w:val="en-US" w:eastAsia="zh-CN"/>
              </w:rPr>
              <w:t>0</w:t>
            </w:r>
            <w:r>
              <w:rPr>
                <w:rFonts w:hint="default" w:ascii="Times New Roman" w:hAnsi="Times New Roman" w:eastAsia="黑体" w:cs="Times New Roman"/>
                <w:b w:val="0"/>
                <w:bCs/>
                <w:sz w:val="21"/>
                <w:szCs w:val="21"/>
              </w:rPr>
              <w:t xml:space="preserve">  厂界噪声检测结果表                  单位：dB</w:t>
            </w:r>
            <w:r>
              <w:rPr>
                <w:rFonts w:hint="default" w:ascii="Times New Roman" w:hAnsi="Times New Roman" w:eastAsia="黑体" w:cs="Times New Roman"/>
                <w:b w:val="0"/>
                <w:bCs/>
                <w:sz w:val="21"/>
                <w:szCs w:val="21"/>
                <w:lang w:eastAsia="zh-CN"/>
              </w:rPr>
              <w:t>（</w:t>
            </w:r>
            <w:r>
              <w:rPr>
                <w:rFonts w:hint="default" w:ascii="Times New Roman" w:hAnsi="Times New Roman" w:eastAsia="黑体" w:cs="Times New Roman"/>
                <w:b w:val="0"/>
                <w:bCs/>
                <w:sz w:val="21"/>
                <w:szCs w:val="21"/>
              </w:rPr>
              <w:t>A</w:t>
            </w:r>
            <w:r>
              <w:rPr>
                <w:rFonts w:hint="default" w:ascii="Times New Roman" w:hAnsi="Times New Roman" w:eastAsia="黑体" w:cs="Times New Roman"/>
                <w:b w:val="0"/>
                <w:bCs/>
                <w:sz w:val="21"/>
                <w:szCs w:val="21"/>
                <w:lang w:eastAsia="zh-CN"/>
              </w:rPr>
              <w:t>）</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2977"/>
              <w:gridCol w:w="1276"/>
              <w:gridCol w:w="567"/>
              <w:gridCol w:w="567"/>
              <w:gridCol w:w="1275"/>
              <w:gridCol w:w="587"/>
              <w:gridCol w:w="588"/>
            </w:tblGrid>
            <w:tr w14:paraId="160E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35" w:type="dxa"/>
                  <w:vMerge w:val="restart"/>
                  <w:tcBorders>
                    <w:tl2br w:val="nil"/>
                    <w:tr2bl w:val="nil"/>
                  </w:tcBorders>
                  <w:noWrap w:val="0"/>
                  <w:vAlign w:val="center"/>
                </w:tcPr>
                <w:p w14:paraId="6E1061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检测因子</w:t>
                  </w:r>
                </w:p>
              </w:tc>
              <w:tc>
                <w:tcPr>
                  <w:tcW w:w="2977" w:type="dxa"/>
                  <w:vMerge w:val="restart"/>
                  <w:tcBorders>
                    <w:tl2br w:val="nil"/>
                    <w:tr2bl w:val="nil"/>
                  </w:tcBorders>
                  <w:noWrap w:val="0"/>
                  <w:vAlign w:val="center"/>
                </w:tcPr>
                <w:p w14:paraId="4E3D8A47">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检测点编号及位置</w:t>
                  </w:r>
                </w:p>
              </w:tc>
              <w:tc>
                <w:tcPr>
                  <w:tcW w:w="2410" w:type="dxa"/>
                  <w:gridSpan w:val="3"/>
                  <w:tcBorders>
                    <w:tl2br w:val="nil"/>
                    <w:tr2bl w:val="nil"/>
                  </w:tcBorders>
                  <w:noWrap w:val="0"/>
                  <w:vAlign w:val="center"/>
                </w:tcPr>
                <w:p w14:paraId="694C805F">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w:t>
                  </w:r>
                </w:p>
              </w:tc>
              <w:tc>
                <w:tcPr>
                  <w:tcW w:w="2450" w:type="dxa"/>
                  <w:gridSpan w:val="3"/>
                  <w:tcBorders>
                    <w:tl2br w:val="nil"/>
                    <w:tr2bl w:val="nil"/>
                  </w:tcBorders>
                  <w:noWrap w:val="0"/>
                  <w:vAlign w:val="center"/>
                </w:tcPr>
                <w:p w14:paraId="71943937">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w:t>
                  </w:r>
                </w:p>
              </w:tc>
            </w:tr>
            <w:tr w14:paraId="4B03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35" w:type="dxa"/>
                  <w:vMerge w:val="continue"/>
                  <w:tcBorders>
                    <w:tl2br w:val="nil"/>
                    <w:tr2bl w:val="nil"/>
                  </w:tcBorders>
                  <w:noWrap w:val="0"/>
                  <w:vAlign w:val="center"/>
                </w:tcPr>
                <w:p w14:paraId="3AF573F7">
                  <w:pPr>
                    <w:jc w:val="center"/>
                    <w:rPr>
                      <w:rFonts w:hint="default" w:ascii="Times New Roman" w:hAnsi="Times New Roman" w:eastAsia="宋体" w:cs="Times New Roman"/>
                      <w:b/>
                      <w:bCs/>
                      <w:sz w:val="21"/>
                      <w:szCs w:val="21"/>
                    </w:rPr>
                  </w:pPr>
                </w:p>
              </w:tc>
              <w:tc>
                <w:tcPr>
                  <w:tcW w:w="2977" w:type="dxa"/>
                  <w:vMerge w:val="continue"/>
                  <w:tcBorders>
                    <w:tl2br w:val="nil"/>
                    <w:tr2bl w:val="nil"/>
                  </w:tcBorders>
                  <w:noWrap w:val="0"/>
                  <w:vAlign w:val="center"/>
                </w:tcPr>
                <w:p w14:paraId="64FC44CA">
                  <w:pPr>
                    <w:ind w:left="-105" w:leftChars="-50" w:right="-105" w:rightChars="-50"/>
                    <w:jc w:val="center"/>
                    <w:rPr>
                      <w:rFonts w:hint="default" w:ascii="Times New Roman" w:hAnsi="Times New Roman" w:eastAsia="宋体" w:cs="Times New Roman"/>
                      <w:b/>
                      <w:bCs/>
                      <w:sz w:val="21"/>
                      <w:szCs w:val="21"/>
                    </w:rPr>
                  </w:pPr>
                </w:p>
              </w:tc>
              <w:tc>
                <w:tcPr>
                  <w:tcW w:w="1276" w:type="dxa"/>
                  <w:tcBorders>
                    <w:tl2br w:val="nil"/>
                    <w:tr2bl w:val="nil"/>
                  </w:tcBorders>
                  <w:noWrap w:val="0"/>
                  <w:vAlign w:val="center"/>
                </w:tcPr>
                <w:p w14:paraId="25FDB24A">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检测时段</w:t>
                  </w:r>
                </w:p>
              </w:tc>
              <w:tc>
                <w:tcPr>
                  <w:tcW w:w="567" w:type="dxa"/>
                  <w:tcBorders>
                    <w:tl2br w:val="nil"/>
                    <w:tr2bl w:val="nil"/>
                  </w:tcBorders>
                  <w:noWrap w:val="0"/>
                  <w:vAlign w:val="center"/>
                </w:tcPr>
                <w:p w14:paraId="31690288">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w:t>
                  </w:r>
                </w:p>
                <w:p w14:paraId="6593CAC3">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结果</w:t>
                  </w:r>
                </w:p>
              </w:tc>
              <w:tc>
                <w:tcPr>
                  <w:tcW w:w="567" w:type="dxa"/>
                  <w:tcBorders>
                    <w:tl2br w:val="nil"/>
                    <w:tr2bl w:val="nil"/>
                  </w:tcBorders>
                  <w:noWrap w:val="0"/>
                  <w:vAlign w:val="center"/>
                </w:tcPr>
                <w:p w14:paraId="31ACCB8C">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w:t>
                  </w:r>
                </w:p>
                <w:p w14:paraId="150CDDF9">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限值</w:t>
                  </w:r>
                </w:p>
              </w:tc>
              <w:tc>
                <w:tcPr>
                  <w:tcW w:w="1275" w:type="dxa"/>
                  <w:tcBorders>
                    <w:tl2br w:val="nil"/>
                    <w:tr2bl w:val="nil"/>
                  </w:tcBorders>
                  <w:noWrap w:val="0"/>
                  <w:vAlign w:val="center"/>
                </w:tcPr>
                <w:p w14:paraId="135D65BB">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检测时段</w:t>
                  </w:r>
                </w:p>
              </w:tc>
              <w:tc>
                <w:tcPr>
                  <w:tcW w:w="587" w:type="dxa"/>
                  <w:tcBorders>
                    <w:tl2br w:val="nil"/>
                    <w:tr2bl w:val="nil"/>
                  </w:tcBorders>
                  <w:noWrap w:val="0"/>
                  <w:vAlign w:val="center"/>
                </w:tcPr>
                <w:p w14:paraId="3C734471">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w:t>
                  </w:r>
                </w:p>
                <w:p w14:paraId="1261F0C9">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结果</w:t>
                  </w:r>
                </w:p>
              </w:tc>
              <w:tc>
                <w:tcPr>
                  <w:tcW w:w="588" w:type="dxa"/>
                  <w:tcBorders>
                    <w:tl2br w:val="nil"/>
                    <w:tr2bl w:val="nil"/>
                  </w:tcBorders>
                  <w:noWrap w:val="0"/>
                  <w:vAlign w:val="center"/>
                </w:tcPr>
                <w:p w14:paraId="7C2890A1">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w:t>
                  </w:r>
                </w:p>
                <w:p w14:paraId="6333C5CF">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限值</w:t>
                  </w:r>
                </w:p>
              </w:tc>
            </w:tr>
            <w:tr w14:paraId="2018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5" w:type="dxa"/>
                  <w:vMerge w:val="restart"/>
                  <w:tcBorders>
                    <w:tl2br w:val="nil"/>
                    <w:tr2bl w:val="nil"/>
                  </w:tcBorders>
                  <w:noWrap w:val="0"/>
                  <w:vAlign w:val="center"/>
                </w:tcPr>
                <w:p w14:paraId="363035CE">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L</w:t>
                  </w:r>
                  <w:r>
                    <w:rPr>
                      <w:rFonts w:hint="default" w:ascii="Times New Roman" w:hAnsi="Times New Roman" w:eastAsia="宋体" w:cs="Times New Roman"/>
                      <w:bCs/>
                      <w:sz w:val="21"/>
                      <w:szCs w:val="21"/>
                      <w:vertAlign w:val="subscript"/>
                    </w:rPr>
                    <w:t>eq</w:t>
                  </w:r>
                </w:p>
              </w:tc>
              <w:tc>
                <w:tcPr>
                  <w:tcW w:w="2977" w:type="dxa"/>
                  <w:tcBorders>
                    <w:tl2br w:val="nil"/>
                    <w:tr2bl w:val="nil"/>
                  </w:tcBorders>
                  <w:shd w:val="clear" w:color="auto" w:fill="auto"/>
                  <w:noWrap w:val="0"/>
                  <w:vAlign w:val="center"/>
                </w:tcPr>
                <w:p w14:paraId="42A1D233">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隘口水厂东北侧界外1m处</w:t>
                  </w:r>
                </w:p>
              </w:tc>
              <w:tc>
                <w:tcPr>
                  <w:tcW w:w="1276" w:type="dxa"/>
                  <w:tcBorders>
                    <w:tl2br w:val="nil"/>
                    <w:tr2bl w:val="nil"/>
                  </w:tcBorders>
                  <w:shd w:val="clear" w:color="auto" w:fill="auto"/>
                  <w:noWrap w:val="0"/>
                  <w:vAlign w:val="center"/>
                </w:tcPr>
                <w:p w14:paraId="6DAAF95D">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19:20-19:30</w:t>
                  </w:r>
                </w:p>
              </w:tc>
              <w:tc>
                <w:tcPr>
                  <w:tcW w:w="567" w:type="dxa"/>
                  <w:tcBorders>
                    <w:tl2br w:val="nil"/>
                    <w:tr2bl w:val="nil"/>
                  </w:tcBorders>
                  <w:shd w:val="clear" w:color="auto" w:fill="auto"/>
                  <w:noWrap w:val="0"/>
                  <w:vAlign w:val="center"/>
                </w:tcPr>
                <w:p w14:paraId="7199ABD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57</w:t>
                  </w:r>
                </w:p>
              </w:tc>
              <w:tc>
                <w:tcPr>
                  <w:tcW w:w="567" w:type="dxa"/>
                  <w:tcBorders>
                    <w:tl2br w:val="nil"/>
                    <w:tr2bl w:val="nil"/>
                  </w:tcBorders>
                  <w:noWrap w:val="0"/>
                  <w:vAlign w:val="center"/>
                </w:tcPr>
                <w:p w14:paraId="13DFAA25">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275" w:type="dxa"/>
                  <w:tcBorders>
                    <w:tl2br w:val="nil"/>
                    <w:tr2bl w:val="nil"/>
                  </w:tcBorders>
                  <w:shd w:val="clear" w:color="auto" w:fill="auto"/>
                  <w:noWrap w:val="0"/>
                  <w:vAlign w:val="center"/>
                </w:tcPr>
                <w:p w14:paraId="0702C5C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22:57-23:07</w:t>
                  </w:r>
                </w:p>
              </w:tc>
              <w:tc>
                <w:tcPr>
                  <w:tcW w:w="587" w:type="dxa"/>
                  <w:tcBorders>
                    <w:tl2br w:val="nil"/>
                    <w:tr2bl w:val="nil"/>
                  </w:tcBorders>
                  <w:shd w:val="clear" w:color="auto" w:fill="auto"/>
                  <w:noWrap w:val="0"/>
                  <w:vAlign w:val="center"/>
                </w:tcPr>
                <w:p w14:paraId="7B9F36DD">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48</w:t>
                  </w:r>
                </w:p>
              </w:tc>
              <w:tc>
                <w:tcPr>
                  <w:tcW w:w="588" w:type="dxa"/>
                  <w:tcBorders>
                    <w:tl2br w:val="nil"/>
                    <w:tr2bl w:val="nil"/>
                  </w:tcBorders>
                  <w:noWrap w:val="0"/>
                  <w:vAlign w:val="center"/>
                </w:tcPr>
                <w:p w14:paraId="2B2CD7F4">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04BD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14:paraId="68410CD1">
                  <w:pPr>
                    <w:jc w:val="center"/>
                    <w:rPr>
                      <w:rFonts w:hint="default" w:ascii="Times New Roman" w:hAnsi="Times New Roman" w:eastAsia="宋体" w:cs="Times New Roman"/>
                      <w:bCs/>
                      <w:sz w:val="21"/>
                      <w:szCs w:val="21"/>
                    </w:rPr>
                  </w:pPr>
                </w:p>
              </w:tc>
              <w:tc>
                <w:tcPr>
                  <w:tcW w:w="2977" w:type="dxa"/>
                  <w:tcBorders>
                    <w:tl2br w:val="nil"/>
                    <w:tr2bl w:val="nil"/>
                  </w:tcBorders>
                  <w:shd w:val="clear" w:color="auto" w:fill="auto"/>
                  <w:noWrap w:val="0"/>
                  <w:vAlign w:val="center"/>
                </w:tcPr>
                <w:p w14:paraId="7B9CD48B">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隘口水厂东南侧界外1m处</w:t>
                  </w:r>
                </w:p>
              </w:tc>
              <w:tc>
                <w:tcPr>
                  <w:tcW w:w="1276" w:type="dxa"/>
                  <w:tcBorders>
                    <w:tl2br w:val="nil"/>
                    <w:tr2bl w:val="nil"/>
                  </w:tcBorders>
                  <w:shd w:val="clear" w:color="auto" w:fill="auto"/>
                  <w:noWrap w:val="0"/>
                  <w:vAlign w:val="center"/>
                </w:tcPr>
                <w:p w14:paraId="743B1FB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19:06-19:16</w:t>
                  </w:r>
                </w:p>
              </w:tc>
              <w:tc>
                <w:tcPr>
                  <w:tcW w:w="567" w:type="dxa"/>
                  <w:tcBorders>
                    <w:tl2br w:val="nil"/>
                    <w:tr2bl w:val="nil"/>
                  </w:tcBorders>
                  <w:shd w:val="clear" w:color="auto" w:fill="auto"/>
                  <w:noWrap w:val="0"/>
                  <w:vAlign w:val="center"/>
                </w:tcPr>
                <w:p w14:paraId="2B84975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55</w:t>
                  </w:r>
                </w:p>
              </w:tc>
              <w:tc>
                <w:tcPr>
                  <w:tcW w:w="567" w:type="dxa"/>
                  <w:tcBorders>
                    <w:tl2br w:val="nil"/>
                    <w:tr2bl w:val="nil"/>
                  </w:tcBorders>
                  <w:noWrap w:val="0"/>
                  <w:vAlign w:val="center"/>
                </w:tcPr>
                <w:p w14:paraId="65832464">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275" w:type="dxa"/>
                  <w:tcBorders>
                    <w:tl2br w:val="nil"/>
                    <w:tr2bl w:val="nil"/>
                  </w:tcBorders>
                  <w:shd w:val="clear" w:color="auto" w:fill="auto"/>
                  <w:noWrap w:val="0"/>
                  <w:vAlign w:val="center"/>
                </w:tcPr>
                <w:p w14:paraId="7DD083E3">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22:43-22:53</w:t>
                  </w:r>
                </w:p>
              </w:tc>
              <w:tc>
                <w:tcPr>
                  <w:tcW w:w="587" w:type="dxa"/>
                  <w:tcBorders>
                    <w:tl2br w:val="nil"/>
                    <w:tr2bl w:val="nil"/>
                  </w:tcBorders>
                  <w:shd w:val="clear" w:color="auto" w:fill="auto"/>
                  <w:noWrap w:val="0"/>
                  <w:vAlign w:val="center"/>
                </w:tcPr>
                <w:p w14:paraId="1D352CA6">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44</w:t>
                  </w:r>
                </w:p>
              </w:tc>
              <w:tc>
                <w:tcPr>
                  <w:tcW w:w="588" w:type="dxa"/>
                  <w:tcBorders>
                    <w:tl2br w:val="nil"/>
                    <w:tr2bl w:val="nil"/>
                  </w:tcBorders>
                  <w:noWrap w:val="0"/>
                  <w:vAlign w:val="center"/>
                </w:tcPr>
                <w:p w14:paraId="413E201D">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0BCA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14:paraId="16752C3A">
                  <w:pPr>
                    <w:jc w:val="center"/>
                    <w:rPr>
                      <w:rFonts w:hint="default" w:ascii="Times New Roman" w:hAnsi="Times New Roman" w:eastAsia="宋体" w:cs="Times New Roman"/>
                      <w:bCs/>
                      <w:sz w:val="21"/>
                      <w:szCs w:val="21"/>
                    </w:rPr>
                  </w:pPr>
                </w:p>
              </w:tc>
              <w:tc>
                <w:tcPr>
                  <w:tcW w:w="2977" w:type="dxa"/>
                  <w:tcBorders>
                    <w:tl2br w:val="nil"/>
                    <w:tr2bl w:val="nil"/>
                  </w:tcBorders>
                  <w:shd w:val="clear" w:color="auto" w:fill="auto"/>
                  <w:noWrap w:val="0"/>
                  <w:vAlign w:val="center"/>
                </w:tcPr>
                <w:p w14:paraId="486D93F7">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隘口水厂西南侧界外1m处</w:t>
                  </w:r>
                </w:p>
              </w:tc>
              <w:tc>
                <w:tcPr>
                  <w:tcW w:w="1276" w:type="dxa"/>
                  <w:tcBorders>
                    <w:tl2br w:val="nil"/>
                    <w:tr2bl w:val="nil"/>
                  </w:tcBorders>
                  <w:shd w:val="clear" w:color="auto" w:fill="auto"/>
                  <w:noWrap w:val="0"/>
                  <w:vAlign w:val="center"/>
                </w:tcPr>
                <w:p w14:paraId="04F0CAB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18:52-19:02</w:t>
                  </w:r>
                </w:p>
              </w:tc>
              <w:tc>
                <w:tcPr>
                  <w:tcW w:w="567" w:type="dxa"/>
                  <w:tcBorders>
                    <w:tl2br w:val="nil"/>
                    <w:tr2bl w:val="nil"/>
                  </w:tcBorders>
                  <w:shd w:val="clear" w:color="auto" w:fill="auto"/>
                  <w:noWrap w:val="0"/>
                  <w:vAlign w:val="center"/>
                </w:tcPr>
                <w:p w14:paraId="64D64080">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55</w:t>
                  </w:r>
                </w:p>
              </w:tc>
              <w:tc>
                <w:tcPr>
                  <w:tcW w:w="567" w:type="dxa"/>
                  <w:tcBorders>
                    <w:tl2br w:val="nil"/>
                    <w:tr2bl w:val="nil"/>
                  </w:tcBorders>
                  <w:noWrap w:val="0"/>
                  <w:vAlign w:val="center"/>
                </w:tcPr>
                <w:p w14:paraId="5670D07E">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275" w:type="dxa"/>
                  <w:tcBorders>
                    <w:tl2br w:val="nil"/>
                    <w:tr2bl w:val="nil"/>
                  </w:tcBorders>
                  <w:shd w:val="clear" w:color="auto" w:fill="auto"/>
                  <w:noWrap w:val="0"/>
                  <w:vAlign w:val="center"/>
                </w:tcPr>
                <w:p w14:paraId="2D87799F">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22:30-22:40</w:t>
                  </w:r>
                </w:p>
              </w:tc>
              <w:tc>
                <w:tcPr>
                  <w:tcW w:w="587" w:type="dxa"/>
                  <w:tcBorders>
                    <w:tl2br w:val="nil"/>
                    <w:tr2bl w:val="nil"/>
                  </w:tcBorders>
                  <w:shd w:val="clear" w:color="auto" w:fill="auto"/>
                  <w:noWrap w:val="0"/>
                  <w:vAlign w:val="center"/>
                </w:tcPr>
                <w:p w14:paraId="15836671">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42</w:t>
                  </w:r>
                </w:p>
              </w:tc>
              <w:tc>
                <w:tcPr>
                  <w:tcW w:w="588" w:type="dxa"/>
                  <w:tcBorders>
                    <w:tl2br w:val="nil"/>
                    <w:tr2bl w:val="nil"/>
                  </w:tcBorders>
                  <w:noWrap w:val="0"/>
                  <w:vAlign w:val="center"/>
                </w:tcPr>
                <w:p w14:paraId="4ED8D3BF">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682C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5" w:type="dxa"/>
                  <w:vMerge w:val="continue"/>
                  <w:tcBorders>
                    <w:tl2br w:val="nil"/>
                    <w:tr2bl w:val="nil"/>
                  </w:tcBorders>
                  <w:noWrap w:val="0"/>
                  <w:vAlign w:val="center"/>
                </w:tcPr>
                <w:p w14:paraId="5ECD643E">
                  <w:pPr>
                    <w:jc w:val="center"/>
                    <w:rPr>
                      <w:rFonts w:hint="default" w:ascii="Times New Roman" w:hAnsi="Times New Roman" w:eastAsia="宋体" w:cs="Times New Roman"/>
                      <w:bCs/>
                      <w:sz w:val="21"/>
                      <w:szCs w:val="21"/>
                    </w:rPr>
                  </w:pPr>
                </w:p>
              </w:tc>
              <w:tc>
                <w:tcPr>
                  <w:tcW w:w="2977" w:type="dxa"/>
                  <w:tcBorders>
                    <w:tl2br w:val="nil"/>
                    <w:tr2bl w:val="nil"/>
                  </w:tcBorders>
                  <w:shd w:val="clear" w:color="auto" w:fill="auto"/>
                  <w:noWrap w:val="0"/>
                  <w:vAlign w:val="center"/>
                </w:tcPr>
                <w:p w14:paraId="1F98A973">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隘口水厂西北侧界外1m处</w:t>
                  </w:r>
                </w:p>
              </w:tc>
              <w:tc>
                <w:tcPr>
                  <w:tcW w:w="1276" w:type="dxa"/>
                  <w:tcBorders>
                    <w:tl2br w:val="nil"/>
                    <w:tr2bl w:val="nil"/>
                  </w:tcBorders>
                  <w:shd w:val="clear" w:color="auto" w:fill="auto"/>
                  <w:noWrap w:val="0"/>
                  <w:vAlign w:val="center"/>
                </w:tcPr>
                <w:p w14:paraId="768233D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18:38-18:48</w:t>
                  </w:r>
                </w:p>
              </w:tc>
              <w:tc>
                <w:tcPr>
                  <w:tcW w:w="567" w:type="dxa"/>
                  <w:tcBorders>
                    <w:tl2br w:val="nil"/>
                    <w:tr2bl w:val="nil"/>
                  </w:tcBorders>
                  <w:shd w:val="clear" w:color="auto" w:fill="auto"/>
                  <w:noWrap w:val="0"/>
                  <w:vAlign w:val="center"/>
                </w:tcPr>
                <w:p w14:paraId="1DB4B363">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54</w:t>
                  </w:r>
                </w:p>
              </w:tc>
              <w:tc>
                <w:tcPr>
                  <w:tcW w:w="567" w:type="dxa"/>
                  <w:tcBorders>
                    <w:tl2br w:val="nil"/>
                    <w:tr2bl w:val="nil"/>
                  </w:tcBorders>
                  <w:noWrap w:val="0"/>
                  <w:vAlign w:val="center"/>
                </w:tcPr>
                <w:p w14:paraId="588D7AE2">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275" w:type="dxa"/>
                  <w:tcBorders>
                    <w:tl2br w:val="nil"/>
                    <w:tr2bl w:val="nil"/>
                  </w:tcBorders>
                  <w:shd w:val="clear" w:color="auto" w:fill="auto"/>
                  <w:noWrap w:val="0"/>
                  <w:vAlign w:val="center"/>
                </w:tcPr>
                <w:p w14:paraId="760AB85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22:15-22:25</w:t>
                  </w:r>
                </w:p>
              </w:tc>
              <w:tc>
                <w:tcPr>
                  <w:tcW w:w="587" w:type="dxa"/>
                  <w:tcBorders>
                    <w:tl2br w:val="nil"/>
                    <w:tr2bl w:val="nil"/>
                  </w:tcBorders>
                  <w:shd w:val="clear" w:color="auto" w:fill="auto"/>
                  <w:noWrap w:val="0"/>
                  <w:vAlign w:val="center"/>
                </w:tcPr>
                <w:p w14:paraId="0E032C21">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46</w:t>
                  </w:r>
                </w:p>
              </w:tc>
              <w:tc>
                <w:tcPr>
                  <w:tcW w:w="588" w:type="dxa"/>
                  <w:tcBorders>
                    <w:tl2br w:val="nil"/>
                    <w:tr2bl w:val="nil"/>
                  </w:tcBorders>
                  <w:noWrap w:val="0"/>
                  <w:vAlign w:val="center"/>
                </w:tcPr>
                <w:p w14:paraId="290108A4">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bl>
          <w:p w14:paraId="424E4E90">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rPr>
              <w:t>监测结果表明</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现有</w:t>
            </w: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厂界</w:t>
            </w:r>
            <w:r>
              <w:rPr>
                <w:rFonts w:hint="default" w:ascii="Times New Roman" w:hAnsi="Times New Roman" w:eastAsia="宋体" w:cs="Times New Roman"/>
                <w:color w:val="auto"/>
                <w:sz w:val="24"/>
              </w:rPr>
              <w:t>噪声昼间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夜间</w:t>
            </w:r>
            <w:r>
              <w:rPr>
                <w:rFonts w:hint="default" w:ascii="Times New Roman" w:hAnsi="Times New Roman" w:eastAsia="宋体" w:cs="Times New Roman"/>
                <w:color w:val="auto"/>
                <w:sz w:val="24"/>
              </w:rPr>
              <w:t>检测值</w:t>
            </w:r>
            <w:r>
              <w:rPr>
                <w:rFonts w:hint="default" w:ascii="Times New Roman" w:hAnsi="Times New Roman" w:cs="Times New Roman"/>
                <w:color w:val="auto"/>
                <w:sz w:val="24"/>
                <w:lang w:val="en-US" w:eastAsia="zh-CN"/>
              </w:rPr>
              <w:t>均</w:t>
            </w:r>
            <w:r>
              <w:rPr>
                <w:rFonts w:hint="eastAsia" w:ascii="Times New Roman" w:hAnsi="Times New Roman" w:cs="Times New Roman"/>
                <w:color w:val="auto"/>
                <w:sz w:val="24"/>
                <w:lang w:val="en-US" w:eastAsia="zh-CN"/>
              </w:rPr>
              <w:t>满足</w:t>
            </w:r>
            <w:r>
              <w:rPr>
                <w:rFonts w:hint="default" w:ascii="Times New Roman" w:hAnsi="Times New Roman" w:eastAsia="宋体" w:cs="Times New Roman"/>
                <w:color w:val="auto"/>
                <w:sz w:val="24"/>
              </w:rPr>
              <w:t>《工业企业厂界环境噪声排放标准》（GB 12348-2008）中</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类标准限值</w:t>
            </w:r>
            <w:r>
              <w:rPr>
                <w:rFonts w:hint="default" w:ascii="Times New Roman" w:hAnsi="Times New Roman" w:cs="Times New Roman"/>
                <w:color w:val="auto"/>
                <w:sz w:val="24"/>
                <w:szCs w:val="24"/>
                <w:lang w:val="en-US" w:eastAsia="zh-CN"/>
              </w:rPr>
              <w:t>。</w:t>
            </w:r>
          </w:p>
          <w:p w14:paraId="25AA5E11">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、现有</w:t>
            </w:r>
            <w:r>
              <w:rPr>
                <w:rFonts w:hint="eastAsia" w:cs="Times New Roman"/>
                <w:b/>
                <w:bCs/>
                <w:color w:val="auto"/>
                <w:sz w:val="24"/>
                <w:szCs w:val="24"/>
                <w:highlight w:val="none"/>
                <w:lang w:val="en-US" w:eastAsia="zh-CN"/>
              </w:rPr>
              <w:t>项目</w:t>
            </w:r>
            <w:r>
              <w:rPr>
                <w:rFonts w:hint="default" w:ascii="Times New Roman" w:hAnsi="Times New Roman" w:cs="Times New Roman"/>
                <w:b/>
                <w:bCs/>
                <w:color w:val="auto"/>
                <w:sz w:val="24"/>
                <w:szCs w:val="24"/>
                <w:highlight w:val="none"/>
              </w:rPr>
              <w:t>污染物排放汇总表</w:t>
            </w:r>
          </w:p>
          <w:p w14:paraId="2E4B2F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highlight w:val="none"/>
              </w:rPr>
              <w:t>根据现有项目污染源</w:t>
            </w:r>
            <w:r>
              <w:rPr>
                <w:rFonts w:hint="eastAsia" w:cs="Times New Roman"/>
                <w:color w:val="auto"/>
                <w:sz w:val="24"/>
                <w:szCs w:val="24"/>
                <w:highlight w:val="none"/>
                <w:lang w:val="en-US" w:eastAsia="zh-CN"/>
              </w:rPr>
              <w:t>现状</w:t>
            </w:r>
            <w:r>
              <w:rPr>
                <w:rFonts w:hint="default" w:ascii="Times New Roman" w:hAnsi="Times New Roman" w:cs="Times New Roman"/>
                <w:color w:val="auto"/>
                <w:sz w:val="24"/>
                <w:szCs w:val="24"/>
                <w:highlight w:val="none"/>
              </w:rPr>
              <w:t>监测</w:t>
            </w:r>
            <w:r>
              <w:rPr>
                <w:rFonts w:hint="eastAsia" w:cs="Times New Roman"/>
                <w:color w:val="auto"/>
                <w:sz w:val="24"/>
                <w:szCs w:val="24"/>
                <w:highlight w:val="none"/>
                <w:lang w:val="en-US" w:eastAsia="zh-CN"/>
              </w:rPr>
              <w:t>及实际情况</w:t>
            </w:r>
            <w:r>
              <w:rPr>
                <w:rFonts w:hint="default" w:ascii="Times New Roman" w:hAnsi="Times New Roman" w:cs="Times New Roman"/>
                <w:color w:val="auto"/>
                <w:sz w:val="24"/>
                <w:szCs w:val="24"/>
                <w:highlight w:val="none"/>
              </w:rPr>
              <w:t>，现有</w:t>
            </w:r>
            <w:r>
              <w:rPr>
                <w:rFonts w:hint="eastAsia"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主要污染物排放情况如下所示</w:t>
            </w:r>
            <w:r>
              <w:rPr>
                <w:rFonts w:hint="eastAsia" w:ascii="Times New Roman" w:hAnsi="Times New Roman" w:cs="Times New Roman"/>
                <w:color w:val="auto"/>
                <w:sz w:val="24"/>
                <w:szCs w:val="24"/>
                <w:highlight w:val="none"/>
                <w:lang w:eastAsia="zh-CN"/>
              </w:rPr>
              <w:t>。</w:t>
            </w:r>
          </w:p>
          <w:p w14:paraId="67132AF3">
            <w:pPr>
              <w:pageBreakBefore w:val="0"/>
              <w:kinsoku/>
              <w:wordWrap/>
              <w:bidi w:val="0"/>
              <w:spacing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eastAsia="黑体" w:cs="Times New Roman"/>
                <w:bCs/>
                <w:snapToGrid w:val="0"/>
                <w:color w:val="auto"/>
                <w:szCs w:val="18"/>
                <w:highlight w:val="none"/>
                <w:lang w:bidi="ar"/>
              </w:rPr>
              <w:t>表2-</w:t>
            </w:r>
            <w:r>
              <w:rPr>
                <w:rFonts w:hint="eastAsia" w:ascii="Times New Roman" w:hAnsi="Times New Roman" w:eastAsia="黑体" w:cs="Times New Roman"/>
                <w:bCs/>
                <w:snapToGrid w:val="0"/>
                <w:color w:val="auto"/>
                <w:szCs w:val="18"/>
                <w:highlight w:val="none"/>
                <w:lang w:val="en-US" w:eastAsia="zh-CN" w:bidi="ar"/>
              </w:rPr>
              <w:t>11</w:t>
            </w:r>
            <w:r>
              <w:rPr>
                <w:rFonts w:hint="default" w:ascii="Times New Roman" w:hAnsi="Times New Roman" w:eastAsia="黑体" w:cs="Times New Roman"/>
                <w:bCs/>
                <w:snapToGrid w:val="0"/>
                <w:color w:val="auto"/>
                <w:szCs w:val="18"/>
                <w:highlight w:val="none"/>
                <w:lang w:bidi="ar"/>
              </w:rPr>
              <w:t xml:space="preserve"> 现有污染物排放情况汇总表  单位：</w:t>
            </w:r>
            <w:r>
              <w:rPr>
                <w:rFonts w:hint="default" w:ascii="Times New Roman" w:hAnsi="Times New Roman" w:cs="Times New Roman"/>
                <w:color w:val="auto"/>
                <w:szCs w:val="21"/>
                <w:highlight w:val="none"/>
              </w:rPr>
              <w:t>t/a</w:t>
            </w:r>
          </w:p>
          <w:tbl>
            <w:tblPr>
              <w:tblStyle w:val="26"/>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5384"/>
              <w:gridCol w:w="2792"/>
            </w:tblGrid>
            <w:tr w14:paraId="5CFB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noWrap w:val="0"/>
                  <w:vAlign w:val="center"/>
                </w:tcPr>
                <w:p w14:paraId="423E16B8">
                  <w:pPr>
                    <w:keepNext w:val="0"/>
                    <w:keepLines w:val="0"/>
                    <w:pageBreakBefore w:val="0"/>
                    <w:kinsoku/>
                    <w:wordWrap/>
                    <w:overflowPunct/>
                    <w:topLinePunct w:val="0"/>
                    <w:bidi w:val="0"/>
                    <w:snapToGrid/>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种类</w:t>
                  </w:r>
                </w:p>
              </w:tc>
              <w:tc>
                <w:tcPr>
                  <w:tcW w:w="3001" w:type="pct"/>
                  <w:noWrap w:val="0"/>
                  <w:vAlign w:val="center"/>
                </w:tcPr>
                <w:p w14:paraId="20736D4C">
                  <w:pPr>
                    <w:keepNext w:val="0"/>
                    <w:keepLines w:val="0"/>
                    <w:pageBreakBefore w:val="0"/>
                    <w:kinsoku/>
                    <w:wordWrap/>
                    <w:overflowPunct/>
                    <w:topLinePunct w:val="0"/>
                    <w:bidi w:val="0"/>
                    <w:snapToGrid/>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556" w:type="pct"/>
                  <w:noWrap w:val="0"/>
                  <w:vAlign w:val="center"/>
                </w:tcPr>
                <w:p w14:paraId="2D3DF31A">
                  <w:pPr>
                    <w:keepNext w:val="0"/>
                    <w:keepLines w:val="0"/>
                    <w:pageBreakBefore w:val="0"/>
                    <w:kinsoku/>
                    <w:wordWrap/>
                    <w:overflowPunct/>
                    <w:topLinePunct w:val="0"/>
                    <w:bidi w:val="0"/>
                    <w:snapToGrid/>
                    <w:ind w:left="0" w:leftChars="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排放量</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lang w:val="en-US" w:eastAsia="zh-CN"/>
                    </w:rPr>
                    <w:t>固体废物产生量）</w:t>
                  </w:r>
                </w:p>
              </w:tc>
            </w:tr>
            <w:tr w14:paraId="02B4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14:paraId="4595E2AA">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3001" w:type="pct"/>
                  <w:noWrap w:val="0"/>
                  <w:vAlign w:val="center"/>
                </w:tcPr>
                <w:p w14:paraId="5610DD21">
                  <w:pPr>
                    <w:keepNext w:val="0"/>
                    <w:keepLines w:val="0"/>
                    <w:pageBreakBefore w:val="0"/>
                    <w:kinsoku/>
                    <w:wordWrap/>
                    <w:overflowPunct/>
                    <w:topLinePunct w:val="0"/>
                    <w:bidi w:val="0"/>
                    <w:snapToGrid/>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废水量</w:t>
                  </w:r>
                </w:p>
              </w:tc>
              <w:tc>
                <w:tcPr>
                  <w:tcW w:w="1556" w:type="pct"/>
                  <w:noWrap w:val="0"/>
                  <w:vAlign w:val="center"/>
                </w:tcPr>
                <w:p w14:paraId="13DFAFD4">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4946.48</w:t>
                  </w:r>
                </w:p>
              </w:tc>
            </w:tr>
            <w:tr w14:paraId="529A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28F76548">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p>
              </w:tc>
              <w:tc>
                <w:tcPr>
                  <w:tcW w:w="3001" w:type="pct"/>
                  <w:noWrap w:val="0"/>
                  <w:vAlign w:val="center"/>
                </w:tcPr>
                <w:p w14:paraId="54136E63">
                  <w:pPr>
                    <w:keepNext w:val="0"/>
                    <w:keepLines w:val="0"/>
                    <w:pageBreakBefore w:val="0"/>
                    <w:kinsoku/>
                    <w:wordWrap/>
                    <w:overflowPunct/>
                    <w:topLinePunct w:val="0"/>
                    <w:bidi w:val="0"/>
                    <w:snapToGrid/>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COD</w:t>
                  </w:r>
                </w:p>
              </w:tc>
              <w:tc>
                <w:tcPr>
                  <w:tcW w:w="1556" w:type="pct"/>
                  <w:noWrap w:val="0"/>
                  <w:vAlign w:val="center"/>
                </w:tcPr>
                <w:p w14:paraId="0C2E8A20">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r>
            <w:tr w14:paraId="1FAE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2D373067">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p>
              </w:tc>
              <w:tc>
                <w:tcPr>
                  <w:tcW w:w="3001" w:type="pct"/>
                  <w:noWrap w:val="0"/>
                  <w:vAlign w:val="center"/>
                </w:tcPr>
                <w:p w14:paraId="08A1215F">
                  <w:pPr>
                    <w:keepNext w:val="0"/>
                    <w:keepLines w:val="0"/>
                    <w:pageBreakBefore w:val="0"/>
                    <w:kinsoku/>
                    <w:wordWrap/>
                    <w:overflowPunct/>
                    <w:topLinePunct w:val="0"/>
                    <w:bidi w:val="0"/>
                    <w:snapToGrid/>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NH</w:t>
                  </w:r>
                  <w:r>
                    <w:rPr>
                      <w:rFonts w:hint="default" w:ascii="Times New Roman" w:hAnsi="Times New Roman" w:cs="Times New Roman"/>
                      <w:b w:val="0"/>
                      <w:bCs w:val="0"/>
                      <w:color w:val="auto"/>
                      <w:sz w:val="21"/>
                      <w:szCs w:val="21"/>
                      <w:highlight w:val="none"/>
                      <w:vertAlign w:val="subscript"/>
                    </w:rPr>
                    <w:t>3</w:t>
                  </w:r>
                  <w:r>
                    <w:rPr>
                      <w:rFonts w:hint="default" w:ascii="Times New Roman" w:hAnsi="Times New Roman" w:cs="Times New Roman"/>
                      <w:b w:val="0"/>
                      <w:bCs w:val="0"/>
                      <w:color w:val="auto"/>
                      <w:sz w:val="21"/>
                      <w:szCs w:val="21"/>
                      <w:highlight w:val="none"/>
                    </w:rPr>
                    <w:t>-N</w:t>
                  </w:r>
                </w:p>
              </w:tc>
              <w:tc>
                <w:tcPr>
                  <w:tcW w:w="1556" w:type="pct"/>
                  <w:noWrap w:val="0"/>
                  <w:vAlign w:val="center"/>
                </w:tcPr>
                <w:p w14:paraId="2F9780D0">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r>
            <w:tr w14:paraId="7130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565991C0">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p>
              </w:tc>
              <w:tc>
                <w:tcPr>
                  <w:tcW w:w="3001" w:type="pct"/>
                  <w:noWrap w:val="0"/>
                  <w:vAlign w:val="center"/>
                </w:tcPr>
                <w:p w14:paraId="7AD0E622">
                  <w:pPr>
                    <w:keepNext w:val="0"/>
                    <w:keepLines w:val="0"/>
                    <w:pageBreakBefore w:val="0"/>
                    <w:kinsoku/>
                    <w:wordWrap/>
                    <w:overflowPunct/>
                    <w:topLinePunct w:val="0"/>
                    <w:bidi w:val="0"/>
                    <w:snapToGrid/>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TP</w:t>
                  </w:r>
                </w:p>
              </w:tc>
              <w:tc>
                <w:tcPr>
                  <w:tcW w:w="1556" w:type="pct"/>
                  <w:noWrap w:val="0"/>
                  <w:vAlign w:val="center"/>
                </w:tcPr>
                <w:p w14:paraId="2789C057">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r>
            <w:tr w14:paraId="2E91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noWrap w:val="0"/>
                  <w:vAlign w:val="center"/>
                </w:tcPr>
                <w:p w14:paraId="51AE8DFE">
                  <w:pPr>
                    <w:keepNext w:val="0"/>
                    <w:keepLines w:val="0"/>
                    <w:pageBreakBefore w:val="0"/>
                    <w:kinsoku/>
                    <w:wordWrap/>
                    <w:overflowPunct/>
                    <w:topLinePunct w:val="0"/>
                    <w:bidi w:val="0"/>
                    <w:snapToGrid/>
                    <w:ind w:left="0" w:leftChars="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固废</w:t>
                  </w:r>
                </w:p>
              </w:tc>
              <w:tc>
                <w:tcPr>
                  <w:tcW w:w="3001" w:type="pct"/>
                  <w:noWrap w:val="0"/>
                  <w:vAlign w:val="center"/>
                </w:tcPr>
                <w:p w14:paraId="606ECAB7">
                  <w:pPr>
                    <w:keepNext w:val="0"/>
                    <w:keepLines w:val="0"/>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生活垃圾</w:t>
                  </w:r>
                </w:p>
              </w:tc>
              <w:tc>
                <w:tcPr>
                  <w:tcW w:w="1556" w:type="pct"/>
                  <w:noWrap w:val="0"/>
                  <w:vAlign w:val="center"/>
                </w:tcPr>
                <w:p w14:paraId="04C09171">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0.365</w:t>
                  </w:r>
                </w:p>
              </w:tc>
            </w:tr>
            <w:tr w14:paraId="3CDF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07794835">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p>
              </w:tc>
              <w:tc>
                <w:tcPr>
                  <w:tcW w:w="3001" w:type="pct"/>
                  <w:noWrap w:val="0"/>
                  <w:vAlign w:val="center"/>
                </w:tcPr>
                <w:p w14:paraId="2D5AEE45">
                  <w:pPr>
                    <w:keepNext w:val="0"/>
                    <w:keepLines w:val="0"/>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highlight w:val="none"/>
                    </w:rPr>
                    <w:t>栅渣及沉砂</w:t>
                  </w:r>
                </w:p>
              </w:tc>
              <w:tc>
                <w:tcPr>
                  <w:tcW w:w="1556" w:type="pct"/>
                  <w:noWrap w:val="0"/>
                  <w:vAlign w:val="center"/>
                </w:tcPr>
                <w:p w14:paraId="506624C4">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8.5</w:t>
                  </w:r>
                </w:p>
              </w:tc>
            </w:tr>
            <w:tr w14:paraId="2421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03D759FB">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p>
              </w:tc>
              <w:tc>
                <w:tcPr>
                  <w:tcW w:w="3001" w:type="pct"/>
                  <w:noWrap w:val="0"/>
                  <w:vAlign w:val="center"/>
                </w:tcPr>
                <w:p w14:paraId="4F8BDAE5">
                  <w:pPr>
                    <w:keepNext w:val="0"/>
                    <w:keepLines w:val="0"/>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污泥</w:t>
                  </w:r>
                </w:p>
              </w:tc>
              <w:tc>
                <w:tcPr>
                  <w:tcW w:w="1556" w:type="pct"/>
                  <w:noWrap w:val="0"/>
                  <w:vAlign w:val="center"/>
                </w:tcPr>
                <w:p w14:paraId="23A8DD48">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90</w:t>
                  </w:r>
                </w:p>
              </w:tc>
            </w:tr>
            <w:tr w14:paraId="3466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4F819915">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p>
              </w:tc>
              <w:tc>
                <w:tcPr>
                  <w:tcW w:w="3001" w:type="pct"/>
                  <w:noWrap w:val="0"/>
                  <w:vAlign w:val="center"/>
                </w:tcPr>
                <w:p w14:paraId="2A9CFFB8">
                  <w:pPr>
                    <w:keepNext w:val="0"/>
                    <w:keepLines w:val="0"/>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sz w:val="21"/>
                      <w:szCs w:val="21"/>
                      <w:highlight w:val="none"/>
                      <w:lang w:val="en-US" w:eastAsia="zh-CN"/>
                    </w:rPr>
                    <w:t>废滤料</w:t>
                  </w:r>
                </w:p>
              </w:tc>
              <w:tc>
                <w:tcPr>
                  <w:tcW w:w="1556" w:type="pct"/>
                  <w:noWrap w:val="0"/>
                  <w:vAlign w:val="center"/>
                </w:tcPr>
                <w:p w14:paraId="065E69B5">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w:t>
                  </w:r>
                </w:p>
              </w:tc>
            </w:tr>
            <w:tr w14:paraId="4B8B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noWrap w:val="0"/>
                  <w:vAlign w:val="center"/>
                </w:tcPr>
                <w:p w14:paraId="7D7F4679">
                  <w:pPr>
                    <w:keepNext w:val="0"/>
                    <w:keepLines w:val="0"/>
                    <w:pageBreakBefore w:val="0"/>
                    <w:kinsoku/>
                    <w:wordWrap/>
                    <w:overflowPunct/>
                    <w:topLinePunct w:val="0"/>
                    <w:bidi w:val="0"/>
                    <w:snapToGrid/>
                    <w:ind w:left="0" w:leftChars="0" w:right="0"/>
                    <w:jc w:val="center"/>
                    <w:rPr>
                      <w:rFonts w:hint="default" w:ascii="Times New Roman" w:hAnsi="Times New Roman" w:cs="Times New Roman"/>
                      <w:color w:val="auto"/>
                      <w:sz w:val="21"/>
                      <w:szCs w:val="21"/>
                      <w:highlight w:val="none"/>
                    </w:rPr>
                  </w:pPr>
                </w:p>
              </w:tc>
              <w:tc>
                <w:tcPr>
                  <w:tcW w:w="3001" w:type="pct"/>
                  <w:noWrap w:val="0"/>
                  <w:vAlign w:val="center"/>
                </w:tcPr>
                <w:p w14:paraId="7C7F5910">
                  <w:pPr>
                    <w:keepNext w:val="0"/>
                    <w:keepLines w:val="0"/>
                    <w:pageBreakBefore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highlight w:val="none"/>
                      <w:lang w:val="en-US" w:eastAsia="zh-CN"/>
                    </w:rPr>
                    <w:t>废包装材料</w:t>
                  </w:r>
                </w:p>
              </w:tc>
              <w:tc>
                <w:tcPr>
                  <w:tcW w:w="1556" w:type="pct"/>
                  <w:noWrap w:val="0"/>
                  <w:vAlign w:val="center"/>
                </w:tcPr>
                <w:p w14:paraId="2C3466AB">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0.02</w:t>
                  </w:r>
                </w:p>
              </w:tc>
            </w:tr>
            <w:tr w14:paraId="15A7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noWrap w:val="0"/>
                  <w:vAlign w:val="center"/>
                </w:tcPr>
                <w:p w14:paraId="434F1B2E">
                  <w:pPr>
                    <w:keepNext w:val="0"/>
                    <w:keepLines w:val="0"/>
                    <w:pageBreakBefore w:val="0"/>
                    <w:widowControl w:val="0"/>
                    <w:kinsoku/>
                    <w:wordWrap/>
                    <w:overflowPunct/>
                    <w:topLinePunct w:val="0"/>
                    <w:autoSpaceDE/>
                    <w:autoSpaceDN/>
                    <w:bidi w:val="0"/>
                    <w:adjustRightInd w:val="0"/>
                    <w:snapToGrid w:val="0"/>
                    <w:spacing w:line="25" w:lineRule="atLeast"/>
                    <w:jc w:val="both"/>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注：因建设单位未统计废水量，本次废水量、</w:t>
                  </w:r>
                  <w:r>
                    <w:rPr>
                      <w:rFonts w:hint="default" w:ascii="Times New Roman" w:hAnsi="Times New Roman" w:cs="Times New Roman"/>
                      <w:b w:val="0"/>
                      <w:bCs w:val="0"/>
                      <w:color w:val="auto"/>
                      <w:sz w:val="21"/>
                      <w:szCs w:val="21"/>
                      <w:highlight w:val="none"/>
                    </w:rPr>
                    <w:t>COD</w:t>
                  </w: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NH</w:t>
                  </w:r>
                  <w:r>
                    <w:rPr>
                      <w:rFonts w:hint="default" w:ascii="Times New Roman" w:hAnsi="Times New Roman" w:cs="Times New Roman"/>
                      <w:b w:val="0"/>
                      <w:bCs w:val="0"/>
                      <w:color w:val="auto"/>
                      <w:sz w:val="21"/>
                      <w:szCs w:val="21"/>
                      <w:highlight w:val="none"/>
                      <w:vertAlign w:val="subscript"/>
                    </w:rPr>
                    <w:t>3</w:t>
                  </w:r>
                  <w:r>
                    <w:rPr>
                      <w:rFonts w:hint="default" w:ascii="Times New Roman" w:hAnsi="Times New Roman" w:cs="Times New Roman"/>
                      <w:b w:val="0"/>
                      <w:bCs w:val="0"/>
                      <w:color w:val="auto"/>
                      <w:sz w:val="21"/>
                      <w:szCs w:val="21"/>
                      <w:highlight w:val="none"/>
                    </w:rPr>
                    <w:t>-N</w:t>
                  </w: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TP</w:t>
                  </w:r>
                  <w:r>
                    <w:rPr>
                      <w:rFonts w:hint="eastAsia" w:ascii="Times New Roman" w:hAnsi="Times New Roman" w:cs="Times New Roman"/>
                      <w:b w:val="0"/>
                      <w:bCs w:val="0"/>
                      <w:color w:val="auto"/>
                      <w:sz w:val="21"/>
                      <w:szCs w:val="21"/>
                      <w:highlight w:val="none"/>
                      <w:lang w:val="en-US" w:eastAsia="zh-CN"/>
                    </w:rPr>
                    <w:t>源强，</w:t>
                  </w:r>
                  <w:r>
                    <w:rPr>
                      <w:rFonts w:hint="default" w:ascii="Times New Roman" w:hAnsi="Times New Roman" w:eastAsia="宋体" w:cs="Times New Roman"/>
                      <w:color w:val="auto"/>
                      <w:sz w:val="21"/>
                      <w:szCs w:val="21"/>
                      <w:highlight w:val="none"/>
                      <w:vertAlign w:val="baseline"/>
                      <w:lang w:val="en-US" w:eastAsia="zh-CN"/>
                    </w:rPr>
                    <w:t>根据《排放源统计调查产排污核算方法和系数手册》（公告2021年第24号）中“4610自来水生产和供应行业系数手册”中混凝沉淀（或澄清）过滤消毒工艺（≤5万吨/日）产污系数</w:t>
                  </w:r>
                  <w:r>
                    <w:rPr>
                      <w:rFonts w:hint="eastAsia" w:ascii="Times New Roman" w:hAnsi="Times New Roman" w:eastAsia="宋体" w:cs="Times New Roman"/>
                      <w:color w:val="auto"/>
                      <w:sz w:val="21"/>
                      <w:szCs w:val="21"/>
                      <w:highlight w:val="none"/>
                      <w:vertAlign w:val="baseline"/>
                      <w:lang w:val="en-US" w:eastAsia="zh-CN"/>
                    </w:rPr>
                    <w:t>。</w:t>
                  </w:r>
                </w:p>
              </w:tc>
            </w:tr>
          </w:tbl>
          <w:p w14:paraId="27C5866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6、现有总量指标</w:t>
            </w:r>
          </w:p>
          <w:p w14:paraId="753150A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黑体" w:cs="Times New Roman"/>
                <w:bCs/>
                <w:snapToGrid w:val="0"/>
                <w:color w:val="auto"/>
                <w:szCs w:val="18"/>
                <w:highlight w:val="none"/>
                <w:lang w:val="en-US" w:eastAsia="zh-CN" w:bidi="ar"/>
              </w:rPr>
              <w:t xml:space="preserve"> </w:t>
            </w:r>
            <w:r>
              <w:rPr>
                <w:rFonts w:hint="eastAsia" w:ascii="Times New Roman" w:hAnsi="Times New Roman" w:eastAsia="宋体" w:cs="Times New Roman"/>
                <w:bCs/>
                <w:snapToGrid w:val="0"/>
                <w:color w:val="auto"/>
                <w:sz w:val="24"/>
                <w:szCs w:val="24"/>
                <w:highlight w:val="none"/>
                <w:lang w:val="en-US" w:eastAsia="zh-CN" w:bidi="ar"/>
              </w:rPr>
              <w:t>现有项目不设置总量控制指标。</w:t>
            </w:r>
          </w:p>
          <w:p w14:paraId="3407C8F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7、取水水源</w:t>
            </w:r>
          </w:p>
          <w:p w14:paraId="12B597A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vertAlign w:val="baseline"/>
                <w:lang w:val="en-US" w:eastAsia="zh-CN"/>
                <w14:textFill>
                  <w14:solidFill>
                    <w14:schemeClr w14:val="tx1"/>
                  </w14:solidFill>
                </w14:textFill>
              </w:rPr>
              <w:t>（1）隘口水厂</w:t>
            </w:r>
          </w:p>
          <w:p w14:paraId="6E16AE8E">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①现状取水水源</w:t>
            </w:r>
          </w:p>
          <w:p w14:paraId="68D30245">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隘口水厂，现状取水水源为肖厂沟山坪塘</w:t>
            </w:r>
            <w:r>
              <w:rPr>
                <w:rFonts w:hint="eastAsia" w:ascii="Times New Roman" w:hAnsi="Times New Roman" w:cs="Times New Roman"/>
                <w:b w:val="0"/>
                <w:bCs w:val="0"/>
                <w:color w:val="auto"/>
                <w:sz w:val="24"/>
                <w:szCs w:val="24"/>
                <w:highlight w:val="none"/>
                <w:vertAlign w:val="baseline"/>
                <w:lang w:val="en-US" w:eastAsia="zh-CN"/>
              </w:rPr>
              <w:t>，所处区域已划分</w:t>
            </w:r>
            <w:r>
              <w:rPr>
                <w:rFonts w:hint="default" w:ascii="Times New Roman" w:hAnsi="Times New Roman" w:cs="Times New Roman"/>
                <w:b w:val="0"/>
                <w:bCs w:val="0"/>
                <w:color w:val="auto"/>
                <w:sz w:val="24"/>
                <w:szCs w:val="24"/>
                <w:highlight w:val="none"/>
                <w:vertAlign w:val="baseline"/>
                <w:lang w:val="en-US" w:eastAsia="zh-CN"/>
              </w:rPr>
              <w:t>饮用水水源地</w:t>
            </w:r>
            <w:r>
              <w:rPr>
                <w:rFonts w:hint="eastAsia" w:ascii="Times New Roman" w:hAnsi="Times New Roman" w:cs="Times New Roman"/>
                <w:b w:val="0"/>
                <w:bCs w:val="0"/>
                <w:color w:val="auto"/>
                <w:sz w:val="24"/>
                <w:szCs w:val="24"/>
                <w:highlight w:val="none"/>
                <w:vertAlign w:val="baseline"/>
                <w:lang w:val="en-US" w:eastAsia="zh-CN"/>
              </w:rPr>
              <w:t>，取水点位于</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宣汉县马渡关镇肖厂沟山坪塘（村级）集中式饮用水水源地</w:t>
            </w:r>
            <w:r>
              <w:rPr>
                <w:rFonts w:hint="eastAsia" w:ascii="Times New Roman" w:hAnsi="Times New Roman" w:cs="Times New Roman"/>
                <w:b w:val="0"/>
                <w:bCs w:val="0"/>
                <w:color w:val="auto"/>
                <w:sz w:val="24"/>
                <w:szCs w:val="24"/>
                <w:highlight w:val="none"/>
                <w:vertAlign w:val="baseline"/>
                <w:lang w:val="en-US" w:eastAsia="zh-CN"/>
              </w:rPr>
              <w:t>，分为</w:t>
            </w:r>
            <w:r>
              <w:rPr>
                <w:rFonts w:hint="default" w:ascii="Times New Roman" w:hAnsi="Times New Roman" w:cs="Times New Roman"/>
                <w:b w:val="0"/>
                <w:bCs w:val="0"/>
                <w:color w:val="auto"/>
                <w:sz w:val="24"/>
                <w:szCs w:val="24"/>
                <w:highlight w:val="none"/>
                <w:vertAlign w:val="baseline"/>
                <w:lang w:val="en-US" w:eastAsia="zh-CN"/>
              </w:rPr>
              <w:t>饮用水</w:t>
            </w:r>
            <w:r>
              <w:rPr>
                <w:rFonts w:hint="eastAsia" w:ascii="Times New Roman" w:hAnsi="Times New Roman" w:cs="Times New Roman"/>
                <w:b w:val="0"/>
                <w:bCs w:val="0"/>
                <w:color w:val="auto"/>
                <w:sz w:val="24"/>
                <w:szCs w:val="24"/>
                <w:highlight w:val="none"/>
                <w:vertAlign w:val="baseline"/>
                <w:lang w:val="en-US" w:eastAsia="zh-CN"/>
              </w:rPr>
              <w:t>一级保护区、</w:t>
            </w:r>
            <w:r>
              <w:rPr>
                <w:rFonts w:hint="default" w:ascii="Times New Roman" w:hAnsi="Times New Roman" w:cs="Times New Roman"/>
                <w:b w:val="0"/>
                <w:bCs w:val="0"/>
                <w:color w:val="auto"/>
                <w:sz w:val="24"/>
                <w:szCs w:val="24"/>
                <w:highlight w:val="none"/>
                <w:vertAlign w:val="baseline"/>
                <w:lang w:val="en-US" w:eastAsia="zh-CN"/>
              </w:rPr>
              <w:t>饮用水</w:t>
            </w:r>
            <w:r>
              <w:rPr>
                <w:rFonts w:hint="eastAsia" w:ascii="Times New Roman" w:hAnsi="Times New Roman" w:cs="Times New Roman"/>
                <w:b w:val="0"/>
                <w:bCs w:val="0"/>
                <w:color w:val="auto"/>
                <w:sz w:val="24"/>
                <w:szCs w:val="24"/>
                <w:highlight w:val="none"/>
                <w:vertAlign w:val="baseline"/>
                <w:lang w:val="en-US" w:eastAsia="zh-CN"/>
              </w:rPr>
              <w:t>二级保护区；根据其例行监测，取水点处水质可以满足</w:t>
            </w:r>
            <w:r>
              <w:rPr>
                <w:rFonts w:hint="default" w:ascii="Times New Roman" w:hAnsi="Times New Roman" w:cs="Times New Roman"/>
                <w:color w:val="auto"/>
                <w:sz w:val="24"/>
                <w:szCs w:val="32"/>
                <w:highlight w:val="none"/>
                <w:vertAlign w:val="baseline"/>
                <w:lang w:val="en-US" w:eastAsia="zh-CN"/>
              </w:rPr>
              <w:t>《地表水环境质量标准》（GB3838-2002）</w:t>
            </w:r>
            <w:r>
              <w:rPr>
                <w:rFonts w:hint="default" w:ascii="Times New Roman" w:hAnsi="Times New Roman" w:cs="Times New Roman"/>
                <w:b w:val="0"/>
                <w:bCs w:val="0"/>
                <w:color w:val="auto"/>
                <w:sz w:val="24"/>
                <w:szCs w:val="24"/>
                <w:highlight w:val="none"/>
                <w:vertAlign w:val="baseline"/>
                <w:lang w:val="en-US" w:eastAsia="zh-CN"/>
              </w:rPr>
              <w:t>Ⅱ</w:t>
            </w:r>
            <w:r>
              <w:rPr>
                <w:rFonts w:hint="default" w:ascii="Times New Roman" w:hAnsi="Times New Roman" w:cs="Times New Roman"/>
                <w:color w:val="auto"/>
                <w:sz w:val="24"/>
                <w:szCs w:val="32"/>
                <w:highlight w:val="none"/>
                <w:vertAlign w:val="baseline"/>
                <w:lang w:val="en-US" w:eastAsia="zh-CN"/>
              </w:rPr>
              <w:t>类标准</w:t>
            </w:r>
            <w:r>
              <w:rPr>
                <w:rFonts w:hint="eastAsia" w:ascii="Times New Roman" w:hAnsi="Times New Roman" w:cs="Times New Roman"/>
                <w:b w:val="0"/>
                <w:bCs w:val="0"/>
                <w:color w:val="auto"/>
                <w:sz w:val="24"/>
                <w:szCs w:val="24"/>
                <w:highlight w:val="none"/>
                <w:vertAlign w:val="baseline"/>
                <w:lang w:val="en-US" w:eastAsia="zh-CN"/>
              </w:rPr>
              <w:t>；根据现场调查，保护区内</w:t>
            </w:r>
            <w:r>
              <w:rPr>
                <w:rFonts w:hint="default" w:ascii="Times New Roman" w:hAnsi="Times New Roman" w:eastAsia="宋体" w:cs="Times New Roman"/>
                <w:b w:val="0"/>
                <w:bCs/>
                <w:color w:val="auto"/>
                <w:sz w:val="24"/>
                <w:szCs w:val="32"/>
                <w:highlight w:val="none"/>
                <w:vertAlign w:val="baseline"/>
                <w:lang w:val="en-US" w:eastAsia="zh-CN"/>
              </w:rPr>
              <w:t>无工业废水和生活污水排入、沿线无其他可能对水环境造成不利影响的堆渣，沿线主要为林地、农田等</w:t>
            </w:r>
            <w:r>
              <w:rPr>
                <w:rFonts w:hint="eastAsia" w:ascii="Times New Roman" w:hAnsi="Times New Roman" w:eastAsia="宋体" w:cs="Times New Roman"/>
                <w:b w:val="0"/>
                <w:bCs/>
                <w:color w:val="auto"/>
                <w:sz w:val="24"/>
                <w:szCs w:val="32"/>
                <w:highlight w:val="none"/>
                <w:vertAlign w:val="baseline"/>
                <w:lang w:val="en-US" w:eastAsia="zh-CN"/>
              </w:rPr>
              <w:t>；保护区</w:t>
            </w:r>
            <w:r>
              <w:rPr>
                <w:rFonts w:hint="eastAsia"/>
                <w:color w:val="000000" w:themeColor="text1"/>
                <w:sz w:val="24"/>
                <w:szCs w:val="24"/>
                <w14:textFill>
                  <w14:solidFill>
                    <w14:schemeClr w14:val="tx1"/>
                  </w14:solidFill>
                </w14:textFill>
              </w:rPr>
              <w:t>设置</w:t>
            </w:r>
            <w:r>
              <w:rPr>
                <w:rFonts w:hint="eastAsia"/>
                <w:color w:val="000000" w:themeColor="text1"/>
                <w:sz w:val="24"/>
                <w:szCs w:val="24"/>
                <w:lang w:val="en-US" w:eastAsia="zh-CN"/>
                <w14:textFill>
                  <w14:solidFill>
                    <w14:schemeClr w14:val="tx1"/>
                  </w14:solidFill>
                </w14:textFill>
              </w:rPr>
              <w:t>有</w:t>
            </w:r>
            <w:r>
              <w:rPr>
                <w:rFonts w:hint="eastAsia"/>
                <w:color w:val="000000" w:themeColor="text1"/>
                <w:sz w:val="24"/>
                <w:szCs w:val="24"/>
                <w14:textFill>
                  <w14:solidFill>
                    <w14:schemeClr w14:val="tx1"/>
                  </w14:solidFill>
                </w14:textFill>
              </w:rPr>
              <w:t>标志标牌</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其</w:t>
            </w:r>
            <w:r>
              <w:rPr>
                <w:rFonts w:hint="default" w:ascii="Times New Roman" w:hAnsi="Times New Roman" w:cs="Times New Roman"/>
                <w:b w:val="0"/>
                <w:bCs w:val="0"/>
                <w:color w:val="auto"/>
                <w:sz w:val="24"/>
                <w:szCs w:val="24"/>
                <w:highlight w:val="none"/>
                <w:vertAlign w:val="baseline"/>
                <w:lang w:val="en-US" w:eastAsia="zh-CN"/>
              </w:rPr>
              <w:t>饮用水</w:t>
            </w:r>
            <w:r>
              <w:rPr>
                <w:rFonts w:hint="eastAsia"/>
                <w:color w:val="auto"/>
                <w:sz w:val="24"/>
                <w:szCs w:val="24"/>
              </w:rPr>
              <w:t>一级保护区</w:t>
            </w:r>
            <w:r>
              <w:rPr>
                <w:rFonts w:hint="eastAsia"/>
                <w:color w:val="auto"/>
                <w:sz w:val="24"/>
                <w:szCs w:val="24"/>
                <w:lang w:val="en-US" w:eastAsia="zh-CN"/>
              </w:rPr>
              <w:t>已</w:t>
            </w:r>
            <w:r>
              <w:rPr>
                <w:rFonts w:hint="eastAsia"/>
                <w:color w:val="auto"/>
                <w:sz w:val="24"/>
                <w:szCs w:val="24"/>
              </w:rPr>
              <w:t>进行隔离围网封闭</w:t>
            </w:r>
            <w:r>
              <w:rPr>
                <w:rFonts w:hint="eastAsia"/>
                <w:color w:val="auto"/>
                <w:sz w:val="24"/>
                <w:szCs w:val="24"/>
                <w:lang w:eastAsia="zh-CN"/>
              </w:rPr>
              <w:t>。</w:t>
            </w:r>
          </w:p>
          <w:p w14:paraId="15B7E508">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②扩建后取水水源</w:t>
            </w:r>
          </w:p>
          <w:p w14:paraId="1D81BFD5">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隘口水厂，扩建后取水水源为</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普子坪水库</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本次环评要求，以取水点划定</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饮用水水源</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保护区；</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根据现状监测，</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普子坪水库</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取水</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点处可以满足</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《地表水环境质量标准》（GB3838-2002）Ⅱ类标准</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，水质较好；</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根据调查，</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普子坪水库</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取水点</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半径3000m范围内</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无工业废水和生活污水排入、沿线无其他可能对水环境造成不利影响的堆渣，沿线主要为林地、农田等。</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划定</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饮用水水源</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保护区后，其</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w:t>
            </w:r>
            <w:r>
              <w:rPr>
                <w:rFonts w:hint="eastAsia"/>
                <w:color w:val="000000" w:themeColor="text1"/>
                <w:sz w:val="24"/>
                <w:szCs w:val="24"/>
                <w14:textFill>
                  <w14:solidFill>
                    <w14:schemeClr w14:val="tx1"/>
                  </w14:solidFill>
                </w14:textFill>
              </w:rPr>
              <w:t>一级保护区</w:t>
            </w:r>
            <w:r>
              <w:rPr>
                <w:rFonts w:hint="eastAsia"/>
                <w:color w:val="000000" w:themeColor="text1"/>
                <w:sz w:val="24"/>
                <w:szCs w:val="24"/>
                <w:lang w:val="en-US" w:eastAsia="zh-CN"/>
                <w14:textFill>
                  <w14:solidFill>
                    <w14:schemeClr w14:val="tx1"/>
                  </w14:solidFill>
                </w14:textFill>
              </w:rPr>
              <w:t>应</w:t>
            </w:r>
            <w:r>
              <w:rPr>
                <w:rFonts w:hint="eastAsia"/>
                <w:color w:val="000000" w:themeColor="text1"/>
                <w:sz w:val="24"/>
                <w:szCs w:val="24"/>
                <w14:textFill>
                  <w14:solidFill>
                    <w14:schemeClr w14:val="tx1"/>
                  </w14:solidFill>
                </w14:textFill>
              </w:rPr>
              <w:t>进行隔离围网封闭</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并</w:t>
            </w:r>
            <w:r>
              <w:rPr>
                <w:rFonts w:hint="eastAsia"/>
                <w:color w:val="000000" w:themeColor="text1"/>
                <w:sz w:val="24"/>
                <w:szCs w:val="24"/>
                <w14:textFill>
                  <w14:solidFill>
                    <w14:schemeClr w14:val="tx1"/>
                  </w14:solidFill>
                </w14:textFill>
              </w:rPr>
              <w:t>按照相关标准和技术要求设置明显的标志标牌，包括地理界标、警示标志、环保宣传牌等</w:t>
            </w:r>
            <w:r>
              <w:rPr>
                <w:rFonts w:hint="eastAsia"/>
                <w:color w:val="000000" w:themeColor="text1"/>
                <w:sz w:val="24"/>
                <w:szCs w:val="24"/>
                <w:highlight w:val="none"/>
                <w:lang w:val="en-US" w:eastAsia="zh-CN"/>
                <w14:textFill>
                  <w14:solidFill>
                    <w14:schemeClr w14:val="tx1"/>
                  </w14:solidFill>
                </w14:textFill>
              </w:rPr>
              <w:t>。</w:t>
            </w:r>
          </w:p>
          <w:p w14:paraId="42EF2FBA">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（2）马渡关水厂</w:t>
            </w:r>
          </w:p>
          <w:p w14:paraId="5CE32DEF">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马渡关水厂，</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取水水源为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长滩河，本次环评要求，以取水点划定</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饮用水水源</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保护区；</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根据现状监测，</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长滩河</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取水</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点处可以满足</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《地表水环境质量标准》（GB3838-2002）Ⅱ类标准</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，水质较好；</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根据调查，</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长滩河</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取水点</w:t>
            </w:r>
            <w:r>
              <w:rPr>
                <w:rFonts w:hint="default" w:ascii="Times New Roman" w:hAnsi="Times New Roman" w:cs="Times New Roman"/>
                <w:bCs/>
                <w:color w:val="000000" w:themeColor="text1"/>
                <w:sz w:val="24"/>
                <w:szCs w:val="24"/>
                <w:highlight w:val="none"/>
                <w14:textFill>
                  <w14:solidFill>
                    <w14:schemeClr w14:val="tx1"/>
                  </w14:solidFill>
                </w14:textFill>
              </w:rPr>
              <w:t>上游1000米至下游100米的水域范围</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内</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无工业废水和生活污水排入、沿线无其他可能对水环境造成不利影响的堆渣，沿线主要为林地、农田等。</w:t>
            </w:r>
            <w:r>
              <w:rPr>
                <w:rFonts w:hint="eastAsia" w:ascii="Times New Roman" w:hAnsi="Times New Roman" w:eastAsia="宋体" w:cs="Times New Roman"/>
                <w:b w:val="0"/>
                <w:bCs w:val="0"/>
                <w:color w:val="000000" w:themeColor="text1"/>
                <w:sz w:val="24"/>
                <w:szCs w:val="24"/>
                <w:highlight w:val="none"/>
                <w:vertAlign w:val="baseline"/>
                <w:lang w:val="en-US" w:eastAsia="zh-CN"/>
                <w14:textFill>
                  <w14:solidFill>
                    <w14:schemeClr w14:val="tx1"/>
                  </w14:solidFill>
                </w14:textFill>
              </w:rPr>
              <w:t>划定</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饮用水水源</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保护区后，其</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w:t>
            </w:r>
            <w:r>
              <w:rPr>
                <w:rFonts w:hint="eastAsia"/>
                <w:color w:val="000000" w:themeColor="text1"/>
                <w:sz w:val="24"/>
                <w:szCs w:val="24"/>
                <w14:textFill>
                  <w14:solidFill>
                    <w14:schemeClr w14:val="tx1"/>
                  </w14:solidFill>
                </w14:textFill>
              </w:rPr>
              <w:t>一级保护区</w:t>
            </w:r>
            <w:r>
              <w:rPr>
                <w:rFonts w:hint="eastAsia"/>
                <w:color w:val="000000" w:themeColor="text1"/>
                <w:sz w:val="24"/>
                <w:szCs w:val="24"/>
                <w:lang w:val="en-US" w:eastAsia="zh-CN"/>
                <w14:textFill>
                  <w14:solidFill>
                    <w14:schemeClr w14:val="tx1"/>
                  </w14:solidFill>
                </w14:textFill>
              </w:rPr>
              <w:t>应</w:t>
            </w:r>
            <w:r>
              <w:rPr>
                <w:rFonts w:hint="eastAsia"/>
                <w:color w:val="000000" w:themeColor="text1"/>
                <w:sz w:val="24"/>
                <w:szCs w:val="24"/>
                <w14:textFill>
                  <w14:solidFill>
                    <w14:schemeClr w14:val="tx1"/>
                  </w14:solidFill>
                </w14:textFill>
              </w:rPr>
              <w:t>进行隔离围网封闭</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并</w:t>
            </w:r>
            <w:r>
              <w:rPr>
                <w:rFonts w:hint="eastAsia"/>
                <w:color w:val="000000" w:themeColor="text1"/>
                <w:sz w:val="24"/>
                <w:szCs w:val="24"/>
                <w14:textFill>
                  <w14:solidFill>
                    <w14:schemeClr w14:val="tx1"/>
                  </w14:solidFill>
                </w14:textFill>
              </w:rPr>
              <w:t>按照相关标准和技术要求设置明显的标志标牌，包括地理界标、警示标志、环保宣传牌等</w:t>
            </w:r>
            <w:r>
              <w:rPr>
                <w:rFonts w:hint="eastAsia"/>
                <w:color w:val="000000" w:themeColor="text1"/>
                <w:sz w:val="24"/>
                <w:szCs w:val="24"/>
                <w:highlight w:val="none"/>
                <w:lang w:val="en-US" w:eastAsia="zh-CN"/>
                <w14:textFill>
                  <w14:solidFill>
                    <w14:schemeClr w14:val="tx1"/>
                  </w14:solidFill>
                </w14:textFill>
              </w:rPr>
              <w:t>。</w:t>
            </w:r>
          </w:p>
          <w:p w14:paraId="699A6941">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8</w:t>
            </w:r>
            <w:r>
              <w:rPr>
                <w:rFonts w:hint="default" w:ascii="Times New Roman" w:hAnsi="Times New Roman" w:cs="Times New Roman"/>
                <w:b/>
                <w:bCs/>
                <w:color w:val="auto"/>
                <w:sz w:val="24"/>
                <w:szCs w:val="24"/>
                <w:highlight w:val="none"/>
              </w:rPr>
              <w:t>、现有</w:t>
            </w:r>
            <w:r>
              <w:rPr>
                <w:rFonts w:hint="eastAsia" w:cs="Times New Roman"/>
                <w:b/>
                <w:bCs/>
                <w:color w:val="auto"/>
                <w:sz w:val="24"/>
                <w:szCs w:val="24"/>
                <w:highlight w:val="none"/>
                <w:lang w:val="en-US" w:eastAsia="zh-CN"/>
              </w:rPr>
              <w:t>项目</w:t>
            </w:r>
            <w:r>
              <w:rPr>
                <w:rFonts w:hint="default" w:ascii="Times New Roman" w:hAnsi="Times New Roman" w:cs="Times New Roman"/>
                <w:b/>
                <w:bCs/>
                <w:color w:val="auto"/>
                <w:sz w:val="24"/>
                <w:szCs w:val="24"/>
                <w:highlight w:val="none"/>
              </w:rPr>
              <w:t>存在的问题及整改建议</w:t>
            </w:r>
          </w:p>
          <w:p w14:paraId="121B7B90">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（1）存在的问题</w:t>
            </w:r>
          </w:p>
          <w:p w14:paraId="0FE6BF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①</w:t>
            </w:r>
            <w:r>
              <w:rPr>
                <w:rFonts w:hint="eastAsia" w:ascii="Times New Roman" w:cs="Times New Roman"/>
                <w:color w:val="000000" w:themeColor="text1"/>
                <w:sz w:val="24"/>
                <w:szCs w:val="24"/>
                <w:lang w:val="en-US" w:eastAsia="zh-CN"/>
                <w14:textFill>
                  <w14:solidFill>
                    <w14:schemeClr w14:val="tx1"/>
                  </w14:solidFill>
                </w14:textFill>
              </w:rPr>
              <w:t>暂未进行排污登记，暂未进行验收</w:t>
            </w: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w:t>
            </w:r>
          </w:p>
          <w:p w14:paraId="296740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②供水规模不能满足需求；净水工艺简单，出水水质待提升。</w:t>
            </w:r>
          </w:p>
          <w:p w14:paraId="518D34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pPr>
            <w:r>
              <w:rPr>
                <w:rFonts w:hint="eastAsia" w:ascii="Times New Roman" w:cs="Times New Roman"/>
                <w:color w:val="000000" w:themeColor="text1"/>
                <w:sz w:val="24"/>
                <w:szCs w:val="24"/>
                <w:lang w:val="en-US" w:eastAsia="zh-CN"/>
                <w14:textFill>
                  <w14:solidFill>
                    <w14:schemeClr w14:val="tx1"/>
                  </w14:solidFill>
                </w14:textFill>
              </w:rPr>
              <w:t>③排泥水、反冲洗水</w:t>
            </w:r>
            <w:r>
              <w:rPr>
                <w:rFonts w:hint="eastAsia" w:ascii="Times New Roman" w:hAnsi="Times New Roman" w:eastAsia="宋体" w:cs="Times New Roman"/>
                <w:b w:val="0"/>
                <w:bCs/>
                <w:color w:val="000000" w:themeColor="text1"/>
                <w:kern w:val="0"/>
                <w:sz w:val="24"/>
                <w:szCs w:val="24"/>
                <w:lang w:val="en-US" w:eastAsia="zh-CN" w:bidi="ar"/>
                <w14:textFill>
                  <w14:solidFill>
                    <w14:schemeClr w14:val="tx1"/>
                  </w14:solidFill>
                </w14:textFill>
              </w:rPr>
              <w:t>直接外排</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054E35C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④污泥干化后还田处理。</w:t>
            </w:r>
          </w:p>
          <w:p w14:paraId="484B125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⑤长滩河、</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普子坪水库</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，暂未以取水点划定</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饮用水水源</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保护区。</w:t>
            </w:r>
          </w:p>
          <w:p w14:paraId="19776C56">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（2）“以新带老”整改措施</w:t>
            </w:r>
          </w:p>
          <w:p w14:paraId="420ED7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根据《固定污染源排污许可分类管理名录（2019年版）》</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cs="Times New Roman"/>
                <w:color w:val="000000" w:themeColor="text1"/>
                <w:sz w:val="24"/>
                <w:szCs w:val="24"/>
                <w:lang w:val="en-US" w:eastAsia="zh-CN"/>
                <w14:textFill>
                  <w14:solidFill>
                    <w14:schemeClr w14:val="tx1"/>
                  </w14:solidFill>
                </w14:textFill>
              </w:rPr>
              <w:t>进行排污登记；</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根据《建设项目竣工环境保护验收暂行办法》（国环规环评〔2017〕4号）</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，进行</w:t>
            </w:r>
            <w:r>
              <w:rPr>
                <w:rFonts w:hint="eastAsia" w:ascii="Times New Roman" w:cs="Times New Roman"/>
                <w:color w:val="000000" w:themeColor="text1"/>
                <w:sz w:val="24"/>
                <w:szCs w:val="24"/>
                <w:lang w:val="en-US" w:eastAsia="zh-CN"/>
                <w14:textFill>
                  <w14:solidFill>
                    <w14:schemeClr w14:val="tx1"/>
                  </w14:solidFill>
                </w14:textFill>
              </w:rPr>
              <w:t>验收。</w:t>
            </w:r>
          </w:p>
          <w:p w14:paraId="7FCA6FA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②</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供水</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规模</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从220</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m</w:t>
            </w:r>
            <w:r>
              <w:rPr>
                <w:rFonts w:hint="default" w:ascii="Times New Roman" w:hAnsi="Times New Roman"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/d</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扩建至20</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00m</w:t>
            </w:r>
            <w:r>
              <w:rPr>
                <w:rFonts w:hint="default" w:ascii="Times New Roman" w:hAnsi="Times New Roman" w:cs="Times New Roman"/>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/d</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，采用</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絮凝+沉淀+气浮+过滤+</w:t>
            </w:r>
            <w:r>
              <w:rPr>
                <w:rFonts w:hint="default" w:ascii="Times New Roman" w:hAnsi="Times New Roman" w:cs="Times New Roman"/>
                <w:color w:val="000000" w:themeColor="text1"/>
                <w:sz w:val="24"/>
                <w:szCs w:val="32"/>
                <w:highlight w:val="none"/>
                <w:vertAlign w:val="baseline"/>
                <w:lang w:val="en-US" w:eastAsia="zh-CN"/>
                <w14:textFill>
                  <w14:solidFill>
                    <w14:schemeClr w14:val="tx1"/>
                  </w14:solidFill>
                </w14:textFill>
              </w:rPr>
              <w:t>二氧化氯消毒”</w:t>
            </w:r>
            <w:r>
              <w:rPr>
                <w:rFonts w:hint="eastAsia" w:ascii="Times New Roman" w:hAnsi="Times New Roman" w:cs="Times New Roman"/>
                <w:color w:val="000000" w:themeColor="text1"/>
                <w:sz w:val="24"/>
                <w:szCs w:val="32"/>
                <w:highlight w:val="none"/>
                <w:vertAlign w:val="baseline"/>
                <w:lang w:val="en-US" w:eastAsia="zh-CN"/>
                <w14:textFill>
                  <w14:solidFill>
                    <w14:schemeClr w14:val="tx1"/>
                  </w14:solidFill>
                </w14:textFill>
              </w:rPr>
              <w:t>工艺，处理后出水水质满足《生活饮用水卫生标准》（GB5749-2022）。</w:t>
            </w:r>
          </w:p>
          <w:p w14:paraId="570A435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③</w:t>
            </w:r>
            <w:r>
              <w:rPr>
                <w:rFonts w:hint="eastAsia" w:ascii="Times New Roman" w:cs="Times New Roman"/>
                <w:color w:val="000000" w:themeColor="text1"/>
                <w:sz w:val="24"/>
                <w:szCs w:val="24"/>
                <w:lang w:val="en-US" w:eastAsia="zh-CN"/>
                <w14:textFill>
                  <w14:solidFill>
                    <w14:schemeClr w14:val="tx1"/>
                  </w14:solidFill>
                </w14:textFill>
              </w:rPr>
              <w:t>排泥水</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经沉淀后回用；</w:t>
            </w:r>
            <w:r>
              <w:rPr>
                <w:rFonts w:hint="eastAsia" w:ascii="Times New Roman" w:cs="Times New Roman"/>
                <w:color w:val="000000" w:themeColor="text1"/>
                <w:sz w:val="24"/>
                <w:szCs w:val="24"/>
                <w:lang w:val="en-US" w:eastAsia="zh-CN"/>
                <w14:textFill>
                  <w14:solidFill>
                    <w14:schemeClr w14:val="tx1"/>
                  </w14:solidFill>
                </w14:textFill>
              </w:rPr>
              <w:t>反冲洗水</w:t>
            </w:r>
            <w:r>
              <w:rPr>
                <w:rFonts w:hint="eastAsia" w:ascii="Times New Roman" w:hAnsi="Times New Roman" w:cs="Times New Roman"/>
                <w:color w:val="000000" w:themeColor="text1"/>
                <w:sz w:val="24"/>
                <w:szCs w:val="24"/>
                <w:highlight w:val="none"/>
                <w:vertAlign w:val="baseline"/>
                <w:lang w:val="en-US" w:eastAsia="zh-CN"/>
                <w14:textFill>
                  <w14:solidFill>
                    <w14:schemeClr w14:val="tx1"/>
                  </w14:solidFill>
                </w14:textFill>
              </w:rPr>
              <w:t>经废水管道收集至排水池，全部返回净水设施处理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2ACEC93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④</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污泥干化后</w:t>
            </w:r>
            <w:r>
              <w:rPr>
                <w:rFonts w:hint="eastAsia" w:ascii="宋体" w:hAnsi="宋体" w:eastAsia="宋体" w:cs="宋体"/>
                <w:color w:val="000000" w:themeColor="text1"/>
                <w:kern w:val="0"/>
                <w:sz w:val="24"/>
                <w:szCs w:val="24"/>
                <w:lang w:val="en-US" w:eastAsia="zh-CN" w:bidi="ar"/>
                <w14:textFill>
                  <w14:solidFill>
                    <w14:schemeClr w14:val="tx1"/>
                  </w14:solidFill>
                </w14:textFill>
              </w:rPr>
              <w:t>送</w:t>
            </w:r>
            <w:r>
              <w:rPr>
                <w:rFonts w:hint="eastAsia" w:ascii="宋体" w:hAnsi="宋体" w:eastAsia="宋体" w:cs="宋体"/>
                <w:color w:val="000000" w:themeColor="text1"/>
                <w:sz w:val="24"/>
                <w:szCs w:val="24"/>
                <w14:textFill>
                  <w14:solidFill>
                    <w14:schemeClr w14:val="tx1"/>
                  </w14:solidFill>
                </w14:textFill>
              </w:rPr>
              <w:t>宣汉海诺尔环保发电有限公司焚烧处理</w:t>
            </w:r>
            <w:r>
              <w:rPr>
                <w:rFonts w:hint="default" w:ascii="Times New Roman" w:hAnsi="Times New Roman" w:cs="Times New Roman"/>
                <w:color w:val="000000" w:themeColor="text1"/>
                <w:sz w:val="24"/>
                <w:szCs w:val="24"/>
                <w14:textFill>
                  <w14:solidFill>
                    <w14:schemeClr w14:val="tx1"/>
                  </w14:solidFill>
                </w14:textFill>
              </w:rPr>
              <w:t>。</w:t>
            </w:r>
          </w:p>
          <w:p w14:paraId="4281DA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⑤</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根据《饮用水水源保护区划分技术规范》（HJ338-2018），长滩河、</w:t>
            </w:r>
            <w:r>
              <w:rPr>
                <w:rFonts w:hint="eastAsia" w:ascii="Times New Roman" w:hAnsi="Times New Roman" w:cs="Times New Roman"/>
                <w:b w:val="0"/>
                <w:bCs w:val="0"/>
                <w:color w:val="000000" w:themeColor="text1"/>
                <w:sz w:val="24"/>
                <w:szCs w:val="24"/>
                <w:highlight w:val="none"/>
                <w:lang w:val="en-US" w:eastAsia="zh-CN"/>
                <w14:textFill>
                  <w14:solidFill>
                    <w14:schemeClr w14:val="tx1"/>
                  </w14:solidFill>
                </w14:textFill>
              </w:rPr>
              <w:t>普子坪水库</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以取水点划定</w:t>
            </w:r>
            <w:r>
              <w:rPr>
                <w:rFonts w:hint="default"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饮用水水源</w:t>
            </w:r>
            <w:r>
              <w:rPr>
                <w:rFonts w:hint="eastAsia" w:ascii="Times New Roman" w:hAnsi="Times New Roman" w:cs="Times New Roman"/>
                <w:b w:val="0"/>
                <w:bCs w:val="0"/>
                <w:color w:val="000000" w:themeColor="text1"/>
                <w:sz w:val="24"/>
                <w:szCs w:val="24"/>
                <w:highlight w:val="none"/>
                <w:vertAlign w:val="baseline"/>
                <w:lang w:val="en-US" w:eastAsia="zh-CN"/>
                <w14:textFill>
                  <w14:solidFill>
                    <w14:schemeClr w14:val="tx1"/>
                  </w14:solidFill>
                </w14:textFill>
              </w:rPr>
              <w:t>保护区。</w:t>
            </w:r>
          </w:p>
          <w:p w14:paraId="1B637946">
            <w:pPr>
              <w:keepNext w:val="0"/>
              <w:keepLines w:val="0"/>
              <w:pageBreakBefore w:val="0"/>
              <w:kinsoku/>
              <w:wordWrap/>
              <w:overflowPunct/>
              <w:topLinePunct w:val="0"/>
              <w:autoSpaceDE/>
              <w:autoSpaceDN/>
              <w:bidi w:val="0"/>
              <w:snapToGrid/>
              <w:spacing w:line="360" w:lineRule="auto"/>
              <w:rPr>
                <w:rFonts w:hint="default" w:ascii="Times New Roman" w:hAnsi="Times New Roman" w:cs="Times New Roman"/>
                <w:b w:val="0"/>
                <w:bCs w:val="0"/>
                <w:color w:val="auto"/>
                <w:sz w:val="24"/>
                <w:szCs w:val="32"/>
                <w:highlight w:val="none"/>
                <w:vertAlign w:val="baseline"/>
                <w:lang w:val="en-US" w:eastAsia="zh-CN"/>
              </w:rPr>
            </w:pPr>
          </w:p>
          <w:p w14:paraId="3F3FC0D9">
            <w:pPr>
              <w:keepNext w:val="0"/>
              <w:keepLines w:val="0"/>
              <w:pageBreakBefore w:val="0"/>
              <w:kinsoku/>
              <w:wordWrap/>
              <w:overflowPunct/>
              <w:topLinePunct w:val="0"/>
              <w:autoSpaceDE/>
              <w:autoSpaceDN/>
              <w:bidi w:val="0"/>
              <w:snapToGrid/>
              <w:spacing w:line="360" w:lineRule="auto"/>
              <w:rPr>
                <w:rFonts w:hint="default" w:ascii="Times New Roman" w:hAnsi="Times New Roman" w:cs="Times New Roman"/>
                <w:b w:val="0"/>
                <w:bCs w:val="0"/>
                <w:color w:val="auto"/>
                <w:sz w:val="24"/>
                <w:szCs w:val="32"/>
                <w:highlight w:val="none"/>
                <w:vertAlign w:val="baseline"/>
                <w:lang w:val="en-US" w:eastAsia="zh-CN"/>
              </w:rPr>
            </w:pPr>
          </w:p>
          <w:p w14:paraId="478A614A">
            <w:pPr>
              <w:keepNext w:val="0"/>
              <w:keepLines w:val="0"/>
              <w:pageBreakBefore w:val="0"/>
              <w:kinsoku/>
              <w:wordWrap/>
              <w:overflowPunct/>
              <w:topLinePunct w:val="0"/>
              <w:autoSpaceDE/>
              <w:autoSpaceDN/>
              <w:bidi w:val="0"/>
              <w:snapToGrid/>
              <w:spacing w:line="360" w:lineRule="auto"/>
              <w:rPr>
                <w:rFonts w:hint="default" w:ascii="Times New Roman" w:hAnsi="Times New Roman" w:cs="Times New Roman"/>
                <w:b w:val="0"/>
                <w:bCs w:val="0"/>
                <w:color w:val="auto"/>
                <w:sz w:val="24"/>
                <w:szCs w:val="32"/>
                <w:highlight w:val="none"/>
                <w:vertAlign w:val="baseline"/>
                <w:lang w:val="en-US" w:eastAsia="zh-CN"/>
              </w:rPr>
            </w:pPr>
          </w:p>
        </w:tc>
      </w:tr>
    </w:tbl>
    <w:p w14:paraId="7986BC4D">
      <w:pPr>
        <w:pStyle w:val="24"/>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6"/>
          <w:highlight w:val="none"/>
          <w:lang w:eastAsia="zh-CN"/>
        </w:rPr>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75C20407">
      <w:pPr>
        <w:pStyle w:val="30"/>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bookmarkStart w:id="1" w:name="_Toc97040275"/>
      <w:r>
        <w:rPr>
          <w:rFonts w:hint="default" w:ascii="Times New Roman" w:hAnsi="Times New Roman" w:eastAsia="黑体" w:cs="Times New Roman"/>
          <w:b w:val="0"/>
          <w:color w:val="auto"/>
          <w:sz w:val="30"/>
          <w:szCs w:val="30"/>
          <w:highlight w:val="none"/>
        </w:rPr>
        <w:t>三、区域环境质量现状、环境保护目标及评价标准</w:t>
      </w:r>
      <w:bookmarkEnd w:id="1"/>
    </w:p>
    <w:tbl>
      <w:tblPr>
        <w:tblStyle w:val="25"/>
        <w:tblW w:w="9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9343"/>
      </w:tblGrid>
      <w:tr w14:paraId="04A7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0" w:type="dxa"/>
            <w:vAlign w:val="center"/>
          </w:tcPr>
          <w:p w14:paraId="7EF29F2C">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区域环境质量现状</w:t>
            </w:r>
          </w:p>
        </w:tc>
        <w:tc>
          <w:tcPr>
            <w:tcW w:w="9343" w:type="dxa"/>
            <w:vAlign w:val="center"/>
          </w:tcPr>
          <w:p w14:paraId="04E7079F">
            <w:pPr>
              <w:keepNext w:val="0"/>
              <w:keepLines w:val="0"/>
              <w:pageBreakBefore w:val="0"/>
              <w:widowControl/>
              <w:suppressLineNumbers w:val="0"/>
              <w:kinsoku/>
              <w:wordWrap/>
              <w:overflowPunct/>
              <w:topLinePunct w:val="0"/>
              <w:autoSpaceDE/>
              <w:autoSpaceDN/>
              <w:bidi w:val="0"/>
              <w:adjustRightInd/>
              <w:snapToGrid/>
              <w:spacing w:line="360" w:lineRule="auto"/>
              <w:ind w:left="481" w:leftChars="229" w:firstLine="0" w:firstLineChars="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一、环境空气质量现状</w:t>
            </w:r>
          </w:p>
          <w:p w14:paraId="44F354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color w:val="auto"/>
                <w:sz w:val="24"/>
                <w:szCs w:val="24"/>
                <w:highlight w:val="none"/>
              </w:rPr>
              <w:t>根据《建设项目环境影响报告表编制技术指南（污染影响类）（试行）》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pacing w:val="0"/>
                <w:kern w:val="21"/>
                <w:sz w:val="24"/>
                <w:szCs w:val="24"/>
              </w:rPr>
              <w:t>常规污染物引用与建设项目距离近的有效数据，包括近</w:t>
            </w:r>
            <w:r>
              <w:rPr>
                <w:rFonts w:hint="default" w:ascii="Times New Roman" w:hAnsi="Times New Roman" w:eastAsia="宋体" w:cs="Times New Roman"/>
                <w:color w:val="auto"/>
                <w:spacing w:val="0"/>
                <w:kern w:val="21"/>
                <w:sz w:val="24"/>
                <w:szCs w:val="24"/>
                <w:lang w:val="en-US" w:eastAsia="zh-CN"/>
              </w:rPr>
              <w:t>3</w:t>
            </w:r>
            <w:r>
              <w:rPr>
                <w:rFonts w:hint="default" w:ascii="Times New Roman" w:hAnsi="Times New Roman" w:cs="Times New Roman"/>
                <w:color w:val="auto"/>
                <w:spacing w:val="0"/>
                <w:kern w:val="21"/>
                <w:sz w:val="24"/>
                <w:szCs w:val="24"/>
              </w:rPr>
              <w:t>年的规划环境影响评价的监测数据，国家、地方环境空气质量监测网数据或生态环境主管部门公开发布的质量数据等。排放国家、地方环境空气质量标准中有标准限值要求的特征污染物时，引用建设项目周边</w:t>
            </w:r>
            <w:r>
              <w:rPr>
                <w:rFonts w:hint="default" w:ascii="Times New Roman" w:hAnsi="Times New Roman" w:eastAsia="宋体" w:cs="Times New Roman"/>
                <w:color w:val="auto"/>
                <w:spacing w:val="0"/>
                <w:kern w:val="21"/>
                <w:sz w:val="24"/>
                <w:szCs w:val="24"/>
                <w:lang w:val="en-US" w:eastAsia="zh-CN"/>
              </w:rPr>
              <w:t>5</w:t>
            </w:r>
            <w:r>
              <w:rPr>
                <w:rFonts w:hint="default" w:ascii="Times New Roman" w:hAnsi="Times New Roman" w:cs="Times New Roman"/>
                <w:color w:val="auto"/>
                <w:spacing w:val="0"/>
                <w:kern w:val="21"/>
                <w:sz w:val="24"/>
                <w:szCs w:val="24"/>
              </w:rPr>
              <w:t>千米范围内近</w:t>
            </w:r>
            <w:r>
              <w:rPr>
                <w:rFonts w:hint="default" w:ascii="Times New Roman" w:hAnsi="Times New Roman" w:eastAsia="宋体" w:cs="Times New Roman"/>
                <w:color w:val="auto"/>
                <w:spacing w:val="0"/>
                <w:kern w:val="21"/>
                <w:sz w:val="24"/>
                <w:szCs w:val="24"/>
                <w:lang w:val="en-US" w:eastAsia="zh-CN"/>
              </w:rPr>
              <w:t>3</w:t>
            </w:r>
            <w:r>
              <w:rPr>
                <w:rFonts w:hint="default" w:ascii="Times New Roman" w:hAnsi="Times New Roman" w:cs="Times New Roman"/>
                <w:color w:val="auto"/>
                <w:spacing w:val="0"/>
                <w:kern w:val="21"/>
                <w:sz w:val="24"/>
                <w:szCs w:val="24"/>
              </w:rPr>
              <w:t>年的现有监测数据，无相关数据的选择当季主导风向下风向</w:t>
            </w:r>
            <w:r>
              <w:rPr>
                <w:rFonts w:hint="default" w:ascii="Times New Roman" w:hAnsi="Times New Roman" w:eastAsia="宋体" w:cs="Times New Roman"/>
                <w:color w:val="auto"/>
                <w:spacing w:val="0"/>
                <w:kern w:val="21"/>
                <w:sz w:val="24"/>
                <w:szCs w:val="24"/>
                <w:lang w:val="en-US" w:eastAsia="zh-CN"/>
              </w:rPr>
              <w:t>1</w:t>
            </w:r>
            <w:r>
              <w:rPr>
                <w:rFonts w:hint="default" w:ascii="Times New Roman" w:hAnsi="Times New Roman" w:cs="Times New Roman"/>
                <w:color w:val="auto"/>
                <w:spacing w:val="0"/>
                <w:kern w:val="21"/>
                <w:sz w:val="24"/>
                <w:szCs w:val="24"/>
              </w:rPr>
              <w:t>个点位补充不少于</w:t>
            </w:r>
            <w:r>
              <w:rPr>
                <w:rFonts w:hint="default" w:ascii="Times New Roman" w:hAnsi="Times New Roman" w:eastAsia="宋体" w:cs="Times New Roman"/>
                <w:color w:val="auto"/>
                <w:spacing w:val="0"/>
                <w:kern w:val="21"/>
                <w:sz w:val="24"/>
                <w:szCs w:val="24"/>
                <w:lang w:val="en-US" w:eastAsia="zh-CN"/>
              </w:rPr>
              <w:t>3</w:t>
            </w:r>
            <w:r>
              <w:rPr>
                <w:rFonts w:hint="default" w:ascii="Times New Roman" w:hAnsi="Times New Roman" w:cs="Times New Roman"/>
                <w:color w:val="auto"/>
                <w:spacing w:val="0"/>
                <w:kern w:val="21"/>
                <w:sz w:val="24"/>
                <w:szCs w:val="24"/>
              </w:rPr>
              <w:t>天的监测数据。</w:t>
            </w:r>
          </w:p>
          <w:p w14:paraId="4B1D97E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1、常规污染物环境质量现状</w:t>
            </w:r>
          </w:p>
          <w:p w14:paraId="3B2CB8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本项目位于四川省</w:t>
            </w:r>
            <w:r>
              <w:rPr>
                <w:rFonts w:hint="default" w:ascii="Times New Roman" w:hAnsi="Times New Roman" w:cs="Times New Roman"/>
                <w:color w:val="auto"/>
                <w:sz w:val="24"/>
                <w:szCs w:val="24"/>
                <w:lang w:val="en-US" w:eastAsia="zh-CN"/>
              </w:rPr>
              <w:t>达州市</w:t>
            </w:r>
            <w:r>
              <w:rPr>
                <w:rFonts w:hint="default" w:ascii="Times New Roman" w:hAnsi="Times New Roman" w:eastAsia="宋体" w:cs="Times New Roman"/>
                <w:color w:val="auto"/>
                <w:kern w:val="0"/>
                <w:sz w:val="24"/>
                <w:szCs w:val="24"/>
                <w:lang w:val="en-US" w:eastAsia="zh-CN" w:bidi="ar"/>
              </w:rPr>
              <w:t>宣汉县</w:t>
            </w:r>
            <w:r>
              <w:rPr>
                <w:rFonts w:hint="default" w:ascii="Times New Roman" w:hAnsi="Times New Roman" w:cs="Times New Roman"/>
                <w:color w:val="auto"/>
                <w:sz w:val="24"/>
                <w:szCs w:val="24"/>
              </w:rPr>
              <w:t>，为反映项目建设区域环境空气质量现状，本次评价引用达州市生态环境局公布的《达州市202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年环境空气质量状况》中相关数据和结论。</w:t>
            </w:r>
            <w:r>
              <w:rPr>
                <w:rFonts w:hint="default" w:ascii="Times New Roman" w:hAnsi="Times New Roman" w:eastAsia="宋体" w:cs="Times New Roman"/>
                <w:color w:val="auto"/>
                <w:kern w:val="0"/>
                <w:sz w:val="24"/>
                <w:szCs w:val="24"/>
                <w:lang w:val="en-US" w:eastAsia="zh-CN" w:bidi="ar"/>
              </w:rPr>
              <w:t>宣汉县</w:t>
            </w:r>
            <w:r>
              <w:rPr>
                <w:rFonts w:hint="default" w:ascii="Times New Roman" w:hAnsi="Times New Roman" w:cs="Times New Roman"/>
                <w:color w:val="auto"/>
                <w:sz w:val="24"/>
                <w:szCs w:val="24"/>
              </w:rPr>
              <w:t>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年空气质量现状如下。</w:t>
            </w:r>
          </w:p>
          <w:p w14:paraId="062CF7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表3-1   区域空气质量现状评价表</w:t>
            </w:r>
          </w:p>
          <w:tbl>
            <w:tblPr>
              <w:tblStyle w:val="26"/>
              <w:tblW w:w="9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2985"/>
              <w:gridCol w:w="1245"/>
              <w:gridCol w:w="1068"/>
              <w:gridCol w:w="1170"/>
              <w:gridCol w:w="1355"/>
            </w:tblGrid>
            <w:tr w14:paraId="1137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nil"/>
                    <w:tr2bl w:val="nil"/>
                  </w:tcBorders>
                  <w:noWrap w:val="0"/>
                  <w:vAlign w:val="center"/>
                </w:tcPr>
                <w:p w14:paraId="185EE038">
                  <w:pPr>
                    <w:snapToGrid w:val="0"/>
                    <w:jc w:val="center"/>
                    <w:rPr>
                      <w:rFonts w:hint="default" w:ascii="Times New Roman" w:hAnsi="Times New Roman" w:eastAsia="宋" w:cs="Times New Roman"/>
                      <w:b/>
                      <w:bCs/>
                      <w:color w:val="auto"/>
                      <w:sz w:val="21"/>
                      <w:szCs w:val="21"/>
                    </w:rPr>
                  </w:pPr>
                  <w:r>
                    <w:rPr>
                      <w:rFonts w:hint="default" w:ascii="Times New Roman" w:hAnsi="Times New Roman" w:eastAsia="宋" w:cs="Times New Roman"/>
                      <w:b/>
                      <w:bCs/>
                      <w:color w:val="auto"/>
                      <w:sz w:val="21"/>
                      <w:szCs w:val="21"/>
                    </w:rPr>
                    <w:t>污染物</w:t>
                  </w:r>
                </w:p>
              </w:tc>
              <w:tc>
                <w:tcPr>
                  <w:tcW w:w="2985" w:type="dxa"/>
                  <w:tcBorders>
                    <w:tl2br w:val="nil"/>
                    <w:tr2bl w:val="nil"/>
                  </w:tcBorders>
                  <w:noWrap w:val="0"/>
                  <w:vAlign w:val="center"/>
                </w:tcPr>
                <w:p w14:paraId="1ABFC62E">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 w:cs="Times New Roman"/>
                      <w:b/>
                      <w:bCs/>
                      <w:color w:val="auto"/>
                      <w:sz w:val="21"/>
                      <w:szCs w:val="21"/>
                    </w:rPr>
                  </w:pPr>
                  <w:r>
                    <w:rPr>
                      <w:rFonts w:hint="default" w:ascii="Times New Roman" w:hAnsi="Times New Roman" w:eastAsia="宋" w:cs="Times New Roman"/>
                      <w:b/>
                      <w:bCs/>
                      <w:color w:val="auto"/>
                      <w:sz w:val="21"/>
                      <w:szCs w:val="21"/>
                    </w:rPr>
                    <w:t>评价指标</w:t>
                  </w:r>
                </w:p>
              </w:tc>
              <w:tc>
                <w:tcPr>
                  <w:tcW w:w="1245" w:type="dxa"/>
                  <w:tcBorders>
                    <w:tl2br w:val="nil"/>
                    <w:tr2bl w:val="nil"/>
                  </w:tcBorders>
                  <w:noWrap w:val="0"/>
                  <w:vAlign w:val="center"/>
                </w:tcPr>
                <w:p w14:paraId="4875BA30">
                  <w:pPr>
                    <w:snapToGrid w:val="0"/>
                    <w:jc w:val="center"/>
                    <w:rPr>
                      <w:rFonts w:hint="default" w:ascii="Times New Roman" w:hAnsi="Times New Roman" w:eastAsia="宋" w:cs="Times New Roman"/>
                      <w:b/>
                      <w:bCs/>
                      <w:color w:val="auto"/>
                      <w:sz w:val="21"/>
                      <w:szCs w:val="21"/>
                    </w:rPr>
                  </w:pPr>
                  <w:r>
                    <w:rPr>
                      <w:rFonts w:hint="default" w:ascii="Times New Roman" w:hAnsi="Times New Roman" w:eastAsia="宋" w:cs="Times New Roman"/>
                      <w:b/>
                      <w:bCs/>
                      <w:color w:val="auto"/>
                      <w:sz w:val="21"/>
                      <w:szCs w:val="21"/>
                    </w:rPr>
                    <w:t>现状浓度（μg/m</w:t>
                  </w:r>
                  <w:r>
                    <w:rPr>
                      <w:rFonts w:hint="default" w:ascii="Times New Roman" w:hAnsi="Times New Roman" w:eastAsia="宋" w:cs="Times New Roman"/>
                      <w:b/>
                      <w:bCs/>
                      <w:color w:val="auto"/>
                      <w:sz w:val="21"/>
                      <w:szCs w:val="21"/>
                      <w:vertAlign w:val="superscript"/>
                    </w:rPr>
                    <w:t>3</w:t>
                  </w:r>
                  <w:r>
                    <w:rPr>
                      <w:rFonts w:hint="default" w:ascii="Times New Roman" w:hAnsi="Times New Roman" w:eastAsia="宋" w:cs="Times New Roman"/>
                      <w:b/>
                      <w:bCs/>
                      <w:color w:val="auto"/>
                      <w:sz w:val="21"/>
                      <w:szCs w:val="21"/>
                    </w:rPr>
                    <w:t>）</w:t>
                  </w:r>
                </w:p>
              </w:tc>
              <w:tc>
                <w:tcPr>
                  <w:tcW w:w="1068" w:type="dxa"/>
                  <w:tcBorders>
                    <w:tl2br w:val="nil"/>
                    <w:tr2bl w:val="nil"/>
                  </w:tcBorders>
                  <w:noWrap w:val="0"/>
                  <w:vAlign w:val="center"/>
                </w:tcPr>
                <w:p w14:paraId="1CCFC497">
                  <w:pPr>
                    <w:snapToGrid w:val="0"/>
                    <w:jc w:val="center"/>
                    <w:rPr>
                      <w:rFonts w:hint="default" w:ascii="Times New Roman" w:hAnsi="Times New Roman" w:eastAsia="宋" w:cs="Times New Roman"/>
                      <w:b/>
                      <w:bCs/>
                      <w:color w:val="auto"/>
                      <w:sz w:val="21"/>
                      <w:szCs w:val="21"/>
                    </w:rPr>
                  </w:pPr>
                  <w:r>
                    <w:rPr>
                      <w:rFonts w:hint="default" w:ascii="Times New Roman" w:hAnsi="Times New Roman" w:eastAsia="宋" w:cs="Times New Roman"/>
                      <w:b/>
                      <w:bCs/>
                      <w:color w:val="auto"/>
                      <w:sz w:val="21"/>
                      <w:szCs w:val="21"/>
                    </w:rPr>
                    <w:t>标准值（μg/m</w:t>
                  </w:r>
                  <w:r>
                    <w:rPr>
                      <w:rFonts w:hint="default" w:ascii="Times New Roman" w:hAnsi="Times New Roman" w:eastAsia="宋" w:cs="Times New Roman"/>
                      <w:b/>
                      <w:bCs/>
                      <w:color w:val="auto"/>
                      <w:sz w:val="21"/>
                      <w:szCs w:val="21"/>
                      <w:vertAlign w:val="superscript"/>
                    </w:rPr>
                    <w:t>3</w:t>
                  </w:r>
                  <w:r>
                    <w:rPr>
                      <w:rFonts w:hint="default" w:ascii="Times New Roman" w:hAnsi="Times New Roman" w:eastAsia="宋" w:cs="Times New Roman"/>
                      <w:b/>
                      <w:bCs/>
                      <w:color w:val="auto"/>
                      <w:sz w:val="21"/>
                      <w:szCs w:val="21"/>
                    </w:rPr>
                    <w:t>）</w:t>
                  </w:r>
                </w:p>
              </w:tc>
              <w:tc>
                <w:tcPr>
                  <w:tcW w:w="1170" w:type="dxa"/>
                  <w:tcBorders>
                    <w:tl2br w:val="nil"/>
                    <w:tr2bl w:val="nil"/>
                  </w:tcBorders>
                  <w:noWrap w:val="0"/>
                  <w:vAlign w:val="center"/>
                </w:tcPr>
                <w:p w14:paraId="5341D0C8">
                  <w:pPr>
                    <w:snapToGrid w:val="0"/>
                    <w:jc w:val="center"/>
                    <w:rPr>
                      <w:rFonts w:hint="default" w:ascii="Times New Roman" w:hAnsi="Times New Roman" w:eastAsia="宋" w:cs="Times New Roman"/>
                      <w:b/>
                      <w:bCs/>
                      <w:color w:val="auto"/>
                      <w:sz w:val="21"/>
                      <w:szCs w:val="21"/>
                      <w:lang w:eastAsia="zh-CN"/>
                    </w:rPr>
                  </w:pPr>
                  <w:r>
                    <w:rPr>
                      <w:rFonts w:hint="default" w:ascii="Times New Roman" w:hAnsi="Times New Roman" w:eastAsia="宋" w:cs="Times New Roman"/>
                      <w:b/>
                      <w:bCs/>
                      <w:color w:val="auto"/>
                      <w:sz w:val="21"/>
                      <w:szCs w:val="21"/>
                    </w:rPr>
                    <w:t>占标率</w:t>
                  </w:r>
                  <w:r>
                    <w:rPr>
                      <w:rFonts w:hint="default" w:ascii="Times New Roman" w:hAnsi="Times New Roman" w:eastAsia="宋" w:cs="Times New Roman"/>
                      <w:b/>
                      <w:bCs/>
                      <w:color w:val="auto"/>
                      <w:sz w:val="21"/>
                      <w:szCs w:val="21"/>
                      <w:lang w:eastAsia="zh-CN"/>
                    </w:rPr>
                    <w:t>（</w:t>
                  </w:r>
                  <w:r>
                    <w:rPr>
                      <w:rFonts w:hint="default" w:ascii="Times New Roman" w:hAnsi="Times New Roman" w:eastAsia="宋" w:cs="Times New Roman"/>
                      <w:b/>
                      <w:bCs/>
                      <w:color w:val="auto"/>
                      <w:sz w:val="21"/>
                      <w:szCs w:val="21"/>
                    </w:rPr>
                    <w:t>%</w:t>
                  </w:r>
                  <w:r>
                    <w:rPr>
                      <w:rFonts w:hint="default" w:ascii="Times New Roman" w:hAnsi="Times New Roman" w:eastAsia="宋" w:cs="Times New Roman"/>
                      <w:b/>
                      <w:bCs/>
                      <w:color w:val="auto"/>
                      <w:sz w:val="21"/>
                      <w:szCs w:val="21"/>
                      <w:lang w:eastAsia="zh-CN"/>
                    </w:rPr>
                    <w:t>）</w:t>
                  </w:r>
                </w:p>
              </w:tc>
              <w:tc>
                <w:tcPr>
                  <w:tcW w:w="1355" w:type="dxa"/>
                  <w:tcBorders>
                    <w:tl2br w:val="nil"/>
                    <w:tr2bl w:val="nil"/>
                  </w:tcBorders>
                  <w:noWrap w:val="0"/>
                  <w:vAlign w:val="center"/>
                </w:tcPr>
                <w:p w14:paraId="123F1BA8">
                  <w:pPr>
                    <w:snapToGrid w:val="0"/>
                    <w:jc w:val="center"/>
                    <w:rPr>
                      <w:rFonts w:hint="default" w:ascii="Times New Roman" w:hAnsi="Times New Roman" w:eastAsia="宋" w:cs="Times New Roman"/>
                      <w:b/>
                      <w:bCs/>
                      <w:color w:val="auto"/>
                      <w:sz w:val="21"/>
                      <w:szCs w:val="21"/>
                    </w:rPr>
                  </w:pPr>
                  <w:r>
                    <w:rPr>
                      <w:rFonts w:hint="default" w:ascii="Times New Roman" w:hAnsi="Times New Roman" w:eastAsia="宋" w:cs="Times New Roman"/>
                      <w:b/>
                      <w:bCs/>
                      <w:color w:val="auto"/>
                      <w:sz w:val="21"/>
                      <w:szCs w:val="21"/>
                    </w:rPr>
                    <w:t>达标情况</w:t>
                  </w:r>
                </w:p>
              </w:tc>
            </w:tr>
            <w:tr w14:paraId="1448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nil"/>
                    <w:tr2bl w:val="nil"/>
                  </w:tcBorders>
                  <w:noWrap w:val="0"/>
                  <w:vAlign w:val="center"/>
                </w:tcPr>
                <w:p w14:paraId="534E9A04">
                  <w:pPr>
                    <w:snapToGrid w:val="0"/>
                    <w:jc w:val="center"/>
                    <w:rPr>
                      <w:rFonts w:hint="default" w:ascii="Times New Roman" w:hAnsi="Times New Roman" w:eastAsia="宋"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2985" w:type="dxa"/>
                  <w:tcBorders>
                    <w:tl2br w:val="nil"/>
                    <w:tr2bl w:val="nil"/>
                  </w:tcBorders>
                  <w:noWrap w:val="0"/>
                  <w:vAlign w:val="center"/>
                </w:tcPr>
                <w:p w14:paraId="4D5EF547">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年平均浓度</w:t>
                  </w:r>
                </w:p>
              </w:tc>
              <w:tc>
                <w:tcPr>
                  <w:tcW w:w="1245" w:type="dxa"/>
                  <w:tcBorders>
                    <w:tl2br w:val="nil"/>
                    <w:tr2bl w:val="nil"/>
                  </w:tcBorders>
                  <w:noWrap w:val="0"/>
                  <w:vAlign w:val="center"/>
                </w:tcPr>
                <w:p w14:paraId="03D89B69">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7</w:t>
                  </w:r>
                </w:p>
              </w:tc>
              <w:tc>
                <w:tcPr>
                  <w:tcW w:w="1068" w:type="dxa"/>
                  <w:tcBorders>
                    <w:tl2br w:val="nil"/>
                    <w:tr2bl w:val="nil"/>
                  </w:tcBorders>
                  <w:noWrap w:val="0"/>
                  <w:vAlign w:val="center"/>
                </w:tcPr>
                <w:p w14:paraId="0F7DC869">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60</w:t>
                  </w:r>
                </w:p>
              </w:tc>
              <w:tc>
                <w:tcPr>
                  <w:tcW w:w="1170" w:type="dxa"/>
                  <w:tcBorders>
                    <w:tl2br w:val="nil"/>
                    <w:tr2bl w:val="nil"/>
                  </w:tcBorders>
                  <w:noWrap w:val="0"/>
                  <w:vAlign w:val="center"/>
                </w:tcPr>
                <w:p w14:paraId="515E177A">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11.7</w:t>
                  </w:r>
                </w:p>
              </w:tc>
              <w:tc>
                <w:tcPr>
                  <w:tcW w:w="1355" w:type="dxa"/>
                  <w:tcBorders>
                    <w:tl2br w:val="nil"/>
                    <w:tr2bl w:val="nil"/>
                  </w:tcBorders>
                  <w:noWrap w:val="0"/>
                  <w:vAlign w:val="center"/>
                </w:tcPr>
                <w:p w14:paraId="747C1E5A">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达标</w:t>
                  </w:r>
                </w:p>
              </w:tc>
            </w:tr>
            <w:tr w14:paraId="6808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nil"/>
                    <w:tr2bl w:val="nil"/>
                  </w:tcBorders>
                  <w:noWrap w:val="0"/>
                  <w:vAlign w:val="center"/>
                </w:tcPr>
                <w:p w14:paraId="49258145">
                  <w:pPr>
                    <w:snapToGrid w:val="0"/>
                    <w:jc w:val="center"/>
                    <w:rPr>
                      <w:rFonts w:hint="default" w:ascii="Times New Roman" w:hAnsi="Times New Roman" w:eastAsia="宋"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2985" w:type="dxa"/>
                  <w:tcBorders>
                    <w:tl2br w:val="nil"/>
                    <w:tr2bl w:val="nil"/>
                  </w:tcBorders>
                  <w:noWrap w:val="0"/>
                  <w:vAlign w:val="center"/>
                </w:tcPr>
                <w:p w14:paraId="06D39146">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年平均浓度</w:t>
                  </w:r>
                </w:p>
              </w:tc>
              <w:tc>
                <w:tcPr>
                  <w:tcW w:w="1245" w:type="dxa"/>
                  <w:tcBorders>
                    <w:tl2br w:val="nil"/>
                    <w:tr2bl w:val="nil"/>
                  </w:tcBorders>
                  <w:noWrap w:val="0"/>
                  <w:vAlign w:val="center"/>
                </w:tcPr>
                <w:p w14:paraId="295CAD3E">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18</w:t>
                  </w:r>
                </w:p>
              </w:tc>
              <w:tc>
                <w:tcPr>
                  <w:tcW w:w="1068" w:type="dxa"/>
                  <w:tcBorders>
                    <w:tl2br w:val="nil"/>
                    <w:tr2bl w:val="nil"/>
                  </w:tcBorders>
                  <w:noWrap w:val="0"/>
                  <w:vAlign w:val="center"/>
                </w:tcPr>
                <w:p w14:paraId="1A2AC63A">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40</w:t>
                  </w:r>
                </w:p>
              </w:tc>
              <w:tc>
                <w:tcPr>
                  <w:tcW w:w="1170" w:type="dxa"/>
                  <w:tcBorders>
                    <w:tl2br w:val="nil"/>
                    <w:tr2bl w:val="nil"/>
                  </w:tcBorders>
                  <w:noWrap w:val="0"/>
                  <w:vAlign w:val="center"/>
                </w:tcPr>
                <w:p w14:paraId="6A0FC32B">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45</w:t>
                  </w:r>
                </w:p>
              </w:tc>
              <w:tc>
                <w:tcPr>
                  <w:tcW w:w="1355" w:type="dxa"/>
                  <w:tcBorders>
                    <w:tl2br w:val="nil"/>
                    <w:tr2bl w:val="nil"/>
                  </w:tcBorders>
                  <w:noWrap w:val="0"/>
                  <w:vAlign w:val="center"/>
                </w:tcPr>
                <w:p w14:paraId="28C121C1">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达标</w:t>
                  </w:r>
                </w:p>
              </w:tc>
            </w:tr>
            <w:tr w14:paraId="347B1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nil"/>
                    <w:tr2bl w:val="nil"/>
                  </w:tcBorders>
                  <w:noWrap w:val="0"/>
                  <w:vAlign w:val="center"/>
                </w:tcPr>
                <w:p w14:paraId="3F9F18DB">
                  <w:pPr>
                    <w:snapToGrid w:val="0"/>
                    <w:jc w:val="center"/>
                    <w:rPr>
                      <w:rFonts w:hint="default" w:ascii="Times New Roman" w:hAnsi="Times New Roman" w:eastAsia="宋"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2985" w:type="dxa"/>
                  <w:tcBorders>
                    <w:tl2br w:val="nil"/>
                    <w:tr2bl w:val="nil"/>
                  </w:tcBorders>
                  <w:noWrap w:val="0"/>
                  <w:vAlign w:val="center"/>
                </w:tcPr>
                <w:p w14:paraId="45043EB6">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年平均浓度</w:t>
                  </w:r>
                </w:p>
              </w:tc>
              <w:tc>
                <w:tcPr>
                  <w:tcW w:w="1245" w:type="dxa"/>
                  <w:tcBorders>
                    <w:tl2br w:val="nil"/>
                    <w:tr2bl w:val="nil"/>
                  </w:tcBorders>
                  <w:noWrap w:val="0"/>
                  <w:vAlign w:val="center"/>
                </w:tcPr>
                <w:p w14:paraId="1FA02557">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48</w:t>
                  </w:r>
                </w:p>
              </w:tc>
              <w:tc>
                <w:tcPr>
                  <w:tcW w:w="1068" w:type="dxa"/>
                  <w:tcBorders>
                    <w:tl2br w:val="nil"/>
                    <w:tr2bl w:val="nil"/>
                  </w:tcBorders>
                  <w:noWrap w:val="0"/>
                  <w:vAlign w:val="center"/>
                </w:tcPr>
                <w:p w14:paraId="182C7372">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70</w:t>
                  </w:r>
                </w:p>
              </w:tc>
              <w:tc>
                <w:tcPr>
                  <w:tcW w:w="1170" w:type="dxa"/>
                  <w:tcBorders>
                    <w:tl2br w:val="nil"/>
                    <w:tr2bl w:val="nil"/>
                  </w:tcBorders>
                  <w:noWrap w:val="0"/>
                  <w:vAlign w:val="center"/>
                </w:tcPr>
                <w:p w14:paraId="4A509D5E">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68.6</w:t>
                  </w:r>
                </w:p>
              </w:tc>
              <w:tc>
                <w:tcPr>
                  <w:tcW w:w="1355" w:type="dxa"/>
                  <w:tcBorders>
                    <w:tl2br w:val="nil"/>
                    <w:tr2bl w:val="nil"/>
                  </w:tcBorders>
                  <w:noWrap w:val="0"/>
                  <w:vAlign w:val="center"/>
                </w:tcPr>
                <w:p w14:paraId="7124F2C6">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达标</w:t>
                  </w:r>
                </w:p>
              </w:tc>
            </w:tr>
            <w:tr w14:paraId="281A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nil"/>
                    <w:tr2bl w:val="nil"/>
                  </w:tcBorders>
                  <w:noWrap w:val="0"/>
                  <w:vAlign w:val="center"/>
                </w:tcPr>
                <w:p w14:paraId="4327ABF1">
                  <w:pPr>
                    <w:snapToGrid w:val="0"/>
                    <w:jc w:val="center"/>
                    <w:rPr>
                      <w:rFonts w:hint="default" w:ascii="Times New Roman" w:hAnsi="Times New Roman" w:eastAsia="宋"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2985" w:type="dxa"/>
                  <w:tcBorders>
                    <w:tl2br w:val="nil"/>
                    <w:tr2bl w:val="nil"/>
                  </w:tcBorders>
                  <w:noWrap w:val="0"/>
                  <w:vAlign w:val="center"/>
                </w:tcPr>
                <w:p w14:paraId="082D3C38">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年平均浓度</w:t>
                  </w:r>
                </w:p>
              </w:tc>
              <w:tc>
                <w:tcPr>
                  <w:tcW w:w="1245" w:type="dxa"/>
                  <w:tcBorders>
                    <w:tl2br w:val="nil"/>
                    <w:tr2bl w:val="nil"/>
                  </w:tcBorders>
                  <w:noWrap w:val="0"/>
                  <w:vAlign w:val="center"/>
                </w:tcPr>
                <w:p w14:paraId="0B660B6F">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27</w:t>
                  </w:r>
                </w:p>
              </w:tc>
              <w:tc>
                <w:tcPr>
                  <w:tcW w:w="1068" w:type="dxa"/>
                  <w:tcBorders>
                    <w:tl2br w:val="nil"/>
                    <w:tr2bl w:val="nil"/>
                  </w:tcBorders>
                  <w:noWrap w:val="0"/>
                  <w:vAlign w:val="center"/>
                </w:tcPr>
                <w:p w14:paraId="1384C520">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35</w:t>
                  </w:r>
                </w:p>
              </w:tc>
              <w:tc>
                <w:tcPr>
                  <w:tcW w:w="1170" w:type="dxa"/>
                  <w:tcBorders>
                    <w:tl2br w:val="nil"/>
                    <w:tr2bl w:val="nil"/>
                  </w:tcBorders>
                  <w:noWrap w:val="0"/>
                  <w:vAlign w:val="center"/>
                </w:tcPr>
                <w:p w14:paraId="4701ED1D">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77.1</w:t>
                  </w:r>
                </w:p>
              </w:tc>
              <w:tc>
                <w:tcPr>
                  <w:tcW w:w="1355" w:type="dxa"/>
                  <w:tcBorders>
                    <w:tl2br w:val="nil"/>
                    <w:tr2bl w:val="nil"/>
                  </w:tcBorders>
                  <w:noWrap w:val="0"/>
                  <w:vAlign w:val="center"/>
                </w:tcPr>
                <w:p w14:paraId="630D9E7D">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达标</w:t>
                  </w:r>
                </w:p>
              </w:tc>
            </w:tr>
            <w:tr w14:paraId="7496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nil"/>
                    <w:tr2bl w:val="nil"/>
                  </w:tcBorders>
                  <w:noWrap w:val="0"/>
                  <w:vAlign w:val="center"/>
                </w:tcPr>
                <w:p w14:paraId="3EF360FE">
                  <w:pPr>
                    <w:snapToGrid w:val="0"/>
                    <w:jc w:val="center"/>
                    <w:rPr>
                      <w:rFonts w:hint="default" w:ascii="Times New Roman" w:hAnsi="Times New Roman" w:eastAsia="宋" w:cs="Times New Roman"/>
                      <w:color w:val="auto"/>
                      <w:sz w:val="21"/>
                      <w:szCs w:val="21"/>
                    </w:rPr>
                  </w:pPr>
                  <w:r>
                    <w:rPr>
                      <w:rFonts w:hint="default" w:ascii="Times New Roman" w:hAnsi="Times New Roman" w:cs="Times New Roman"/>
                      <w:color w:val="auto"/>
                      <w:sz w:val="21"/>
                      <w:szCs w:val="21"/>
                    </w:rPr>
                    <w:t>CO</w:t>
                  </w:r>
                </w:p>
              </w:tc>
              <w:tc>
                <w:tcPr>
                  <w:tcW w:w="2985" w:type="dxa"/>
                  <w:tcBorders>
                    <w:tl2br w:val="nil"/>
                    <w:tr2bl w:val="nil"/>
                  </w:tcBorders>
                  <w:noWrap w:val="0"/>
                  <w:vAlign w:val="center"/>
                </w:tcPr>
                <w:p w14:paraId="4611442F">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24小时平均第95百分位数</w:t>
                  </w:r>
                </w:p>
              </w:tc>
              <w:tc>
                <w:tcPr>
                  <w:tcW w:w="1245" w:type="dxa"/>
                  <w:tcBorders>
                    <w:tl2br w:val="nil"/>
                    <w:tr2bl w:val="nil"/>
                  </w:tcBorders>
                  <w:noWrap w:val="0"/>
                  <w:vAlign w:val="center"/>
                </w:tcPr>
                <w:p w14:paraId="0D533D83">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1100</w:t>
                  </w:r>
                </w:p>
              </w:tc>
              <w:tc>
                <w:tcPr>
                  <w:tcW w:w="1068" w:type="dxa"/>
                  <w:tcBorders>
                    <w:tl2br w:val="nil"/>
                    <w:tr2bl w:val="nil"/>
                  </w:tcBorders>
                  <w:noWrap w:val="0"/>
                  <w:vAlign w:val="center"/>
                </w:tcPr>
                <w:p w14:paraId="2F3BE651">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4000</w:t>
                  </w:r>
                </w:p>
              </w:tc>
              <w:tc>
                <w:tcPr>
                  <w:tcW w:w="1170" w:type="dxa"/>
                  <w:tcBorders>
                    <w:tl2br w:val="nil"/>
                    <w:tr2bl w:val="nil"/>
                  </w:tcBorders>
                  <w:noWrap w:val="0"/>
                  <w:vAlign w:val="center"/>
                </w:tcPr>
                <w:p w14:paraId="5F4043C1">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27.5</w:t>
                  </w:r>
                </w:p>
              </w:tc>
              <w:tc>
                <w:tcPr>
                  <w:tcW w:w="1355" w:type="dxa"/>
                  <w:tcBorders>
                    <w:tl2br w:val="nil"/>
                    <w:tr2bl w:val="nil"/>
                  </w:tcBorders>
                  <w:noWrap w:val="0"/>
                  <w:vAlign w:val="center"/>
                </w:tcPr>
                <w:p w14:paraId="2207A78E">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达标</w:t>
                  </w:r>
                </w:p>
              </w:tc>
            </w:tr>
            <w:tr w14:paraId="2D3B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2" w:type="dxa"/>
                  <w:tcBorders>
                    <w:tl2br w:val="nil"/>
                    <w:tr2bl w:val="nil"/>
                  </w:tcBorders>
                  <w:noWrap w:val="0"/>
                  <w:vAlign w:val="center"/>
                </w:tcPr>
                <w:p w14:paraId="782B318A">
                  <w:pPr>
                    <w:snapToGrid w:val="0"/>
                    <w:jc w:val="center"/>
                    <w:rPr>
                      <w:rFonts w:hint="default" w:ascii="Times New Roman" w:hAnsi="Times New Roman" w:eastAsia="宋"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2985" w:type="dxa"/>
                  <w:tcBorders>
                    <w:tl2br w:val="nil"/>
                    <w:tr2bl w:val="nil"/>
                  </w:tcBorders>
                  <w:noWrap w:val="0"/>
                  <w:vAlign w:val="center"/>
                </w:tcPr>
                <w:p w14:paraId="12B668FA">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最大8小时平均第90百分位数</w:t>
                  </w:r>
                </w:p>
              </w:tc>
              <w:tc>
                <w:tcPr>
                  <w:tcW w:w="1245" w:type="dxa"/>
                  <w:tcBorders>
                    <w:tl2br w:val="nil"/>
                    <w:tr2bl w:val="nil"/>
                  </w:tcBorders>
                  <w:noWrap w:val="0"/>
                  <w:vAlign w:val="center"/>
                </w:tcPr>
                <w:p w14:paraId="43F63780">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122</w:t>
                  </w:r>
                </w:p>
              </w:tc>
              <w:tc>
                <w:tcPr>
                  <w:tcW w:w="1068" w:type="dxa"/>
                  <w:tcBorders>
                    <w:tl2br w:val="nil"/>
                    <w:tr2bl w:val="nil"/>
                  </w:tcBorders>
                  <w:noWrap w:val="0"/>
                  <w:vAlign w:val="center"/>
                </w:tcPr>
                <w:p w14:paraId="24E2EB53">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160</w:t>
                  </w:r>
                </w:p>
              </w:tc>
              <w:tc>
                <w:tcPr>
                  <w:tcW w:w="1170" w:type="dxa"/>
                  <w:tcBorders>
                    <w:tl2br w:val="nil"/>
                    <w:tr2bl w:val="nil"/>
                  </w:tcBorders>
                  <w:noWrap w:val="0"/>
                  <w:vAlign w:val="center"/>
                </w:tcPr>
                <w:p w14:paraId="538B44FC">
                  <w:pPr>
                    <w:snapToGrid w:val="0"/>
                    <w:jc w:val="center"/>
                    <w:rPr>
                      <w:rFonts w:hint="default" w:ascii="Times New Roman" w:hAnsi="Times New Roman" w:eastAsia="宋" w:cs="Times New Roman"/>
                      <w:color w:val="auto"/>
                      <w:sz w:val="21"/>
                      <w:szCs w:val="21"/>
                      <w:lang w:val="en-US" w:eastAsia="zh-CN"/>
                    </w:rPr>
                  </w:pPr>
                  <w:r>
                    <w:rPr>
                      <w:rFonts w:hint="default" w:ascii="Times New Roman" w:hAnsi="Times New Roman" w:eastAsia="宋" w:cs="Times New Roman"/>
                      <w:color w:val="auto"/>
                      <w:sz w:val="21"/>
                      <w:szCs w:val="21"/>
                      <w:lang w:val="en-US" w:eastAsia="zh-CN"/>
                    </w:rPr>
                    <w:t>76.3</w:t>
                  </w:r>
                </w:p>
              </w:tc>
              <w:tc>
                <w:tcPr>
                  <w:tcW w:w="1355" w:type="dxa"/>
                  <w:tcBorders>
                    <w:tl2br w:val="nil"/>
                    <w:tr2bl w:val="nil"/>
                  </w:tcBorders>
                  <w:noWrap w:val="0"/>
                  <w:vAlign w:val="center"/>
                </w:tcPr>
                <w:p w14:paraId="71ADC180">
                  <w:pPr>
                    <w:snapToGrid w:val="0"/>
                    <w:jc w:val="center"/>
                    <w:rPr>
                      <w:rFonts w:hint="default" w:ascii="Times New Roman" w:hAnsi="Times New Roman" w:eastAsia="宋" w:cs="Times New Roman"/>
                      <w:color w:val="auto"/>
                      <w:sz w:val="21"/>
                      <w:szCs w:val="21"/>
                    </w:rPr>
                  </w:pPr>
                  <w:r>
                    <w:rPr>
                      <w:rFonts w:hint="default" w:ascii="Times New Roman" w:hAnsi="Times New Roman" w:eastAsia="宋" w:cs="Times New Roman"/>
                      <w:color w:val="auto"/>
                      <w:sz w:val="21"/>
                      <w:szCs w:val="21"/>
                    </w:rPr>
                    <w:t>达标</w:t>
                  </w:r>
                </w:p>
              </w:tc>
            </w:tr>
          </w:tbl>
          <w:p w14:paraId="59FB720E">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根据上表，</w:t>
            </w:r>
            <w:r>
              <w:rPr>
                <w:rFonts w:hint="default" w:ascii="Times New Roman" w:hAnsi="Times New Roman" w:eastAsia="宋体" w:cs="Times New Roman"/>
                <w:color w:val="auto"/>
                <w:kern w:val="0"/>
                <w:sz w:val="24"/>
                <w:szCs w:val="24"/>
                <w:lang w:val="en-US" w:eastAsia="zh-CN" w:bidi="ar"/>
              </w:rPr>
              <w:t>宣汉县</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年SO</w:t>
            </w:r>
            <w:r>
              <w:rPr>
                <w:rFonts w:hint="default" w:ascii="Times New Roman" w:hAnsi="Times New Roman" w:cs="Times New Roman"/>
                <w:color w:val="auto"/>
                <w:sz w:val="24"/>
                <w:szCs w:val="24"/>
                <w:vertAlign w:val="subscript"/>
              </w:rPr>
              <w:t>2</w:t>
            </w:r>
            <w:r>
              <w:rPr>
                <w:rFonts w:hint="default" w:ascii="Times New Roman" w:hAnsi="Times New Roman" w:eastAsia="宋" w:cs="Times New Roman"/>
                <w:color w:val="auto"/>
                <w:sz w:val="24"/>
                <w:szCs w:val="24"/>
              </w:rPr>
              <w:t>、</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eastAsia="宋" w:cs="Times New Roman"/>
                <w:color w:val="auto"/>
                <w:sz w:val="24"/>
                <w:szCs w:val="24"/>
              </w:rPr>
              <w:t>、</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eastAsia="宋" w:cs="Times New Roman"/>
                <w:color w:val="auto"/>
                <w:sz w:val="24"/>
                <w:szCs w:val="24"/>
              </w:rPr>
              <w:t>、</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eastAsia="宋" w:cs="Times New Roman"/>
                <w:color w:val="auto"/>
                <w:sz w:val="24"/>
                <w:szCs w:val="24"/>
              </w:rPr>
              <w:t>、</w:t>
            </w:r>
            <w:r>
              <w:rPr>
                <w:rFonts w:hint="default" w:ascii="Times New Roman" w:hAnsi="Times New Roman" w:cs="Times New Roman"/>
                <w:color w:val="auto"/>
                <w:sz w:val="24"/>
                <w:szCs w:val="24"/>
              </w:rPr>
              <w:t>CO</w:t>
            </w:r>
            <w:r>
              <w:rPr>
                <w:rFonts w:hint="default" w:ascii="Times New Roman" w:hAnsi="Times New Roman" w:eastAsia="宋" w:cs="Times New Roman"/>
                <w:color w:val="auto"/>
                <w:sz w:val="24"/>
                <w:szCs w:val="24"/>
              </w:rPr>
              <w:t>、</w:t>
            </w:r>
            <w:r>
              <w:rPr>
                <w:rFonts w:hint="default" w:ascii="Times New Roman" w:hAnsi="Times New Roman" w:cs="Times New Roman"/>
                <w:color w:val="auto"/>
                <w:sz w:val="24"/>
                <w:szCs w:val="24"/>
              </w:rPr>
              <w:t>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均能满足《环境空气质量标准》（GB3095-2012）中二级标准限值要求，</w:t>
            </w:r>
            <w:r>
              <w:rPr>
                <w:rFonts w:hint="default" w:ascii="Times New Roman" w:hAnsi="Times New Roman" w:cs="Times New Roman"/>
                <w:b/>
                <w:bCs/>
                <w:color w:val="auto"/>
                <w:sz w:val="24"/>
                <w:szCs w:val="24"/>
              </w:rPr>
              <w:t>故本项目所在</w:t>
            </w:r>
            <w:r>
              <w:rPr>
                <w:rFonts w:hint="default" w:ascii="Times New Roman" w:hAnsi="Times New Roman" w:cs="Times New Roman"/>
                <w:b/>
                <w:bCs/>
                <w:color w:val="auto"/>
                <w:sz w:val="24"/>
                <w:szCs w:val="24"/>
                <w:lang w:val="en-US" w:eastAsia="zh-CN"/>
              </w:rPr>
              <w:t>区域</w:t>
            </w:r>
            <w:r>
              <w:rPr>
                <w:rFonts w:hint="default" w:ascii="Times New Roman" w:hAnsi="Times New Roman" w:cs="Times New Roman"/>
                <w:b/>
                <w:bCs/>
                <w:color w:val="auto"/>
                <w:sz w:val="24"/>
                <w:szCs w:val="24"/>
              </w:rPr>
              <w:t>为达标区</w:t>
            </w:r>
            <w:r>
              <w:rPr>
                <w:rFonts w:hint="default" w:ascii="Times New Roman" w:hAnsi="Times New Roman" w:cs="Times New Roman"/>
                <w:color w:val="auto"/>
                <w:sz w:val="24"/>
                <w:szCs w:val="24"/>
              </w:rPr>
              <w:t>。</w:t>
            </w:r>
          </w:p>
          <w:p w14:paraId="42309A86">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二</w:t>
            </w:r>
            <w:r>
              <w:rPr>
                <w:rFonts w:hint="default" w:ascii="Times New Roman" w:hAnsi="Times New Roman" w:cs="Times New Roman"/>
                <w:b/>
                <w:color w:val="auto"/>
                <w:sz w:val="24"/>
                <w:szCs w:val="24"/>
                <w:highlight w:val="none"/>
              </w:rPr>
              <w:t>、地表水环境质量现状</w:t>
            </w:r>
          </w:p>
          <w:p w14:paraId="4410FD1E">
            <w:pPr>
              <w:keepNext w:val="0"/>
              <w:keepLines w:val="0"/>
              <w:pageBreakBefore w:val="0"/>
              <w:widowControl w:val="0"/>
              <w:tabs>
                <w:tab w:val="left" w:pos="748"/>
              </w:tabs>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b w:val="0"/>
                <w:bCs/>
                <w:color w:val="auto"/>
                <w:sz w:val="24"/>
                <w:szCs w:val="24"/>
                <w:highlight w:val="none"/>
                <w:lang w:val="en-US" w:eastAsia="zh-CN"/>
              </w:rPr>
              <w:t>本项目</w:t>
            </w:r>
            <w:r>
              <w:rPr>
                <w:rFonts w:hint="eastAsia" w:ascii="Times New Roman" w:hAnsi="Times New Roman" w:cs="Times New Roman"/>
                <w:b w:val="0"/>
                <w:bCs/>
                <w:color w:val="auto"/>
                <w:sz w:val="24"/>
                <w:szCs w:val="24"/>
                <w:highlight w:val="none"/>
                <w:lang w:val="en-US" w:eastAsia="zh-CN"/>
              </w:rPr>
              <w:t>马渡关水厂、隘口水厂</w:t>
            </w:r>
            <w:r>
              <w:rPr>
                <w:rFonts w:hint="default" w:ascii="Times New Roman" w:hAnsi="Times New Roman" w:cs="Times New Roman"/>
                <w:b w:val="0"/>
                <w:bCs/>
                <w:color w:val="auto"/>
                <w:sz w:val="24"/>
                <w:szCs w:val="24"/>
                <w:highlight w:val="none"/>
                <w:lang w:val="en-US" w:eastAsia="zh-CN"/>
              </w:rPr>
              <w:t>供水水源</w:t>
            </w:r>
            <w:r>
              <w:rPr>
                <w:rFonts w:hint="eastAsia" w:ascii="Times New Roman" w:hAnsi="Times New Roman" w:cs="Times New Roman"/>
                <w:b w:val="0"/>
                <w:bCs/>
                <w:color w:val="auto"/>
                <w:sz w:val="24"/>
                <w:szCs w:val="24"/>
                <w:highlight w:val="none"/>
                <w:lang w:val="en-US" w:eastAsia="zh-CN"/>
              </w:rPr>
              <w:t>分别</w:t>
            </w:r>
            <w:r>
              <w:rPr>
                <w:rFonts w:hint="default" w:ascii="Times New Roman" w:hAnsi="Times New Roman" w:cs="Times New Roman"/>
                <w:b w:val="0"/>
                <w:bCs/>
                <w:color w:val="auto"/>
                <w:sz w:val="24"/>
                <w:szCs w:val="24"/>
                <w:highlight w:val="none"/>
                <w:lang w:val="en-US" w:eastAsia="zh-CN"/>
              </w:rPr>
              <w:t>为</w:t>
            </w:r>
            <w:r>
              <w:rPr>
                <w:rFonts w:hint="eastAsia"/>
                <w:b w:val="0"/>
                <w:bCs/>
                <w:sz w:val="24"/>
                <w:szCs w:val="24"/>
                <w:lang w:val="en-US" w:eastAsia="zh-CN"/>
              </w:rPr>
              <w:t>长滩河</w:t>
            </w:r>
            <w:r>
              <w:rPr>
                <w:rFonts w:hint="eastAsia"/>
                <w:b w:val="0"/>
                <w:bCs/>
                <w:sz w:val="24"/>
                <w:szCs w:val="24"/>
                <w:lang w:eastAsia="zh-CN"/>
              </w:rPr>
              <w:t>、</w:t>
            </w:r>
            <w:r>
              <w:rPr>
                <w:rFonts w:hint="eastAsia"/>
                <w:b w:val="0"/>
                <w:bCs/>
                <w:sz w:val="24"/>
                <w:szCs w:val="24"/>
                <w:lang w:val="en-US" w:eastAsia="zh-CN"/>
              </w:rPr>
              <w:t>普子</w:t>
            </w:r>
            <w:r>
              <w:rPr>
                <w:rFonts w:hint="eastAsia"/>
                <w:b w:val="0"/>
                <w:bCs/>
                <w:sz w:val="24"/>
                <w:szCs w:val="24"/>
              </w:rPr>
              <w:t>坪水库</w:t>
            </w:r>
            <w:r>
              <w:rPr>
                <w:rFonts w:hint="default" w:ascii="Times New Roman" w:hAnsi="Times New Roman" w:cs="Times New Roman"/>
                <w:b w:val="0"/>
                <w:bCs/>
                <w:color w:val="auto"/>
                <w:sz w:val="24"/>
                <w:szCs w:val="24"/>
                <w:highlight w:val="none"/>
                <w:lang w:val="en-US" w:eastAsia="zh-CN"/>
              </w:rPr>
              <w:t>，</w:t>
            </w:r>
            <w:r>
              <w:rPr>
                <w:rFonts w:hint="default" w:ascii="Times New Roman" w:hAnsi="Times New Roman" w:eastAsia="宋体" w:cs="Times New Roman"/>
                <w:color w:val="auto"/>
                <w:sz w:val="24"/>
                <w:szCs w:val="24"/>
                <w:highlight w:val="none"/>
              </w:rPr>
              <w:t>为了解项目</w:t>
            </w:r>
            <w:r>
              <w:rPr>
                <w:rFonts w:hint="default" w:ascii="Times New Roman" w:hAnsi="Times New Roman" w:eastAsia="宋体" w:cs="Times New Roman"/>
                <w:color w:val="auto"/>
                <w:sz w:val="24"/>
                <w:szCs w:val="24"/>
                <w:highlight w:val="none"/>
                <w:lang w:val="en-US" w:eastAsia="zh-CN"/>
              </w:rPr>
              <w:t>所在地</w:t>
            </w:r>
            <w:r>
              <w:rPr>
                <w:rFonts w:hint="default" w:ascii="Times New Roman" w:hAnsi="Times New Roman" w:eastAsia="宋体" w:cs="Times New Roman"/>
                <w:color w:val="auto"/>
                <w:sz w:val="24"/>
                <w:szCs w:val="24"/>
                <w:highlight w:val="none"/>
              </w:rPr>
              <w:t>地表水水环境，本次环评委托达州恒福环境监测服务有限公司于202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对</w:t>
            </w:r>
            <w:r>
              <w:rPr>
                <w:rFonts w:hint="eastAsia"/>
                <w:b w:val="0"/>
                <w:bCs/>
                <w:sz w:val="24"/>
                <w:szCs w:val="24"/>
                <w:lang w:val="en-US" w:eastAsia="zh-CN"/>
              </w:rPr>
              <w:t>普子</w:t>
            </w:r>
            <w:r>
              <w:rPr>
                <w:rFonts w:hint="eastAsia"/>
                <w:b w:val="0"/>
                <w:bCs/>
                <w:sz w:val="24"/>
                <w:szCs w:val="24"/>
              </w:rPr>
              <w:t>坪水库</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2025年7月31日</w:t>
            </w:r>
            <w:r>
              <w:rPr>
                <w:rFonts w:hint="default" w:ascii="Times New Roman" w:hAnsi="Times New Roman" w:eastAsia="宋体" w:cs="Times New Roman"/>
                <w:color w:val="auto"/>
                <w:sz w:val="24"/>
                <w:szCs w:val="24"/>
                <w:highlight w:val="none"/>
              </w:rPr>
              <w:t>对</w:t>
            </w:r>
            <w:r>
              <w:rPr>
                <w:rFonts w:hint="eastAsia"/>
                <w:b w:val="0"/>
                <w:bCs/>
                <w:sz w:val="24"/>
                <w:szCs w:val="24"/>
                <w:lang w:val="en-US" w:eastAsia="zh-CN"/>
              </w:rPr>
              <w:t>长滩河</w:t>
            </w:r>
            <w:r>
              <w:rPr>
                <w:rFonts w:hint="default" w:ascii="Times New Roman" w:hAnsi="Times New Roman" w:eastAsia="宋体" w:cs="Times New Roman"/>
                <w:color w:val="auto"/>
                <w:sz w:val="24"/>
                <w:szCs w:val="24"/>
                <w:highlight w:val="none"/>
              </w:rPr>
              <w:t>区域地表水进行监测（恒福（环）检字（202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）第</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542</w:t>
            </w:r>
            <w:r>
              <w:rPr>
                <w:rFonts w:hint="default" w:ascii="Times New Roman" w:hAnsi="Times New Roman" w:eastAsia="宋体" w:cs="Times New Roman"/>
                <w:color w:val="auto"/>
                <w:sz w:val="24"/>
                <w:szCs w:val="24"/>
                <w:highlight w:val="none"/>
              </w:rPr>
              <w:t>号）</w:t>
            </w:r>
            <w:r>
              <w:rPr>
                <w:rFonts w:hint="default" w:ascii="Times New Roman" w:hAnsi="Times New Roman" w:eastAsia="宋体" w:cs="Times New Roman"/>
                <w:color w:val="auto"/>
                <w:sz w:val="24"/>
                <w:szCs w:val="24"/>
                <w:highlight w:val="none"/>
                <w:lang w:eastAsia="zh-CN"/>
              </w:rPr>
              <w:t>。</w:t>
            </w:r>
          </w:p>
          <w:p w14:paraId="5773AA94">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（1）地表水污染物现状监测</w:t>
            </w:r>
          </w:p>
          <w:p w14:paraId="7EF984B9">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①监测点位基本信息</w:t>
            </w:r>
          </w:p>
          <w:p w14:paraId="153082E9">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eastAsia="黑体" w:cs="Times New Roman"/>
                <w:b w:val="0"/>
                <w:bCs/>
                <w:color w:val="auto"/>
                <w:sz w:val="21"/>
                <w:szCs w:val="21"/>
                <w:highlight w:val="none"/>
              </w:rPr>
            </w:pPr>
            <w:r>
              <w:rPr>
                <w:rFonts w:hint="default" w:ascii="Times New Roman" w:hAnsi="Times New Roman" w:cs="Times New Roman"/>
                <w:b w:val="0"/>
                <w:bCs/>
                <w:color w:val="auto"/>
                <w:sz w:val="24"/>
                <w:szCs w:val="24"/>
                <w:highlight w:val="none"/>
                <w:lang w:val="en-US" w:eastAsia="zh-CN"/>
              </w:rPr>
              <w:t>本次共设2个监测断面，项目地表水监测基本信息见下表。</w:t>
            </w:r>
          </w:p>
          <w:p w14:paraId="0B053A68">
            <w:pPr>
              <w:pStyle w:val="8"/>
              <w:keepNext w:val="0"/>
              <w:keepLines w:val="0"/>
              <w:pageBreakBefore w:val="0"/>
              <w:widowControl w:val="0"/>
              <w:kinsoku/>
              <w:wordWrap/>
              <w:overflowPunct/>
              <w:topLinePunct w:val="0"/>
              <w:autoSpaceDE/>
              <w:autoSpaceDN/>
              <w:bidi w:val="0"/>
              <w:adjustRightInd/>
              <w:snapToGrid w:val="0"/>
              <w:spacing w:before="0" w:after="0" w:line="360" w:lineRule="auto"/>
              <w:ind w:left="0" w:leftChars="0"/>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sz w:val="21"/>
                <w:szCs w:val="21"/>
                <w:highlight w:val="none"/>
                <w:lang w:val="en-US" w:eastAsia="zh-CN"/>
              </w:rPr>
              <w:t>3-</w:t>
            </w:r>
            <w:r>
              <w:rPr>
                <w:rFonts w:hint="eastAsia" w:ascii="Times New Roman" w:hAnsi="Times New Roman" w:eastAsia="黑体" w:cs="Times New Roman"/>
                <w:b w:val="0"/>
                <w:bCs/>
                <w:color w:val="auto"/>
                <w:sz w:val="21"/>
                <w:szCs w:val="21"/>
                <w:highlight w:val="none"/>
                <w:lang w:val="en-US" w:eastAsia="zh-CN"/>
              </w:rPr>
              <w:t xml:space="preserve">2 </w:t>
            </w:r>
            <w:r>
              <w:rPr>
                <w:rFonts w:hint="default" w:ascii="Times New Roman" w:hAnsi="Times New Roman" w:eastAsia="黑体" w:cs="Times New Roman"/>
                <w:b w:val="0"/>
                <w:bCs/>
                <w:color w:val="auto"/>
                <w:sz w:val="21"/>
                <w:szCs w:val="21"/>
                <w:highlight w:val="none"/>
              </w:rPr>
              <w:t>检测项目、测点布置及检测频率一览表</w:t>
            </w:r>
          </w:p>
          <w:tbl>
            <w:tblPr>
              <w:tblStyle w:val="25"/>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980"/>
              <w:gridCol w:w="4704"/>
              <w:gridCol w:w="1284"/>
            </w:tblGrid>
            <w:tr w14:paraId="226F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11" w:type="dxa"/>
                  <w:tcBorders>
                    <w:tl2br w:val="nil"/>
                    <w:tr2bl w:val="nil"/>
                  </w:tcBorders>
                  <w:noWrap w:val="0"/>
                  <w:vAlign w:val="center"/>
                </w:tcPr>
                <w:p w14:paraId="364D95DF">
                  <w:pPr>
                    <w:keepNext w:val="0"/>
                    <w:keepLines w:val="0"/>
                    <w:pageBreakBefore w:val="0"/>
                    <w:kinsoku/>
                    <w:wordWrap/>
                    <w:topLinePunct w:val="0"/>
                    <w:bidi w:val="0"/>
                    <w:spacing w:line="300" w:lineRule="exact"/>
                    <w:ind w:left="0" w:left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断面编号</w:t>
                  </w:r>
                </w:p>
              </w:tc>
              <w:tc>
                <w:tcPr>
                  <w:tcW w:w="1980" w:type="dxa"/>
                  <w:tcBorders>
                    <w:tl2br w:val="nil"/>
                    <w:tr2bl w:val="nil"/>
                  </w:tcBorders>
                  <w:noWrap w:val="0"/>
                  <w:vAlign w:val="center"/>
                </w:tcPr>
                <w:p w14:paraId="191A866A">
                  <w:pPr>
                    <w:keepNext w:val="0"/>
                    <w:keepLines w:val="0"/>
                    <w:pageBreakBefore w:val="0"/>
                    <w:kinsoku/>
                    <w:wordWrap/>
                    <w:topLinePunct w:val="0"/>
                    <w:bidi w:val="0"/>
                    <w:spacing w:line="300" w:lineRule="exact"/>
                    <w:ind w:left="0" w:lef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检测点编号及名称</w:t>
                  </w:r>
                </w:p>
              </w:tc>
              <w:tc>
                <w:tcPr>
                  <w:tcW w:w="4704" w:type="dxa"/>
                  <w:tcBorders>
                    <w:tl2br w:val="nil"/>
                    <w:tr2bl w:val="nil"/>
                  </w:tcBorders>
                  <w:noWrap w:val="0"/>
                  <w:vAlign w:val="center"/>
                </w:tcPr>
                <w:p w14:paraId="11D79526">
                  <w:pPr>
                    <w:keepNext w:val="0"/>
                    <w:keepLines w:val="0"/>
                    <w:pageBreakBefore w:val="0"/>
                    <w:kinsoku/>
                    <w:wordWrap/>
                    <w:topLinePunct w:val="0"/>
                    <w:bidi w:val="0"/>
                    <w:spacing w:line="300" w:lineRule="exact"/>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检测因子</w:t>
                  </w:r>
                </w:p>
              </w:tc>
              <w:tc>
                <w:tcPr>
                  <w:tcW w:w="1284" w:type="dxa"/>
                  <w:tcBorders>
                    <w:tl2br w:val="nil"/>
                    <w:tr2bl w:val="nil"/>
                  </w:tcBorders>
                  <w:noWrap w:val="0"/>
                  <w:vAlign w:val="center"/>
                </w:tcPr>
                <w:p w14:paraId="57B5E46E">
                  <w:pPr>
                    <w:keepNext w:val="0"/>
                    <w:keepLines w:val="0"/>
                    <w:pageBreakBefore w:val="0"/>
                    <w:kinsoku/>
                    <w:wordWrap/>
                    <w:topLinePunct w:val="0"/>
                    <w:bidi w:val="0"/>
                    <w:spacing w:line="300" w:lineRule="exact"/>
                    <w:ind w:left="0" w:left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检测频率</w:t>
                  </w:r>
                </w:p>
              </w:tc>
            </w:tr>
            <w:tr w14:paraId="0C3B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1" w:type="dxa"/>
                  <w:tcBorders>
                    <w:tl2br w:val="nil"/>
                    <w:tr2bl w:val="nil"/>
                  </w:tcBorders>
                  <w:shd w:val="clear" w:color="auto" w:fill="auto"/>
                  <w:noWrap w:val="0"/>
                  <w:vAlign w:val="center"/>
                </w:tcPr>
                <w:p w14:paraId="2D73FD37">
                  <w:pPr>
                    <w:keepNext w:val="0"/>
                    <w:keepLines w:val="0"/>
                    <w:pageBreakBefore w:val="0"/>
                    <w:kinsoku/>
                    <w:wordWrap/>
                    <w:topLinePunct w:val="0"/>
                    <w:bidi w:val="0"/>
                    <w:spacing w:line="280" w:lineRule="exact"/>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G1</w:t>
                  </w:r>
                </w:p>
              </w:tc>
              <w:tc>
                <w:tcPr>
                  <w:tcW w:w="1980" w:type="dxa"/>
                  <w:tcBorders>
                    <w:tl2br w:val="nil"/>
                    <w:tr2bl w:val="nil"/>
                  </w:tcBorders>
                  <w:shd w:val="clear" w:color="auto" w:fill="auto"/>
                  <w:noWrap w:val="0"/>
                  <w:vAlign w:val="center"/>
                </w:tcPr>
                <w:p w14:paraId="26FAD677">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马渡关水厂长滩河取水处</w:t>
                  </w:r>
                </w:p>
              </w:tc>
              <w:tc>
                <w:tcPr>
                  <w:tcW w:w="4704" w:type="dxa"/>
                  <w:vMerge w:val="restart"/>
                  <w:tcBorders>
                    <w:tl2br w:val="nil"/>
                    <w:tr2bl w:val="nil"/>
                  </w:tcBorders>
                  <w:shd w:val="clear" w:color="auto" w:fill="auto"/>
                  <w:noWrap w:val="0"/>
                  <w:vAlign w:val="center"/>
                </w:tcPr>
                <w:p w14:paraId="36DCD846">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rPr>
                    <w:t>水温、pH、溶解氧、高锰酸盐指数、五日生化需氧量、化学需氧量、氨氮、总磷、</w:t>
                  </w:r>
                  <w:r>
                    <w:rPr>
                      <w:rFonts w:hint="eastAsia" w:ascii="Times New Roman" w:hAnsi="Times New Roman" w:cs="Times New Roman"/>
                      <w:sz w:val="21"/>
                      <w:szCs w:val="21"/>
                      <w:lang w:val="en-US" w:eastAsia="zh-CN"/>
                    </w:rPr>
                    <w:t>总氮、</w:t>
                  </w:r>
                  <w:r>
                    <w:rPr>
                      <w:rFonts w:hint="default" w:ascii="Times New Roman" w:hAnsi="Times New Roman" w:cs="Times New Roman"/>
                      <w:sz w:val="21"/>
                      <w:szCs w:val="21"/>
                    </w:rPr>
                    <w:t>铜、锌、氟化物、硒、砷、汞、镉、六价铬、铅、氰化物、挥发酚、石油类、阴离子表面活性剂、硫化物、粪大肠菌群、硫酸盐、氯化物、硝酸盐、铁、锰</w:t>
                  </w:r>
                </w:p>
              </w:tc>
              <w:tc>
                <w:tcPr>
                  <w:tcW w:w="1284" w:type="dxa"/>
                  <w:vMerge w:val="restart"/>
                  <w:tcBorders>
                    <w:tl2br w:val="nil"/>
                    <w:tr2bl w:val="nil"/>
                  </w:tcBorders>
                  <w:shd w:val="clear" w:color="auto" w:fill="auto"/>
                  <w:noWrap w:val="0"/>
                  <w:vAlign w:val="center"/>
                </w:tcPr>
                <w:p w14:paraId="6155513F">
                  <w:pPr>
                    <w:keepNext w:val="0"/>
                    <w:keepLines w:val="0"/>
                    <w:pageBreakBefore w:val="0"/>
                    <w:kinsoku/>
                    <w:wordWrap/>
                    <w:topLinePunct w:val="0"/>
                    <w:bidi w:val="0"/>
                    <w:spacing w:line="280" w:lineRule="exact"/>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监测一天，一天一次</w:t>
                  </w:r>
                </w:p>
              </w:tc>
            </w:tr>
            <w:tr w14:paraId="775C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1" w:type="dxa"/>
                  <w:tcBorders>
                    <w:tl2br w:val="nil"/>
                    <w:tr2bl w:val="nil"/>
                  </w:tcBorders>
                  <w:shd w:val="clear" w:color="auto" w:fill="auto"/>
                  <w:noWrap w:val="0"/>
                  <w:vAlign w:val="center"/>
                </w:tcPr>
                <w:p w14:paraId="3F0DC2C6">
                  <w:pPr>
                    <w:keepNext w:val="0"/>
                    <w:keepLines w:val="0"/>
                    <w:pageBreakBefore w:val="0"/>
                    <w:kinsoku/>
                    <w:wordWrap/>
                    <w:topLinePunct w:val="0"/>
                    <w:bidi w:val="0"/>
                    <w:spacing w:line="280" w:lineRule="exact"/>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G2</w:t>
                  </w:r>
                </w:p>
              </w:tc>
              <w:tc>
                <w:tcPr>
                  <w:tcW w:w="1980" w:type="dxa"/>
                  <w:tcBorders>
                    <w:tl2br w:val="nil"/>
                    <w:tr2bl w:val="nil"/>
                  </w:tcBorders>
                  <w:shd w:val="clear" w:color="auto" w:fill="auto"/>
                  <w:noWrap w:val="0"/>
                  <w:vAlign w:val="center"/>
                </w:tcPr>
                <w:p w14:paraId="6DC883FB">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pacing w:val="12"/>
                      <w:kern w:val="28"/>
                      <w:szCs w:val="21"/>
                    </w:rPr>
                    <w:t>隘口</w:t>
                  </w:r>
                  <w:r>
                    <w:rPr>
                      <w:rFonts w:hint="default" w:ascii="Times New Roman" w:hAnsi="Times New Roman" w:cs="Times New Roman"/>
                      <w:szCs w:val="21"/>
                    </w:rPr>
                    <w:t>水厂普子坪水库取水处</w:t>
                  </w:r>
                </w:p>
              </w:tc>
              <w:tc>
                <w:tcPr>
                  <w:tcW w:w="4704" w:type="dxa"/>
                  <w:vMerge w:val="continue"/>
                  <w:tcBorders>
                    <w:tl2br w:val="nil"/>
                    <w:tr2bl w:val="nil"/>
                  </w:tcBorders>
                  <w:shd w:val="clear" w:color="auto" w:fill="auto"/>
                  <w:noWrap w:val="0"/>
                  <w:vAlign w:val="center"/>
                </w:tcPr>
                <w:p w14:paraId="6257E8A6">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p>
              </w:tc>
              <w:tc>
                <w:tcPr>
                  <w:tcW w:w="1284" w:type="dxa"/>
                  <w:vMerge w:val="continue"/>
                  <w:tcBorders>
                    <w:tl2br w:val="nil"/>
                    <w:tr2bl w:val="nil"/>
                  </w:tcBorders>
                  <w:shd w:val="clear" w:color="auto" w:fill="auto"/>
                  <w:noWrap w:val="0"/>
                  <w:vAlign w:val="center"/>
                </w:tcPr>
                <w:p w14:paraId="34E81619">
                  <w:pPr>
                    <w:keepNext w:val="0"/>
                    <w:keepLines w:val="0"/>
                    <w:pageBreakBefore w:val="0"/>
                    <w:kinsoku/>
                    <w:wordWrap/>
                    <w:topLinePunct w:val="0"/>
                    <w:bidi w:val="0"/>
                    <w:spacing w:line="280" w:lineRule="exact"/>
                    <w:ind w:left="0" w:leftChars="0"/>
                    <w:jc w:val="center"/>
                    <w:rPr>
                      <w:rFonts w:hint="default" w:ascii="Times New Roman" w:hAnsi="Times New Roman" w:cs="Times New Roman"/>
                      <w:color w:val="auto"/>
                      <w:sz w:val="21"/>
                      <w:szCs w:val="21"/>
                      <w:highlight w:val="none"/>
                    </w:rPr>
                  </w:pPr>
                </w:p>
              </w:tc>
            </w:tr>
          </w:tbl>
          <w:p w14:paraId="1658F00D">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b/>
                <w:bCs/>
                <w:color w:val="auto"/>
                <w:sz w:val="24"/>
                <w:szCs w:val="24"/>
                <w:highlight w:val="none"/>
              </w:rPr>
              <w:t>②监测结果</w:t>
            </w:r>
          </w:p>
          <w:p w14:paraId="10B93E5E">
            <w:pPr>
              <w:pStyle w:val="34"/>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b w:val="0"/>
                <w:bCs/>
                <w:color w:val="auto"/>
                <w:sz w:val="21"/>
                <w:szCs w:val="21"/>
                <w:highlight w:val="none"/>
              </w:rPr>
            </w:pPr>
            <w:r>
              <w:rPr>
                <w:rFonts w:hint="default" w:ascii="Times New Roman" w:hAnsi="Times New Roman" w:eastAsia="黑体" w:cs="Times New Roman"/>
                <w:b w:val="0"/>
                <w:bCs/>
                <w:color w:val="auto"/>
                <w:sz w:val="21"/>
                <w:szCs w:val="21"/>
                <w:highlight w:val="none"/>
              </w:rPr>
              <w:t>表</w:t>
            </w:r>
            <w:r>
              <w:rPr>
                <w:rFonts w:hint="default" w:ascii="Times New Roman" w:hAnsi="Times New Roman" w:eastAsia="黑体" w:cs="Times New Roman"/>
                <w:b w:val="0"/>
                <w:bCs/>
                <w:color w:val="auto"/>
                <w:sz w:val="21"/>
                <w:szCs w:val="21"/>
                <w:highlight w:val="none"/>
                <w:lang w:val="en-US" w:eastAsia="zh-CN"/>
              </w:rPr>
              <w:t>3-</w:t>
            </w:r>
            <w:r>
              <w:rPr>
                <w:rFonts w:hint="eastAsia" w:ascii="Times New Roman" w:hAnsi="Times New Roman" w:eastAsia="黑体" w:cs="Times New Roman"/>
                <w:b w:val="0"/>
                <w:bCs/>
                <w:color w:val="auto"/>
                <w:sz w:val="21"/>
                <w:szCs w:val="21"/>
                <w:highlight w:val="none"/>
                <w:lang w:val="en-US" w:eastAsia="zh-CN"/>
              </w:rPr>
              <w:t xml:space="preserve">3 </w:t>
            </w:r>
            <w:r>
              <w:rPr>
                <w:rFonts w:hint="default" w:ascii="Times New Roman" w:hAnsi="Times New Roman" w:eastAsia="黑体" w:cs="Times New Roman"/>
                <w:b w:val="0"/>
                <w:bCs/>
                <w:color w:val="auto"/>
                <w:sz w:val="21"/>
                <w:szCs w:val="21"/>
                <w:highlight w:val="none"/>
              </w:rPr>
              <w:t>地表水检测结果一览表单位：mg/L</w:t>
            </w:r>
          </w:p>
          <w:tbl>
            <w:tblPr>
              <w:tblStyle w:val="25"/>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800"/>
              <w:gridCol w:w="2010"/>
              <w:gridCol w:w="2190"/>
              <w:gridCol w:w="2493"/>
            </w:tblGrid>
            <w:tr w14:paraId="27B3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restart"/>
                  <w:tcBorders>
                    <w:tl2br w:val="nil"/>
                    <w:tr2bl w:val="nil"/>
                  </w:tcBorders>
                  <w:noWrap w:val="0"/>
                  <w:vAlign w:val="center"/>
                </w:tcPr>
                <w:p w14:paraId="492DEA8C">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检测日期</w:t>
                  </w:r>
                </w:p>
              </w:tc>
              <w:tc>
                <w:tcPr>
                  <w:tcW w:w="1800" w:type="dxa"/>
                  <w:vMerge w:val="restart"/>
                  <w:tcBorders>
                    <w:tl2br w:val="nil"/>
                    <w:tr2bl w:val="nil"/>
                  </w:tcBorders>
                  <w:noWrap w:val="0"/>
                  <w:vAlign w:val="center"/>
                </w:tcPr>
                <w:p w14:paraId="1E136E96">
                  <w:pPr>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检测因子</w:t>
                  </w:r>
                </w:p>
              </w:tc>
              <w:tc>
                <w:tcPr>
                  <w:tcW w:w="4200" w:type="dxa"/>
                  <w:gridSpan w:val="2"/>
                  <w:tcBorders>
                    <w:tl2br w:val="nil"/>
                    <w:tr2bl w:val="nil"/>
                  </w:tcBorders>
                  <w:noWrap w:val="0"/>
                  <w:vAlign w:val="center"/>
                </w:tcPr>
                <w:p w14:paraId="1EA50700">
                  <w:pPr>
                    <w:ind w:left="-105" w:leftChars="-50" w:right="-105" w:rightChars="-5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检测点位及检测结果</w:t>
                  </w:r>
                </w:p>
              </w:tc>
              <w:tc>
                <w:tcPr>
                  <w:tcW w:w="2493" w:type="dxa"/>
                  <w:vMerge w:val="restart"/>
                  <w:tcBorders>
                    <w:tl2br w:val="nil"/>
                    <w:tr2bl w:val="nil"/>
                  </w:tcBorders>
                  <w:noWrap w:val="0"/>
                  <w:vAlign w:val="center"/>
                </w:tcPr>
                <w:p w14:paraId="1578A751">
                  <w:pPr>
                    <w:wordWrap w:val="0"/>
                    <w:ind w:left="-105" w:leftChars="-50" w:right="-105" w:rightChars="-5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标准限值（</w:t>
                  </w:r>
                  <w:r>
                    <w:rPr>
                      <w:rFonts w:hint="default" w:ascii="Times New Roman" w:hAnsi="Times New Roman" w:eastAsia="宋体" w:cs="Times New Roman"/>
                      <w:b/>
                      <w:bCs/>
                      <w:sz w:val="21"/>
                      <w:szCs w:val="21"/>
                    </w:rPr>
                    <w:t>GB 3838-2002表1及表2</w:t>
                  </w:r>
                  <w:r>
                    <w:rPr>
                      <w:rFonts w:hint="default" w:ascii="Times New Roman" w:hAnsi="Times New Roman" w:eastAsia="宋体" w:cs="Times New Roman"/>
                      <w:b/>
                      <w:sz w:val="21"/>
                      <w:szCs w:val="21"/>
                    </w:rPr>
                    <w:t>）</w:t>
                  </w:r>
                </w:p>
              </w:tc>
            </w:tr>
            <w:tr w14:paraId="2FCA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1D11650A">
                  <w:pPr>
                    <w:ind w:left="-105" w:leftChars="-50" w:right="-105" w:rightChars="-50"/>
                    <w:jc w:val="center"/>
                    <w:rPr>
                      <w:rFonts w:hint="default" w:ascii="Times New Roman" w:hAnsi="Times New Roman" w:eastAsia="宋体" w:cs="Times New Roman"/>
                      <w:b/>
                      <w:sz w:val="21"/>
                      <w:szCs w:val="21"/>
                    </w:rPr>
                  </w:pPr>
                </w:p>
              </w:tc>
              <w:tc>
                <w:tcPr>
                  <w:tcW w:w="1800" w:type="dxa"/>
                  <w:vMerge w:val="continue"/>
                  <w:tcBorders>
                    <w:tl2br w:val="nil"/>
                    <w:tr2bl w:val="nil"/>
                  </w:tcBorders>
                  <w:noWrap w:val="0"/>
                  <w:vAlign w:val="center"/>
                </w:tcPr>
                <w:p w14:paraId="4770C638">
                  <w:pPr>
                    <w:ind w:left="-105" w:leftChars="-50" w:right="-105" w:rightChars="-50"/>
                    <w:jc w:val="center"/>
                    <w:rPr>
                      <w:rFonts w:hint="default" w:ascii="Times New Roman" w:hAnsi="Times New Roman" w:eastAsia="宋体" w:cs="Times New Roman"/>
                      <w:b/>
                      <w:sz w:val="21"/>
                      <w:szCs w:val="21"/>
                    </w:rPr>
                  </w:pPr>
                </w:p>
              </w:tc>
              <w:tc>
                <w:tcPr>
                  <w:tcW w:w="2010" w:type="dxa"/>
                  <w:tcBorders>
                    <w:tl2br w:val="nil"/>
                    <w:tr2bl w:val="nil"/>
                  </w:tcBorders>
                  <w:noWrap w:val="0"/>
                  <w:vAlign w:val="center"/>
                </w:tcPr>
                <w:p w14:paraId="7C14F0A5">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cs="Times New Roman"/>
                      <w:b/>
                      <w:bCs/>
                      <w:color w:val="auto"/>
                      <w:sz w:val="21"/>
                      <w:szCs w:val="21"/>
                      <w:highlight w:val="none"/>
                      <w:lang w:val="en-US" w:eastAsia="zh-CN"/>
                    </w:rPr>
                    <w:t>G1</w:t>
                  </w:r>
                  <w:r>
                    <w:rPr>
                      <w:rFonts w:hint="default" w:ascii="Times New Roman" w:hAnsi="Times New Roman" w:eastAsia="宋体" w:cs="Times New Roman"/>
                      <w:b/>
                      <w:bCs/>
                      <w:sz w:val="21"/>
                      <w:szCs w:val="21"/>
                    </w:rPr>
                    <w:t>，</w:t>
                  </w:r>
                  <w:r>
                    <w:rPr>
                      <w:rFonts w:hint="default" w:ascii="Times New Roman" w:hAnsi="Times New Roman" w:cs="Times New Roman"/>
                      <w:b/>
                      <w:bCs/>
                      <w:szCs w:val="21"/>
                    </w:rPr>
                    <w:t>马渡关水厂长滩河取水处</w:t>
                  </w:r>
                </w:p>
              </w:tc>
              <w:tc>
                <w:tcPr>
                  <w:tcW w:w="2190" w:type="dxa"/>
                  <w:tcBorders>
                    <w:tl2br w:val="nil"/>
                    <w:tr2bl w:val="nil"/>
                  </w:tcBorders>
                  <w:noWrap w:val="0"/>
                  <w:vAlign w:val="center"/>
                </w:tcPr>
                <w:p w14:paraId="272FBC2E">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cs="Times New Roman"/>
                      <w:b/>
                      <w:bCs/>
                      <w:color w:val="auto"/>
                      <w:sz w:val="21"/>
                      <w:szCs w:val="21"/>
                      <w:highlight w:val="none"/>
                      <w:lang w:val="en-US" w:eastAsia="zh-CN"/>
                    </w:rPr>
                    <w:t>G2</w:t>
                  </w:r>
                  <w:r>
                    <w:rPr>
                      <w:rFonts w:hint="default" w:ascii="Times New Roman" w:hAnsi="Times New Roman" w:eastAsia="宋体" w:cs="Times New Roman"/>
                      <w:b/>
                      <w:bCs/>
                      <w:sz w:val="21"/>
                      <w:szCs w:val="21"/>
                    </w:rPr>
                    <w:t>，</w:t>
                  </w:r>
                  <w:r>
                    <w:rPr>
                      <w:rFonts w:hint="default" w:ascii="Times New Roman" w:hAnsi="Times New Roman" w:cs="Times New Roman"/>
                      <w:b/>
                      <w:bCs/>
                      <w:spacing w:val="12"/>
                      <w:kern w:val="28"/>
                      <w:szCs w:val="21"/>
                    </w:rPr>
                    <w:t>隘口</w:t>
                  </w:r>
                  <w:r>
                    <w:rPr>
                      <w:rFonts w:hint="default" w:ascii="Times New Roman" w:hAnsi="Times New Roman" w:cs="Times New Roman"/>
                      <w:b/>
                      <w:bCs/>
                      <w:szCs w:val="21"/>
                    </w:rPr>
                    <w:t>水厂普子坪水库取水处</w:t>
                  </w:r>
                </w:p>
              </w:tc>
              <w:tc>
                <w:tcPr>
                  <w:tcW w:w="2493" w:type="dxa"/>
                  <w:vMerge w:val="continue"/>
                  <w:tcBorders>
                    <w:tl2br w:val="nil"/>
                    <w:tr2bl w:val="nil"/>
                  </w:tcBorders>
                  <w:noWrap w:val="0"/>
                  <w:vAlign w:val="center"/>
                </w:tcPr>
                <w:p w14:paraId="44927A8C">
                  <w:pPr>
                    <w:ind w:left="-105" w:leftChars="-50" w:right="-105" w:rightChars="-50"/>
                    <w:jc w:val="center"/>
                    <w:rPr>
                      <w:rFonts w:hint="default" w:ascii="Times New Roman" w:hAnsi="Times New Roman" w:eastAsia="宋体" w:cs="Times New Roman"/>
                      <w:b/>
                      <w:sz w:val="21"/>
                      <w:szCs w:val="21"/>
                    </w:rPr>
                  </w:pPr>
                </w:p>
              </w:tc>
            </w:tr>
            <w:tr w14:paraId="11FF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restart"/>
                  <w:tcBorders>
                    <w:tl2br w:val="nil"/>
                    <w:tr2bl w:val="nil"/>
                  </w:tcBorders>
                  <w:noWrap w:val="0"/>
                  <w:vAlign w:val="center"/>
                </w:tcPr>
                <w:p w14:paraId="19DCE6F8">
                  <w:pPr>
                    <w:ind w:left="-105" w:leftChars="-50" w:right="-105" w:rightChars="-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r>
                    <w:rPr>
                      <w:rFonts w:hint="default" w:ascii="Times New Roman" w:hAnsi="Times New Roman" w:eastAsia="宋体" w:cs="Times New Roman"/>
                      <w:b w:val="0"/>
                      <w:bCs w:val="0"/>
                      <w:sz w:val="21"/>
                      <w:szCs w:val="21"/>
                    </w:rPr>
                    <w:t>025.0</w:t>
                  </w:r>
                  <w:r>
                    <w:rPr>
                      <w:rFonts w:hint="eastAsia" w:ascii="Times New Roman" w:hAnsi="Times New Roman" w:eastAsia="宋体" w:cs="Times New Roman"/>
                      <w:b w:val="0"/>
                      <w:bCs w:val="0"/>
                      <w:sz w:val="21"/>
                      <w:szCs w:val="21"/>
                      <w:lang w:val="en-US" w:eastAsia="zh-CN"/>
                    </w:rPr>
                    <w:t>7</w:t>
                  </w:r>
                  <w:r>
                    <w:rPr>
                      <w:rFonts w:hint="default" w:ascii="Times New Roman" w:hAnsi="Times New Roman" w:eastAsia="宋体" w:cs="Times New Roman"/>
                      <w:b w:val="0"/>
                      <w:bCs w:val="0"/>
                      <w:sz w:val="21"/>
                      <w:szCs w:val="21"/>
                    </w:rPr>
                    <w:t>.</w:t>
                  </w:r>
                  <w:r>
                    <w:rPr>
                      <w:rFonts w:hint="eastAsia" w:ascii="Times New Roman" w:hAnsi="Times New Roman" w:eastAsia="宋体" w:cs="Times New Roman"/>
                      <w:b w:val="0"/>
                      <w:bCs w:val="0"/>
                      <w:sz w:val="21"/>
                      <w:szCs w:val="21"/>
                      <w:lang w:val="en-US" w:eastAsia="zh-CN"/>
                    </w:rPr>
                    <w:t>31（马渡关水厂</w:t>
                  </w:r>
                  <w:r>
                    <w:rPr>
                      <w:rFonts w:hint="default" w:ascii="Times New Roman" w:hAnsi="Times New Roman" w:cs="Times New Roman"/>
                      <w:b w:val="0"/>
                      <w:bCs w:val="0"/>
                      <w:szCs w:val="21"/>
                    </w:rPr>
                    <w:t>长滩河取水处</w:t>
                  </w:r>
                  <w:r>
                    <w:rPr>
                      <w:rFonts w:hint="eastAsia" w:ascii="Times New Roman" w:hAnsi="Times New Roman" w:eastAsia="宋体" w:cs="Times New Roman"/>
                      <w:b w:val="0"/>
                      <w:bCs w:val="0"/>
                      <w:sz w:val="21"/>
                      <w:szCs w:val="21"/>
                      <w:lang w:val="en-US" w:eastAsia="zh-CN"/>
                    </w:rPr>
                    <w:t>）、2025、07.30（隘口水厂</w:t>
                  </w:r>
                  <w:r>
                    <w:rPr>
                      <w:rFonts w:hint="default" w:ascii="Times New Roman" w:hAnsi="Times New Roman" w:cs="Times New Roman"/>
                      <w:b w:val="0"/>
                      <w:bCs w:val="0"/>
                      <w:szCs w:val="21"/>
                    </w:rPr>
                    <w:t>普子坪水库取水处</w:t>
                  </w:r>
                  <w:r>
                    <w:rPr>
                      <w:rFonts w:hint="eastAsia" w:ascii="Times New Roman" w:hAnsi="Times New Roman" w:eastAsia="宋体" w:cs="Times New Roman"/>
                      <w:b w:val="0"/>
                      <w:bCs w:val="0"/>
                      <w:sz w:val="21"/>
                      <w:szCs w:val="21"/>
                      <w:lang w:val="en-US" w:eastAsia="zh-CN"/>
                    </w:rPr>
                    <w:t>）</w:t>
                  </w:r>
                </w:p>
              </w:tc>
              <w:tc>
                <w:tcPr>
                  <w:tcW w:w="1800" w:type="dxa"/>
                  <w:tcBorders>
                    <w:tl2br w:val="nil"/>
                    <w:tr2bl w:val="nil"/>
                  </w:tcBorders>
                  <w:noWrap w:val="0"/>
                  <w:vAlign w:val="center"/>
                </w:tcPr>
                <w:p w14:paraId="59739807">
                  <w:pPr>
                    <w:ind w:left="-105" w:leftChars="-50" w:right="-105" w:rightChars="-5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水温（℃）</w:t>
                  </w:r>
                </w:p>
              </w:tc>
              <w:tc>
                <w:tcPr>
                  <w:tcW w:w="2010" w:type="dxa"/>
                  <w:tcBorders>
                    <w:tl2br w:val="nil"/>
                    <w:tr2bl w:val="nil"/>
                  </w:tcBorders>
                  <w:shd w:val="clear" w:color="auto" w:fill="auto"/>
                  <w:noWrap w:val="0"/>
                  <w:vAlign w:val="center"/>
                </w:tcPr>
                <w:p w14:paraId="3E6EAD41">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27.2</w:t>
                  </w:r>
                </w:p>
              </w:tc>
              <w:tc>
                <w:tcPr>
                  <w:tcW w:w="2190" w:type="dxa"/>
                  <w:tcBorders>
                    <w:tl2br w:val="nil"/>
                    <w:tr2bl w:val="nil"/>
                  </w:tcBorders>
                  <w:shd w:val="clear" w:color="auto" w:fill="auto"/>
                  <w:noWrap w:val="0"/>
                  <w:vAlign w:val="center"/>
                </w:tcPr>
                <w:p w14:paraId="5256AFD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26.4</w:t>
                  </w:r>
                </w:p>
              </w:tc>
              <w:tc>
                <w:tcPr>
                  <w:tcW w:w="2493" w:type="dxa"/>
                  <w:tcBorders>
                    <w:tl2br w:val="nil"/>
                    <w:tr2bl w:val="nil"/>
                  </w:tcBorders>
                  <w:shd w:val="clear" w:color="auto" w:fill="auto"/>
                  <w:noWrap w:val="0"/>
                  <w:vAlign w:val="center"/>
                </w:tcPr>
                <w:p w14:paraId="7BBFCE36">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p>
              </w:tc>
            </w:tr>
            <w:tr w14:paraId="2FAC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2CEF80E4">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293F3C75">
                  <w:pPr>
                    <w:pStyle w:val="38"/>
                    <w:snapToGrid w:val="0"/>
                    <w:spacing w:before="0" w:after="0"/>
                    <w:ind w:left="-105" w:leftChars="-50" w:right="-105" w:rightChars="-50"/>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pH（无量纲）</w:t>
                  </w:r>
                </w:p>
              </w:tc>
              <w:tc>
                <w:tcPr>
                  <w:tcW w:w="2010" w:type="dxa"/>
                  <w:tcBorders>
                    <w:tl2br w:val="nil"/>
                    <w:tr2bl w:val="nil"/>
                  </w:tcBorders>
                  <w:shd w:val="clear" w:color="auto" w:fill="auto"/>
                  <w:noWrap w:val="0"/>
                  <w:vAlign w:val="center"/>
                </w:tcPr>
                <w:p w14:paraId="0C1EE35D">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7.7</w:t>
                  </w:r>
                </w:p>
              </w:tc>
              <w:tc>
                <w:tcPr>
                  <w:tcW w:w="2190" w:type="dxa"/>
                  <w:tcBorders>
                    <w:tl2br w:val="nil"/>
                    <w:tr2bl w:val="nil"/>
                  </w:tcBorders>
                  <w:shd w:val="clear" w:color="auto" w:fill="auto"/>
                  <w:noWrap w:val="0"/>
                  <w:vAlign w:val="center"/>
                </w:tcPr>
                <w:p w14:paraId="7D376BFF">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7.3</w:t>
                  </w:r>
                </w:p>
              </w:tc>
              <w:tc>
                <w:tcPr>
                  <w:tcW w:w="2493" w:type="dxa"/>
                  <w:tcBorders>
                    <w:tl2br w:val="nil"/>
                    <w:tr2bl w:val="nil"/>
                  </w:tcBorders>
                  <w:shd w:val="clear" w:color="auto" w:fill="auto"/>
                  <w:noWrap w:val="0"/>
                  <w:vAlign w:val="center"/>
                </w:tcPr>
                <w:p w14:paraId="15E6C8E6">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6~9</w:t>
                  </w:r>
                </w:p>
              </w:tc>
            </w:tr>
            <w:tr w14:paraId="4461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439AE698">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402857A6">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溶解氧</w:t>
                  </w:r>
                </w:p>
              </w:tc>
              <w:tc>
                <w:tcPr>
                  <w:tcW w:w="2010" w:type="dxa"/>
                  <w:tcBorders>
                    <w:tl2br w:val="nil"/>
                    <w:tr2bl w:val="nil"/>
                  </w:tcBorders>
                  <w:shd w:val="clear" w:color="auto" w:fill="auto"/>
                  <w:noWrap w:val="0"/>
                  <w:vAlign w:val="center"/>
                </w:tcPr>
                <w:p w14:paraId="20431E03">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6.5</w:t>
                  </w:r>
                </w:p>
              </w:tc>
              <w:tc>
                <w:tcPr>
                  <w:tcW w:w="2190" w:type="dxa"/>
                  <w:tcBorders>
                    <w:tl2br w:val="nil"/>
                    <w:tr2bl w:val="nil"/>
                  </w:tcBorders>
                  <w:shd w:val="clear" w:color="auto" w:fill="auto"/>
                  <w:noWrap w:val="0"/>
                  <w:vAlign w:val="center"/>
                </w:tcPr>
                <w:p w14:paraId="7B65EBD9">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6.3</w:t>
                  </w:r>
                </w:p>
              </w:tc>
              <w:tc>
                <w:tcPr>
                  <w:tcW w:w="2493" w:type="dxa"/>
                  <w:tcBorders>
                    <w:tl2br w:val="nil"/>
                    <w:tr2bl w:val="nil"/>
                  </w:tcBorders>
                  <w:shd w:val="clear" w:color="auto" w:fill="auto"/>
                  <w:noWrap w:val="0"/>
                  <w:vAlign w:val="center"/>
                </w:tcPr>
                <w:p w14:paraId="5DE724D8">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6</w:t>
                  </w:r>
                </w:p>
              </w:tc>
            </w:tr>
            <w:tr w14:paraId="1A2B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08778623">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48A11805">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高锰酸盐指数</w:t>
                  </w:r>
                </w:p>
              </w:tc>
              <w:tc>
                <w:tcPr>
                  <w:tcW w:w="2010" w:type="dxa"/>
                  <w:tcBorders>
                    <w:tl2br w:val="nil"/>
                    <w:tr2bl w:val="nil"/>
                  </w:tcBorders>
                  <w:shd w:val="clear" w:color="auto" w:fill="auto"/>
                  <w:noWrap w:val="0"/>
                  <w:vAlign w:val="center"/>
                </w:tcPr>
                <w:p w14:paraId="046FDCD8">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3.4</w:t>
                  </w:r>
                </w:p>
              </w:tc>
              <w:tc>
                <w:tcPr>
                  <w:tcW w:w="2190" w:type="dxa"/>
                  <w:tcBorders>
                    <w:tl2br w:val="nil"/>
                    <w:tr2bl w:val="nil"/>
                  </w:tcBorders>
                  <w:shd w:val="clear" w:color="auto" w:fill="auto"/>
                  <w:noWrap w:val="0"/>
                  <w:vAlign w:val="center"/>
                </w:tcPr>
                <w:p w14:paraId="761F34E1">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3.8</w:t>
                  </w:r>
                </w:p>
              </w:tc>
              <w:tc>
                <w:tcPr>
                  <w:tcW w:w="2493" w:type="dxa"/>
                  <w:tcBorders>
                    <w:tl2br w:val="nil"/>
                    <w:tr2bl w:val="nil"/>
                  </w:tcBorders>
                  <w:shd w:val="clear" w:color="auto" w:fill="auto"/>
                  <w:noWrap w:val="0"/>
                  <w:vAlign w:val="center"/>
                </w:tcPr>
                <w:p w14:paraId="375200B4">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4</w:t>
                  </w:r>
                </w:p>
              </w:tc>
            </w:tr>
            <w:tr w14:paraId="35CD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6E7F83E4">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649BAE99">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2010" w:type="dxa"/>
                  <w:tcBorders>
                    <w:tl2br w:val="nil"/>
                    <w:tr2bl w:val="nil"/>
                  </w:tcBorders>
                  <w:shd w:val="clear" w:color="auto" w:fill="auto"/>
                  <w:noWrap w:val="0"/>
                  <w:vAlign w:val="center"/>
                </w:tcPr>
                <w:p w14:paraId="742A1840">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7</w:t>
                  </w:r>
                </w:p>
              </w:tc>
              <w:tc>
                <w:tcPr>
                  <w:tcW w:w="2190" w:type="dxa"/>
                  <w:tcBorders>
                    <w:tl2br w:val="nil"/>
                    <w:tr2bl w:val="nil"/>
                  </w:tcBorders>
                  <w:shd w:val="clear" w:color="auto" w:fill="auto"/>
                  <w:noWrap w:val="0"/>
                  <w:vAlign w:val="center"/>
                </w:tcPr>
                <w:p w14:paraId="0AF70760">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13</w:t>
                  </w:r>
                </w:p>
              </w:tc>
              <w:tc>
                <w:tcPr>
                  <w:tcW w:w="2493" w:type="dxa"/>
                  <w:tcBorders>
                    <w:tl2br w:val="nil"/>
                    <w:tr2bl w:val="nil"/>
                  </w:tcBorders>
                  <w:shd w:val="clear" w:color="auto" w:fill="auto"/>
                  <w:noWrap w:val="0"/>
                  <w:vAlign w:val="center"/>
                </w:tcPr>
                <w:p w14:paraId="24C37923">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15</w:t>
                  </w:r>
                </w:p>
              </w:tc>
            </w:tr>
            <w:tr w14:paraId="576B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7D7998F0">
                  <w:pPr>
                    <w:ind w:left="-105" w:leftChars="-50" w:right="-105" w:rightChars="-50"/>
                    <w:jc w:val="center"/>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105B98F7">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五日生化需氧量</w:t>
                  </w:r>
                </w:p>
              </w:tc>
              <w:tc>
                <w:tcPr>
                  <w:tcW w:w="2010" w:type="dxa"/>
                  <w:tcBorders>
                    <w:tl2br w:val="nil"/>
                    <w:tr2bl w:val="nil"/>
                  </w:tcBorders>
                  <w:shd w:val="clear" w:color="auto" w:fill="auto"/>
                  <w:noWrap w:val="0"/>
                  <w:vAlign w:val="center"/>
                </w:tcPr>
                <w:p w14:paraId="43DC4E1F">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2.1</w:t>
                  </w:r>
                </w:p>
              </w:tc>
              <w:tc>
                <w:tcPr>
                  <w:tcW w:w="2190" w:type="dxa"/>
                  <w:tcBorders>
                    <w:tl2br w:val="nil"/>
                    <w:tr2bl w:val="nil"/>
                  </w:tcBorders>
                  <w:shd w:val="clear" w:color="auto" w:fill="auto"/>
                  <w:noWrap w:val="0"/>
                  <w:vAlign w:val="center"/>
                </w:tcPr>
                <w:p w14:paraId="5E1285B8">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2.8</w:t>
                  </w:r>
                </w:p>
              </w:tc>
              <w:tc>
                <w:tcPr>
                  <w:tcW w:w="2493" w:type="dxa"/>
                  <w:tcBorders>
                    <w:tl2br w:val="nil"/>
                    <w:tr2bl w:val="nil"/>
                  </w:tcBorders>
                  <w:shd w:val="clear" w:color="auto" w:fill="auto"/>
                  <w:noWrap w:val="0"/>
                  <w:vAlign w:val="center"/>
                </w:tcPr>
                <w:p w14:paraId="00B967E3">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.0</w:t>
                  </w:r>
                </w:p>
              </w:tc>
            </w:tr>
            <w:tr w14:paraId="2ADD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014B155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3ECFB1CE">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2010" w:type="dxa"/>
                  <w:tcBorders>
                    <w:tl2br w:val="nil"/>
                    <w:tr2bl w:val="nil"/>
                  </w:tcBorders>
                  <w:shd w:val="clear" w:color="auto" w:fill="auto"/>
                  <w:noWrap w:val="0"/>
                  <w:vAlign w:val="center"/>
                </w:tcPr>
                <w:p w14:paraId="1DF2689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0.107</w:t>
                  </w:r>
                </w:p>
              </w:tc>
              <w:tc>
                <w:tcPr>
                  <w:tcW w:w="2190" w:type="dxa"/>
                  <w:tcBorders>
                    <w:tl2br w:val="nil"/>
                    <w:tr2bl w:val="nil"/>
                  </w:tcBorders>
                  <w:shd w:val="clear" w:color="auto" w:fill="auto"/>
                  <w:noWrap w:val="0"/>
                  <w:vAlign w:val="center"/>
                </w:tcPr>
                <w:p w14:paraId="0BEA3D4B">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0.106</w:t>
                  </w:r>
                </w:p>
              </w:tc>
              <w:tc>
                <w:tcPr>
                  <w:tcW w:w="2493" w:type="dxa"/>
                  <w:tcBorders>
                    <w:tl2br w:val="nil"/>
                    <w:tr2bl w:val="nil"/>
                  </w:tcBorders>
                  <w:shd w:val="clear" w:color="auto" w:fill="auto"/>
                  <w:noWrap w:val="0"/>
                  <w:vAlign w:val="center"/>
                </w:tcPr>
                <w:p w14:paraId="30DEEFCD">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w:t>
                  </w:r>
                </w:p>
              </w:tc>
            </w:tr>
            <w:tr w14:paraId="3E95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1879C59C">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01416CB9">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2010" w:type="dxa"/>
                  <w:tcBorders>
                    <w:tl2br w:val="nil"/>
                    <w:tr2bl w:val="nil"/>
                  </w:tcBorders>
                  <w:shd w:val="clear" w:color="auto" w:fill="auto"/>
                  <w:noWrap w:val="0"/>
                  <w:vAlign w:val="center"/>
                </w:tcPr>
                <w:p w14:paraId="39B8B92E">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0.04</w:t>
                  </w:r>
                </w:p>
              </w:tc>
              <w:tc>
                <w:tcPr>
                  <w:tcW w:w="2190" w:type="dxa"/>
                  <w:tcBorders>
                    <w:tl2br w:val="nil"/>
                    <w:tr2bl w:val="nil"/>
                  </w:tcBorders>
                  <w:shd w:val="clear" w:color="auto" w:fill="auto"/>
                  <w:noWrap w:val="0"/>
                  <w:vAlign w:val="center"/>
                </w:tcPr>
                <w:p w14:paraId="261AC384">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0.02</w:t>
                  </w:r>
                </w:p>
              </w:tc>
              <w:tc>
                <w:tcPr>
                  <w:tcW w:w="2493" w:type="dxa"/>
                  <w:tcBorders>
                    <w:tl2br w:val="nil"/>
                    <w:tr2bl w:val="nil"/>
                  </w:tcBorders>
                  <w:shd w:val="clear" w:color="auto" w:fill="auto"/>
                  <w:noWrap w:val="0"/>
                  <w:vAlign w:val="center"/>
                </w:tcPr>
                <w:p w14:paraId="1A99511C">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（湖、库0.0</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5）</w:t>
                  </w:r>
                </w:p>
              </w:tc>
            </w:tr>
            <w:tr w14:paraId="205B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64A48319">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29DBAE8C">
                  <w:pPr>
                    <w:pStyle w:val="38"/>
                    <w:snapToGrid w:val="0"/>
                    <w:spacing w:before="0" w:after="0"/>
                    <w:ind w:left="-105" w:leftChars="-50" w:right="-105" w:rightChars="-5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总氮</w:t>
                  </w:r>
                </w:p>
              </w:tc>
              <w:tc>
                <w:tcPr>
                  <w:tcW w:w="2010" w:type="dxa"/>
                  <w:tcBorders>
                    <w:tl2br w:val="nil"/>
                    <w:tr2bl w:val="nil"/>
                  </w:tcBorders>
                  <w:shd w:val="clear" w:color="auto" w:fill="auto"/>
                  <w:noWrap w:val="0"/>
                  <w:vAlign w:val="center"/>
                </w:tcPr>
                <w:p w14:paraId="7B77DD13">
                  <w:pPr>
                    <w:ind w:left="-105" w:leftChars="-50" w:right="-105" w:rightChars="-50"/>
                    <w:jc w:val="center"/>
                    <w:rPr>
                      <w:rFonts w:hint="default"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sz w:val="21"/>
                      <w:szCs w:val="21"/>
                      <w:lang w:val="en-US" w:eastAsia="zh-CN"/>
                    </w:rPr>
                    <w:t>2.46</w:t>
                  </w:r>
                </w:p>
              </w:tc>
              <w:tc>
                <w:tcPr>
                  <w:tcW w:w="2190" w:type="dxa"/>
                  <w:tcBorders>
                    <w:tl2br w:val="nil"/>
                    <w:tr2bl w:val="nil"/>
                  </w:tcBorders>
                  <w:shd w:val="clear" w:color="auto" w:fill="auto"/>
                  <w:noWrap w:val="0"/>
                  <w:vAlign w:val="center"/>
                </w:tcPr>
                <w:p w14:paraId="0A539B22">
                  <w:pPr>
                    <w:ind w:left="-105" w:leftChars="-50" w:right="-105" w:rightChars="-50"/>
                    <w:jc w:val="center"/>
                    <w:rPr>
                      <w:rFonts w:hint="default" w:ascii="Times New Roman" w:hAnsi="Times New Roman" w:cs="Times New Roman" w:eastAsiaTheme="minorEastAsia"/>
                      <w:color w:val="FF0000"/>
                      <w:kern w:val="2"/>
                      <w:sz w:val="21"/>
                      <w:szCs w:val="21"/>
                      <w:lang w:val="en-US" w:eastAsia="zh-CN" w:bidi="ar-SA"/>
                    </w:rPr>
                  </w:pPr>
                  <w:r>
                    <w:rPr>
                      <w:rFonts w:hint="default" w:ascii="Times New Roman" w:hAnsi="Times New Roman" w:cs="Times New Roman"/>
                      <w:szCs w:val="21"/>
                    </w:rPr>
                    <w:t>0.47</w:t>
                  </w:r>
                </w:p>
              </w:tc>
              <w:tc>
                <w:tcPr>
                  <w:tcW w:w="2493" w:type="dxa"/>
                  <w:tcBorders>
                    <w:tl2br w:val="nil"/>
                    <w:tr2bl w:val="nil"/>
                  </w:tcBorders>
                  <w:shd w:val="clear" w:color="auto" w:fill="auto"/>
                  <w:noWrap w:val="0"/>
                  <w:vAlign w:val="center"/>
                </w:tcPr>
                <w:p w14:paraId="517E8D8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0.5</w:t>
                  </w:r>
                  <w:r>
                    <w:rPr>
                      <w:rFonts w:hint="default" w:ascii="Times New Roman" w:hAnsi="Times New Roman" w:eastAsia="宋体" w:cs="Times New Roman"/>
                      <w:sz w:val="21"/>
                      <w:szCs w:val="21"/>
                    </w:rPr>
                    <w:t>（湖、库）</w:t>
                  </w:r>
                </w:p>
              </w:tc>
            </w:tr>
            <w:tr w14:paraId="4D9B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12EE2D30">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6E57C3DC">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rPr>
                    <w:t>铜</w:t>
                  </w:r>
                </w:p>
              </w:tc>
              <w:tc>
                <w:tcPr>
                  <w:tcW w:w="2010" w:type="dxa"/>
                  <w:tcBorders>
                    <w:tl2br w:val="nil"/>
                    <w:tr2bl w:val="nil"/>
                  </w:tcBorders>
                  <w:shd w:val="clear" w:color="auto" w:fill="auto"/>
                  <w:noWrap w:val="0"/>
                  <w:vAlign w:val="center"/>
                </w:tcPr>
                <w:p w14:paraId="3F309F2B">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0.006</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58F571F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0.006</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571A920A">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7569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4AF747F5">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52AAFC0C">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rPr>
                    <w:t>锌</w:t>
                  </w:r>
                </w:p>
              </w:tc>
              <w:tc>
                <w:tcPr>
                  <w:tcW w:w="2010" w:type="dxa"/>
                  <w:tcBorders>
                    <w:tl2br w:val="nil"/>
                    <w:tr2bl w:val="nil"/>
                  </w:tcBorders>
                  <w:shd w:val="clear" w:color="auto" w:fill="auto"/>
                  <w:noWrap w:val="0"/>
                  <w:vAlign w:val="center"/>
                </w:tcPr>
                <w:p w14:paraId="3D85034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0.004</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5534CA0A">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0.004</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6106CF23">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40C9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1A243639">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6E51135A">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铁</w:t>
                  </w:r>
                </w:p>
              </w:tc>
              <w:tc>
                <w:tcPr>
                  <w:tcW w:w="2010" w:type="dxa"/>
                  <w:tcBorders>
                    <w:tl2br w:val="nil"/>
                    <w:tr2bl w:val="nil"/>
                  </w:tcBorders>
                  <w:shd w:val="clear" w:color="auto" w:fill="auto"/>
                  <w:noWrap w:val="0"/>
                  <w:vAlign w:val="center"/>
                </w:tcPr>
                <w:p w14:paraId="45897DA0">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0.02</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3BB17F6A">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0.02</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525CA0AA">
                  <w:pPr>
                    <w:jc w:val="center"/>
                    <w:rPr>
                      <w:rFonts w:hint="default" w:ascii="Times New Roman" w:hAnsi="Times New Roman" w:eastAsia="宋体" w:cs="Times New Roman"/>
                      <w:strike/>
                      <w:kern w:val="2"/>
                      <w:sz w:val="21"/>
                      <w:szCs w:val="21"/>
                      <w:lang w:val="en-US" w:eastAsia="zh-CN" w:bidi="ar-SA"/>
                    </w:rPr>
                  </w:pPr>
                  <w:r>
                    <w:rPr>
                      <w:rFonts w:hint="default" w:ascii="Times New Roman" w:hAnsi="Times New Roman" w:eastAsia="宋体" w:cs="Times New Roman"/>
                      <w:sz w:val="21"/>
                      <w:szCs w:val="21"/>
                    </w:rPr>
                    <w:t>≤0.3</w:t>
                  </w:r>
                </w:p>
              </w:tc>
            </w:tr>
            <w:tr w14:paraId="4C2A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515AA932">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3F41B9BE">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锰</w:t>
                  </w:r>
                </w:p>
              </w:tc>
              <w:tc>
                <w:tcPr>
                  <w:tcW w:w="2010" w:type="dxa"/>
                  <w:tcBorders>
                    <w:tl2br w:val="nil"/>
                    <w:tr2bl w:val="nil"/>
                  </w:tcBorders>
                  <w:shd w:val="clear" w:color="auto" w:fill="auto"/>
                  <w:noWrap w:val="0"/>
                  <w:vAlign w:val="center"/>
                </w:tcPr>
                <w:p w14:paraId="6914775A">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0.004</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292904EE">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0.004</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252D48C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≤0.1</w:t>
                  </w:r>
                </w:p>
              </w:tc>
            </w:tr>
            <w:tr w14:paraId="06CD5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0F7BA498">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75DC283E">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挥发酚</w:t>
                  </w:r>
                </w:p>
              </w:tc>
              <w:tc>
                <w:tcPr>
                  <w:tcW w:w="2010" w:type="dxa"/>
                  <w:tcBorders>
                    <w:tl2br w:val="nil"/>
                    <w:tr2bl w:val="nil"/>
                  </w:tcBorders>
                  <w:shd w:val="clear" w:color="auto" w:fill="auto"/>
                  <w:noWrap w:val="0"/>
                  <w:vAlign w:val="center"/>
                </w:tcPr>
                <w:p w14:paraId="6077A76E">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0.0003</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7EC632D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0.0003</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64C7835C">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w:t>
                  </w:r>
                  <w:r>
                    <w:rPr>
                      <w:rFonts w:hint="eastAsia" w:ascii="Times New Roman" w:hAnsi="Times New Roman" w:eastAsia="宋体" w:cs="Times New Roman"/>
                      <w:sz w:val="21"/>
                      <w:szCs w:val="21"/>
                      <w:lang w:val="en-US" w:eastAsia="zh-CN"/>
                    </w:rPr>
                    <w:t>2</w:t>
                  </w:r>
                </w:p>
              </w:tc>
            </w:tr>
            <w:tr w14:paraId="5C08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4D7CC4F5">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430D96FD">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石油类</w:t>
                  </w:r>
                </w:p>
              </w:tc>
              <w:tc>
                <w:tcPr>
                  <w:tcW w:w="2010" w:type="dxa"/>
                  <w:tcBorders>
                    <w:tl2br w:val="nil"/>
                    <w:tr2bl w:val="nil"/>
                  </w:tcBorders>
                  <w:shd w:val="clear" w:color="auto" w:fill="auto"/>
                  <w:noWrap w:val="0"/>
                  <w:vAlign w:val="center"/>
                </w:tcPr>
                <w:p w14:paraId="6A27E2E8">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0.01</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4BDC09FF">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0.01</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1AB42363">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7C40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608B14AA">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35C575CC">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硒</w:t>
                  </w:r>
                </w:p>
              </w:tc>
              <w:tc>
                <w:tcPr>
                  <w:tcW w:w="2010" w:type="dxa"/>
                  <w:tcBorders>
                    <w:tl2br w:val="nil"/>
                    <w:tr2bl w:val="nil"/>
                  </w:tcBorders>
                  <w:shd w:val="clear" w:color="auto" w:fill="auto"/>
                  <w:noWrap w:val="0"/>
                  <w:vAlign w:val="center"/>
                </w:tcPr>
                <w:p w14:paraId="0B012FA1">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0.0004</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7D02C27A">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0.0004</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6794520E">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≤0.01</w:t>
                  </w:r>
                </w:p>
              </w:tc>
            </w:tr>
            <w:tr w14:paraId="18E5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70A7935D">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0EC712CA">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砷</w:t>
                  </w:r>
                </w:p>
              </w:tc>
              <w:tc>
                <w:tcPr>
                  <w:tcW w:w="2010" w:type="dxa"/>
                  <w:tcBorders>
                    <w:tl2br w:val="nil"/>
                    <w:tr2bl w:val="nil"/>
                  </w:tcBorders>
                  <w:shd w:val="clear" w:color="auto" w:fill="auto"/>
                  <w:noWrap w:val="0"/>
                  <w:vAlign w:val="center"/>
                </w:tcPr>
                <w:p w14:paraId="32B6402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0.0003</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4C494ED5">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0.0003</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6D8D32BF">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58C5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79D71740">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0EA82EB1">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汞</w:t>
                  </w:r>
                </w:p>
              </w:tc>
              <w:tc>
                <w:tcPr>
                  <w:tcW w:w="2010" w:type="dxa"/>
                  <w:tcBorders>
                    <w:tl2br w:val="nil"/>
                    <w:tr2bl w:val="nil"/>
                  </w:tcBorders>
                  <w:shd w:val="clear" w:color="auto" w:fill="auto"/>
                  <w:noWrap w:val="0"/>
                  <w:vAlign w:val="center"/>
                </w:tcPr>
                <w:p w14:paraId="17145EE5">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0.0000015</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69992EA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0.0000015</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177D6F10">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≤0.000</w:t>
                  </w:r>
                  <w:r>
                    <w:rPr>
                      <w:rFonts w:hint="eastAsia" w:ascii="Times New Roman" w:hAnsi="Times New Roman" w:eastAsia="宋体" w:cs="Times New Roman"/>
                      <w:sz w:val="21"/>
                      <w:szCs w:val="21"/>
                      <w:lang w:val="en-US" w:eastAsia="zh-CN"/>
                    </w:rPr>
                    <w:t>05</w:t>
                  </w:r>
                </w:p>
              </w:tc>
            </w:tr>
            <w:tr w14:paraId="39F7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385E62D2">
                  <w:pPr>
                    <w:ind w:left="-105" w:leftChars="-50" w:right="-105" w:rightChars="-50"/>
                    <w:jc w:val="center"/>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7796A52A">
                  <w:pPr>
                    <w:pStyle w:val="38"/>
                    <w:snapToGrid w:val="0"/>
                    <w:spacing w:before="0" w:after="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氟化物</w:t>
                  </w:r>
                </w:p>
              </w:tc>
              <w:tc>
                <w:tcPr>
                  <w:tcW w:w="2010" w:type="dxa"/>
                  <w:tcBorders>
                    <w:tl2br w:val="nil"/>
                    <w:tr2bl w:val="nil"/>
                  </w:tcBorders>
                  <w:shd w:val="clear" w:color="auto" w:fill="auto"/>
                  <w:noWrap w:val="0"/>
                  <w:vAlign w:val="center"/>
                </w:tcPr>
                <w:p w14:paraId="3F474108">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0.436</w:t>
                  </w:r>
                </w:p>
              </w:tc>
              <w:tc>
                <w:tcPr>
                  <w:tcW w:w="2190" w:type="dxa"/>
                  <w:tcBorders>
                    <w:tl2br w:val="nil"/>
                    <w:tr2bl w:val="nil"/>
                  </w:tcBorders>
                  <w:shd w:val="clear" w:color="auto" w:fill="auto"/>
                  <w:noWrap w:val="0"/>
                  <w:vAlign w:val="center"/>
                </w:tcPr>
                <w:p w14:paraId="197F8153">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0.778</w:t>
                  </w:r>
                </w:p>
              </w:tc>
              <w:tc>
                <w:tcPr>
                  <w:tcW w:w="2493" w:type="dxa"/>
                  <w:tcBorders>
                    <w:tl2br w:val="nil"/>
                    <w:tr2bl w:val="nil"/>
                  </w:tcBorders>
                  <w:shd w:val="clear" w:color="auto" w:fill="auto"/>
                  <w:noWrap w:val="0"/>
                  <w:vAlign w:val="center"/>
                </w:tcPr>
                <w:p w14:paraId="3C98E3A6">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2F89B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15B1117F">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6374BE74">
                  <w:pPr>
                    <w:pStyle w:val="38"/>
                    <w:snapToGrid w:val="0"/>
                    <w:spacing w:before="0" w:after="0"/>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硫酸盐</w:t>
                  </w:r>
                </w:p>
              </w:tc>
              <w:tc>
                <w:tcPr>
                  <w:tcW w:w="2010" w:type="dxa"/>
                  <w:tcBorders>
                    <w:tl2br w:val="nil"/>
                    <w:tr2bl w:val="nil"/>
                  </w:tcBorders>
                  <w:shd w:val="clear" w:color="auto" w:fill="auto"/>
                  <w:noWrap w:val="0"/>
                  <w:vAlign w:val="center"/>
                </w:tcPr>
                <w:p w14:paraId="357D8E09">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10.3</w:t>
                  </w:r>
                </w:p>
              </w:tc>
              <w:tc>
                <w:tcPr>
                  <w:tcW w:w="2190" w:type="dxa"/>
                  <w:tcBorders>
                    <w:tl2br w:val="nil"/>
                    <w:tr2bl w:val="nil"/>
                  </w:tcBorders>
                  <w:shd w:val="clear" w:color="auto" w:fill="auto"/>
                  <w:noWrap w:val="0"/>
                  <w:vAlign w:val="center"/>
                </w:tcPr>
                <w:p w14:paraId="7EE3BB37">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40.2</w:t>
                  </w:r>
                </w:p>
              </w:tc>
              <w:tc>
                <w:tcPr>
                  <w:tcW w:w="2493" w:type="dxa"/>
                  <w:tcBorders>
                    <w:tl2br w:val="nil"/>
                    <w:tr2bl w:val="nil"/>
                  </w:tcBorders>
                  <w:shd w:val="clear" w:color="auto" w:fill="auto"/>
                  <w:noWrap w:val="0"/>
                  <w:vAlign w:val="center"/>
                </w:tcPr>
                <w:p w14:paraId="4F3514C9">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≤250</w:t>
                  </w:r>
                </w:p>
              </w:tc>
            </w:tr>
            <w:tr w14:paraId="4C24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26C2BD96">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713A7E6C">
                  <w:pPr>
                    <w:pStyle w:val="38"/>
                    <w:snapToGrid w:val="0"/>
                    <w:spacing w:before="0" w:after="0"/>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氯化物</w:t>
                  </w:r>
                </w:p>
              </w:tc>
              <w:tc>
                <w:tcPr>
                  <w:tcW w:w="2010" w:type="dxa"/>
                  <w:tcBorders>
                    <w:tl2br w:val="nil"/>
                    <w:tr2bl w:val="nil"/>
                  </w:tcBorders>
                  <w:shd w:val="clear" w:color="auto" w:fill="auto"/>
                  <w:noWrap w:val="0"/>
                  <w:vAlign w:val="center"/>
                </w:tcPr>
                <w:p w14:paraId="2CCC4B8D">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7.10</w:t>
                  </w:r>
                </w:p>
              </w:tc>
              <w:tc>
                <w:tcPr>
                  <w:tcW w:w="2190" w:type="dxa"/>
                  <w:tcBorders>
                    <w:tl2br w:val="nil"/>
                    <w:tr2bl w:val="nil"/>
                  </w:tcBorders>
                  <w:shd w:val="clear" w:color="auto" w:fill="auto"/>
                  <w:noWrap w:val="0"/>
                  <w:vAlign w:val="center"/>
                </w:tcPr>
                <w:p w14:paraId="591B8C0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6.37</w:t>
                  </w:r>
                </w:p>
              </w:tc>
              <w:tc>
                <w:tcPr>
                  <w:tcW w:w="2493" w:type="dxa"/>
                  <w:tcBorders>
                    <w:tl2br w:val="nil"/>
                    <w:tr2bl w:val="nil"/>
                  </w:tcBorders>
                  <w:shd w:val="clear" w:color="auto" w:fill="auto"/>
                  <w:noWrap w:val="0"/>
                  <w:vAlign w:val="center"/>
                </w:tcPr>
                <w:p w14:paraId="54741F2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≤250</w:t>
                  </w:r>
                </w:p>
              </w:tc>
            </w:tr>
            <w:tr w14:paraId="4F07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055D1E0C">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5051602A">
                  <w:pPr>
                    <w:pStyle w:val="38"/>
                    <w:snapToGrid w:val="0"/>
                    <w:spacing w:before="0" w:after="0"/>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硝酸盐</w:t>
                  </w:r>
                </w:p>
                <w:p w14:paraId="1B167665">
                  <w:pPr>
                    <w:pStyle w:val="38"/>
                    <w:snapToGrid w:val="0"/>
                    <w:spacing w:before="0" w:after="0"/>
                    <w:rPr>
                      <w:rFonts w:hint="default" w:ascii="Times New Roman" w:hAnsi="Times New Roman" w:eastAsia="宋体" w:cs="Times New Roman"/>
                      <w:kern w:val="0"/>
                      <w:sz w:val="21"/>
                      <w:szCs w:val="21"/>
                      <w:lang w:bidi="ar"/>
                    </w:rPr>
                  </w:pPr>
                  <w:r>
                    <w:rPr>
                      <w:rFonts w:hint="default" w:ascii="Times New Roman" w:hAnsi="Times New Roman" w:eastAsia="宋体" w:cs="Times New Roman"/>
                      <w:kern w:val="0"/>
                      <w:sz w:val="21"/>
                      <w:szCs w:val="21"/>
                      <w:lang w:bidi="ar"/>
                    </w:rPr>
                    <w:t>（以N计）</w:t>
                  </w:r>
                </w:p>
              </w:tc>
              <w:tc>
                <w:tcPr>
                  <w:tcW w:w="2010" w:type="dxa"/>
                  <w:tcBorders>
                    <w:tl2br w:val="nil"/>
                    <w:tr2bl w:val="nil"/>
                  </w:tcBorders>
                  <w:shd w:val="clear" w:color="auto" w:fill="auto"/>
                  <w:noWrap w:val="0"/>
                  <w:vAlign w:val="center"/>
                </w:tcPr>
                <w:p w14:paraId="33AAD28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2.08</w:t>
                  </w:r>
                </w:p>
              </w:tc>
              <w:tc>
                <w:tcPr>
                  <w:tcW w:w="2190" w:type="dxa"/>
                  <w:tcBorders>
                    <w:tl2br w:val="nil"/>
                    <w:tr2bl w:val="nil"/>
                  </w:tcBorders>
                  <w:shd w:val="clear" w:color="auto" w:fill="auto"/>
                  <w:noWrap w:val="0"/>
                  <w:vAlign w:val="center"/>
                </w:tcPr>
                <w:p w14:paraId="65794A3C">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0.113</w:t>
                  </w:r>
                </w:p>
              </w:tc>
              <w:tc>
                <w:tcPr>
                  <w:tcW w:w="2493" w:type="dxa"/>
                  <w:tcBorders>
                    <w:tl2br w:val="nil"/>
                    <w:tr2bl w:val="nil"/>
                  </w:tcBorders>
                  <w:shd w:val="clear" w:color="auto" w:fill="auto"/>
                  <w:noWrap w:val="0"/>
                  <w:vAlign w:val="center"/>
                </w:tcPr>
                <w:p w14:paraId="2BD594F8">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w:t>
                  </w:r>
                </w:p>
              </w:tc>
            </w:tr>
            <w:tr w14:paraId="48CC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2547C3D1">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11379E07">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六价铬</w:t>
                  </w:r>
                </w:p>
              </w:tc>
              <w:tc>
                <w:tcPr>
                  <w:tcW w:w="2010" w:type="dxa"/>
                  <w:tcBorders>
                    <w:tl2br w:val="nil"/>
                    <w:tr2bl w:val="nil"/>
                  </w:tcBorders>
                  <w:shd w:val="clear" w:color="auto" w:fill="auto"/>
                  <w:noWrap w:val="0"/>
                  <w:vAlign w:val="center"/>
                </w:tcPr>
                <w:p w14:paraId="14E7F1A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0.004</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627B530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0.004</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443AD676">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≤0.05</w:t>
                  </w:r>
                </w:p>
              </w:tc>
            </w:tr>
            <w:tr w14:paraId="7C2E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7914BEDF">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5FCE6A55">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氰化物</w:t>
                  </w:r>
                </w:p>
              </w:tc>
              <w:tc>
                <w:tcPr>
                  <w:tcW w:w="2010" w:type="dxa"/>
                  <w:tcBorders>
                    <w:tl2br w:val="nil"/>
                    <w:tr2bl w:val="nil"/>
                  </w:tcBorders>
                  <w:shd w:val="clear" w:color="auto" w:fill="auto"/>
                  <w:noWrap w:val="0"/>
                  <w:vAlign w:val="center"/>
                </w:tcPr>
                <w:p w14:paraId="1EB9D23A">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0.001</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4018C27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0.001</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2A39C41D">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05</w:t>
                  </w:r>
                </w:p>
              </w:tc>
            </w:tr>
            <w:tr w14:paraId="569F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786843AB">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28655704">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阴离子表</w:t>
                  </w:r>
                </w:p>
                <w:p w14:paraId="5CB500B0">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面活性剂</w:t>
                  </w:r>
                </w:p>
              </w:tc>
              <w:tc>
                <w:tcPr>
                  <w:tcW w:w="2010" w:type="dxa"/>
                  <w:tcBorders>
                    <w:tl2br w:val="nil"/>
                    <w:tr2bl w:val="nil"/>
                  </w:tcBorders>
                  <w:shd w:val="clear" w:color="auto" w:fill="auto"/>
                  <w:noWrap w:val="0"/>
                  <w:vAlign w:val="center"/>
                </w:tcPr>
                <w:p w14:paraId="102B1F2F">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0.05</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713A177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0.05</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3B720FEE">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≤0.2</w:t>
                  </w:r>
                </w:p>
              </w:tc>
            </w:tr>
            <w:tr w14:paraId="2AFB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5DD084D4">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09DD079C">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硫化物</w:t>
                  </w:r>
                </w:p>
              </w:tc>
              <w:tc>
                <w:tcPr>
                  <w:tcW w:w="2010" w:type="dxa"/>
                  <w:tcBorders>
                    <w:tl2br w:val="nil"/>
                    <w:tr2bl w:val="nil"/>
                  </w:tcBorders>
                  <w:shd w:val="clear" w:color="auto" w:fill="auto"/>
                  <w:noWrap w:val="0"/>
                  <w:vAlign w:val="center"/>
                </w:tcPr>
                <w:p w14:paraId="4A385A55">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0.01</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0A5D6C22">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Cs w:val="21"/>
                    </w:rPr>
                    <w:t>0.01</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335655E7">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1</w:t>
                  </w:r>
                </w:p>
              </w:tc>
            </w:tr>
            <w:tr w14:paraId="2D35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46B7177E">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06390AB1">
                  <w:pPr>
                    <w:pStyle w:val="38"/>
                    <w:snapToGrid w:val="0"/>
                    <w:spacing w:before="0" w:after="0"/>
                    <w:ind w:left="-105" w:leftChars="-50" w:right="-105" w:rightChars="-50"/>
                    <w:rPr>
                      <w:rFonts w:hint="default" w:ascii="Times New Roman" w:hAnsi="Times New Roman" w:eastAsia="宋体" w:cs="Times New Roman"/>
                      <w:color w:val="000000"/>
                      <w:kern w:val="0"/>
                      <w:sz w:val="21"/>
                      <w:szCs w:val="21"/>
                      <w:lang w:bidi="ar"/>
                    </w:rPr>
                  </w:pPr>
                  <w:r>
                    <w:rPr>
                      <w:rFonts w:hint="default" w:ascii="Times New Roman" w:hAnsi="Times New Roman" w:eastAsia="宋体" w:cs="Times New Roman"/>
                      <w:sz w:val="21"/>
                      <w:szCs w:val="21"/>
                    </w:rPr>
                    <w:t>镉</w:t>
                  </w:r>
                </w:p>
              </w:tc>
              <w:tc>
                <w:tcPr>
                  <w:tcW w:w="2010" w:type="dxa"/>
                  <w:tcBorders>
                    <w:tl2br w:val="nil"/>
                    <w:tr2bl w:val="nil"/>
                  </w:tcBorders>
                  <w:shd w:val="clear" w:color="auto" w:fill="auto"/>
                  <w:noWrap w:val="0"/>
                  <w:vAlign w:val="center"/>
                </w:tcPr>
                <w:p w14:paraId="63CF5CC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0.0001</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77C5A065">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0.0001</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0E04FE7A">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≤0.005</w:t>
                  </w:r>
                </w:p>
              </w:tc>
            </w:tr>
            <w:tr w14:paraId="310D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514393A0">
                  <w:pPr>
                    <w:pStyle w:val="38"/>
                    <w:snapToGrid w:val="0"/>
                    <w:spacing w:before="0" w:after="0"/>
                    <w:ind w:left="-105" w:leftChars="-50" w:right="-105" w:rightChars="-50"/>
                    <w:rPr>
                      <w:rFonts w:hint="default" w:ascii="Times New Roman" w:hAnsi="Times New Roman" w:eastAsia="宋体" w:cs="Times New Roman"/>
                      <w:sz w:val="21"/>
                      <w:szCs w:val="21"/>
                    </w:rPr>
                  </w:pPr>
                </w:p>
              </w:tc>
              <w:tc>
                <w:tcPr>
                  <w:tcW w:w="1800" w:type="dxa"/>
                  <w:tcBorders>
                    <w:tl2br w:val="nil"/>
                    <w:tr2bl w:val="nil"/>
                  </w:tcBorders>
                  <w:noWrap w:val="0"/>
                  <w:vAlign w:val="center"/>
                </w:tcPr>
                <w:p w14:paraId="3A90F504">
                  <w:pPr>
                    <w:pStyle w:val="38"/>
                    <w:snapToGrid w:val="0"/>
                    <w:spacing w:before="0" w:after="0"/>
                    <w:ind w:left="-105" w:leftChars="-50" w:right="-105" w:rightChars="-5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铅</w:t>
                  </w:r>
                </w:p>
              </w:tc>
              <w:tc>
                <w:tcPr>
                  <w:tcW w:w="2010" w:type="dxa"/>
                  <w:tcBorders>
                    <w:tl2br w:val="nil"/>
                    <w:tr2bl w:val="nil"/>
                  </w:tcBorders>
                  <w:shd w:val="clear" w:color="auto" w:fill="auto"/>
                  <w:noWrap w:val="0"/>
                  <w:vAlign w:val="center"/>
                </w:tcPr>
                <w:p w14:paraId="6FC8B69F">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0.001</w:t>
                  </w:r>
                  <w:r>
                    <w:rPr>
                      <w:rFonts w:hint="default" w:ascii="Times New Roman" w:hAnsi="Times New Roman" w:cs="Times New Roman"/>
                      <w:sz w:val="21"/>
                      <w:szCs w:val="21"/>
                      <w:vertAlign w:val="superscript"/>
                    </w:rPr>
                    <w:t>L</w:t>
                  </w:r>
                </w:p>
              </w:tc>
              <w:tc>
                <w:tcPr>
                  <w:tcW w:w="2190" w:type="dxa"/>
                  <w:tcBorders>
                    <w:tl2br w:val="nil"/>
                    <w:tr2bl w:val="nil"/>
                  </w:tcBorders>
                  <w:shd w:val="clear" w:color="auto" w:fill="auto"/>
                  <w:noWrap w:val="0"/>
                  <w:vAlign w:val="center"/>
                </w:tcPr>
                <w:p w14:paraId="56382137">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Cs w:val="21"/>
                    </w:rPr>
                    <w:t>0.001</w:t>
                  </w:r>
                  <w:r>
                    <w:rPr>
                      <w:rFonts w:hint="default" w:ascii="Times New Roman" w:hAnsi="Times New Roman" w:cs="Times New Roman"/>
                      <w:szCs w:val="21"/>
                      <w:vertAlign w:val="superscript"/>
                    </w:rPr>
                    <w:t>L</w:t>
                  </w:r>
                </w:p>
              </w:tc>
              <w:tc>
                <w:tcPr>
                  <w:tcW w:w="2493" w:type="dxa"/>
                  <w:tcBorders>
                    <w:tl2br w:val="nil"/>
                    <w:tr2bl w:val="nil"/>
                  </w:tcBorders>
                  <w:shd w:val="clear" w:color="auto" w:fill="auto"/>
                  <w:noWrap w:val="0"/>
                  <w:vAlign w:val="center"/>
                </w:tcPr>
                <w:p w14:paraId="38481B9B">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≤0.0</w:t>
                  </w:r>
                  <w:r>
                    <w:rPr>
                      <w:rFonts w:hint="eastAsia" w:ascii="Times New Roman" w:hAnsi="Times New Roman" w:eastAsia="宋体" w:cs="Times New Roman"/>
                      <w:sz w:val="21"/>
                      <w:szCs w:val="21"/>
                      <w:lang w:val="en-US" w:eastAsia="zh-CN"/>
                    </w:rPr>
                    <w:t>1</w:t>
                  </w:r>
                </w:p>
              </w:tc>
            </w:tr>
            <w:tr w14:paraId="5CC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dxa"/>
                  <w:vMerge w:val="continue"/>
                  <w:tcBorders>
                    <w:tl2br w:val="nil"/>
                    <w:tr2bl w:val="nil"/>
                  </w:tcBorders>
                  <w:noWrap w:val="0"/>
                  <w:vAlign w:val="center"/>
                </w:tcPr>
                <w:p w14:paraId="3E2F4ED2">
                  <w:pPr>
                    <w:pStyle w:val="38"/>
                    <w:snapToGrid w:val="0"/>
                    <w:spacing w:before="0" w:after="0"/>
                    <w:ind w:left="-105" w:leftChars="-50" w:right="-105" w:rightChars="-50"/>
                    <w:rPr>
                      <w:rFonts w:hint="default" w:ascii="Times New Roman" w:hAnsi="Times New Roman" w:eastAsia="宋体" w:cs="Times New Roman"/>
                      <w:bCs/>
                      <w:sz w:val="21"/>
                      <w:szCs w:val="21"/>
                    </w:rPr>
                  </w:pPr>
                </w:p>
              </w:tc>
              <w:tc>
                <w:tcPr>
                  <w:tcW w:w="1800" w:type="dxa"/>
                  <w:tcBorders>
                    <w:tl2br w:val="nil"/>
                    <w:tr2bl w:val="nil"/>
                  </w:tcBorders>
                  <w:noWrap w:val="0"/>
                  <w:vAlign w:val="center"/>
                </w:tcPr>
                <w:p w14:paraId="6AA6126C">
                  <w:pPr>
                    <w:pStyle w:val="38"/>
                    <w:snapToGrid w:val="0"/>
                    <w:spacing w:before="0" w:after="0"/>
                    <w:ind w:left="-105" w:leftChars="-50" w:right="-105" w:rightChars="-5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粪大肠菌群（MPN/L）</w:t>
                  </w:r>
                </w:p>
              </w:tc>
              <w:tc>
                <w:tcPr>
                  <w:tcW w:w="2010" w:type="dxa"/>
                  <w:tcBorders>
                    <w:tl2br w:val="nil"/>
                    <w:tr2bl w:val="nil"/>
                  </w:tcBorders>
                  <w:shd w:val="clear" w:color="auto" w:fill="auto"/>
                  <w:noWrap w:val="0"/>
                  <w:vAlign w:val="center"/>
                </w:tcPr>
                <w:p w14:paraId="05A72382">
                  <w:pPr>
                    <w:jc w:val="center"/>
                    <w:rPr>
                      <w:rFonts w:hint="default" w:ascii="Times New Roman" w:hAnsi="Times New Roman" w:cs="Times New Roman" w:eastAsiaTheme="minorEastAsia"/>
                      <w:color w:val="000000"/>
                      <w:kern w:val="2"/>
                      <w:sz w:val="21"/>
                      <w:szCs w:val="21"/>
                      <w:lang w:val="en-US" w:eastAsia="zh-CN" w:bidi="ar-SA"/>
                    </w:rPr>
                  </w:pPr>
                  <w:r>
                    <w:rPr>
                      <w:rStyle w:val="40"/>
                      <w:rFonts w:hint="default" w:ascii="Times New Roman" w:hAnsi="Times New Roman" w:cs="Times New Roman"/>
                      <w:sz w:val="21"/>
                      <w:szCs w:val="21"/>
                    </w:rPr>
                    <w:t>1.3×</w:t>
                  </w:r>
                  <w:r>
                    <w:rPr>
                      <w:rStyle w:val="47"/>
                      <w:rFonts w:hint="default" w:ascii="Times New Roman" w:hAnsi="Times New Roman" w:cs="Times New Roman"/>
                      <w:sz w:val="21"/>
                      <w:szCs w:val="21"/>
                    </w:rPr>
                    <w:t>10</w:t>
                  </w:r>
                  <w:r>
                    <w:rPr>
                      <w:rStyle w:val="43"/>
                      <w:rFonts w:hint="default" w:ascii="Times New Roman" w:hAnsi="Times New Roman" w:cs="Times New Roman"/>
                      <w:sz w:val="21"/>
                      <w:szCs w:val="21"/>
                    </w:rPr>
                    <w:t>2</w:t>
                  </w:r>
                </w:p>
              </w:tc>
              <w:tc>
                <w:tcPr>
                  <w:tcW w:w="2190" w:type="dxa"/>
                  <w:tcBorders>
                    <w:tl2br w:val="nil"/>
                    <w:tr2bl w:val="nil"/>
                  </w:tcBorders>
                  <w:shd w:val="clear" w:color="auto" w:fill="auto"/>
                  <w:noWrap w:val="0"/>
                  <w:vAlign w:val="center"/>
                </w:tcPr>
                <w:p w14:paraId="3BA868B3">
                  <w:pPr>
                    <w:ind w:left="-105" w:leftChars="-50" w:right="-105" w:rightChars="-50"/>
                    <w:jc w:val="center"/>
                    <w:rPr>
                      <w:rFonts w:hint="default" w:ascii="Times New Roman" w:hAnsi="Times New Roman" w:cs="Times New Roman" w:eastAsiaTheme="minorEastAsia"/>
                      <w:kern w:val="2"/>
                      <w:sz w:val="21"/>
                      <w:szCs w:val="21"/>
                      <w:lang w:val="en-US" w:eastAsia="zh-CN" w:bidi="ar-SA"/>
                    </w:rPr>
                  </w:pPr>
                  <w:r>
                    <w:rPr>
                      <w:rStyle w:val="40"/>
                      <w:rFonts w:hint="default" w:ascii="Times New Roman" w:hAnsi="Times New Roman" w:cs="Times New Roman"/>
                      <w:sz w:val="21"/>
                    </w:rPr>
                    <w:t>1.9×</w:t>
                  </w:r>
                  <w:r>
                    <w:rPr>
                      <w:rStyle w:val="47"/>
                      <w:rFonts w:hint="default" w:ascii="Times New Roman" w:hAnsi="Times New Roman" w:cs="Times New Roman"/>
                      <w:sz w:val="21"/>
                    </w:rPr>
                    <w:t>10</w:t>
                  </w:r>
                  <w:r>
                    <w:rPr>
                      <w:rStyle w:val="43"/>
                      <w:rFonts w:hint="default" w:ascii="Times New Roman" w:hAnsi="Times New Roman" w:cs="Times New Roman"/>
                      <w:sz w:val="21"/>
                    </w:rPr>
                    <w:t>2</w:t>
                  </w:r>
                </w:p>
              </w:tc>
              <w:tc>
                <w:tcPr>
                  <w:tcW w:w="2493" w:type="dxa"/>
                  <w:tcBorders>
                    <w:tl2br w:val="nil"/>
                    <w:tr2bl w:val="nil"/>
                  </w:tcBorders>
                  <w:shd w:val="clear" w:color="auto" w:fill="auto"/>
                  <w:noWrap w:val="0"/>
                  <w:vAlign w:val="center"/>
                </w:tcPr>
                <w:p w14:paraId="02F3C01C">
                  <w:pPr>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000</w:t>
                  </w:r>
                </w:p>
              </w:tc>
            </w:tr>
          </w:tbl>
          <w:p w14:paraId="3956A061">
            <w:pPr>
              <w:keepNext w:val="0"/>
              <w:keepLines w:val="0"/>
              <w:pageBreakBefore w:val="0"/>
              <w:kinsoku/>
              <w:wordWrap/>
              <w:topLinePunct w:val="0"/>
              <w:bidi w:val="0"/>
              <w:spacing w:line="360" w:lineRule="auto"/>
              <w:ind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bCs/>
                <w:color w:val="auto"/>
                <w:sz w:val="24"/>
                <w:szCs w:val="24"/>
                <w:highlight w:val="none"/>
              </w:rPr>
              <w:t>（</w:t>
            </w:r>
            <w:r>
              <w:rPr>
                <w:rFonts w:hint="default" w:ascii="Times New Roman" w:hAnsi="Times New Roman" w:cs="Times New Roman"/>
                <w:b/>
                <w:color w:val="auto"/>
                <w:sz w:val="24"/>
                <w:szCs w:val="24"/>
                <w:highlight w:val="none"/>
              </w:rPr>
              <w:t>2）地表水环境质量现状评价</w:t>
            </w:r>
          </w:p>
          <w:p w14:paraId="299BE923">
            <w:pPr>
              <w:keepNext w:val="0"/>
              <w:keepLines w:val="0"/>
              <w:pageBreakBefore w:val="0"/>
              <w:widowControl w:val="0"/>
              <w:tabs>
                <w:tab w:val="left" w:pos="748"/>
              </w:tabs>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b/>
                <w:bCs/>
                <w:color w:val="auto"/>
                <w:sz w:val="24"/>
                <w:szCs w:val="24"/>
                <w:highlight w:val="none"/>
              </w:rPr>
              <w:t>①评价因子</w:t>
            </w:r>
          </w:p>
          <w:p w14:paraId="7B35F5D6">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sz w:val="24"/>
                <w:szCs w:val="24"/>
              </w:rPr>
              <w:t>pH、溶解氧、高锰酸盐指数、五日生化需氧量、化学需氧量、氨氮、总磷、</w:t>
            </w:r>
            <w:r>
              <w:rPr>
                <w:rFonts w:hint="eastAsia" w:ascii="Times New Roman" w:hAnsi="Times New Roman" w:cs="Times New Roman"/>
                <w:sz w:val="24"/>
                <w:szCs w:val="24"/>
                <w:lang w:val="en-US" w:eastAsia="zh-CN"/>
              </w:rPr>
              <w:t>总氮、</w:t>
            </w:r>
            <w:r>
              <w:rPr>
                <w:rFonts w:hint="default" w:ascii="Times New Roman" w:hAnsi="Times New Roman" w:cs="Times New Roman"/>
                <w:sz w:val="24"/>
                <w:szCs w:val="24"/>
              </w:rPr>
              <w:t>铜、锌、氟化物、硒、砷、汞、镉、六价铬、铅、氰化物、挥发酚、石油类、阴离子表面活性剂、硫化物、粪大肠菌群、硫酸盐、氯化物、硝酸盐、铁、锰</w:t>
            </w:r>
            <w:r>
              <w:rPr>
                <w:rFonts w:hint="default" w:ascii="Times New Roman" w:hAnsi="Times New Roman" w:cs="Times New Roman"/>
                <w:color w:val="auto"/>
                <w:sz w:val="24"/>
                <w:szCs w:val="24"/>
                <w:highlight w:val="none"/>
                <w:lang w:eastAsia="zh-CN"/>
              </w:rPr>
              <w:t>。</w:t>
            </w:r>
          </w:p>
          <w:p w14:paraId="37ACC1A1">
            <w:pPr>
              <w:keepNext w:val="0"/>
              <w:keepLines w:val="0"/>
              <w:pageBreakBefore w:val="0"/>
              <w:kinsoku/>
              <w:wordWrap/>
              <w:topLinePunct w:val="0"/>
              <w:bidi w:val="0"/>
              <w:spacing w:line="360" w:lineRule="auto"/>
              <w:ind w:left="0" w:leftChars="0" w:right="0" w:firstLine="482" w:firstLineChars="200"/>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②评价标准</w:t>
            </w:r>
          </w:p>
          <w:p w14:paraId="5887B303">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执行《地表水环境质量标准》（GB3838-2002）中</w:t>
            </w:r>
            <w:r>
              <w:rPr>
                <w:rFonts w:hint="default" w:ascii="Times New Roman" w:hAnsi="Times New Roman" w:cs="Times New Roman"/>
                <w:color w:val="auto"/>
                <w:sz w:val="24"/>
                <w:highlight w:val="none"/>
                <w:lang w:val="en-US" w:eastAsia="zh-CN"/>
              </w:rPr>
              <w:t>Ⅱ</w:t>
            </w:r>
            <w:r>
              <w:rPr>
                <w:rFonts w:hint="default" w:ascii="Times New Roman" w:hAnsi="Times New Roman" w:cs="Times New Roman"/>
                <w:color w:val="auto"/>
                <w:sz w:val="24"/>
                <w:highlight w:val="none"/>
              </w:rPr>
              <w:t>类标准。</w:t>
            </w:r>
          </w:p>
          <w:p w14:paraId="1AFEEE43">
            <w:pPr>
              <w:keepNext w:val="0"/>
              <w:keepLines w:val="0"/>
              <w:pageBreakBefore w:val="0"/>
              <w:kinsoku/>
              <w:wordWrap/>
              <w:topLinePunct w:val="0"/>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③评价方法</w:t>
            </w:r>
          </w:p>
          <w:p w14:paraId="5CDF50B1">
            <w:pPr>
              <w:keepNext w:val="0"/>
              <w:keepLines w:val="0"/>
              <w:pageBreakBefore w:val="0"/>
              <w:kinsoku/>
              <w:wordWrap/>
              <w:topLinePunct w:val="0"/>
              <w:bidi w:val="0"/>
              <w:spacing w:line="360" w:lineRule="auto"/>
              <w:ind w:left="0" w:leftChars="0" w:right="0" w:firstLine="48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本次评价采用单项水质指数评价法</w:t>
            </w:r>
            <w:r>
              <w:rPr>
                <w:rFonts w:hint="default" w:ascii="Times New Roman" w:hAnsi="Times New Roman" w:cs="Times New Roman"/>
                <w:color w:val="auto"/>
                <w:sz w:val="24"/>
                <w:highlight w:val="none"/>
                <w:lang w:eastAsia="zh-CN"/>
              </w:rPr>
              <w:t>。</w:t>
            </w:r>
          </w:p>
          <w:p w14:paraId="64F17B42">
            <w:pPr>
              <w:keepNext w:val="0"/>
              <w:keepLines w:val="0"/>
              <w:pageBreakBefore w:val="0"/>
              <w:kinsoku/>
              <w:wordWrap/>
              <w:topLinePunct w:val="0"/>
              <w:bidi w:val="0"/>
              <w:spacing w:line="360" w:lineRule="auto"/>
              <w:ind w:left="0" w:leftChars="0" w:right="0"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a.一般污染物公式为：</w:t>
            </w:r>
          </w:p>
          <w:p w14:paraId="3F37D096">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i/>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si</w:t>
            </w:r>
          </w:p>
          <w:p w14:paraId="2B5226CA">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S</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——单项水质因子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在第</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点的标准指数；</w:t>
            </w:r>
          </w:p>
          <w:p w14:paraId="7CC92225">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i，j</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）点的评价因子水质浓度或水质因子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在监测点（或预测点）</w:t>
            </w:r>
            <w:r>
              <w:rPr>
                <w:rFonts w:hint="default" w:ascii="Times New Roman" w:hAnsi="Times New Roman" w:cs="Times New Roman"/>
                <w:i/>
                <w:color w:val="auto"/>
                <w:sz w:val="24"/>
                <w:highlight w:val="none"/>
              </w:rPr>
              <w:t>j</w:t>
            </w:r>
            <w:r>
              <w:rPr>
                <w:rFonts w:hint="default" w:ascii="Times New Roman" w:hAnsi="Times New Roman" w:cs="Times New Roman"/>
                <w:color w:val="auto"/>
                <w:sz w:val="24"/>
                <w:highlight w:val="none"/>
              </w:rPr>
              <w:t>的水质浓度，mg/L；</w:t>
            </w:r>
          </w:p>
          <w:p w14:paraId="637680C3">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C</w:t>
            </w:r>
            <w:r>
              <w:rPr>
                <w:rFonts w:hint="default" w:ascii="Times New Roman" w:hAnsi="Times New Roman" w:cs="Times New Roman"/>
                <w:i/>
                <w:color w:val="auto"/>
                <w:sz w:val="24"/>
                <w:highlight w:val="none"/>
                <w:vertAlign w:val="subscript"/>
              </w:rPr>
              <w:t>sj</w:t>
            </w:r>
            <w:r>
              <w:rPr>
                <w:rFonts w:hint="default" w:ascii="Times New Roman" w:hAnsi="Times New Roman" w:cs="Times New Roman"/>
                <w:color w:val="auto"/>
                <w:sz w:val="24"/>
                <w:highlight w:val="none"/>
              </w:rPr>
              <w:t>——水质评价因子</w:t>
            </w:r>
            <w:r>
              <w:rPr>
                <w:rFonts w:hint="default" w:ascii="Times New Roman" w:hAnsi="Times New Roman" w:cs="Times New Roman"/>
                <w:i/>
                <w:color w:val="auto"/>
                <w:sz w:val="24"/>
                <w:highlight w:val="none"/>
              </w:rPr>
              <w:t>i</w:t>
            </w:r>
            <w:r>
              <w:rPr>
                <w:rFonts w:hint="default" w:ascii="Times New Roman" w:hAnsi="Times New Roman" w:cs="Times New Roman"/>
                <w:color w:val="auto"/>
                <w:sz w:val="24"/>
                <w:highlight w:val="none"/>
              </w:rPr>
              <w:t>的水质评价标准限值，mg/L。</w:t>
            </w:r>
          </w:p>
          <w:p w14:paraId="3086EA35">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szCs w:val="24"/>
                <w:highlight w:val="none"/>
              </w:rPr>
              <w:t>b.</w:t>
            </w:r>
            <w:r>
              <w:rPr>
                <w:rFonts w:hint="default" w:ascii="Times New Roman" w:hAnsi="Times New Roman" w:cs="Times New Roman"/>
                <w:color w:val="auto"/>
                <w:sz w:val="24"/>
                <w:highlight w:val="none"/>
              </w:rPr>
              <w:t>对具有上、下限标准值的指标pH，公式为：</w:t>
            </w:r>
          </w:p>
          <w:p w14:paraId="50BC98B5">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color w:val="auto"/>
                <w:sz w:val="24"/>
                <w:highlight w:val="none"/>
                <w:vertAlign w:val="subscript"/>
              </w:rPr>
              <w:t>sd</w:t>
            </w:r>
            <w:r>
              <w:rPr>
                <w:rFonts w:hint="default" w:ascii="Times New Roman" w:hAnsi="Times New Roman" w:cs="Times New Roman"/>
                <w:color w:val="auto"/>
                <w:sz w:val="24"/>
                <w:highlight w:val="none"/>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w:t>
            </w:r>
          </w:p>
          <w:p w14:paraId="3601531C">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color w:val="auto"/>
                <w:sz w:val="24"/>
                <w:highlight w:val="none"/>
              </w:rPr>
            </w:pP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-7.0）/（pH</w:t>
            </w:r>
            <w:r>
              <w:rPr>
                <w:rFonts w:hint="default" w:ascii="Times New Roman" w:hAnsi="Times New Roman" w:cs="Times New Roman"/>
                <w:color w:val="auto"/>
                <w:sz w:val="24"/>
                <w:highlight w:val="none"/>
                <w:vertAlign w:val="subscript"/>
              </w:rPr>
              <w:t>su</w:t>
            </w:r>
            <w:r>
              <w:rPr>
                <w:rFonts w:hint="default" w:ascii="Times New Roman" w:hAnsi="Times New Roman" w:cs="Times New Roman"/>
                <w:color w:val="auto"/>
                <w:sz w:val="24"/>
                <w:highlight w:val="none"/>
              </w:rPr>
              <w:t>-7.0）pH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＞7.0</w:t>
            </w:r>
          </w:p>
          <w:p w14:paraId="40913D7F">
            <w:pPr>
              <w:keepNext w:val="0"/>
              <w:keepLines w:val="0"/>
              <w:pageBreakBefore w:val="0"/>
              <w:kinsoku/>
              <w:wordWrap/>
              <w:topLinePunct w:val="0"/>
              <w:bidi w:val="0"/>
              <w:spacing w:line="360" w:lineRule="auto"/>
              <w:ind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i/>
                <w:color w:val="auto"/>
                <w:sz w:val="24"/>
                <w:highlight w:val="none"/>
              </w:rPr>
              <w:t>S</w:t>
            </w:r>
            <w:r>
              <w:rPr>
                <w:rFonts w:hint="default" w:ascii="Times New Roman" w:hAnsi="Times New Roman" w:cs="Times New Roman"/>
                <w:color w:val="auto"/>
                <w:sz w:val="24"/>
                <w:highlight w:val="none"/>
                <w:vertAlign w:val="subscript"/>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——pH值的标准指数；</w:t>
            </w:r>
          </w:p>
          <w:p w14:paraId="0EEE3FB3">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i/>
                <w:color w:val="auto"/>
                <w:sz w:val="24"/>
                <w:highlight w:val="none"/>
                <w:vertAlign w:val="subscript"/>
              </w:rPr>
              <w:t>j</w:t>
            </w:r>
            <w:r>
              <w:rPr>
                <w:rFonts w:hint="default" w:ascii="Times New Roman" w:hAnsi="Times New Roman" w:cs="Times New Roman"/>
                <w:color w:val="auto"/>
                <w:sz w:val="24"/>
                <w:highlight w:val="none"/>
              </w:rPr>
              <w:t>——pH值实测值；</w:t>
            </w:r>
          </w:p>
          <w:p w14:paraId="40003EBB">
            <w:pPr>
              <w:keepNext w:val="0"/>
              <w:keepLines w:val="0"/>
              <w:pageBreakBefore w:val="0"/>
              <w:kinsoku/>
              <w:wordWrap/>
              <w:topLinePunct w:val="0"/>
              <w:bidi w:val="0"/>
              <w:spacing w:line="360" w:lineRule="auto"/>
              <w:ind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color w:val="auto"/>
                <w:sz w:val="24"/>
                <w:highlight w:val="none"/>
                <w:vertAlign w:val="subscript"/>
              </w:rPr>
              <w:t>sd</w:t>
            </w:r>
            <w:r>
              <w:rPr>
                <w:rFonts w:hint="default" w:ascii="Times New Roman" w:hAnsi="Times New Roman" w:cs="Times New Roman"/>
                <w:color w:val="auto"/>
                <w:sz w:val="24"/>
                <w:highlight w:val="none"/>
              </w:rPr>
              <w:t>——水质标准中规定的pH值下限值；</w:t>
            </w:r>
          </w:p>
          <w:p w14:paraId="376179D2">
            <w:pPr>
              <w:keepNext w:val="0"/>
              <w:keepLines w:val="0"/>
              <w:pageBreakBefore w:val="0"/>
              <w:kinsoku/>
              <w:wordWrap/>
              <w:topLinePunct w:val="0"/>
              <w:bidi w:val="0"/>
              <w:spacing w:line="360" w:lineRule="auto"/>
              <w:ind w:right="0" w:firstLine="1200" w:firstLineChars="5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pH</w:t>
            </w:r>
            <w:r>
              <w:rPr>
                <w:rFonts w:hint="default" w:ascii="Times New Roman" w:hAnsi="Times New Roman" w:cs="Times New Roman"/>
                <w:color w:val="auto"/>
                <w:sz w:val="24"/>
                <w:highlight w:val="none"/>
                <w:vertAlign w:val="subscript"/>
              </w:rPr>
              <w:t>su</w:t>
            </w:r>
            <w:r>
              <w:rPr>
                <w:rFonts w:hint="default" w:ascii="Times New Roman" w:hAnsi="Times New Roman" w:cs="Times New Roman"/>
                <w:color w:val="auto"/>
                <w:sz w:val="24"/>
                <w:highlight w:val="none"/>
              </w:rPr>
              <w:t>——水质标准中规定的pH值上限值。</w:t>
            </w:r>
          </w:p>
          <w:p w14:paraId="295650E9">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c.溶解氧污染指数计算公式：</w:t>
            </w:r>
          </w:p>
          <w:p w14:paraId="0A431448">
            <w:pPr>
              <w:keepNext w:val="0"/>
              <w:keepLines w:val="0"/>
              <w:pageBreakBefore w:val="0"/>
              <w:kinsoku/>
              <w:wordWrap/>
              <w:topLinePunct w:val="0"/>
              <w:bidi w:val="0"/>
              <w:spacing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56"/>
                <w:highlight w:val="none"/>
              </w:rPr>
              <w:object>
                <v:shape id="_x0000_i1027" o:spt="75" type="#_x0000_t75" style="height:62.85pt;width:169.15pt;" o:ole="t" filled="f" o:preferrelative="t" stroked="f" coordsize="21600,21600">
                  <v:path/>
                  <v:fill on="f" focussize="0,0"/>
                  <v:stroke on="f" joinstyle="miter"/>
                  <v:imagedata r:id="rId22" o:title=""/>
                  <o:lock v:ext="edit" aspectratio="t"/>
                  <w10:wrap type="none"/>
                  <w10:anchorlock/>
                </v:shape>
                <o:OLEObject Type="Embed" ProgID="Equation.KSEE3" ShapeID="_x0000_i1027" DrawAspect="Content" ObjectID="_1468075727" r:id="rId21">
                  <o:LockedField>false</o:LockedField>
                </o:OLEObject>
              </w:object>
            </w:r>
          </w:p>
          <w:p w14:paraId="4E159BB1">
            <w:pPr>
              <w:keepNext w:val="0"/>
              <w:keepLines w:val="0"/>
              <w:pageBreakBefore w:val="0"/>
              <w:kinsoku/>
              <w:wordWrap/>
              <w:topLinePunct w:val="0"/>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w:t>
            </w:r>
            <w:r>
              <w:rPr>
                <w:rFonts w:hint="default" w:ascii="Times New Roman" w:hAnsi="Times New Roman" w:cs="Times New Roman"/>
                <w:color w:val="auto"/>
                <w:sz w:val="24"/>
                <w:szCs w:val="24"/>
                <w:highlight w:val="none"/>
                <w:vertAlign w:val="subscript"/>
              </w:rPr>
              <w:t>DO·j</w:t>
            </w:r>
            <w:r>
              <w:rPr>
                <w:rFonts w:hint="default" w:ascii="Times New Roman" w:hAnsi="Times New Roman" w:cs="Times New Roman"/>
                <w:color w:val="auto"/>
                <w:sz w:val="24"/>
                <w:szCs w:val="24"/>
                <w:highlight w:val="none"/>
              </w:rPr>
              <w:t>——溶解氧的标准指数，大于1表明该水质超标；</w:t>
            </w:r>
          </w:p>
          <w:p w14:paraId="595E81F7">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DOj——溶解氧在j点的实测统计代表值，mg/L；</w:t>
            </w:r>
          </w:p>
          <w:p w14:paraId="4D529D37">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DOs——溶解氧的水质评价标准限值，mg/L；</w:t>
            </w:r>
          </w:p>
          <w:p w14:paraId="2C3999CF">
            <w:pPr>
              <w:keepNext w:val="0"/>
              <w:keepLines w:val="0"/>
              <w:pageBreakBefore w:val="0"/>
              <w:kinsoku/>
              <w:wordWrap/>
              <w:topLinePunct w:val="0"/>
              <w:bidi w:val="0"/>
              <w:spacing w:line="360" w:lineRule="auto"/>
              <w:ind w:left="0" w:leftChars="0" w:right="0" w:firstLine="1200" w:firstLineChars="5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DOf——饱和溶解氧浓度，mg/L，对于河流，DOf=468/（31.6+T）。</w:t>
            </w:r>
          </w:p>
          <w:p w14:paraId="72BE597F">
            <w:pPr>
              <w:keepNext w:val="0"/>
              <w:keepLines w:val="0"/>
              <w:pageBreakBefore w:val="0"/>
              <w:kinsoku/>
              <w:wordWrap/>
              <w:topLinePunct w:val="0"/>
              <w:bidi w:val="0"/>
              <w:spacing w:line="360" w:lineRule="auto"/>
              <w:ind w:right="0" w:firstLine="48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sz w:val="24"/>
                <w:highlight w:val="none"/>
              </w:rPr>
              <w:t>水质评价因子的标准指数大于1时，表明该评价因子的水质超过了规定的水质标准，已经不能满足相应的水域功能要求。</w:t>
            </w:r>
          </w:p>
          <w:p w14:paraId="403F36AF">
            <w:pPr>
              <w:keepNext w:val="0"/>
              <w:keepLines w:val="0"/>
              <w:pageBreakBefore w:val="0"/>
              <w:kinsoku/>
              <w:wordWrap/>
              <w:topLinePunct w:val="0"/>
              <w:bidi w:val="0"/>
              <w:spacing w:line="360" w:lineRule="auto"/>
              <w:ind w:left="0" w:leftChars="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④评价结果</w:t>
            </w:r>
          </w:p>
          <w:p w14:paraId="6AE746BE">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color w:val="auto"/>
                <w:sz w:val="24"/>
                <w:szCs w:val="24"/>
                <w:highlight w:val="none"/>
              </w:rPr>
              <w:t>采用上述评价方法，各水质评价因子的标准指数见</w:t>
            </w:r>
            <w:r>
              <w:rPr>
                <w:rFonts w:hint="default"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14:paraId="70C95443">
            <w:pPr>
              <w:keepNext w:val="0"/>
              <w:keepLines w:val="0"/>
              <w:pageBreakBefore w:val="0"/>
              <w:widowControl w:val="0"/>
              <w:kinsoku/>
              <w:wordWrap/>
              <w:overflowPunct/>
              <w:topLinePunct w:val="0"/>
              <w:autoSpaceDE/>
              <w:autoSpaceDN/>
              <w:bidi w:val="0"/>
              <w:adjustRightInd/>
              <w:snapToGrid/>
              <w:spacing w:line="360" w:lineRule="auto"/>
              <w:ind w:left="0" w:leftChars="0" w:right="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3-</w:t>
            </w:r>
            <w:r>
              <w:rPr>
                <w:rFonts w:hint="eastAsia" w:ascii="Times New Roman" w:hAnsi="Times New Roman" w:eastAsia="黑体" w:cs="Times New Roman"/>
                <w:color w:val="auto"/>
                <w:szCs w:val="21"/>
                <w:highlight w:val="none"/>
                <w:lang w:val="en-US" w:eastAsia="zh-CN"/>
              </w:rPr>
              <w:t xml:space="preserve">4 </w:t>
            </w:r>
            <w:r>
              <w:rPr>
                <w:rFonts w:hint="default" w:ascii="Times New Roman" w:hAnsi="Times New Roman" w:eastAsia="黑体" w:cs="Times New Roman"/>
                <w:color w:val="auto"/>
                <w:szCs w:val="21"/>
                <w:highlight w:val="none"/>
              </w:rPr>
              <w:t>地表水水质评价因子标准指数统计表</w:t>
            </w:r>
          </w:p>
          <w:tbl>
            <w:tblPr>
              <w:tblStyle w:val="25"/>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302"/>
              <w:gridCol w:w="3306"/>
            </w:tblGrid>
            <w:tr w14:paraId="7FEE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vMerge w:val="restart"/>
                  <w:tcBorders>
                    <w:tl2br w:val="nil"/>
                    <w:tr2bl w:val="nil"/>
                  </w:tcBorders>
                  <w:vAlign w:val="center"/>
                </w:tcPr>
                <w:p w14:paraId="0FD6F828">
                  <w:pPr>
                    <w:keepNext w:val="0"/>
                    <w:keepLines w:val="0"/>
                    <w:pageBreakBefore w:val="0"/>
                    <w:kinsoku/>
                    <w:wordWrap/>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监测指标</w:t>
                  </w:r>
                </w:p>
              </w:tc>
              <w:tc>
                <w:tcPr>
                  <w:tcW w:w="1823" w:type="pct"/>
                  <w:tcBorders>
                    <w:tl2br w:val="nil"/>
                    <w:tr2bl w:val="nil"/>
                  </w:tcBorders>
                  <w:vAlign w:val="center"/>
                </w:tcPr>
                <w:p w14:paraId="394B8400">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G1</w:t>
                  </w:r>
                </w:p>
              </w:tc>
              <w:tc>
                <w:tcPr>
                  <w:tcW w:w="1825" w:type="pct"/>
                  <w:tcBorders>
                    <w:tl2br w:val="nil"/>
                    <w:tr2bl w:val="nil"/>
                  </w:tcBorders>
                  <w:vAlign w:val="center"/>
                </w:tcPr>
                <w:p w14:paraId="07B7F703">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G2</w:t>
                  </w:r>
                </w:p>
              </w:tc>
            </w:tr>
            <w:tr w14:paraId="6D64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vMerge w:val="continue"/>
                  <w:tcBorders>
                    <w:tl2br w:val="nil"/>
                    <w:tr2bl w:val="nil"/>
                  </w:tcBorders>
                  <w:vAlign w:val="center"/>
                </w:tcPr>
                <w:p w14:paraId="076D3740">
                  <w:pPr>
                    <w:keepNext w:val="0"/>
                    <w:keepLines w:val="0"/>
                    <w:pageBreakBefore w:val="0"/>
                    <w:widowControl/>
                    <w:kinsoku/>
                    <w:wordWrap/>
                    <w:topLinePunct w:val="0"/>
                    <w:bidi w:val="0"/>
                    <w:ind w:left="0" w:leftChars="0" w:right="0"/>
                    <w:jc w:val="center"/>
                    <w:textAlignment w:val="center"/>
                    <w:rPr>
                      <w:rFonts w:hint="default" w:ascii="Times New Roman" w:hAnsi="Times New Roman" w:cs="Times New Roman"/>
                      <w:b/>
                      <w:color w:val="auto"/>
                      <w:sz w:val="21"/>
                      <w:szCs w:val="21"/>
                      <w:highlight w:val="none"/>
                    </w:rPr>
                  </w:pPr>
                </w:p>
              </w:tc>
              <w:tc>
                <w:tcPr>
                  <w:tcW w:w="1823" w:type="pct"/>
                  <w:tcBorders>
                    <w:tl2br w:val="nil"/>
                    <w:tr2bl w:val="nil"/>
                  </w:tcBorders>
                  <w:vAlign w:val="center"/>
                </w:tcPr>
                <w:p w14:paraId="4A40C086">
                  <w:pPr>
                    <w:pStyle w:val="35"/>
                    <w:keepNext w:val="0"/>
                    <w:keepLines w:val="0"/>
                    <w:pageBreakBefore w:val="0"/>
                    <w:kinsoku/>
                    <w:wordWrap/>
                    <w:overflowPunct w:val="0"/>
                    <w:topLinePunct w:val="0"/>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position w:val="1"/>
                      <w:sz w:val="21"/>
                      <w:szCs w:val="21"/>
                      <w:highlight w:val="none"/>
                    </w:rPr>
                    <w:t>S</w:t>
                  </w:r>
                  <w:r>
                    <w:rPr>
                      <w:rFonts w:hint="default" w:ascii="Times New Roman" w:hAnsi="Times New Roman" w:cs="Times New Roman"/>
                      <w:b/>
                      <w:bCs/>
                      <w:color w:val="auto"/>
                      <w:position w:val="-2"/>
                      <w:sz w:val="21"/>
                      <w:szCs w:val="21"/>
                      <w:highlight w:val="none"/>
                    </w:rPr>
                    <w:t>i</w:t>
                  </w:r>
                  <w:r>
                    <w:rPr>
                      <w:rFonts w:hint="default" w:ascii="Times New Roman" w:hAnsi="Times New Roman" w:cs="Times New Roman"/>
                      <w:b/>
                      <w:bCs/>
                      <w:color w:val="auto"/>
                      <w:sz w:val="21"/>
                      <w:szCs w:val="21"/>
                      <w:highlight w:val="none"/>
                    </w:rPr>
                    <w:t>最大</w:t>
                  </w:r>
                </w:p>
              </w:tc>
              <w:tc>
                <w:tcPr>
                  <w:tcW w:w="1825" w:type="pct"/>
                  <w:tcBorders>
                    <w:tl2br w:val="nil"/>
                    <w:tr2bl w:val="nil"/>
                  </w:tcBorders>
                  <w:vAlign w:val="center"/>
                </w:tcPr>
                <w:p w14:paraId="5C96B668">
                  <w:pPr>
                    <w:pStyle w:val="35"/>
                    <w:keepNext w:val="0"/>
                    <w:keepLines w:val="0"/>
                    <w:pageBreakBefore w:val="0"/>
                    <w:kinsoku/>
                    <w:wordWrap/>
                    <w:overflowPunct w:val="0"/>
                    <w:topLinePunct w:val="0"/>
                    <w:bidi w:val="0"/>
                    <w:ind w:left="0" w:leftChars="0" w:right="0" w:rightChars="0"/>
                    <w:jc w:val="center"/>
                    <w:rPr>
                      <w:rFonts w:hint="default" w:ascii="Times New Roman" w:hAnsi="Times New Roman" w:cs="Times New Roman" w:eastAsiaTheme="minorEastAsia"/>
                      <w:b/>
                      <w:bCs/>
                      <w:color w:val="auto"/>
                      <w:kern w:val="2"/>
                      <w:sz w:val="21"/>
                      <w:szCs w:val="21"/>
                      <w:highlight w:val="none"/>
                      <w:lang w:val="en-US" w:eastAsia="zh-CN" w:bidi="ar-SA"/>
                    </w:rPr>
                  </w:pPr>
                  <w:r>
                    <w:rPr>
                      <w:rFonts w:hint="default" w:ascii="Times New Roman" w:hAnsi="Times New Roman" w:cs="Times New Roman"/>
                      <w:b/>
                      <w:bCs/>
                      <w:color w:val="auto"/>
                      <w:position w:val="1"/>
                      <w:sz w:val="21"/>
                      <w:szCs w:val="21"/>
                      <w:highlight w:val="none"/>
                    </w:rPr>
                    <w:t>S</w:t>
                  </w:r>
                  <w:r>
                    <w:rPr>
                      <w:rFonts w:hint="default" w:ascii="Times New Roman" w:hAnsi="Times New Roman" w:cs="Times New Roman"/>
                      <w:b/>
                      <w:bCs/>
                      <w:color w:val="auto"/>
                      <w:position w:val="-2"/>
                      <w:sz w:val="21"/>
                      <w:szCs w:val="21"/>
                      <w:highlight w:val="none"/>
                    </w:rPr>
                    <w:t>i</w:t>
                  </w:r>
                  <w:r>
                    <w:rPr>
                      <w:rFonts w:hint="default" w:ascii="Times New Roman" w:hAnsi="Times New Roman" w:cs="Times New Roman"/>
                      <w:b/>
                      <w:bCs/>
                      <w:color w:val="auto"/>
                      <w:sz w:val="21"/>
                      <w:szCs w:val="21"/>
                      <w:highlight w:val="none"/>
                    </w:rPr>
                    <w:t>最大</w:t>
                  </w:r>
                </w:p>
              </w:tc>
            </w:tr>
            <w:tr w14:paraId="0FE6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tcBorders>
                    <w:tl2br w:val="nil"/>
                    <w:tr2bl w:val="nil"/>
                  </w:tcBorders>
                  <w:shd w:val="clear" w:color="auto" w:fill="auto"/>
                  <w:vAlign w:val="center"/>
                </w:tcPr>
                <w:p w14:paraId="61D84AEF">
                  <w:pPr>
                    <w:pStyle w:val="38"/>
                    <w:snapToGrid w:val="0"/>
                    <w:spacing w:before="0" w:after="0"/>
                    <w:ind w:left="-105" w:leftChars="-50" w:right="-105" w:rightChars="-5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pH（无量纲）</w:t>
                  </w:r>
                </w:p>
              </w:tc>
              <w:tc>
                <w:tcPr>
                  <w:tcW w:w="1823" w:type="pct"/>
                  <w:tcBorders>
                    <w:tl2br w:val="nil"/>
                    <w:tr2bl w:val="nil"/>
                  </w:tcBorders>
                  <w:shd w:val="clear" w:color="auto" w:fill="auto"/>
                  <w:vAlign w:val="center"/>
                </w:tcPr>
                <w:p w14:paraId="16C1EB70">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0.35</w:t>
                  </w:r>
                </w:p>
              </w:tc>
              <w:tc>
                <w:tcPr>
                  <w:tcW w:w="1825" w:type="pct"/>
                  <w:tcBorders>
                    <w:tl2br w:val="nil"/>
                    <w:tr2bl w:val="nil"/>
                  </w:tcBorders>
                  <w:shd w:val="clear" w:color="auto" w:fill="auto"/>
                  <w:vAlign w:val="center"/>
                </w:tcPr>
                <w:p w14:paraId="3C8745E5">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w:t>
                  </w:r>
                </w:p>
              </w:tc>
            </w:tr>
            <w:tr w14:paraId="1ACB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tcBorders>
                    <w:tl2br w:val="nil"/>
                    <w:tr2bl w:val="nil"/>
                  </w:tcBorders>
                  <w:shd w:val="clear" w:color="auto" w:fill="auto"/>
                  <w:vAlign w:val="center"/>
                </w:tcPr>
                <w:p w14:paraId="305CA1DA">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溶解氧</w:t>
                  </w:r>
                </w:p>
              </w:tc>
              <w:tc>
                <w:tcPr>
                  <w:tcW w:w="1823" w:type="pct"/>
                  <w:tcBorders>
                    <w:tl2br w:val="nil"/>
                    <w:tr2bl w:val="nil"/>
                  </w:tcBorders>
                  <w:shd w:val="clear" w:color="auto" w:fill="auto"/>
                  <w:vAlign w:val="center"/>
                </w:tcPr>
                <w:p w14:paraId="7A9CB818">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0.92</w:t>
                  </w:r>
                </w:p>
              </w:tc>
              <w:tc>
                <w:tcPr>
                  <w:tcW w:w="1825" w:type="pct"/>
                  <w:tcBorders>
                    <w:tl2br w:val="nil"/>
                    <w:tr2bl w:val="nil"/>
                  </w:tcBorders>
                  <w:shd w:val="clear" w:color="auto" w:fill="auto"/>
                  <w:vAlign w:val="center"/>
                </w:tcPr>
                <w:p w14:paraId="3DFDFD4D">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0.95</w:t>
                  </w:r>
                </w:p>
              </w:tc>
            </w:tr>
            <w:tr w14:paraId="418C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743F6754">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高锰酸盐指数</w:t>
                  </w:r>
                </w:p>
              </w:tc>
              <w:tc>
                <w:tcPr>
                  <w:tcW w:w="1823" w:type="pct"/>
                  <w:shd w:val="clear" w:color="auto" w:fill="auto"/>
                  <w:vAlign w:val="center"/>
                </w:tcPr>
                <w:p w14:paraId="566793BF">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0.85</w:t>
                  </w:r>
                </w:p>
              </w:tc>
              <w:tc>
                <w:tcPr>
                  <w:tcW w:w="1825" w:type="pct"/>
                  <w:shd w:val="clear" w:color="auto" w:fill="auto"/>
                  <w:vAlign w:val="center"/>
                </w:tcPr>
                <w:p w14:paraId="52DE9764">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0.95</w:t>
                  </w:r>
                </w:p>
              </w:tc>
            </w:tr>
            <w:tr w14:paraId="6C33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17B5A350">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化学需氧量</w:t>
                  </w:r>
                </w:p>
              </w:tc>
              <w:tc>
                <w:tcPr>
                  <w:tcW w:w="1823" w:type="pct"/>
                  <w:shd w:val="clear" w:color="auto" w:fill="auto"/>
                  <w:vAlign w:val="center"/>
                </w:tcPr>
                <w:p w14:paraId="1A792183">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0.47</w:t>
                  </w:r>
                </w:p>
              </w:tc>
              <w:tc>
                <w:tcPr>
                  <w:tcW w:w="1825" w:type="pct"/>
                  <w:shd w:val="clear" w:color="auto" w:fill="auto"/>
                  <w:vAlign w:val="center"/>
                </w:tcPr>
                <w:p w14:paraId="47AEC170">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0.87</w:t>
                  </w:r>
                </w:p>
              </w:tc>
            </w:tr>
            <w:tr w14:paraId="73A2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175E103D">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五日生化需氧量</w:t>
                  </w:r>
                </w:p>
              </w:tc>
              <w:tc>
                <w:tcPr>
                  <w:tcW w:w="1823" w:type="pct"/>
                  <w:shd w:val="clear" w:color="auto" w:fill="auto"/>
                  <w:vAlign w:val="center"/>
                </w:tcPr>
                <w:p w14:paraId="10C31985">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0.70</w:t>
                  </w:r>
                </w:p>
              </w:tc>
              <w:tc>
                <w:tcPr>
                  <w:tcW w:w="1825" w:type="pct"/>
                  <w:shd w:val="clear" w:color="auto" w:fill="auto"/>
                  <w:vAlign w:val="center"/>
                </w:tcPr>
                <w:p w14:paraId="212E17D0">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0.93</w:t>
                  </w:r>
                </w:p>
              </w:tc>
            </w:tr>
            <w:tr w14:paraId="17C9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4E2EC423">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氨氮</w:t>
                  </w:r>
                </w:p>
              </w:tc>
              <w:tc>
                <w:tcPr>
                  <w:tcW w:w="1823" w:type="pct"/>
                  <w:shd w:val="clear" w:color="auto" w:fill="auto"/>
                  <w:vAlign w:val="center"/>
                </w:tcPr>
                <w:p w14:paraId="062357B0">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w:t>
                  </w:r>
                </w:p>
              </w:tc>
              <w:tc>
                <w:tcPr>
                  <w:tcW w:w="1825" w:type="pct"/>
                  <w:shd w:val="clear" w:color="auto" w:fill="auto"/>
                  <w:vAlign w:val="center"/>
                </w:tcPr>
                <w:p w14:paraId="20797FE7">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0.21</w:t>
                  </w:r>
                </w:p>
              </w:tc>
            </w:tr>
            <w:tr w14:paraId="608A2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09B8D47D">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总磷</w:t>
                  </w:r>
                </w:p>
              </w:tc>
              <w:tc>
                <w:tcPr>
                  <w:tcW w:w="1823" w:type="pct"/>
                  <w:shd w:val="clear" w:color="auto" w:fill="auto"/>
                  <w:vAlign w:val="center"/>
                </w:tcPr>
                <w:p w14:paraId="3C60E29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0.40</w:t>
                  </w:r>
                </w:p>
              </w:tc>
              <w:tc>
                <w:tcPr>
                  <w:tcW w:w="1825" w:type="pct"/>
                  <w:shd w:val="clear" w:color="auto" w:fill="auto"/>
                  <w:vAlign w:val="center"/>
                </w:tcPr>
                <w:p w14:paraId="07B7BEC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0.80</w:t>
                  </w:r>
                </w:p>
              </w:tc>
            </w:tr>
            <w:tr w14:paraId="4E29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45B407C0">
                  <w:pPr>
                    <w:pStyle w:val="38"/>
                    <w:snapToGrid w:val="0"/>
                    <w:spacing w:before="0" w:after="0"/>
                    <w:ind w:left="-105" w:leftChars="-50" w:right="-105" w:rightChars="-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1823" w:type="pct"/>
                  <w:shd w:val="clear" w:color="auto" w:fill="auto"/>
                  <w:vAlign w:val="center"/>
                </w:tcPr>
                <w:p w14:paraId="3C71504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825" w:type="pct"/>
                  <w:shd w:val="clear" w:color="auto" w:fill="auto"/>
                  <w:vAlign w:val="center"/>
                </w:tcPr>
                <w:p w14:paraId="10DFCC7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0.94</w:t>
                  </w:r>
                </w:p>
              </w:tc>
            </w:tr>
            <w:tr w14:paraId="2E00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774730C7">
                  <w:pPr>
                    <w:pStyle w:val="38"/>
                    <w:snapToGrid w:val="0"/>
                    <w:spacing w:before="0" w:after="0"/>
                    <w:ind w:left="-105" w:leftChars="-50" w:right="-105" w:rightChars="-5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铜</w:t>
                  </w:r>
                </w:p>
              </w:tc>
              <w:tc>
                <w:tcPr>
                  <w:tcW w:w="1823" w:type="pct"/>
                  <w:shd w:val="clear" w:color="auto" w:fill="auto"/>
                  <w:vAlign w:val="center"/>
                </w:tcPr>
                <w:p w14:paraId="22DAE5B3">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6F63DE95">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008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61D5A334">
                  <w:pPr>
                    <w:pStyle w:val="38"/>
                    <w:snapToGrid w:val="0"/>
                    <w:spacing w:before="0" w:after="0"/>
                    <w:ind w:left="-105" w:leftChars="-50" w:right="-105" w:rightChars="-5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锌</w:t>
                  </w:r>
                </w:p>
              </w:tc>
              <w:tc>
                <w:tcPr>
                  <w:tcW w:w="1823" w:type="pct"/>
                  <w:shd w:val="clear" w:color="auto" w:fill="auto"/>
                  <w:vAlign w:val="center"/>
                </w:tcPr>
                <w:p w14:paraId="5F8DF2D9">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40DD1DEB">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0AA6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3A30BA22">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铁</w:t>
                  </w:r>
                </w:p>
              </w:tc>
              <w:tc>
                <w:tcPr>
                  <w:tcW w:w="1823" w:type="pct"/>
                  <w:shd w:val="clear" w:color="auto" w:fill="auto"/>
                  <w:vAlign w:val="center"/>
                </w:tcPr>
                <w:p w14:paraId="7A43E85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653EBB0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737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505D7827">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锰</w:t>
                  </w:r>
                </w:p>
              </w:tc>
              <w:tc>
                <w:tcPr>
                  <w:tcW w:w="1823" w:type="pct"/>
                  <w:shd w:val="clear" w:color="auto" w:fill="auto"/>
                  <w:vAlign w:val="center"/>
                </w:tcPr>
                <w:p w14:paraId="074FD71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6488625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DEB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2453108E">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挥发酚</w:t>
                  </w:r>
                </w:p>
              </w:tc>
              <w:tc>
                <w:tcPr>
                  <w:tcW w:w="1823" w:type="pct"/>
                  <w:shd w:val="clear" w:color="auto" w:fill="auto"/>
                  <w:vAlign w:val="center"/>
                </w:tcPr>
                <w:p w14:paraId="6F294B9A">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2412592A">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5A3F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301C861E">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石油类</w:t>
                  </w:r>
                </w:p>
              </w:tc>
              <w:tc>
                <w:tcPr>
                  <w:tcW w:w="1823" w:type="pct"/>
                  <w:shd w:val="clear" w:color="auto" w:fill="auto"/>
                  <w:vAlign w:val="center"/>
                </w:tcPr>
                <w:p w14:paraId="2869DFC2">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39AD2368">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130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18E85A95">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硒</w:t>
                  </w:r>
                </w:p>
              </w:tc>
              <w:tc>
                <w:tcPr>
                  <w:tcW w:w="1823" w:type="pct"/>
                  <w:shd w:val="clear" w:color="auto" w:fill="auto"/>
                  <w:vAlign w:val="center"/>
                </w:tcPr>
                <w:p w14:paraId="53C87A3C">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6A804072">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C09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3329290D">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砷</w:t>
                  </w:r>
                </w:p>
              </w:tc>
              <w:tc>
                <w:tcPr>
                  <w:tcW w:w="1823" w:type="pct"/>
                  <w:shd w:val="clear" w:color="auto" w:fill="auto"/>
                  <w:vAlign w:val="center"/>
                </w:tcPr>
                <w:p w14:paraId="2AD2D262">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15269366">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B0C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4D55B708">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汞</w:t>
                  </w:r>
                </w:p>
              </w:tc>
              <w:tc>
                <w:tcPr>
                  <w:tcW w:w="1823" w:type="pct"/>
                  <w:shd w:val="clear" w:color="auto" w:fill="auto"/>
                  <w:vAlign w:val="center"/>
                </w:tcPr>
                <w:p w14:paraId="1B61E914">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6FE4AC64">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564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398658AF">
                  <w:pPr>
                    <w:pStyle w:val="38"/>
                    <w:snapToGrid w:val="0"/>
                    <w:spacing w:before="0" w:after="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氟化物</w:t>
                  </w:r>
                </w:p>
              </w:tc>
              <w:tc>
                <w:tcPr>
                  <w:tcW w:w="1823" w:type="pct"/>
                  <w:shd w:val="clear" w:color="auto" w:fill="auto"/>
                  <w:vAlign w:val="center"/>
                </w:tcPr>
                <w:p w14:paraId="2FC5CC79">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0.44</w:t>
                  </w:r>
                </w:p>
              </w:tc>
              <w:tc>
                <w:tcPr>
                  <w:tcW w:w="1825" w:type="pct"/>
                  <w:shd w:val="clear" w:color="auto" w:fill="auto"/>
                  <w:vAlign w:val="center"/>
                </w:tcPr>
                <w:p w14:paraId="19E61611">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0.78</w:t>
                  </w:r>
                </w:p>
              </w:tc>
            </w:tr>
            <w:tr w14:paraId="1DF8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1A779C62">
                  <w:pPr>
                    <w:pStyle w:val="38"/>
                    <w:snapToGrid w:val="0"/>
                    <w:spacing w:before="0" w:after="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硫酸盐</w:t>
                  </w:r>
                </w:p>
              </w:tc>
              <w:tc>
                <w:tcPr>
                  <w:tcW w:w="1823" w:type="pct"/>
                  <w:shd w:val="clear" w:color="auto" w:fill="auto"/>
                  <w:vAlign w:val="center"/>
                </w:tcPr>
                <w:p w14:paraId="4A49C26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0.04</w:t>
                  </w:r>
                </w:p>
              </w:tc>
              <w:tc>
                <w:tcPr>
                  <w:tcW w:w="1825" w:type="pct"/>
                  <w:shd w:val="clear" w:color="auto" w:fill="auto"/>
                  <w:vAlign w:val="center"/>
                </w:tcPr>
                <w:p w14:paraId="368231B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0.16</w:t>
                  </w:r>
                </w:p>
              </w:tc>
            </w:tr>
            <w:tr w14:paraId="6D3C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02977947">
                  <w:pPr>
                    <w:pStyle w:val="38"/>
                    <w:snapToGrid w:val="0"/>
                    <w:spacing w:before="0" w:after="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氯化物</w:t>
                  </w:r>
                </w:p>
              </w:tc>
              <w:tc>
                <w:tcPr>
                  <w:tcW w:w="1823" w:type="pct"/>
                  <w:shd w:val="clear" w:color="auto" w:fill="auto"/>
                  <w:vAlign w:val="center"/>
                </w:tcPr>
                <w:p w14:paraId="3F9B520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0.03</w:t>
                  </w:r>
                </w:p>
              </w:tc>
              <w:tc>
                <w:tcPr>
                  <w:tcW w:w="1825" w:type="pct"/>
                  <w:shd w:val="clear" w:color="auto" w:fill="auto"/>
                  <w:vAlign w:val="center"/>
                </w:tcPr>
                <w:p w14:paraId="6DE7FA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0.03</w:t>
                  </w:r>
                </w:p>
              </w:tc>
            </w:tr>
            <w:tr w14:paraId="5091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7E5678BE">
                  <w:pPr>
                    <w:pStyle w:val="38"/>
                    <w:snapToGrid w:val="0"/>
                    <w:spacing w:before="0" w:after="0"/>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硝酸盐</w:t>
                  </w:r>
                </w:p>
                <w:p w14:paraId="22608F5B">
                  <w:pPr>
                    <w:pStyle w:val="38"/>
                    <w:snapToGrid w:val="0"/>
                    <w:spacing w:before="0" w:after="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（以N计）</w:t>
                  </w:r>
                </w:p>
              </w:tc>
              <w:tc>
                <w:tcPr>
                  <w:tcW w:w="1823" w:type="pct"/>
                  <w:shd w:val="clear" w:color="auto" w:fill="auto"/>
                  <w:vAlign w:val="center"/>
                </w:tcPr>
                <w:p w14:paraId="235B0F5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w:t>
                  </w:r>
                </w:p>
              </w:tc>
              <w:tc>
                <w:tcPr>
                  <w:tcW w:w="1825" w:type="pct"/>
                  <w:shd w:val="clear" w:color="auto" w:fill="auto"/>
                  <w:vAlign w:val="center"/>
                </w:tcPr>
                <w:p w14:paraId="3BD2903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w:t>
                  </w:r>
                </w:p>
              </w:tc>
            </w:tr>
            <w:tr w14:paraId="7043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4C3361C1">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六价铬</w:t>
                  </w:r>
                </w:p>
              </w:tc>
              <w:tc>
                <w:tcPr>
                  <w:tcW w:w="1823" w:type="pct"/>
                  <w:shd w:val="clear" w:color="auto" w:fill="auto"/>
                  <w:vAlign w:val="center"/>
                </w:tcPr>
                <w:p w14:paraId="1124D03E">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4393A738">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0E3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7B3E31A0">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氰化物</w:t>
                  </w:r>
                </w:p>
              </w:tc>
              <w:tc>
                <w:tcPr>
                  <w:tcW w:w="1823" w:type="pct"/>
                  <w:shd w:val="clear" w:color="auto" w:fill="auto"/>
                  <w:vAlign w:val="center"/>
                </w:tcPr>
                <w:p w14:paraId="613CAA51">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2C683DD0">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0D65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5CEFB516">
                  <w:pPr>
                    <w:pStyle w:val="38"/>
                    <w:snapToGrid w:val="0"/>
                    <w:spacing w:before="0" w:after="0"/>
                    <w:ind w:left="-105" w:leftChars="-50" w:right="-105" w:rightChars="-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阴离子表</w:t>
                  </w:r>
                </w:p>
                <w:p w14:paraId="37C1D39E">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面活性剂</w:t>
                  </w:r>
                </w:p>
              </w:tc>
              <w:tc>
                <w:tcPr>
                  <w:tcW w:w="1823" w:type="pct"/>
                  <w:shd w:val="clear" w:color="auto" w:fill="auto"/>
                  <w:vAlign w:val="center"/>
                </w:tcPr>
                <w:p w14:paraId="428E80E8">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06B2A9BA">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3E91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228BD34C">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硫化物</w:t>
                  </w:r>
                </w:p>
              </w:tc>
              <w:tc>
                <w:tcPr>
                  <w:tcW w:w="1823" w:type="pct"/>
                  <w:shd w:val="clear" w:color="auto" w:fill="auto"/>
                  <w:vAlign w:val="center"/>
                </w:tcPr>
                <w:p w14:paraId="45509B3F">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4C02E1E5">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6F3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37BCA813">
                  <w:pPr>
                    <w:pStyle w:val="38"/>
                    <w:snapToGrid w:val="0"/>
                    <w:spacing w:before="0" w:after="0"/>
                    <w:ind w:left="-105" w:leftChars="-50" w:right="-105" w:rightChars="-50"/>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镉</w:t>
                  </w:r>
                </w:p>
              </w:tc>
              <w:tc>
                <w:tcPr>
                  <w:tcW w:w="1823" w:type="pct"/>
                  <w:shd w:val="clear" w:color="auto" w:fill="auto"/>
                  <w:vAlign w:val="center"/>
                </w:tcPr>
                <w:p w14:paraId="0C97C394">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767EDEB4">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0A4B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0EBC3E0C">
                  <w:pPr>
                    <w:pStyle w:val="38"/>
                    <w:snapToGrid w:val="0"/>
                    <w:spacing w:before="0" w:after="0"/>
                    <w:ind w:left="-105" w:leftChars="-50" w:right="-105" w:rightChars="-5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铅</w:t>
                  </w:r>
                </w:p>
              </w:tc>
              <w:tc>
                <w:tcPr>
                  <w:tcW w:w="1823" w:type="pct"/>
                  <w:shd w:val="clear" w:color="auto" w:fill="auto"/>
                  <w:vAlign w:val="center"/>
                </w:tcPr>
                <w:p w14:paraId="148E270D">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825" w:type="pct"/>
                  <w:shd w:val="clear" w:color="auto" w:fill="auto"/>
                  <w:vAlign w:val="center"/>
                </w:tcPr>
                <w:p w14:paraId="4D405DBD">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r>
            <w:tr w14:paraId="725A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1" w:type="pct"/>
                  <w:shd w:val="clear" w:color="auto" w:fill="auto"/>
                  <w:vAlign w:val="center"/>
                </w:tcPr>
                <w:p w14:paraId="1A4DE9F1">
                  <w:pPr>
                    <w:pStyle w:val="38"/>
                    <w:snapToGrid w:val="0"/>
                    <w:spacing w:before="0" w:after="0"/>
                    <w:ind w:left="-105" w:leftChars="-50" w:right="-105" w:rightChars="-50"/>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粪大肠菌群（MPN/L）</w:t>
                  </w:r>
                </w:p>
              </w:tc>
              <w:tc>
                <w:tcPr>
                  <w:tcW w:w="1823" w:type="pct"/>
                  <w:shd w:val="clear" w:color="auto" w:fill="auto"/>
                  <w:vAlign w:val="center"/>
                </w:tcPr>
                <w:p w14:paraId="08C16C43">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0.07</w:t>
                  </w:r>
                </w:p>
              </w:tc>
              <w:tc>
                <w:tcPr>
                  <w:tcW w:w="1825" w:type="pct"/>
                  <w:shd w:val="clear" w:color="auto" w:fill="auto"/>
                  <w:vAlign w:val="center"/>
                </w:tcPr>
                <w:p w14:paraId="7D06BBD3">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0.10</w:t>
                  </w:r>
                </w:p>
              </w:tc>
            </w:tr>
          </w:tbl>
          <w:p w14:paraId="16048EB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rPr>
              <w:t>结果表明，现状监测期间，</w:t>
            </w:r>
            <w:r>
              <w:rPr>
                <w:rFonts w:hint="default" w:ascii="Times New Roman" w:hAnsi="Times New Roman" w:cs="Times New Roman"/>
                <w:b w:val="0"/>
                <w:bCs w:val="0"/>
                <w:color w:val="auto"/>
                <w:sz w:val="24"/>
                <w:szCs w:val="24"/>
              </w:rPr>
              <w:t>长滩河</w:t>
            </w:r>
            <w:r>
              <w:rPr>
                <w:rFonts w:hint="eastAsia"/>
                <w:b w:val="0"/>
                <w:bCs w:val="0"/>
                <w:color w:val="auto"/>
                <w:sz w:val="24"/>
                <w:szCs w:val="24"/>
                <w:lang w:eastAsia="zh-CN"/>
              </w:rPr>
              <w:t>、</w:t>
            </w:r>
            <w:r>
              <w:rPr>
                <w:rFonts w:hint="eastAsia"/>
                <w:b w:val="0"/>
                <w:bCs/>
                <w:color w:val="auto"/>
                <w:sz w:val="24"/>
                <w:szCs w:val="24"/>
                <w:lang w:val="en-US" w:eastAsia="zh-CN"/>
              </w:rPr>
              <w:t>普子</w:t>
            </w:r>
            <w:r>
              <w:rPr>
                <w:rFonts w:hint="eastAsia"/>
                <w:b w:val="0"/>
                <w:bCs/>
                <w:color w:val="auto"/>
                <w:sz w:val="24"/>
                <w:szCs w:val="24"/>
              </w:rPr>
              <w:t>坪水库</w:t>
            </w:r>
            <w:r>
              <w:rPr>
                <w:rFonts w:hint="default" w:ascii="Times New Roman" w:hAnsi="Times New Roman" w:cs="Times New Roman"/>
                <w:b w:val="0"/>
                <w:bCs/>
                <w:color w:val="auto"/>
                <w:sz w:val="24"/>
                <w:szCs w:val="24"/>
                <w:highlight w:val="none"/>
              </w:rPr>
              <w:t>各监测指标均能满足《地表水环境质量标准》（GB3838-2002）</w:t>
            </w:r>
            <w:r>
              <w:rPr>
                <w:rFonts w:hint="default" w:ascii="Times New Roman" w:hAnsi="Times New Roman" w:cs="Times New Roman"/>
                <w:b w:val="0"/>
                <w:bCs/>
                <w:color w:val="auto"/>
                <w:sz w:val="24"/>
                <w:szCs w:val="24"/>
                <w:highlight w:val="none"/>
                <w:lang w:val="en-US" w:eastAsia="zh-CN"/>
              </w:rPr>
              <w:t>Ⅱ</w:t>
            </w:r>
            <w:r>
              <w:rPr>
                <w:rFonts w:hint="default" w:ascii="Times New Roman" w:hAnsi="Times New Roman" w:cs="Times New Roman"/>
                <w:b w:val="0"/>
                <w:bCs/>
                <w:color w:val="auto"/>
                <w:sz w:val="24"/>
                <w:szCs w:val="24"/>
                <w:highlight w:val="none"/>
              </w:rPr>
              <w:t>类标准。</w:t>
            </w:r>
          </w:p>
          <w:p w14:paraId="23F42D0F">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三</w:t>
            </w:r>
            <w:r>
              <w:rPr>
                <w:rFonts w:hint="default" w:ascii="Times New Roman" w:hAnsi="Times New Roman" w:cs="Times New Roman"/>
                <w:b/>
                <w:color w:val="auto"/>
                <w:sz w:val="24"/>
                <w:szCs w:val="24"/>
                <w:highlight w:val="none"/>
              </w:rPr>
              <w:t>、声环境质量现状</w:t>
            </w:r>
          </w:p>
          <w:p w14:paraId="57FE05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eastAsia" w:ascii="宋体" w:hAnsi="宋体" w:eastAsia="宋体" w:cs="宋体"/>
                <w:color w:val="auto"/>
                <w:kern w:val="0"/>
                <w:sz w:val="24"/>
                <w:szCs w:val="24"/>
                <w:lang w:val="en-US" w:eastAsia="zh-CN" w:bidi="ar"/>
              </w:rPr>
              <w:t xml:space="preserve">根据调查，隘口水厂周边 </w:t>
            </w:r>
            <w:r>
              <w:rPr>
                <w:rFonts w:hint="default" w:ascii="Times New Roman" w:hAnsi="Times New Roman" w:eastAsia="宋体" w:cs="Times New Roman"/>
                <w:color w:val="auto"/>
                <w:kern w:val="0"/>
                <w:sz w:val="24"/>
                <w:szCs w:val="24"/>
                <w:lang w:val="en-US" w:eastAsia="zh-CN" w:bidi="ar"/>
              </w:rPr>
              <w:t>50</w:t>
            </w:r>
            <w:r>
              <w:rPr>
                <w:rFonts w:hint="eastAsia" w:ascii="宋体" w:hAnsi="宋体" w:eastAsia="宋体" w:cs="宋体"/>
                <w:color w:val="auto"/>
                <w:kern w:val="0"/>
                <w:sz w:val="24"/>
                <w:szCs w:val="24"/>
                <w:lang w:val="en-US" w:eastAsia="zh-CN" w:bidi="ar"/>
              </w:rPr>
              <w:t>米范围内，无声环境保护目标，因此不进行声环境质量现状监测和达标评价。</w:t>
            </w:r>
          </w:p>
          <w:p w14:paraId="1B6A8AD6">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为了解</w:t>
            </w:r>
            <w:r>
              <w:rPr>
                <w:rFonts w:hint="eastAsia" w:ascii="Times New Roman" w:hAnsi="Times New Roman" w:cs="Times New Roman"/>
                <w:color w:val="auto"/>
                <w:sz w:val="24"/>
                <w:szCs w:val="24"/>
                <w:highlight w:val="none"/>
                <w:lang w:val="en-US" w:eastAsia="zh-CN"/>
              </w:rPr>
              <w:t>马渡关水厂</w:t>
            </w:r>
            <w:r>
              <w:rPr>
                <w:rFonts w:hint="default" w:ascii="Times New Roman" w:hAnsi="Times New Roman" w:cs="Times New Roman"/>
                <w:color w:val="auto"/>
                <w:sz w:val="24"/>
                <w:szCs w:val="24"/>
                <w:highlight w:val="none"/>
                <w:lang w:eastAsia="zh-CN"/>
              </w:rPr>
              <w:t>区域声环境质量现状，本次环评</w:t>
            </w:r>
            <w:r>
              <w:rPr>
                <w:rFonts w:hint="default" w:ascii="Times New Roman" w:hAnsi="Times New Roman" w:cs="Times New Roman"/>
                <w:color w:val="auto"/>
                <w:sz w:val="24"/>
                <w:szCs w:val="24"/>
                <w:highlight w:val="none"/>
                <w:lang w:val="en-US" w:eastAsia="zh-CN"/>
              </w:rPr>
              <w:t>区域噪声委托</w:t>
            </w:r>
            <w:r>
              <w:rPr>
                <w:rFonts w:hint="default" w:ascii="Times New Roman" w:hAnsi="Times New Roman" w:cs="Times New Roman"/>
                <w:color w:val="auto"/>
                <w:sz w:val="24"/>
                <w:szCs w:val="24"/>
                <w:highlight w:val="none"/>
                <w:lang w:eastAsia="zh-CN"/>
              </w:rPr>
              <w:t>达州恒福环境监测服务有限公司</w:t>
            </w:r>
            <w:r>
              <w:rPr>
                <w:rFonts w:hint="default" w:ascii="Times New Roman" w:hAnsi="Times New Roman" w:cs="Times New Roman"/>
                <w:color w:val="auto"/>
                <w:sz w:val="24"/>
                <w:szCs w:val="24"/>
                <w:highlight w:val="none"/>
                <w:lang w:val="en-US" w:eastAsia="zh-CN"/>
              </w:rPr>
              <w:t>于202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31</w:t>
            </w:r>
            <w:r>
              <w:rPr>
                <w:rFonts w:hint="default" w:ascii="Times New Roman" w:hAnsi="Times New Roman" w:cs="Times New Roman"/>
                <w:color w:val="auto"/>
                <w:sz w:val="24"/>
                <w:szCs w:val="24"/>
                <w:highlight w:val="none"/>
                <w:lang w:val="en-US" w:eastAsia="zh-CN"/>
              </w:rPr>
              <w:t>日对区域声质量现状进行监测。</w:t>
            </w:r>
          </w:p>
          <w:p w14:paraId="5081E89F">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①监测点位</w:t>
            </w:r>
          </w:p>
          <w:p w14:paraId="068E64D2">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本次环评共设噪声监测点</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eastAsia="zh-CN"/>
              </w:rPr>
              <w:t>个，监测点位置见</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lang w:eastAsia="zh-CN"/>
              </w:rPr>
              <w:t>。</w:t>
            </w:r>
          </w:p>
          <w:p w14:paraId="43620074">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3-</w:t>
            </w:r>
            <w:r>
              <w:rPr>
                <w:rFonts w:hint="eastAsia" w:ascii="Times New Roman" w:hAnsi="Times New Roman" w:eastAsia="黑体" w:cs="Times New Roman"/>
                <w:color w:val="auto"/>
                <w:szCs w:val="21"/>
                <w:highlight w:val="none"/>
                <w:lang w:val="en-US" w:eastAsia="zh-CN"/>
              </w:rPr>
              <w:t xml:space="preserve">5 </w:t>
            </w:r>
            <w:r>
              <w:rPr>
                <w:rFonts w:hint="default" w:ascii="Times New Roman" w:hAnsi="Times New Roman" w:eastAsia="黑体" w:cs="Times New Roman"/>
                <w:color w:val="auto"/>
                <w:szCs w:val="21"/>
                <w:highlight w:val="none"/>
                <w:lang w:val="en-US" w:eastAsia="zh-CN"/>
              </w:rPr>
              <w:t>噪声监测点位表</w:t>
            </w:r>
          </w:p>
          <w:tbl>
            <w:tblPr>
              <w:tblStyle w:val="26"/>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7458"/>
            </w:tblGrid>
            <w:tr w14:paraId="50D9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vAlign w:val="center"/>
                </w:tcPr>
                <w:p w14:paraId="640B9561">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rPr>
                    <w:t>编号</w:t>
                  </w:r>
                </w:p>
              </w:tc>
              <w:tc>
                <w:tcPr>
                  <w:tcW w:w="4118" w:type="pct"/>
                  <w:vAlign w:val="center"/>
                </w:tcPr>
                <w:p w14:paraId="5DA92CF2">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b/>
                      <w:bCs/>
                      <w:color w:val="auto"/>
                      <w:sz w:val="21"/>
                      <w:szCs w:val="21"/>
                      <w:highlight w:val="none"/>
                    </w:rPr>
                    <w:t>监测点名称</w:t>
                  </w:r>
                </w:p>
              </w:tc>
            </w:tr>
            <w:tr w14:paraId="49BE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shd w:val="clear" w:color="auto" w:fill="auto"/>
                  <w:vAlign w:val="center"/>
                </w:tcPr>
                <w:p w14:paraId="35584E0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1</w:t>
                  </w:r>
                </w:p>
              </w:tc>
              <w:tc>
                <w:tcPr>
                  <w:tcW w:w="4118" w:type="pct"/>
                  <w:shd w:val="clear" w:color="auto" w:fill="auto"/>
                  <w:vAlign w:val="center"/>
                </w:tcPr>
                <w:p w14:paraId="6952D4E0">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马渡关水厂西北侧界外1m处</w:t>
                  </w:r>
                </w:p>
              </w:tc>
            </w:tr>
            <w:tr w14:paraId="143F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shd w:val="clear" w:color="auto" w:fill="auto"/>
                  <w:vAlign w:val="center"/>
                </w:tcPr>
                <w:p w14:paraId="557B73B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2</w:t>
                  </w:r>
                </w:p>
              </w:tc>
              <w:tc>
                <w:tcPr>
                  <w:tcW w:w="4118" w:type="pct"/>
                  <w:shd w:val="clear" w:color="auto" w:fill="auto"/>
                  <w:vAlign w:val="center"/>
                </w:tcPr>
                <w:p w14:paraId="476362F0">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马渡关水厂东北侧界外1m处</w:t>
                  </w:r>
                </w:p>
              </w:tc>
            </w:tr>
            <w:tr w14:paraId="216C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shd w:val="clear" w:color="auto" w:fill="auto"/>
                  <w:vAlign w:val="center"/>
                </w:tcPr>
                <w:p w14:paraId="2DF5FC85">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3</w:t>
                  </w:r>
                </w:p>
              </w:tc>
              <w:tc>
                <w:tcPr>
                  <w:tcW w:w="4118" w:type="pct"/>
                  <w:shd w:val="clear" w:color="auto" w:fill="auto"/>
                  <w:vAlign w:val="center"/>
                </w:tcPr>
                <w:p w14:paraId="29CF7FFB">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马渡关水厂东南侧界外1m处</w:t>
                  </w:r>
                </w:p>
              </w:tc>
            </w:tr>
            <w:tr w14:paraId="3BC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shd w:val="clear" w:color="auto" w:fill="auto"/>
                  <w:vAlign w:val="center"/>
                </w:tcPr>
                <w:p w14:paraId="4D023080">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4</w:t>
                  </w:r>
                </w:p>
              </w:tc>
              <w:tc>
                <w:tcPr>
                  <w:tcW w:w="4118" w:type="pct"/>
                  <w:shd w:val="clear" w:color="auto" w:fill="auto"/>
                  <w:vAlign w:val="center"/>
                </w:tcPr>
                <w:p w14:paraId="50A15011">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马渡关水厂南侧界外1m处</w:t>
                  </w:r>
                </w:p>
              </w:tc>
            </w:tr>
            <w:tr w14:paraId="5387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shd w:val="clear" w:color="auto" w:fill="auto"/>
                  <w:vAlign w:val="center"/>
                </w:tcPr>
                <w:p w14:paraId="31181786">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N5</w:t>
                  </w:r>
                </w:p>
              </w:tc>
              <w:tc>
                <w:tcPr>
                  <w:tcW w:w="4118" w:type="pct"/>
                  <w:shd w:val="clear" w:color="auto" w:fill="auto"/>
                  <w:vAlign w:val="center"/>
                </w:tcPr>
                <w:p w14:paraId="6ADB5057">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马渡关水厂西侧农户窗户外1m处</w:t>
                  </w:r>
                </w:p>
              </w:tc>
            </w:tr>
            <w:tr w14:paraId="3C0F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shd w:val="clear" w:color="auto" w:fill="auto"/>
                  <w:vAlign w:val="center"/>
                </w:tcPr>
                <w:p w14:paraId="03519E04">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N6</w:t>
                  </w:r>
                </w:p>
              </w:tc>
              <w:tc>
                <w:tcPr>
                  <w:tcW w:w="4118" w:type="pct"/>
                  <w:shd w:val="clear" w:color="auto" w:fill="auto"/>
                  <w:vAlign w:val="center"/>
                </w:tcPr>
                <w:p w14:paraId="43A7E6AB">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马渡关水厂北侧农户窗户外1m处</w:t>
                  </w:r>
                </w:p>
              </w:tc>
            </w:tr>
            <w:tr w14:paraId="7FC0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1" w:type="pct"/>
                  <w:shd w:val="clear" w:color="auto" w:fill="auto"/>
                  <w:vAlign w:val="center"/>
                </w:tcPr>
                <w:p w14:paraId="7F6BC558">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N7</w:t>
                  </w:r>
                </w:p>
              </w:tc>
              <w:tc>
                <w:tcPr>
                  <w:tcW w:w="4118" w:type="pct"/>
                  <w:shd w:val="clear" w:color="auto" w:fill="auto"/>
                  <w:vAlign w:val="center"/>
                </w:tcPr>
                <w:p w14:paraId="6CD790B0">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马渡关水厂东侧农户窗户外1m处</w:t>
                  </w:r>
                </w:p>
              </w:tc>
            </w:tr>
          </w:tbl>
          <w:p w14:paraId="58852747">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②监测时间</w:t>
            </w:r>
          </w:p>
          <w:p w14:paraId="457A877A">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31</w:t>
            </w:r>
            <w:r>
              <w:rPr>
                <w:rFonts w:hint="default" w:ascii="Times New Roman" w:hAnsi="Times New Roman" w:cs="Times New Roman"/>
                <w:color w:val="auto"/>
                <w:sz w:val="24"/>
                <w:szCs w:val="24"/>
                <w:highlight w:val="none"/>
                <w:lang w:val="en-US" w:eastAsia="zh-CN"/>
              </w:rPr>
              <w:t>日</w:t>
            </w:r>
            <w:r>
              <w:rPr>
                <w:rFonts w:hint="default" w:ascii="Times New Roman" w:hAnsi="Times New Roman" w:cs="Times New Roman"/>
                <w:color w:val="auto"/>
                <w:sz w:val="24"/>
                <w:szCs w:val="24"/>
                <w:highlight w:val="none"/>
                <w:lang w:eastAsia="zh-CN"/>
              </w:rPr>
              <w:t>，共监测</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天，昼</w:t>
            </w:r>
            <w:r>
              <w:rPr>
                <w:rFonts w:hint="default" w:ascii="Times New Roman" w:hAnsi="Times New Roman" w:cs="Times New Roman"/>
                <w:color w:val="auto"/>
                <w:sz w:val="24"/>
                <w:szCs w:val="24"/>
                <w:highlight w:val="none"/>
                <w:lang w:val="en-US" w:eastAsia="zh-CN"/>
              </w:rPr>
              <w:t>夜各</w:t>
            </w:r>
            <w:r>
              <w:rPr>
                <w:rFonts w:hint="default" w:ascii="Times New Roman" w:hAnsi="Times New Roman" w:cs="Times New Roman"/>
                <w:color w:val="auto"/>
                <w:sz w:val="24"/>
                <w:szCs w:val="24"/>
                <w:highlight w:val="none"/>
                <w:lang w:eastAsia="zh-CN"/>
              </w:rPr>
              <w:t>监测</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次。</w:t>
            </w:r>
          </w:p>
          <w:p w14:paraId="0B7BCA2D">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③评价标准</w:t>
            </w:r>
          </w:p>
          <w:p w14:paraId="3201370D">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zh-CN" w:eastAsia="zh-CN"/>
              </w:rPr>
              <w:t>执行《声环境质量标准》（GB3096-2008）</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zh-CN" w:eastAsia="zh-CN"/>
              </w:rPr>
              <w:t>类标准</w:t>
            </w:r>
            <w:r>
              <w:rPr>
                <w:rFonts w:hint="default" w:ascii="Times New Roman" w:hAnsi="Times New Roman" w:cs="Times New Roman"/>
                <w:color w:val="auto"/>
                <w:sz w:val="24"/>
                <w:szCs w:val="24"/>
                <w:highlight w:val="none"/>
                <w:lang w:eastAsia="zh-CN"/>
              </w:rPr>
              <w:t>。</w:t>
            </w:r>
          </w:p>
          <w:p w14:paraId="46C28E52">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④评价结果</w:t>
            </w:r>
          </w:p>
          <w:p w14:paraId="62F08378">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sz w:val="24"/>
                <w:szCs w:val="24"/>
                <w:highlight w:val="none"/>
                <w:lang w:eastAsia="zh-CN"/>
              </w:rPr>
              <w:t>区域声环境质量现状</w:t>
            </w:r>
            <w:r>
              <w:rPr>
                <w:rFonts w:hint="default"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highlight w:val="none"/>
                <w:lang w:eastAsia="zh-CN"/>
              </w:rPr>
              <w:t>结果见</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lang w:eastAsia="zh-CN"/>
              </w:rPr>
              <w:t>。</w:t>
            </w:r>
          </w:p>
          <w:p w14:paraId="4DD48F0B">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eastAsia="黑体" w:cs="Times New Roman"/>
                <w:color w:val="auto"/>
                <w:szCs w:val="21"/>
                <w:highlight w:val="none"/>
              </w:rPr>
              <w:t>表</w:t>
            </w:r>
            <w:r>
              <w:rPr>
                <w:rFonts w:hint="default" w:ascii="Times New Roman" w:hAnsi="Times New Roman" w:eastAsia="黑体" w:cs="Times New Roman"/>
                <w:color w:val="auto"/>
                <w:szCs w:val="21"/>
                <w:highlight w:val="none"/>
                <w:lang w:val="en-US" w:eastAsia="zh-CN"/>
              </w:rPr>
              <w:t>3-</w:t>
            </w:r>
            <w:r>
              <w:rPr>
                <w:rFonts w:hint="eastAsia" w:ascii="Times New Roman" w:hAnsi="Times New Roman" w:eastAsia="黑体" w:cs="Times New Roman"/>
                <w:color w:val="auto"/>
                <w:szCs w:val="21"/>
                <w:highlight w:val="none"/>
                <w:lang w:val="en-US" w:eastAsia="zh-CN"/>
              </w:rPr>
              <w:t xml:space="preserve">6 </w:t>
            </w:r>
            <w:r>
              <w:rPr>
                <w:rFonts w:hint="default" w:ascii="Times New Roman" w:hAnsi="Times New Roman" w:eastAsia="黑体" w:cs="Times New Roman"/>
                <w:color w:val="auto"/>
                <w:szCs w:val="21"/>
                <w:highlight w:val="none"/>
                <w:lang w:val="en-US" w:eastAsia="zh-CN"/>
              </w:rPr>
              <w:t>声环境质量现状评价结果</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810"/>
              <w:gridCol w:w="1155"/>
              <w:gridCol w:w="540"/>
              <w:gridCol w:w="570"/>
              <w:gridCol w:w="1102"/>
              <w:gridCol w:w="587"/>
              <w:gridCol w:w="588"/>
            </w:tblGrid>
            <w:tr w14:paraId="5B9D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4" w:type="dxa"/>
                  <w:vMerge w:val="restart"/>
                  <w:tcBorders>
                    <w:tl2br w:val="nil"/>
                    <w:tr2bl w:val="nil"/>
                  </w:tcBorders>
                  <w:noWrap w:val="0"/>
                  <w:vAlign w:val="center"/>
                </w:tcPr>
                <w:p w14:paraId="2F918188">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检测因子</w:t>
                  </w:r>
                </w:p>
              </w:tc>
              <w:tc>
                <w:tcPr>
                  <w:tcW w:w="3810" w:type="dxa"/>
                  <w:vMerge w:val="restart"/>
                  <w:tcBorders>
                    <w:tl2br w:val="nil"/>
                    <w:tr2bl w:val="nil"/>
                  </w:tcBorders>
                  <w:noWrap w:val="0"/>
                  <w:vAlign w:val="center"/>
                </w:tcPr>
                <w:p w14:paraId="6229FA56">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检测点编号及位置</w:t>
                  </w:r>
                </w:p>
              </w:tc>
              <w:tc>
                <w:tcPr>
                  <w:tcW w:w="2265" w:type="dxa"/>
                  <w:gridSpan w:val="3"/>
                  <w:tcBorders>
                    <w:tl2br w:val="nil"/>
                    <w:tr2bl w:val="nil"/>
                  </w:tcBorders>
                  <w:noWrap w:val="0"/>
                  <w:vAlign w:val="center"/>
                </w:tcPr>
                <w:p w14:paraId="495EA8CF">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昼间</w:t>
                  </w:r>
                </w:p>
              </w:tc>
              <w:tc>
                <w:tcPr>
                  <w:tcW w:w="2277" w:type="dxa"/>
                  <w:gridSpan w:val="3"/>
                  <w:tcBorders>
                    <w:tl2br w:val="nil"/>
                    <w:tr2bl w:val="nil"/>
                  </w:tcBorders>
                  <w:noWrap w:val="0"/>
                  <w:vAlign w:val="center"/>
                </w:tcPr>
                <w:p w14:paraId="29D27F61">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夜间</w:t>
                  </w:r>
                </w:p>
              </w:tc>
            </w:tr>
            <w:tr w14:paraId="2FF3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04" w:type="dxa"/>
                  <w:vMerge w:val="continue"/>
                  <w:tcBorders>
                    <w:tl2br w:val="nil"/>
                    <w:tr2bl w:val="nil"/>
                  </w:tcBorders>
                  <w:noWrap w:val="0"/>
                  <w:vAlign w:val="center"/>
                </w:tcPr>
                <w:p w14:paraId="3538B6E6">
                  <w:pPr>
                    <w:jc w:val="center"/>
                    <w:rPr>
                      <w:rFonts w:hint="default" w:ascii="Times New Roman" w:hAnsi="Times New Roman" w:eastAsia="宋体" w:cs="Times New Roman"/>
                      <w:b/>
                      <w:bCs/>
                      <w:sz w:val="21"/>
                      <w:szCs w:val="21"/>
                    </w:rPr>
                  </w:pPr>
                </w:p>
              </w:tc>
              <w:tc>
                <w:tcPr>
                  <w:tcW w:w="3810" w:type="dxa"/>
                  <w:vMerge w:val="continue"/>
                  <w:tcBorders>
                    <w:tl2br w:val="nil"/>
                    <w:tr2bl w:val="nil"/>
                  </w:tcBorders>
                  <w:noWrap w:val="0"/>
                  <w:vAlign w:val="center"/>
                </w:tcPr>
                <w:p w14:paraId="3DE6B2AF">
                  <w:pPr>
                    <w:jc w:val="center"/>
                    <w:rPr>
                      <w:rFonts w:hint="default" w:ascii="Times New Roman" w:hAnsi="Times New Roman" w:eastAsia="宋体" w:cs="Times New Roman"/>
                      <w:b/>
                      <w:bCs/>
                      <w:sz w:val="21"/>
                      <w:szCs w:val="21"/>
                    </w:rPr>
                  </w:pPr>
                </w:p>
              </w:tc>
              <w:tc>
                <w:tcPr>
                  <w:tcW w:w="1155" w:type="dxa"/>
                  <w:tcBorders>
                    <w:tl2br w:val="nil"/>
                    <w:tr2bl w:val="nil"/>
                  </w:tcBorders>
                  <w:noWrap w:val="0"/>
                  <w:vAlign w:val="center"/>
                </w:tcPr>
                <w:p w14:paraId="3607CD20">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检测时段</w:t>
                  </w:r>
                </w:p>
              </w:tc>
              <w:tc>
                <w:tcPr>
                  <w:tcW w:w="540" w:type="dxa"/>
                  <w:tcBorders>
                    <w:tl2br w:val="nil"/>
                    <w:tr2bl w:val="nil"/>
                  </w:tcBorders>
                  <w:noWrap w:val="0"/>
                  <w:vAlign w:val="center"/>
                </w:tcPr>
                <w:p w14:paraId="1A8E2A8D">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w:t>
                  </w:r>
                </w:p>
                <w:p w14:paraId="669FB52D">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结果</w:t>
                  </w:r>
                </w:p>
              </w:tc>
              <w:tc>
                <w:tcPr>
                  <w:tcW w:w="570" w:type="dxa"/>
                  <w:tcBorders>
                    <w:tl2br w:val="nil"/>
                    <w:tr2bl w:val="nil"/>
                  </w:tcBorders>
                  <w:noWrap w:val="0"/>
                  <w:vAlign w:val="center"/>
                </w:tcPr>
                <w:p w14:paraId="2E3B4AFD">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w:t>
                  </w:r>
                </w:p>
                <w:p w14:paraId="554F6FD3">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限值</w:t>
                  </w:r>
                </w:p>
              </w:tc>
              <w:tc>
                <w:tcPr>
                  <w:tcW w:w="1102" w:type="dxa"/>
                  <w:tcBorders>
                    <w:tl2br w:val="nil"/>
                    <w:tr2bl w:val="nil"/>
                  </w:tcBorders>
                  <w:noWrap w:val="0"/>
                  <w:vAlign w:val="center"/>
                </w:tcPr>
                <w:p w14:paraId="1B6B2C8E">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检测时段</w:t>
                  </w:r>
                </w:p>
              </w:tc>
              <w:tc>
                <w:tcPr>
                  <w:tcW w:w="587" w:type="dxa"/>
                  <w:tcBorders>
                    <w:tl2br w:val="nil"/>
                    <w:tr2bl w:val="nil"/>
                  </w:tcBorders>
                  <w:noWrap w:val="0"/>
                  <w:vAlign w:val="center"/>
                </w:tcPr>
                <w:p w14:paraId="72A00F45">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检测</w:t>
                  </w:r>
                </w:p>
                <w:p w14:paraId="7CDABE55">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结果</w:t>
                  </w:r>
                </w:p>
              </w:tc>
              <w:tc>
                <w:tcPr>
                  <w:tcW w:w="588" w:type="dxa"/>
                  <w:tcBorders>
                    <w:tl2br w:val="nil"/>
                    <w:tr2bl w:val="nil"/>
                  </w:tcBorders>
                  <w:noWrap w:val="0"/>
                  <w:vAlign w:val="center"/>
                </w:tcPr>
                <w:p w14:paraId="14AE310D">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w:t>
                  </w:r>
                </w:p>
                <w:p w14:paraId="4B116F23">
                  <w:pPr>
                    <w:ind w:left="-105" w:leftChars="-50" w:right="-105" w:rightChars="-5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限值</w:t>
                  </w:r>
                </w:p>
              </w:tc>
            </w:tr>
            <w:tr w14:paraId="7E85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restart"/>
                  <w:tcBorders>
                    <w:tl2br w:val="nil"/>
                    <w:tr2bl w:val="nil"/>
                  </w:tcBorders>
                  <w:noWrap w:val="0"/>
                  <w:vAlign w:val="center"/>
                </w:tcPr>
                <w:p w14:paraId="577102DB">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L</w:t>
                  </w:r>
                  <w:r>
                    <w:rPr>
                      <w:rFonts w:hint="default" w:ascii="Times New Roman" w:hAnsi="Times New Roman" w:eastAsia="宋体" w:cs="Times New Roman"/>
                      <w:bCs/>
                      <w:sz w:val="21"/>
                      <w:szCs w:val="21"/>
                      <w:vertAlign w:val="subscript"/>
                    </w:rPr>
                    <w:t>eq</w:t>
                  </w:r>
                </w:p>
              </w:tc>
              <w:tc>
                <w:tcPr>
                  <w:tcW w:w="3810" w:type="dxa"/>
                  <w:tcBorders>
                    <w:tl2br w:val="nil"/>
                    <w:tr2bl w:val="nil"/>
                  </w:tcBorders>
                  <w:shd w:val="clear" w:color="auto" w:fill="auto"/>
                  <w:noWrap w:val="0"/>
                  <w:vAlign w:val="center"/>
                </w:tcPr>
                <w:p w14:paraId="383BF02A">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N1，马渡关水厂西北侧界外1m处</w:t>
                  </w:r>
                </w:p>
              </w:tc>
              <w:tc>
                <w:tcPr>
                  <w:tcW w:w="1155" w:type="dxa"/>
                  <w:tcBorders>
                    <w:tl2br w:val="nil"/>
                    <w:tr2bl w:val="nil"/>
                  </w:tcBorders>
                  <w:shd w:val="clear" w:color="auto" w:fill="auto"/>
                  <w:noWrap w:val="0"/>
                  <w:vAlign w:val="center"/>
                </w:tcPr>
                <w:p w14:paraId="79ABDF23">
                  <w:pPr>
                    <w:pStyle w:val="38"/>
                    <w:spacing w:before="120" w:after="120"/>
                    <w:ind w:left="210" w:leftChars="-50" w:right="-105" w:rightChars="-5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17:00-17:10</w:t>
                  </w:r>
                </w:p>
              </w:tc>
              <w:tc>
                <w:tcPr>
                  <w:tcW w:w="540" w:type="dxa"/>
                  <w:tcBorders>
                    <w:tl2br w:val="nil"/>
                    <w:tr2bl w:val="nil"/>
                  </w:tcBorders>
                  <w:shd w:val="clear" w:color="auto" w:fill="auto"/>
                  <w:noWrap w:val="0"/>
                  <w:vAlign w:val="center"/>
                </w:tcPr>
                <w:p w14:paraId="2B5E72FA">
                  <w:pPr>
                    <w:pStyle w:val="38"/>
                    <w:spacing w:before="120" w:after="120"/>
                    <w:ind w:left="210" w:leftChars="-50" w:right="-105" w:rightChars="-5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56</w:t>
                  </w:r>
                </w:p>
              </w:tc>
              <w:tc>
                <w:tcPr>
                  <w:tcW w:w="570" w:type="dxa"/>
                  <w:tcBorders>
                    <w:tl2br w:val="nil"/>
                    <w:tr2bl w:val="nil"/>
                  </w:tcBorders>
                  <w:noWrap w:val="0"/>
                  <w:vAlign w:val="center"/>
                </w:tcPr>
                <w:p w14:paraId="579D1D45">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102" w:type="dxa"/>
                  <w:tcBorders>
                    <w:tl2br w:val="nil"/>
                    <w:tr2bl w:val="nil"/>
                  </w:tcBorders>
                  <w:shd w:val="clear" w:color="auto" w:fill="auto"/>
                  <w:noWrap w:val="0"/>
                  <w:vAlign w:val="center"/>
                </w:tcPr>
                <w:p w14:paraId="6FE1F691">
                  <w:pPr>
                    <w:pStyle w:val="38"/>
                    <w:spacing w:before="120" w:after="120"/>
                    <w:ind w:left="210" w:leftChars="-50" w:right="-105" w:rightChars="-5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22:01-22:11</w:t>
                  </w:r>
                </w:p>
              </w:tc>
              <w:tc>
                <w:tcPr>
                  <w:tcW w:w="587" w:type="dxa"/>
                  <w:tcBorders>
                    <w:tl2br w:val="nil"/>
                    <w:tr2bl w:val="nil"/>
                  </w:tcBorders>
                  <w:shd w:val="clear" w:color="auto" w:fill="auto"/>
                  <w:noWrap w:val="0"/>
                  <w:vAlign w:val="center"/>
                </w:tcPr>
                <w:p w14:paraId="3ADF5CB1">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43</w:t>
                  </w:r>
                </w:p>
              </w:tc>
              <w:tc>
                <w:tcPr>
                  <w:tcW w:w="588" w:type="dxa"/>
                  <w:tcBorders>
                    <w:tl2br w:val="nil"/>
                    <w:tr2bl w:val="nil"/>
                  </w:tcBorders>
                  <w:noWrap w:val="0"/>
                  <w:vAlign w:val="center"/>
                </w:tcPr>
                <w:p w14:paraId="007D2ADE">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05A5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noWrap w:val="0"/>
                  <w:vAlign w:val="center"/>
                </w:tcPr>
                <w:p w14:paraId="39C8C953">
                  <w:pPr>
                    <w:jc w:val="center"/>
                    <w:rPr>
                      <w:rFonts w:hint="default" w:ascii="Times New Roman" w:hAnsi="Times New Roman" w:eastAsia="宋体" w:cs="Times New Roman"/>
                      <w:bCs/>
                      <w:sz w:val="21"/>
                      <w:szCs w:val="21"/>
                    </w:rPr>
                  </w:pPr>
                </w:p>
              </w:tc>
              <w:tc>
                <w:tcPr>
                  <w:tcW w:w="3810" w:type="dxa"/>
                  <w:tcBorders>
                    <w:tl2br w:val="nil"/>
                    <w:tr2bl w:val="nil"/>
                  </w:tcBorders>
                  <w:shd w:val="clear" w:color="auto" w:fill="auto"/>
                  <w:noWrap w:val="0"/>
                  <w:vAlign w:val="center"/>
                </w:tcPr>
                <w:p w14:paraId="1D55B942">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N2，马渡关水厂东北侧界外1m处</w:t>
                  </w:r>
                </w:p>
              </w:tc>
              <w:tc>
                <w:tcPr>
                  <w:tcW w:w="1155" w:type="dxa"/>
                  <w:tcBorders>
                    <w:tl2br w:val="nil"/>
                    <w:tr2bl w:val="nil"/>
                  </w:tcBorders>
                  <w:shd w:val="clear" w:color="auto" w:fill="auto"/>
                  <w:noWrap w:val="0"/>
                  <w:vAlign w:val="center"/>
                </w:tcPr>
                <w:p w14:paraId="61F9D970">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16:58-17:08</w:t>
                  </w:r>
                </w:p>
              </w:tc>
              <w:tc>
                <w:tcPr>
                  <w:tcW w:w="540" w:type="dxa"/>
                  <w:tcBorders>
                    <w:tl2br w:val="nil"/>
                    <w:tr2bl w:val="nil"/>
                  </w:tcBorders>
                  <w:shd w:val="clear" w:color="auto" w:fill="auto"/>
                  <w:noWrap w:val="0"/>
                  <w:vAlign w:val="center"/>
                </w:tcPr>
                <w:p w14:paraId="6445EF6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55</w:t>
                  </w:r>
                </w:p>
              </w:tc>
              <w:tc>
                <w:tcPr>
                  <w:tcW w:w="570" w:type="dxa"/>
                  <w:tcBorders>
                    <w:tl2br w:val="nil"/>
                    <w:tr2bl w:val="nil"/>
                  </w:tcBorders>
                  <w:noWrap w:val="0"/>
                  <w:vAlign w:val="center"/>
                </w:tcPr>
                <w:p w14:paraId="4C5617E9">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102" w:type="dxa"/>
                  <w:tcBorders>
                    <w:tl2br w:val="nil"/>
                    <w:tr2bl w:val="nil"/>
                  </w:tcBorders>
                  <w:shd w:val="clear" w:color="auto" w:fill="auto"/>
                  <w:noWrap w:val="0"/>
                  <w:vAlign w:val="center"/>
                </w:tcPr>
                <w:p w14:paraId="5300D994">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22:01-22:11</w:t>
                  </w:r>
                </w:p>
              </w:tc>
              <w:tc>
                <w:tcPr>
                  <w:tcW w:w="587" w:type="dxa"/>
                  <w:tcBorders>
                    <w:tl2br w:val="nil"/>
                    <w:tr2bl w:val="nil"/>
                  </w:tcBorders>
                  <w:shd w:val="clear" w:color="auto" w:fill="auto"/>
                  <w:noWrap w:val="0"/>
                  <w:vAlign w:val="center"/>
                </w:tcPr>
                <w:p w14:paraId="0A5D4AF8">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45</w:t>
                  </w:r>
                </w:p>
              </w:tc>
              <w:tc>
                <w:tcPr>
                  <w:tcW w:w="588" w:type="dxa"/>
                  <w:tcBorders>
                    <w:tl2br w:val="nil"/>
                    <w:tr2bl w:val="nil"/>
                  </w:tcBorders>
                  <w:noWrap w:val="0"/>
                  <w:vAlign w:val="center"/>
                </w:tcPr>
                <w:p w14:paraId="184F989E">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0F90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noWrap w:val="0"/>
                  <w:vAlign w:val="center"/>
                </w:tcPr>
                <w:p w14:paraId="66558189">
                  <w:pPr>
                    <w:jc w:val="center"/>
                    <w:rPr>
                      <w:rFonts w:hint="default" w:ascii="Times New Roman" w:hAnsi="Times New Roman" w:eastAsia="宋体" w:cs="Times New Roman"/>
                      <w:bCs/>
                      <w:sz w:val="21"/>
                      <w:szCs w:val="21"/>
                    </w:rPr>
                  </w:pPr>
                </w:p>
              </w:tc>
              <w:tc>
                <w:tcPr>
                  <w:tcW w:w="3810" w:type="dxa"/>
                  <w:tcBorders>
                    <w:tl2br w:val="nil"/>
                    <w:tr2bl w:val="nil"/>
                  </w:tcBorders>
                  <w:shd w:val="clear" w:color="auto" w:fill="auto"/>
                  <w:noWrap w:val="0"/>
                  <w:vAlign w:val="center"/>
                </w:tcPr>
                <w:p w14:paraId="1B0A6E0C">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N3，马渡关水厂东南侧界外1m处</w:t>
                  </w:r>
                </w:p>
              </w:tc>
              <w:tc>
                <w:tcPr>
                  <w:tcW w:w="1155" w:type="dxa"/>
                  <w:tcBorders>
                    <w:tl2br w:val="nil"/>
                    <w:tr2bl w:val="nil"/>
                  </w:tcBorders>
                  <w:shd w:val="clear" w:color="auto" w:fill="auto"/>
                  <w:noWrap w:val="0"/>
                  <w:vAlign w:val="center"/>
                </w:tcPr>
                <w:p w14:paraId="113BB1CA">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17:14-17:24</w:t>
                  </w:r>
                </w:p>
              </w:tc>
              <w:tc>
                <w:tcPr>
                  <w:tcW w:w="540" w:type="dxa"/>
                  <w:tcBorders>
                    <w:tl2br w:val="nil"/>
                    <w:tr2bl w:val="nil"/>
                  </w:tcBorders>
                  <w:shd w:val="clear" w:color="auto" w:fill="auto"/>
                  <w:noWrap w:val="0"/>
                  <w:vAlign w:val="center"/>
                </w:tcPr>
                <w:p w14:paraId="2893EF6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55</w:t>
                  </w:r>
                </w:p>
              </w:tc>
              <w:tc>
                <w:tcPr>
                  <w:tcW w:w="570" w:type="dxa"/>
                  <w:tcBorders>
                    <w:tl2br w:val="nil"/>
                    <w:tr2bl w:val="nil"/>
                  </w:tcBorders>
                  <w:noWrap w:val="0"/>
                  <w:vAlign w:val="center"/>
                </w:tcPr>
                <w:p w14:paraId="6E53CE3D">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102" w:type="dxa"/>
                  <w:tcBorders>
                    <w:tl2br w:val="nil"/>
                    <w:tr2bl w:val="nil"/>
                  </w:tcBorders>
                  <w:shd w:val="clear" w:color="auto" w:fill="auto"/>
                  <w:noWrap w:val="0"/>
                  <w:vAlign w:val="center"/>
                </w:tcPr>
                <w:p w14:paraId="324B431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22:15-22:25</w:t>
                  </w:r>
                </w:p>
              </w:tc>
              <w:tc>
                <w:tcPr>
                  <w:tcW w:w="587" w:type="dxa"/>
                  <w:tcBorders>
                    <w:tl2br w:val="nil"/>
                    <w:tr2bl w:val="nil"/>
                  </w:tcBorders>
                  <w:shd w:val="clear" w:color="auto" w:fill="auto"/>
                  <w:noWrap w:val="0"/>
                  <w:vAlign w:val="center"/>
                </w:tcPr>
                <w:p w14:paraId="223B9219">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47</w:t>
                  </w:r>
                </w:p>
              </w:tc>
              <w:tc>
                <w:tcPr>
                  <w:tcW w:w="588" w:type="dxa"/>
                  <w:tcBorders>
                    <w:tl2br w:val="nil"/>
                    <w:tr2bl w:val="nil"/>
                  </w:tcBorders>
                  <w:noWrap w:val="0"/>
                  <w:vAlign w:val="center"/>
                </w:tcPr>
                <w:p w14:paraId="38D63433">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2EFE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noWrap w:val="0"/>
                  <w:vAlign w:val="center"/>
                </w:tcPr>
                <w:p w14:paraId="124D19A7">
                  <w:pPr>
                    <w:jc w:val="center"/>
                    <w:rPr>
                      <w:rFonts w:hint="default" w:ascii="Times New Roman" w:hAnsi="Times New Roman" w:eastAsia="宋体" w:cs="Times New Roman"/>
                      <w:bCs/>
                      <w:sz w:val="21"/>
                      <w:szCs w:val="21"/>
                    </w:rPr>
                  </w:pPr>
                </w:p>
              </w:tc>
              <w:tc>
                <w:tcPr>
                  <w:tcW w:w="3810" w:type="dxa"/>
                  <w:tcBorders>
                    <w:tl2br w:val="nil"/>
                    <w:tr2bl w:val="nil"/>
                  </w:tcBorders>
                  <w:shd w:val="clear" w:color="auto" w:fill="auto"/>
                  <w:noWrap w:val="0"/>
                  <w:vAlign w:val="center"/>
                </w:tcPr>
                <w:p w14:paraId="3D684043">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N4，马渡关水厂南侧界外1m处</w:t>
                  </w:r>
                </w:p>
              </w:tc>
              <w:tc>
                <w:tcPr>
                  <w:tcW w:w="1155" w:type="dxa"/>
                  <w:tcBorders>
                    <w:tl2br w:val="nil"/>
                    <w:tr2bl w:val="nil"/>
                  </w:tcBorders>
                  <w:shd w:val="clear" w:color="auto" w:fill="auto"/>
                  <w:noWrap w:val="0"/>
                  <w:vAlign w:val="center"/>
                </w:tcPr>
                <w:p w14:paraId="4BA6838E">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17:16-17:26</w:t>
                  </w:r>
                </w:p>
              </w:tc>
              <w:tc>
                <w:tcPr>
                  <w:tcW w:w="540" w:type="dxa"/>
                  <w:tcBorders>
                    <w:tl2br w:val="nil"/>
                    <w:tr2bl w:val="nil"/>
                  </w:tcBorders>
                  <w:shd w:val="clear" w:color="auto" w:fill="auto"/>
                  <w:noWrap w:val="0"/>
                  <w:vAlign w:val="center"/>
                </w:tcPr>
                <w:p w14:paraId="4D9798B8">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56</w:t>
                  </w:r>
                </w:p>
              </w:tc>
              <w:tc>
                <w:tcPr>
                  <w:tcW w:w="570" w:type="dxa"/>
                  <w:tcBorders>
                    <w:tl2br w:val="nil"/>
                    <w:tr2bl w:val="nil"/>
                  </w:tcBorders>
                  <w:noWrap w:val="0"/>
                  <w:vAlign w:val="center"/>
                </w:tcPr>
                <w:p w14:paraId="47323061">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102" w:type="dxa"/>
                  <w:tcBorders>
                    <w:tl2br w:val="nil"/>
                    <w:tr2bl w:val="nil"/>
                  </w:tcBorders>
                  <w:shd w:val="clear" w:color="auto" w:fill="auto"/>
                  <w:noWrap w:val="0"/>
                  <w:vAlign w:val="center"/>
                </w:tcPr>
                <w:p w14:paraId="77362BC6">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22:16-22:26</w:t>
                  </w:r>
                </w:p>
              </w:tc>
              <w:tc>
                <w:tcPr>
                  <w:tcW w:w="587" w:type="dxa"/>
                  <w:tcBorders>
                    <w:tl2br w:val="nil"/>
                    <w:tr2bl w:val="nil"/>
                  </w:tcBorders>
                  <w:shd w:val="clear" w:color="auto" w:fill="auto"/>
                  <w:noWrap w:val="0"/>
                  <w:vAlign w:val="center"/>
                </w:tcPr>
                <w:p w14:paraId="3F4C6C41">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45</w:t>
                  </w:r>
                </w:p>
              </w:tc>
              <w:tc>
                <w:tcPr>
                  <w:tcW w:w="588" w:type="dxa"/>
                  <w:tcBorders>
                    <w:tl2br w:val="nil"/>
                    <w:tr2bl w:val="nil"/>
                  </w:tcBorders>
                  <w:noWrap w:val="0"/>
                  <w:vAlign w:val="center"/>
                </w:tcPr>
                <w:p w14:paraId="784C466F">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353E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noWrap w:val="0"/>
                  <w:vAlign w:val="center"/>
                </w:tcPr>
                <w:p w14:paraId="7E85FD8C">
                  <w:pPr>
                    <w:jc w:val="center"/>
                    <w:rPr>
                      <w:rFonts w:hint="default" w:ascii="Times New Roman" w:hAnsi="Times New Roman" w:eastAsia="宋体" w:cs="Times New Roman"/>
                      <w:bCs/>
                      <w:sz w:val="21"/>
                      <w:szCs w:val="21"/>
                    </w:rPr>
                  </w:pPr>
                </w:p>
              </w:tc>
              <w:tc>
                <w:tcPr>
                  <w:tcW w:w="3810" w:type="dxa"/>
                  <w:tcBorders>
                    <w:tl2br w:val="nil"/>
                    <w:tr2bl w:val="nil"/>
                  </w:tcBorders>
                  <w:shd w:val="clear" w:color="auto" w:fill="auto"/>
                  <w:noWrap w:val="0"/>
                  <w:vAlign w:val="center"/>
                </w:tcPr>
                <w:p w14:paraId="4E286258">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N5，马渡关水厂西侧农户窗户外1m处</w:t>
                  </w:r>
                </w:p>
              </w:tc>
              <w:tc>
                <w:tcPr>
                  <w:tcW w:w="1155" w:type="dxa"/>
                  <w:tcBorders>
                    <w:tl2br w:val="nil"/>
                    <w:tr2bl w:val="nil"/>
                  </w:tcBorders>
                  <w:shd w:val="clear" w:color="auto" w:fill="auto"/>
                  <w:noWrap w:val="0"/>
                  <w:vAlign w:val="center"/>
                </w:tcPr>
                <w:p w14:paraId="55F58638">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17:44-17:54</w:t>
                  </w:r>
                </w:p>
              </w:tc>
              <w:tc>
                <w:tcPr>
                  <w:tcW w:w="540" w:type="dxa"/>
                  <w:tcBorders>
                    <w:tl2br w:val="nil"/>
                    <w:tr2bl w:val="nil"/>
                  </w:tcBorders>
                  <w:shd w:val="clear" w:color="auto" w:fill="auto"/>
                  <w:noWrap w:val="0"/>
                  <w:vAlign w:val="center"/>
                </w:tcPr>
                <w:p w14:paraId="5382FDA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55</w:t>
                  </w:r>
                </w:p>
              </w:tc>
              <w:tc>
                <w:tcPr>
                  <w:tcW w:w="570" w:type="dxa"/>
                  <w:tcBorders>
                    <w:tl2br w:val="nil"/>
                    <w:tr2bl w:val="nil"/>
                  </w:tcBorders>
                  <w:noWrap w:val="0"/>
                  <w:vAlign w:val="center"/>
                </w:tcPr>
                <w:p w14:paraId="21B796C5">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102" w:type="dxa"/>
                  <w:tcBorders>
                    <w:tl2br w:val="nil"/>
                    <w:tr2bl w:val="nil"/>
                  </w:tcBorders>
                  <w:shd w:val="clear" w:color="auto" w:fill="auto"/>
                  <w:noWrap w:val="0"/>
                  <w:vAlign w:val="center"/>
                </w:tcPr>
                <w:p w14:paraId="1A1A9C03">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22:48-22:58</w:t>
                  </w:r>
                </w:p>
              </w:tc>
              <w:tc>
                <w:tcPr>
                  <w:tcW w:w="587" w:type="dxa"/>
                  <w:tcBorders>
                    <w:tl2br w:val="nil"/>
                    <w:tr2bl w:val="nil"/>
                  </w:tcBorders>
                  <w:shd w:val="clear" w:color="auto" w:fill="auto"/>
                  <w:noWrap w:val="0"/>
                  <w:vAlign w:val="center"/>
                </w:tcPr>
                <w:p w14:paraId="53D257F2">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46</w:t>
                  </w:r>
                </w:p>
              </w:tc>
              <w:tc>
                <w:tcPr>
                  <w:tcW w:w="588" w:type="dxa"/>
                  <w:tcBorders>
                    <w:tl2br w:val="nil"/>
                    <w:tr2bl w:val="nil"/>
                  </w:tcBorders>
                  <w:noWrap w:val="0"/>
                  <w:vAlign w:val="center"/>
                </w:tcPr>
                <w:p w14:paraId="5D548935">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0773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noWrap w:val="0"/>
                  <w:vAlign w:val="center"/>
                </w:tcPr>
                <w:p w14:paraId="1C58C4F4">
                  <w:pPr>
                    <w:jc w:val="center"/>
                    <w:rPr>
                      <w:rFonts w:hint="default" w:ascii="Times New Roman" w:hAnsi="Times New Roman" w:eastAsia="宋体" w:cs="Times New Roman"/>
                      <w:bCs/>
                      <w:sz w:val="21"/>
                      <w:szCs w:val="21"/>
                    </w:rPr>
                  </w:pPr>
                </w:p>
              </w:tc>
              <w:tc>
                <w:tcPr>
                  <w:tcW w:w="3810" w:type="dxa"/>
                  <w:tcBorders>
                    <w:tl2br w:val="nil"/>
                    <w:tr2bl w:val="nil"/>
                  </w:tcBorders>
                  <w:shd w:val="clear" w:color="auto" w:fill="auto"/>
                  <w:noWrap w:val="0"/>
                  <w:vAlign w:val="center"/>
                </w:tcPr>
                <w:p w14:paraId="7963A929">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N6，马渡关水厂北侧农户窗户外1m处</w:t>
                  </w:r>
                </w:p>
              </w:tc>
              <w:tc>
                <w:tcPr>
                  <w:tcW w:w="1155" w:type="dxa"/>
                  <w:tcBorders>
                    <w:tl2br w:val="nil"/>
                    <w:tr2bl w:val="nil"/>
                  </w:tcBorders>
                  <w:shd w:val="clear" w:color="auto" w:fill="auto"/>
                  <w:noWrap w:val="0"/>
                  <w:vAlign w:val="center"/>
                </w:tcPr>
                <w:p w14:paraId="3778299A">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17:33-17:43</w:t>
                  </w:r>
                </w:p>
              </w:tc>
              <w:tc>
                <w:tcPr>
                  <w:tcW w:w="540" w:type="dxa"/>
                  <w:tcBorders>
                    <w:tl2br w:val="nil"/>
                    <w:tr2bl w:val="nil"/>
                  </w:tcBorders>
                  <w:shd w:val="clear" w:color="auto" w:fill="auto"/>
                  <w:noWrap w:val="0"/>
                  <w:vAlign w:val="center"/>
                </w:tcPr>
                <w:p w14:paraId="538B109A">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55</w:t>
                  </w:r>
                </w:p>
              </w:tc>
              <w:tc>
                <w:tcPr>
                  <w:tcW w:w="570" w:type="dxa"/>
                  <w:tcBorders>
                    <w:tl2br w:val="nil"/>
                    <w:tr2bl w:val="nil"/>
                  </w:tcBorders>
                  <w:noWrap w:val="0"/>
                  <w:vAlign w:val="center"/>
                </w:tcPr>
                <w:p w14:paraId="48AC8FBD">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102" w:type="dxa"/>
                  <w:tcBorders>
                    <w:tl2br w:val="nil"/>
                    <w:tr2bl w:val="nil"/>
                  </w:tcBorders>
                  <w:shd w:val="clear" w:color="auto" w:fill="auto"/>
                  <w:noWrap w:val="0"/>
                  <w:vAlign w:val="center"/>
                </w:tcPr>
                <w:p w14:paraId="30262A21">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22:32-22:42</w:t>
                  </w:r>
                </w:p>
              </w:tc>
              <w:tc>
                <w:tcPr>
                  <w:tcW w:w="587" w:type="dxa"/>
                  <w:tcBorders>
                    <w:tl2br w:val="nil"/>
                    <w:tr2bl w:val="nil"/>
                  </w:tcBorders>
                  <w:shd w:val="clear" w:color="auto" w:fill="auto"/>
                  <w:noWrap w:val="0"/>
                  <w:vAlign w:val="center"/>
                </w:tcPr>
                <w:p w14:paraId="2B43C93B">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45</w:t>
                  </w:r>
                </w:p>
              </w:tc>
              <w:tc>
                <w:tcPr>
                  <w:tcW w:w="588" w:type="dxa"/>
                  <w:tcBorders>
                    <w:tl2br w:val="nil"/>
                    <w:tr2bl w:val="nil"/>
                  </w:tcBorders>
                  <w:noWrap w:val="0"/>
                  <w:vAlign w:val="center"/>
                </w:tcPr>
                <w:p w14:paraId="45A1A469">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r w14:paraId="3B29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vMerge w:val="continue"/>
                  <w:tcBorders>
                    <w:tl2br w:val="nil"/>
                    <w:tr2bl w:val="nil"/>
                  </w:tcBorders>
                  <w:noWrap w:val="0"/>
                  <w:vAlign w:val="center"/>
                </w:tcPr>
                <w:p w14:paraId="305A2E17">
                  <w:pPr>
                    <w:jc w:val="center"/>
                    <w:rPr>
                      <w:rFonts w:hint="default" w:ascii="Times New Roman" w:hAnsi="Times New Roman" w:eastAsia="宋体" w:cs="Times New Roman"/>
                      <w:bCs/>
                      <w:sz w:val="21"/>
                      <w:szCs w:val="21"/>
                    </w:rPr>
                  </w:pPr>
                </w:p>
              </w:tc>
              <w:tc>
                <w:tcPr>
                  <w:tcW w:w="3810" w:type="dxa"/>
                  <w:tcBorders>
                    <w:tl2br w:val="nil"/>
                    <w:tr2bl w:val="nil"/>
                  </w:tcBorders>
                  <w:shd w:val="clear" w:color="auto" w:fill="auto"/>
                  <w:noWrap w:val="0"/>
                  <w:vAlign w:val="center"/>
                </w:tcPr>
                <w:p w14:paraId="5556447A">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N7，马渡关水厂东侧农户窗户外1m处</w:t>
                  </w:r>
                </w:p>
              </w:tc>
              <w:tc>
                <w:tcPr>
                  <w:tcW w:w="1155" w:type="dxa"/>
                  <w:tcBorders>
                    <w:tl2br w:val="nil"/>
                    <w:tr2bl w:val="nil"/>
                  </w:tcBorders>
                  <w:shd w:val="clear" w:color="auto" w:fill="auto"/>
                  <w:noWrap w:val="0"/>
                  <w:vAlign w:val="center"/>
                </w:tcPr>
                <w:p w14:paraId="448E0337">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17:29-17:39</w:t>
                  </w:r>
                </w:p>
              </w:tc>
              <w:tc>
                <w:tcPr>
                  <w:tcW w:w="540" w:type="dxa"/>
                  <w:tcBorders>
                    <w:tl2br w:val="nil"/>
                    <w:tr2bl w:val="nil"/>
                  </w:tcBorders>
                  <w:shd w:val="clear" w:color="auto" w:fill="auto"/>
                  <w:noWrap w:val="0"/>
                  <w:vAlign w:val="center"/>
                </w:tcPr>
                <w:p w14:paraId="3283FBD9">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54</w:t>
                  </w:r>
                </w:p>
              </w:tc>
              <w:tc>
                <w:tcPr>
                  <w:tcW w:w="570" w:type="dxa"/>
                  <w:tcBorders>
                    <w:tl2br w:val="nil"/>
                    <w:tr2bl w:val="nil"/>
                  </w:tcBorders>
                  <w:noWrap w:val="0"/>
                  <w:vAlign w:val="center"/>
                </w:tcPr>
                <w:p w14:paraId="23AE1853">
                  <w:pPr>
                    <w:pStyle w:val="38"/>
                    <w:spacing w:before="120" w:after="120"/>
                    <w:ind w:left="210" w:leftChars="-50" w:right="-105" w:rightChars="-50"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60</w:t>
                  </w:r>
                </w:p>
              </w:tc>
              <w:tc>
                <w:tcPr>
                  <w:tcW w:w="1102" w:type="dxa"/>
                  <w:tcBorders>
                    <w:tl2br w:val="nil"/>
                    <w:tr2bl w:val="nil"/>
                  </w:tcBorders>
                  <w:shd w:val="clear" w:color="auto" w:fill="auto"/>
                  <w:noWrap w:val="0"/>
                  <w:vAlign w:val="center"/>
                </w:tcPr>
                <w:p w14:paraId="15B8C6CB">
                  <w:pPr>
                    <w:ind w:left="-105" w:leftChars="-50" w:right="-105" w:rightChars="-50"/>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22:30-22:40</w:t>
                  </w:r>
                </w:p>
              </w:tc>
              <w:tc>
                <w:tcPr>
                  <w:tcW w:w="587" w:type="dxa"/>
                  <w:tcBorders>
                    <w:tl2br w:val="nil"/>
                    <w:tr2bl w:val="nil"/>
                  </w:tcBorders>
                  <w:shd w:val="clear" w:color="auto" w:fill="auto"/>
                  <w:noWrap w:val="0"/>
                  <w:vAlign w:val="center"/>
                </w:tcPr>
                <w:p w14:paraId="2EB9EFCC">
                  <w:pPr>
                    <w:pStyle w:val="38"/>
                    <w:spacing w:before="120" w:after="120"/>
                    <w:ind w:left="315" w:leftChars="0" w:hanging="315" w:firstLineChars="0"/>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bCs/>
                      <w:sz w:val="21"/>
                      <w:szCs w:val="21"/>
                    </w:rPr>
                    <w:t>46</w:t>
                  </w:r>
                </w:p>
              </w:tc>
              <w:tc>
                <w:tcPr>
                  <w:tcW w:w="588" w:type="dxa"/>
                  <w:tcBorders>
                    <w:tl2br w:val="nil"/>
                    <w:tr2bl w:val="nil"/>
                  </w:tcBorders>
                  <w:noWrap w:val="0"/>
                  <w:vAlign w:val="center"/>
                </w:tcPr>
                <w:p w14:paraId="60D3086A">
                  <w:pPr>
                    <w:pStyle w:val="38"/>
                    <w:spacing w:before="120" w:after="120"/>
                    <w:ind w:left="315" w:hanging="315"/>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w:t>
                  </w:r>
                </w:p>
              </w:tc>
            </w:tr>
          </w:tbl>
          <w:p w14:paraId="39E4DC4F">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结果表明，</w:t>
            </w:r>
            <w:r>
              <w:rPr>
                <w:rFonts w:hint="default" w:ascii="Times New Roman" w:hAnsi="Times New Roman" w:cs="Times New Roman"/>
                <w:b w:val="0"/>
                <w:bCs/>
                <w:color w:val="auto"/>
                <w:sz w:val="24"/>
                <w:szCs w:val="24"/>
                <w:highlight w:val="none"/>
              </w:rPr>
              <w:t>现状监测期间，</w:t>
            </w:r>
            <w:r>
              <w:rPr>
                <w:rFonts w:hint="default" w:ascii="Times New Roman" w:hAnsi="Times New Roman" w:cs="Times New Roman"/>
                <w:color w:val="auto"/>
                <w:sz w:val="24"/>
                <w:szCs w:val="24"/>
                <w:highlight w:val="none"/>
                <w:lang w:eastAsia="zh-CN"/>
              </w:rPr>
              <w:t>区域各监测点噪声值均达到《声环境质量标准》（GB3096-2008）</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类标准，区域声环境质量良好。</w:t>
            </w:r>
          </w:p>
          <w:p w14:paraId="3A2DE664">
            <w:pPr>
              <w:keepNext w:val="0"/>
              <w:keepLines w:val="0"/>
              <w:pageBreakBefore w:val="0"/>
              <w:widowControl/>
              <w:suppressLineNumbers w:val="0"/>
              <w:kinsoku/>
              <w:wordWrap/>
              <w:overflowPunct/>
              <w:topLinePunct w:val="0"/>
              <w:autoSpaceDE/>
              <w:autoSpaceDN/>
              <w:bidi w:val="0"/>
              <w:adjustRightInd/>
              <w:snapToGrid/>
              <w:spacing w:line="360" w:lineRule="auto"/>
              <w:ind w:left="481" w:leftChars="229" w:firstLine="0" w:firstLineChars="0"/>
              <w:jc w:val="both"/>
              <w:textAlignment w:val="auto"/>
              <w:rPr>
                <w:rFonts w:hint="default" w:ascii="宋体" w:hAnsi="宋体" w:eastAsia="宋体" w:cs="宋体"/>
                <w:b/>
                <w:bCs/>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四、地下水、土壤环境质量现状</w:t>
            </w:r>
          </w:p>
          <w:p w14:paraId="60CF504D">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rPr>
              <w:t>根据《建设项目环境影响报告表编制技术指南（污染影响类）（试行）》，</w:t>
            </w:r>
            <w:r>
              <w:rPr>
                <w:rFonts w:hint="default" w:ascii="Times New Roman" w:hAnsi="Times New Roman" w:cs="Times New Roman"/>
                <w:color w:val="auto"/>
                <w:sz w:val="24"/>
                <w:lang w:val="en-US" w:eastAsia="zh-CN"/>
              </w:rPr>
              <w:t>地下水、</w:t>
            </w:r>
            <w:r>
              <w:rPr>
                <w:rFonts w:hint="default" w:ascii="Times New Roman" w:hAnsi="Times New Roman" w:cs="Times New Roman"/>
                <w:color w:val="auto"/>
                <w:sz w:val="24"/>
              </w:rPr>
              <w:t>土壤</w:t>
            </w:r>
            <w:r>
              <w:rPr>
                <w:rFonts w:hint="default" w:ascii="Times New Roman" w:hAnsi="Times New Roman" w:cs="Times New Roman"/>
                <w:color w:val="auto"/>
                <w:sz w:val="24"/>
                <w:lang w:val="en-US" w:eastAsia="zh-CN"/>
              </w:rPr>
              <w:t>环境，</w:t>
            </w:r>
            <w:r>
              <w:rPr>
                <w:rFonts w:hint="default" w:ascii="Times New Roman" w:hAnsi="Times New Roman" w:cs="Times New Roman"/>
                <w:color w:val="auto"/>
                <w:sz w:val="24"/>
              </w:rPr>
              <w:t>原则上不开展环境质量现状调查。建设项目存在地下水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土壤环境污染途径的，应结合污染源、保护目标分布情况开展现状调查以留作背景值。本项目</w:t>
            </w:r>
            <w:r>
              <w:rPr>
                <w:rFonts w:hint="default" w:ascii="Times New Roman" w:hAnsi="Times New Roman" w:cs="Times New Roman"/>
                <w:color w:val="auto"/>
                <w:sz w:val="24"/>
                <w:lang w:val="en-US" w:eastAsia="zh-CN"/>
              </w:rPr>
              <w:t>属于</w:t>
            </w:r>
            <w:r>
              <w:rPr>
                <w:rFonts w:hint="default" w:ascii="Times New Roman" w:hAnsi="Times New Roman" w:eastAsia="宋体" w:cs="Times New Roman"/>
                <w:color w:val="auto"/>
                <w:sz w:val="24"/>
                <w:szCs w:val="32"/>
                <w:highlight w:val="none"/>
                <w:vertAlign w:val="baseline"/>
                <w:lang w:val="en-US" w:eastAsia="zh-CN"/>
              </w:rPr>
              <w:t>自来水生产和供应行业，</w:t>
            </w:r>
            <w:r>
              <w:rPr>
                <w:rFonts w:hint="default" w:ascii="Times New Roman" w:hAnsi="Times New Roman" w:cs="Times New Roman"/>
                <w:color w:val="auto"/>
                <w:sz w:val="24"/>
              </w:rPr>
              <w:t>根据调查，项目厂房周边 500m范围内不存在地下水环境敏感目标，基本无直接泄漏至地下水和土壤的途径，故本次评价不对地下水和土壤进行现状监测。</w:t>
            </w:r>
          </w:p>
          <w:p w14:paraId="2C985A5C">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五</w:t>
            </w:r>
            <w:r>
              <w:rPr>
                <w:rFonts w:hint="default" w:ascii="Times New Roman" w:hAnsi="Times New Roman" w:cs="Times New Roman"/>
                <w:b/>
                <w:bCs/>
                <w:color w:val="auto"/>
                <w:sz w:val="24"/>
                <w:szCs w:val="24"/>
                <w:highlight w:val="none"/>
                <w:lang w:val="en-US" w:eastAsia="zh-CN"/>
              </w:rPr>
              <w:t>、生态环境质量现状</w:t>
            </w:r>
          </w:p>
          <w:p w14:paraId="279B1EF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w:t>
            </w:r>
            <w:r>
              <w:rPr>
                <w:rFonts w:hint="eastAsia" w:ascii="Times New Roman" w:hAnsi="Times New Roman" w:eastAsia="宋体" w:cs="Times New Roman"/>
                <w:color w:val="auto"/>
                <w:sz w:val="24"/>
                <w:szCs w:val="32"/>
                <w:highlight w:val="none"/>
                <w:vertAlign w:val="baseline"/>
                <w:lang w:val="en-US" w:eastAsia="zh-CN"/>
              </w:rPr>
              <w:t>隘口</w:t>
            </w:r>
            <w:r>
              <w:rPr>
                <w:rFonts w:hint="default" w:ascii="Times New Roman" w:hAnsi="Times New Roman" w:eastAsia="宋体" w:cs="Times New Roman"/>
                <w:color w:val="auto"/>
                <w:sz w:val="24"/>
                <w:szCs w:val="32"/>
                <w:highlight w:val="none"/>
                <w:vertAlign w:val="baseline"/>
                <w:lang w:val="en-US" w:eastAsia="zh-CN"/>
              </w:rPr>
              <w:t>水厂</w:t>
            </w:r>
            <w:r>
              <w:rPr>
                <w:rFonts w:hint="eastAsia" w:ascii="Times New Roman" w:hAnsi="Times New Roman" w:eastAsia="宋体" w:cs="Times New Roman"/>
                <w:color w:val="auto"/>
                <w:sz w:val="24"/>
                <w:szCs w:val="32"/>
                <w:highlight w:val="none"/>
                <w:vertAlign w:val="baseline"/>
                <w:lang w:val="en-US" w:eastAsia="zh-CN"/>
              </w:rPr>
              <w:t>位于宣汉县马渡关镇隘口社区，马渡关</w:t>
            </w:r>
            <w:r>
              <w:rPr>
                <w:rFonts w:hint="default" w:ascii="Times New Roman" w:hAnsi="Times New Roman" w:eastAsia="宋体" w:cs="Times New Roman"/>
                <w:color w:val="auto"/>
                <w:sz w:val="24"/>
                <w:szCs w:val="32"/>
                <w:highlight w:val="none"/>
                <w:vertAlign w:val="baseline"/>
                <w:lang w:val="en-US" w:eastAsia="zh-CN"/>
              </w:rPr>
              <w:t>水厂</w:t>
            </w:r>
            <w:r>
              <w:rPr>
                <w:rFonts w:hint="eastAsia" w:ascii="Times New Roman" w:hAnsi="Times New Roman" w:cs="Times New Roman"/>
                <w:color w:val="auto"/>
                <w:sz w:val="24"/>
                <w:szCs w:val="24"/>
                <w:highlight w:val="none"/>
                <w:lang w:val="en-US" w:eastAsia="zh-CN"/>
              </w:rPr>
              <w:t>位于</w:t>
            </w:r>
            <w:r>
              <w:rPr>
                <w:rFonts w:hint="eastAsia" w:ascii="Times New Roman" w:hAnsi="Times New Roman" w:eastAsia="宋体" w:cs="Times New Roman"/>
                <w:color w:val="auto"/>
                <w:sz w:val="24"/>
                <w:szCs w:val="32"/>
                <w:highlight w:val="none"/>
                <w:vertAlign w:val="baseline"/>
                <w:lang w:val="en-US" w:eastAsia="zh-CN"/>
              </w:rPr>
              <w:t>宣汉县马渡关镇长滩村</w:t>
            </w:r>
            <w:r>
              <w:rPr>
                <w:rFonts w:hint="default" w:ascii="Times New Roman" w:hAnsi="Times New Roman" w:cs="Times New Roman"/>
                <w:b w:val="0"/>
                <w:bCs w:val="0"/>
                <w:color w:val="auto"/>
                <w:sz w:val="24"/>
                <w:szCs w:val="24"/>
                <w:highlight w:val="none"/>
                <w:lang w:val="en-US" w:eastAsia="zh-CN"/>
              </w:rPr>
              <w:t>。</w:t>
            </w:r>
          </w:p>
          <w:p w14:paraId="55BAB194">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（1）陆生生态</w:t>
            </w:r>
          </w:p>
          <w:p w14:paraId="05FDE484">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根据调查了解，项目所属区域植物以农田、</w:t>
            </w:r>
            <w:r>
              <w:rPr>
                <w:rFonts w:hint="eastAsia" w:ascii="Times New Roman" w:hAnsi="Times New Roman" w:cs="Times New Roman"/>
                <w:b w:val="0"/>
                <w:bCs w:val="0"/>
                <w:color w:val="auto"/>
                <w:sz w:val="24"/>
                <w:szCs w:val="24"/>
                <w:highlight w:val="none"/>
                <w:lang w:val="en-US" w:eastAsia="zh-CN"/>
              </w:rPr>
              <w:t>乔木、</w:t>
            </w:r>
            <w:r>
              <w:rPr>
                <w:rFonts w:hint="default" w:ascii="Times New Roman" w:hAnsi="Times New Roman" w:cs="Times New Roman"/>
                <w:b w:val="0"/>
                <w:bCs w:val="0"/>
                <w:color w:val="auto"/>
                <w:sz w:val="24"/>
                <w:szCs w:val="24"/>
                <w:highlight w:val="none"/>
                <w:lang w:val="en-US" w:eastAsia="zh-CN"/>
              </w:rPr>
              <w:t>灌木</w:t>
            </w:r>
            <w:r>
              <w:rPr>
                <w:rFonts w:hint="eastAsia"/>
                <w:color w:val="auto"/>
                <w:highlight w:val="none"/>
                <w:lang w:eastAsia="zh-CN"/>
              </w:rPr>
              <w:t>、</w:t>
            </w:r>
            <w:r>
              <w:rPr>
                <w:rFonts w:hint="default" w:ascii="Times New Roman" w:hAnsi="Times New Roman" w:cs="Times New Roman"/>
                <w:b w:val="0"/>
                <w:bCs w:val="0"/>
                <w:color w:val="auto"/>
                <w:sz w:val="24"/>
                <w:szCs w:val="24"/>
                <w:highlight w:val="none"/>
                <w:lang w:val="en-US" w:eastAsia="zh-CN"/>
              </w:rPr>
              <w:t>杂草为主，覆盖率约90%。评价区内未发现国家重点保护野生植物。同时，经收集资料和实地调查核实，评价区内无古树名木分布。项目所在区域动物主要为常见家畜。项目区未发现属国家保护的处于野生状态的濒危珍稀动植物，其他野生兽类动物也极少见。项目所属区域未发现特殊文物保护单位、风景名胜区、重点文物及名胜古迹、生态敏感与珍稀野生动植物栖息地等环境保护敏感目标。</w:t>
            </w:r>
          </w:p>
          <w:p w14:paraId="7B6EB819">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（2）水生生态</w:t>
            </w:r>
          </w:p>
          <w:p w14:paraId="0B231807">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w:t>
            </w:r>
            <w:r>
              <w:rPr>
                <w:rFonts w:hint="eastAsia" w:ascii="Times New Roman" w:hAnsi="Times New Roman" w:eastAsia="宋体" w:cs="Times New Roman"/>
                <w:color w:val="auto"/>
                <w:sz w:val="24"/>
                <w:szCs w:val="32"/>
                <w:highlight w:val="none"/>
                <w:vertAlign w:val="baseline"/>
                <w:lang w:val="en-US" w:eastAsia="zh-CN"/>
              </w:rPr>
              <w:t>隘口</w:t>
            </w:r>
            <w:r>
              <w:rPr>
                <w:rFonts w:hint="default" w:ascii="Times New Roman" w:hAnsi="Times New Roman" w:eastAsia="宋体" w:cs="Times New Roman"/>
                <w:color w:val="auto"/>
                <w:sz w:val="24"/>
                <w:szCs w:val="32"/>
                <w:highlight w:val="none"/>
                <w:vertAlign w:val="baseline"/>
                <w:lang w:val="en-US" w:eastAsia="zh-CN"/>
              </w:rPr>
              <w:t>厂</w:t>
            </w:r>
            <w:r>
              <w:rPr>
                <w:rFonts w:hint="default" w:ascii="Times New Roman" w:hAnsi="Times New Roman" w:cs="Times New Roman"/>
                <w:b w:val="0"/>
                <w:bCs w:val="0"/>
                <w:color w:val="auto"/>
                <w:sz w:val="24"/>
                <w:szCs w:val="24"/>
                <w:highlight w:val="none"/>
                <w:lang w:val="en-US" w:eastAsia="zh-CN"/>
              </w:rPr>
              <w:t>取水</w:t>
            </w:r>
            <w:r>
              <w:rPr>
                <w:rFonts w:hint="eastAsia" w:ascii="Times New Roman" w:hAnsi="Times New Roman" w:cs="Times New Roman"/>
                <w:b w:val="0"/>
                <w:bCs w:val="0"/>
                <w:color w:val="auto"/>
                <w:sz w:val="24"/>
                <w:szCs w:val="24"/>
                <w:highlight w:val="none"/>
                <w:lang w:val="en-US" w:eastAsia="zh-CN"/>
              </w:rPr>
              <w:t>水源</w:t>
            </w:r>
            <w:r>
              <w:rPr>
                <w:rFonts w:hint="default" w:ascii="Times New Roman" w:hAnsi="Times New Roman" w:cs="Times New Roman"/>
                <w:b w:val="0"/>
                <w:bCs w:val="0"/>
                <w:color w:val="auto"/>
                <w:sz w:val="24"/>
                <w:szCs w:val="24"/>
                <w:highlight w:val="none"/>
                <w:lang w:val="en-US" w:eastAsia="zh-CN"/>
              </w:rPr>
              <w:t>为</w:t>
            </w:r>
            <w:r>
              <w:rPr>
                <w:rFonts w:hint="eastAsia" w:ascii="Times New Roman" w:hAnsi="Times New Roman" w:cs="Times New Roman"/>
                <w:b w:val="0"/>
                <w:bCs w:val="0"/>
                <w:color w:val="auto"/>
                <w:sz w:val="24"/>
                <w:szCs w:val="24"/>
                <w:highlight w:val="none"/>
                <w:vertAlign w:val="baseline"/>
                <w:lang w:val="en-US" w:eastAsia="zh-CN"/>
              </w:rPr>
              <w:t>普子坪水库；</w:t>
            </w:r>
            <w:r>
              <w:rPr>
                <w:rFonts w:hint="eastAsia" w:ascii="Times New Roman" w:hAnsi="Times New Roman" w:eastAsia="宋体" w:cs="Times New Roman"/>
                <w:color w:val="auto"/>
                <w:sz w:val="24"/>
                <w:szCs w:val="32"/>
                <w:highlight w:val="none"/>
                <w:vertAlign w:val="baseline"/>
                <w:lang w:val="en-US" w:eastAsia="zh-CN"/>
              </w:rPr>
              <w:t>马渡关</w:t>
            </w:r>
            <w:r>
              <w:rPr>
                <w:rFonts w:hint="eastAsia" w:ascii="Times New Roman" w:hAnsi="Times New Roman" w:cs="Times New Roman"/>
                <w:color w:val="auto"/>
                <w:sz w:val="24"/>
                <w:szCs w:val="24"/>
                <w:highlight w:val="none"/>
                <w:vertAlign w:val="baseline"/>
                <w:lang w:val="en-US" w:eastAsia="zh-CN"/>
              </w:rPr>
              <w:t>水厂</w:t>
            </w:r>
            <w:r>
              <w:rPr>
                <w:rFonts w:hint="default" w:ascii="Times New Roman" w:hAnsi="Times New Roman" w:cs="Times New Roman"/>
                <w:b w:val="0"/>
                <w:bCs w:val="0"/>
                <w:color w:val="auto"/>
                <w:sz w:val="24"/>
                <w:szCs w:val="24"/>
                <w:highlight w:val="none"/>
                <w:lang w:val="en-US" w:eastAsia="zh-CN"/>
              </w:rPr>
              <w:t>取水</w:t>
            </w:r>
            <w:r>
              <w:rPr>
                <w:rFonts w:hint="eastAsia" w:ascii="Times New Roman" w:hAnsi="Times New Roman" w:cs="Times New Roman"/>
                <w:b w:val="0"/>
                <w:bCs w:val="0"/>
                <w:color w:val="auto"/>
                <w:sz w:val="24"/>
                <w:szCs w:val="24"/>
                <w:highlight w:val="none"/>
                <w:lang w:val="en-US" w:eastAsia="zh-CN"/>
              </w:rPr>
              <w:t>水源</w:t>
            </w:r>
            <w:r>
              <w:rPr>
                <w:rFonts w:hint="default" w:ascii="Times New Roman" w:hAnsi="Times New Roman" w:cs="Times New Roman"/>
                <w:b w:val="0"/>
                <w:bCs w:val="0"/>
                <w:color w:val="auto"/>
                <w:sz w:val="24"/>
                <w:szCs w:val="24"/>
                <w:highlight w:val="none"/>
                <w:lang w:val="en-US" w:eastAsia="zh-CN"/>
              </w:rPr>
              <w:t>为</w:t>
            </w:r>
            <w:r>
              <w:rPr>
                <w:rFonts w:hint="eastAsia"/>
                <w:b w:val="0"/>
                <w:bCs/>
                <w:sz w:val="24"/>
                <w:szCs w:val="24"/>
                <w:lang w:val="en-US" w:eastAsia="zh-CN"/>
              </w:rPr>
              <w:t>长滩河</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根据现场调查及查阅资料，取水口水生生态现状如下：</w:t>
            </w:r>
          </w:p>
          <w:p w14:paraId="5C9A8A81">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浮游藻类：优势种类为硅藻门的桥弯藻属和舟形藻属，常见种类有新月桥弯藻、短小舟形藻、二头舟形藻和极细舟形藻等种类。</w:t>
            </w:r>
            <w:r>
              <w:rPr>
                <w:rFonts w:hint="default" w:ascii="Times New Roman" w:hAnsi="Times New Roman" w:cs="Times New Roman"/>
                <w:b w:val="0"/>
                <w:bCs w:val="0"/>
                <w:color w:val="auto"/>
                <w:sz w:val="24"/>
                <w:szCs w:val="24"/>
                <w:highlight w:val="none"/>
                <w:lang w:val="en-US" w:eastAsia="zh-CN"/>
              </w:rPr>
              <w:t>从组成上看，多以适应山区流水的硅藻门种类为主，桥弯藻属、舟形藻属、羽纹属、异极藻属等的出现率较高，且是该河段中的优势种类。绿藻门中的四角藻、水绵等较为丰富</w:t>
            </w:r>
            <w:r>
              <w:rPr>
                <w:rFonts w:hint="eastAsia" w:ascii="Times New Roman" w:hAnsi="Times New Roman" w:cs="Times New Roman"/>
                <w:b w:val="0"/>
                <w:bCs w:val="0"/>
                <w:color w:val="auto"/>
                <w:sz w:val="24"/>
                <w:szCs w:val="24"/>
                <w:highlight w:val="none"/>
                <w:lang w:val="en-US" w:eastAsia="zh-CN"/>
              </w:rPr>
              <w:t>。</w:t>
            </w:r>
          </w:p>
          <w:p w14:paraId="46C81C03">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浮游动物：河段内浮游动物的种类组成较单一，数量较少，种类以轮虫为主，枝角类的种类相对贫乏。主要有长三肢轮虫、普通表壳虫、角突臂尾轮虫、萼花臂尾轮虫、肋纹平直蚤等。</w:t>
            </w:r>
          </w:p>
          <w:p w14:paraId="3A689923">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底栖动物</w:t>
            </w:r>
            <w:r>
              <w:rPr>
                <w:rFonts w:hint="eastAsia" w:ascii="Times New Roman" w:hAnsi="Times New Roman" w:cs="Times New Roman"/>
                <w:b w:val="0"/>
                <w:bCs w:val="0"/>
                <w:color w:val="auto"/>
                <w:sz w:val="24"/>
                <w:szCs w:val="24"/>
                <w:highlight w:val="none"/>
                <w:lang w:val="en-US" w:eastAsia="zh-CN"/>
              </w:rPr>
              <w:t>：主要为软体动物、节肢动物。常见种类包括二翼蜉、扁蜉和石蝇等。</w:t>
            </w:r>
          </w:p>
          <w:p w14:paraId="6389ADA7">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鱼类：水体中浮游动植物，特别是着生藻类等饵料生物较丰富，水域分布有鲇、鲤、鲫、斑鳜、红尾副鳅、泥鳅、宽口光唇鱼、马口鱼等。</w:t>
            </w:r>
            <w:r>
              <w:rPr>
                <w:rFonts w:hint="default" w:ascii="Times New Roman" w:hAnsi="Times New Roman" w:cs="Times New Roman"/>
                <w:b w:val="0"/>
                <w:bCs w:val="0"/>
                <w:color w:val="auto"/>
                <w:sz w:val="24"/>
                <w:szCs w:val="24"/>
                <w:highlight w:val="none"/>
                <w:lang w:val="en-US" w:eastAsia="zh-CN"/>
              </w:rPr>
              <w:t>无国家I、Ⅱ级重点保护鱼类，没有被《中国动物红皮书鱼类》收录鱼类。</w:t>
            </w:r>
          </w:p>
          <w:p w14:paraId="78C3A320">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经现场踏勘取水口上下游1km范围内无</w:t>
            </w:r>
            <w:r>
              <w:rPr>
                <w:rFonts w:hint="eastAsia" w:ascii="Times New Roman" w:hAnsi="Times New Roman" w:cs="Times New Roman"/>
                <w:b w:val="0"/>
                <w:bCs w:val="0"/>
                <w:color w:val="auto"/>
                <w:sz w:val="24"/>
                <w:szCs w:val="24"/>
                <w:highlight w:val="none"/>
                <w:lang w:val="en-US" w:eastAsia="zh-CN"/>
              </w:rPr>
              <w:t>重要水生生物</w:t>
            </w:r>
            <w:r>
              <w:rPr>
                <w:rFonts w:hint="default" w:ascii="Times New Roman" w:hAnsi="Times New Roman" w:cs="Times New Roman"/>
                <w:b w:val="0"/>
                <w:bCs w:val="0"/>
                <w:color w:val="auto"/>
                <w:sz w:val="24"/>
                <w:szCs w:val="24"/>
                <w:highlight w:val="none"/>
                <w:lang w:val="en-US" w:eastAsia="zh-CN"/>
              </w:rPr>
              <w:t>“三场”及洄游通道和其他受保护的水生生物，不涉及水生生物敏感区</w:t>
            </w:r>
            <w:r>
              <w:rPr>
                <w:rFonts w:hint="eastAsia" w:ascii="Times New Roman" w:hAnsi="Times New Roman" w:cs="Times New Roman"/>
                <w:b w:val="0"/>
                <w:bCs w:val="0"/>
                <w:color w:val="auto"/>
                <w:sz w:val="24"/>
                <w:szCs w:val="24"/>
                <w:highlight w:val="none"/>
                <w:lang w:val="en-US" w:eastAsia="zh-CN"/>
              </w:rPr>
              <w:t>。</w:t>
            </w:r>
          </w:p>
          <w:p w14:paraId="5B2DA0E6">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eastAsia" w:ascii="Times New Roman" w:hAnsi="Times New Roman" w:cs="Times New Roman"/>
                <w:b w:val="0"/>
                <w:bCs w:val="0"/>
                <w:color w:val="auto"/>
                <w:sz w:val="24"/>
                <w:szCs w:val="24"/>
                <w:highlight w:val="none"/>
                <w:lang w:val="en-US" w:eastAsia="zh-CN"/>
              </w:rPr>
              <w:t>综上，</w:t>
            </w:r>
            <w:r>
              <w:rPr>
                <w:rFonts w:hint="default" w:ascii="Times New Roman" w:hAnsi="Times New Roman" w:cs="Times New Roman"/>
                <w:color w:val="auto"/>
                <w:sz w:val="24"/>
                <w:szCs w:val="24"/>
                <w:highlight w:val="none"/>
              </w:rPr>
              <w:t>项目所在区域生态环境质量一般</w:t>
            </w:r>
            <w:r>
              <w:rPr>
                <w:rFonts w:hint="eastAsia" w:cs="Times New Roman"/>
                <w:color w:val="auto"/>
                <w:sz w:val="24"/>
                <w:szCs w:val="24"/>
                <w:highlight w:val="none"/>
                <w:lang w:eastAsia="zh-CN"/>
              </w:rPr>
              <w:t>。</w:t>
            </w:r>
          </w:p>
        </w:tc>
      </w:tr>
      <w:tr w14:paraId="5AEF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0" w:type="dxa"/>
            <w:vAlign w:val="center"/>
          </w:tcPr>
          <w:p w14:paraId="1664CD70">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环境保护目标</w:t>
            </w:r>
          </w:p>
        </w:tc>
        <w:tc>
          <w:tcPr>
            <w:tcW w:w="9343" w:type="dxa"/>
            <w:vAlign w:val="center"/>
          </w:tcPr>
          <w:p w14:paraId="440FDCA0">
            <w:pPr>
              <w:keepNext w:val="0"/>
              <w:keepLines w:val="0"/>
              <w:pageBreakBefore w:val="0"/>
              <w:suppressLineNumbers w:val="0"/>
              <w:kinsoku/>
              <w:wordWrap/>
              <w:topLinePunct w:val="0"/>
              <w:bidi w:val="0"/>
              <w:spacing w:beforeAutospacing="0" w:afterAutospacing="0" w:line="360" w:lineRule="auto"/>
              <w:ind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w:t>
            </w:r>
            <w:r>
              <w:rPr>
                <w:rFonts w:hint="default" w:ascii="Times New Roman" w:hAnsi="Times New Roman" w:cs="Times New Roman"/>
                <w:b/>
                <w:color w:val="auto"/>
                <w:sz w:val="24"/>
                <w:szCs w:val="24"/>
                <w:highlight w:val="none"/>
                <w:lang w:eastAsia="zh-CN"/>
              </w:rPr>
              <w:t>、</w:t>
            </w:r>
            <w:r>
              <w:rPr>
                <w:rFonts w:hint="default" w:ascii="Times New Roman" w:hAnsi="Times New Roman" w:cs="Times New Roman"/>
                <w:b/>
                <w:color w:val="auto"/>
                <w:sz w:val="24"/>
                <w:szCs w:val="24"/>
                <w:highlight w:val="none"/>
              </w:rPr>
              <w:t>大气环境</w:t>
            </w:r>
          </w:p>
          <w:p w14:paraId="27F26F55">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本项目大气环境保护目标见下表。</w:t>
            </w:r>
          </w:p>
          <w:p w14:paraId="0FE2EA7B">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default" w:ascii="Times New Roman" w:hAnsi="Times New Roman" w:eastAsia="黑体" w:cs="Times New Roman"/>
                <w:color w:val="auto"/>
                <w:szCs w:val="21"/>
                <w:highlight w:val="none"/>
                <w:lang w:val="en-US" w:eastAsia="zh-CN"/>
              </w:rPr>
              <w:t xml:space="preserve">7 </w:t>
            </w:r>
            <w:r>
              <w:rPr>
                <w:rFonts w:hint="eastAsia" w:ascii="Times New Roman" w:hAnsi="Times New Roman" w:eastAsia="黑体" w:cs="Times New Roman"/>
                <w:color w:val="auto"/>
                <w:szCs w:val="21"/>
                <w:highlight w:val="none"/>
                <w:lang w:val="en-US" w:eastAsia="zh-CN"/>
              </w:rPr>
              <w:t>隘口</w:t>
            </w:r>
            <w:r>
              <w:rPr>
                <w:rFonts w:hint="default" w:ascii="Times New Roman" w:hAnsi="Times New Roman" w:eastAsia="黑体" w:cs="Times New Roman"/>
                <w:color w:val="auto"/>
                <w:szCs w:val="21"/>
                <w:highlight w:val="none"/>
                <w:lang w:val="en-US" w:eastAsia="zh-CN"/>
              </w:rPr>
              <w:t>水厂</w:t>
            </w:r>
            <w:r>
              <w:rPr>
                <w:rFonts w:hint="default" w:ascii="Times New Roman" w:hAnsi="Times New Roman" w:eastAsia="黑体" w:cs="Times New Roman"/>
                <w:color w:val="auto"/>
                <w:szCs w:val="21"/>
                <w:highlight w:val="none"/>
              </w:rPr>
              <w:t>大气环境保护目标</w:t>
            </w:r>
          </w:p>
          <w:tbl>
            <w:tblPr>
              <w:tblStyle w:val="26"/>
              <w:tblW w:w="9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095"/>
              <w:gridCol w:w="1322"/>
              <w:gridCol w:w="1783"/>
              <w:gridCol w:w="1020"/>
              <w:gridCol w:w="2586"/>
            </w:tblGrid>
            <w:tr w14:paraId="47FE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vAlign w:val="center"/>
                </w:tcPr>
                <w:p w14:paraId="7E4912E0">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保护对象</w:t>
                  </w:r>
                </w:p>
              </w:tc>
              <w:tc>
                <w:tcPr>
                  <w:tcW w:w="1095" w:type="dxa"/>
                  <w:vAlign w:val="center"/>
                </w:tcPr>
                <w:p w14:paraId="011E26F8">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1322" w:type="dxa"/>
                  <w:vAlign w:val="center"/>
                </w:tcPr>
                <w:p w14:paraId="16AA8B27">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rPr>
                    <w:t>距离</w:t>
                  </w:r>
                  <w:r>
                    <w:rPr>
                      <w:rFonts w:hint="default" w:ascii="Times New Roman" w:hAnsi="Times New Roman" w:cs="Times New Roman"/>
                      <w:b/>
                      <w:bCs/>
                      <w:color w:val="auto"/>
                      <w:sz w:val="21"/>
                      <w:szCs w:val="21"/>
                      <w:highlight w:val="none"/>
                      <w:lang w:val="en-US" w:eastAsia="zh-CN"/>
                    </w:rPr>
                    <w:t>/m</w:t>
                  </w:r>
                </w:p>
              </w:tc>
              <w:tc>
                <w:tcPr>
                  <w:tcW w:w="1783" w:type="dxa"/>
                  <w:vAlign w:val="center"/>
                </w:tcPr>
                <w:p w14:paraId="530F79ED">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规模</w:t>
                  </w:r>
                </w:p>
              </w:tc>
              <w:tc>
                <w:tcPr>
                  <w:tcW w:w="1020" w:type="dxa"/>
                  <w:vAlign w:val="center"/>
                </w:tcPr>
                <w:p w14:paraId="6E03DBA0">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性质</w:t>
                  </w:r>
                </w:p>
              </w:tc>
              <w:tc>
                <w:tcPr>
                  <w:tcW w:w="2586" w:type="dxa"/>
                  <w:vAlign w:val="center"/>
                </w:tcPr>
                <w:p w14:paraId="15292A20">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保护级别</w:t>
                  </w:r>
                </w:p>
              </w:tc>
            </w:tr>
            <w:tr w14:paraId="06BB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shd w:val="clear" w:color="auto" w:fill="auto"/>
                  <w:vAlign w:val="center"/>
                </w:tcPr>
                <w:p w14:paraId="3820BD8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095" w:type="dxa"/>
                  <w:shd w:val="clear" w:color="auto" w:fill="auto"/>
                  <w:vAlign w:val="center"/>
                </w:tcPr>
                <w:p w14:paraId="157E550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东北侧</w:t>
                  </w:r>
                </w:p>
              </w:tc>
              <w:tc>
                <w:tcPr>
                  <w:tcW w:w="1322" w:type="dxa"/>
                  <w:shd w:val="clear" w:color="auto" w:fill="auto"/>
                  <w:vAlign w:val="center"/>
                </w:tcPr>
                <w:p w14:paraId="15B730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
                    </w:rPr>
                    <w:t>120m~198m</w:t>
                  </w:r>
                </w:p>
              </w:tc>
              <w:tc>
                <w:tcPr>
                  <w:tcW w:w="1783" w:type="dxa"/>
                  <w:shd w:val="clear" w:color="auto" w:fill="auto"/>
                  <w:vAlign w:val="center"/>
                </w:tcPr>
                <w:p w14:paraId="6B39A4D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5户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lang w:val="en-US" w:eastAsia="zh-CN"/>
                    </w:rPr>
                    <w:t>人）</w:t>
                  </w:r>
                </w:p>
              </w:tc>
              <w:tc>
                <w:tcPr>
                  <w:tcW w:w="1020" w:type="dxa"/>
                  <w:shd w:val="clear" w:color="auto" w:fill="auto"/>
                  <w:vAlign w:val="center"/>
                </w:tcPr>
                <w:p w14:paraId="2948504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86" w:type="dxa"/>
                  <w:vMerge w:val="restart"/>
                  <w:vAlign w:val="center"/>
                </w:tcPr>
                <w:p w14:paraId="25657175">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《环境空气质量标准》（GB3095-2012）二级标准</w:t>
                  </w:r>
                </w:p>
              </w:tc>
            </w:tr>
            <w:tr w14:paraId="2890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shd w:val="clear" w:color="auto" w:fill="auto"/>
                  <w:vAlign w:val="center"/>
                </w:tcPr>
                <w:p w14:paraId="5A32233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农户</w:t>
                  </w:r>
                </w:p>
              </w:tc>
              <w:tc>
                <w:tcPr>
                  <w:tcW w:w="1095" w:type="dxa"/>
                  <w:shd w:val="clear" w:color="auto" w:fill="auto"/>
                  <w:vAlign w:val="center"/>
                </w:tcPr>
                <w:p w14:paraId="61C1F92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东南侧</w:t>
                  </w:r>
                </w:p>
              </w:tc>
              <w:tc>
                <w:tcPr>
                  <w:tcW w:w="1322" w:type="dxa"/>
                  <w:shd w:val="clear" w:color="auto" w:fill="auto"/>
                  <w:vAlign w:val="center"/>
                </w:tcPr>
                <w:p w14:paraId="3654F17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val="0"/>
                      <w:color w:val="auto"/>
                      <w:kern w:val="0"/>
                      <w:sz w:val="21"/>
                      <w:szCs w:val="21"/>
                      <w:lang w:val="en-US" w:eastAsia="zh-CN" w:bidi="ar"/>
                    </w:rPr>
                    <w:t>96m~128m</w:t>
                  </w:r>
                </w:p>
              </w:tc>
              <w:tc>
                <w:tcPr>
                  <w:tcW w:w="1783" w:type="dxa"/>
                  <w:shd w:val="clear" w:color="auto" w:fill="auto"/>
                  <w:vAlign w:val="center"/>
                </w:tcPr>
                <w:p w14:paraId="58B9361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3户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lang w:val="en-US" w:eastAsia="zh-CN"/>
                    </w:rPr>
                    <w:t>人）</w:t>
                  </w:r>
                </w:p>
              </w:tc>
              <w:tc>
                <w:tcPr>
                  <w:tcW w:w="1020" w:type="dxa"/>
                  <w:shd w:val="clear" w:color="auto" w:fill="auto"/>
                  <w:vAlign w:val="center"/>
                </w:tcPr>
                <w:p w14:paraId="2992180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86" w:type="dxa"/>
                  <w:vMerge w:val="continue"/>
                  <w:vAlign w:val="center"/>
                </w:tcPr>
                <w:p w14:paraId="3DB7961F">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 w:val="21"/>
                      <w:szCs w:val="21"/>
                      <w:highlight w:val="none"/>
                    </w:rPr>
                  </w:pPr>
                </w:p>
              </w:tc>
            </w:tr>
            <w:tr w14:paraId="30620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shd w:val="clear" w:color="auto" w:fill="auto"/>
                  <w:vAlign w:val="center"/>
                </w:tcPr>
                <w:p w14:paraId="2B21C83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095" w:type="dxa"/>
                  <w:shd w:val="clear" w:color="auto" w:fill="auto"/>
                  <w:vAlign w:val="center"/>
                </w:tcPr>
                <w:p w14:paraId="2A7A0C9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南侧</w:t>
                  </w:r>
                </w:p>
              </w:tc>
              <w:tc>
                <w:tcPr>
                  <w:tcW w:w="1322" w:type="dxa"/>
                  <w:shd w:val="clear" w:color="auto" w:fill="auto"/>
                  <w:vAlign w:val="center"/>
                </w:tcPr>
                <w:p w14:paraId="5CB9419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195m</w:t>
                  </w:r>
                </w:p>
              </w:tc>
              <w:tc>
                <w:tcPr>
                  <w:tcW w:w="1783" w:type="dxa"/>
                  <w:shd w:val="clear" w:color="auto" w:fill="auto"/>
                  <w:vAlign w:val="center"/>
                </w:tcPr>
                <w:p w14:paraId="0A16369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人）</w:t>
                  </w:r>
                </w:p>
              </w:tc>
              <w:tc>
                <w:tcPr>
                  <w:tcW w:w="1020" w:type="dxa"/>
                  <w:shd w:val="clear" w:color="auto" w:fill="auto"/>
                  <w:vAlign w:val="center"/>
                </w:tcPr>
                <w:p w14:paraId="0965A6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86" w:type="dxa"/>
                  <w:vMerge w:val="continue"/>
                  <w:vAlign w:val="center"/>
                </w:tcPr>
                <w:p w14:paraId="2F96395F">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 w:val="21"/>
                      <w:szCs w:val="21"/>
                      <w:highlight w:val="none"/>
                    </w:rPr>
                  </w:pPr>
                </w:p>
              </w:tc>
            </w:tr>
            <w:tr w14:paraId="5B94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shd w:val="clear" w:color="auto" w:fill="auto"/>
                  <w:vAlign w:val="center"/>
                </w:tcPr>
                <w:p w14:paraId="44126BD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095" w:type="dxa"/>
                  <w:shd w:val="clear" w:color="auto" w:fill="auto"/>
                  <w:vAlign w:val="center"/>
                </w:tcPr>
                <w:p w14:paraId="62198D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西南侧</w:t>
                  </w:r>
                </w:p>
              </w:tc>
              <w:tc>
                <w:tcPr>
                  <w:tcW w:w="1322" w:type="dxa"/>
                  <w:shd w:val="clear" w:color="auto" w:fill="auto"/>
                  <w:vAlign w:val="center"/>
                </w:tcPr>
                <w:p w14:paraId="3B53D52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345m</w:t>
                  </w:r>
                </w:p>
              </w:tc>
              <w:tc>
                <w:tcPr>
                  <w:tcW w:w="1783" w:type="dxa"/>
                  <w:shd w:val="clear" w:color="auto" w:fill="auto"/>
                  <w:vAlign w:val="center"/>
                </w:tcPr>
                <w:p w14:paraId="6AB0929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人）</w:t>
                  </w:r>
                </w:p>
              </w:tc>
              <w:tc>
                <w:tcPr>
                  <w:tcW w:w="1020" w:type="dxa"/>
                  <w:shd w:val="clear" w:color="auto" w:fill="auto"/>
                  <w:vAlign w:val="center"/>
                </w:tcPr>
                <w:p w14:paraId="5A66B29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86" w:type="dxa"/>
                  <w:vMerge w:val="continue"/>
                  <w:vAlign w:val="center"/>
                </w:tcPr>
                <w:p w14:paraId="4D6D99D6">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 w:val="21"/>
                      <w:szCs w:val="21"/>
                      <w:highlight w:val="none"/>
                    </w:rPr>
                  </w:pPr>
                </w:p>
              </w:tc>
            </w:tr>
            <w:tr w14:paraId="0DD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5" w:type="dxa"/>
                  <w:shd w:val="clear" w:color="auto" w:fill="auto"/>
                  <w:vAlign w:val="center"/>
                </w:tcPr>
                <w:p w14:paraId="675571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095" w:type="dxa"/>
                  <w:shd w:val="clear" w:color="auto" w:fill="auto"/>
                  <w:vAlign w:val="center"/>
                </w:tcPr>
                <w:p w14:paraId="38FEC5B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西侧</w:t>
                  </w:r>
                </w:p>
              </w:tc>
              <w:tc>
                <w:tcPr>
                  <w:tcW w:w="1322" w:type="dxa"/>
                  <w:shd w:val="clear" w:color="auto" w:fill="auto"/>
                  <w:vAlign w:val="center"/>
                </w:tcPr>
                <w:p w14:paraId="1AEE2D6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212m~326m</w:t>
                  </w:r>
                </w:p>
              </w:tc>
              <w:tc>
                <w:tcPr>
                  <w:tcW w:w="1783" w:type="dxa"/>
                  <w:shd w:val="clear" w:color="auto" w:fill="auto"/>
                  <w:vAlign w:val="center"/>
                </w:tcPr>
                <w:p w14:paraId="75E5352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12户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38</w:t>
                  </w:r>
                  <w:r>
                    <w:rPr>
                      <w:rFonts w:hint="default" w:ascii="Times New Roman" w:hAnsi="Times New Roman" w:cs="Times New Roman"/>
                      <w:color w:val="auto"/>
                      <w:sz w:val="21"/>
                      <w:szCs w:val="21"/>
                      <w:highlight w:val="none"/>
                      <w:lang w:val="en-US" w:eastAsia="zh-CN"/>
                    </w:rPr>
                    <w:t>人）</w:t>
                  </w:r>
                </w:p>
              </w:tc>
              <w:tc>
                <w:tcPr>
                  <w:tcW w:w="1020" w:type="dxa"/>
                  <w:shd w:val="clear" w:color="auto" w:fill="auto"/>
                  <w:vAlign w:val="center"/>
                </w:tcPr>
                <w:p w14:paraId="220C161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86" w:type="dxa"/>
                  <w:vMerge w:val="continue"/>
                  <w:vAlign w:val="center"/>
                </w:tcPr>
                <w:p w14:paraId="19BDF0AE">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 w:val="21"/>
                      <w:szCs w:val="21"/>
                      <w:highlight w:val="none"/>
                    </w:rPr>
                  </w:pPr>
                </w:p>
              </w:tc>
            </w:tr>
          </w:tbl>
          <w:p w14:paraId="17E3DEF8">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8</w:t>
            </w:r>
            <w:r>
              <w:rPr>
                <w:rFonts w:hint="default" w:ascii="Times New Roman" w:hAnsi="Times New Roman" w:eastAsia="黑体" w:cs="Times New Roman"/>
                <w:color w:val="auto"/>
                <w:szCs w:val="21"/>
                <w:highlight w:val="none"/>
                <w:lang w:val="en-US" w:eastAsia="zh-CN"/>
              </w:rPr>
              <w:t xml:space="preserve"> </w:t>
            </w:r>
            <w:r>
              <w:rPr>
                <w:rFonts w:hint="eastAsia" w:ascii="Times New Roman" w:hAnsi="Times New Roman" w:eastAsia="黑体" w:cs="Times New Roman"/>
                <w:color w:val="auto"/>
                <w:szCs w:val="21"/>
                <w:highlight w:val="none"/>
                <w:lang w:val="en-US" w:eastAsia="zh-CN"/>
              </w:rPr>
              <w:t>马渡关</w:t>
            </w:r>
            <w:r>
              <w:rPr>
                <w:rFonts w:hint="default" w:ascii="Times New Roman" w:hAnsi="Times New Roman" w:eastAsia="黑体" w:cs="Times New Roman"/>
                <w:color w:val="auto"/>
                <w:szCs w:val="21"/>
                <w:highlight w:val="none"/>
                <w:lang w:val="en-US" w:eastAsia="zh-CN"/>
              </w:rPr>
              <w:t>水厂</w:t>
            </w:r>
            <w:r>
              <w:rPr>
                <w:rFonts w:hint="default" w:ascii="Times New Roman" w:hAnsi="Times New Roman" w:eastAsia="黑体" w:cs="Times New Roman"/>
                <w:color w:val="auto"/>
                <w:szCs w:val="21"/>
                <w:highlight w:val="none"/>
              </w:rPr>
              <w:t>大气环境保护目标</w:t>
            </w:r>
          </w:p>
          <w:tbl>
            <w:tblPr>
              <w:tblStyle w:val="26"/>
              <w:tblW w:w="90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132"/>
              <w:gridCol w:w="1320"/>
              <w:gridCol w:w="1770"/>
              <w:gridCol w:w="1068"/>
              <w:gridCol w:w="2550"/>
            </w:tblGrid>
            <w:tr w14:paraId="6645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vAlign w:val="center"/>
                </w:tcPr>
                <w:p w14:paraId="33357066">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保护对象</w:t>
                  </w:r>
                </w:p>
              </w:tc>
              <w:tc>
                <w:tcPr>
                  <w:tcW w:w="1132" w:type="dxa"/>
                  <w:vAlign w:val="center"/>
                </w:tcPr>
                <w:p w14:paraId="0342FD44">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1320" w:type="dxa"/>
                  <w:vAlign w:val="center"/>
                </w:tcPr>
                <w:p w14:paraId="34668895">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rPr>
                    <w:t>距离</w:t>
                  </w:r>
                  <w:r>
                    <w:rPr>
                      <w:rFonts w:hint="default" w:ascii="Times New Roman" w:hAnsi="Times New Roman" w:cs="Times New Roman"/>
                      <w:b/>
                      <w:bCs/>
                      <w:color w:val="auto"/>
                      <w:sz w:val="21"/>
                      <w:szCs w:val="21"/>
                      <w:highlight w:val="none"/>
                      <w:lang w:val="en-US" w:eastAsia="zh-CN"/>
                    </w:rPr>
                    <w:t>/m</w:t>
                  </w:r>
                </w:p>
              </w:tc>
              <w:tc>
                <w:tcPr>
                  <w:tcW w:w="1770" w:type="dxa"/>
                  <w:vAlign w:val="center"/>
                </w:tcPr>
                <w:p w14:paraId="63F29FEC">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规模</w:t>
                  </w:r>
                </w:p>
              </w:tc>
              <w:tc>
                <w:tcPr>
                  <w:tcW w:w="1068" w:type="dxa"/>
                  <w:vAlign w:val="center"/>
                </w:tcPr>
                <w:p w14:paraId="17C10900">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性质</w:t>
                  </w:r>
                </w:p>
              </w:tc>
              <w:tc>
                <w:tcPr>
                  <w:tcW w:w="2550" w:type="dxa"/>
                  <w:vAlign w:val="center"/>
                </w:tcPr>
                <w:p w14:paraId="016FA533">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保护级别</w:t>
                  </w:r>
                </w:p>
              </w:tc>
            </w:tr>
            <w:tr w14:paraId="592B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shd w:val="clear" w:color="auto" w:fill="auto"/>
                  <w:vAlign w:val="center"/>
                </w:tcPr>
                <w:p w14:paraId="4598878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132" w:type="dxa"/>
                  <w:shd w:val="clear" w:color="auto" w:fill="auto"/>
                  <w:vAlign w:val="center"/>
                </w:tcPr>
                <w:p w14:paraId="5A1C4E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北侧</w:t>
                  </w:r>
                </w:p>
              </w:tc>
              <w:tc>
                <w:tcPr>
                  <w:tcW w:w="1320" w:type="dxa"/>
                  <w:shd w:val="clear" w:color="auto" w:fill="auto"/>
                  <w:vAlign w:val="center"/>
                </w:tcPr>
                <w:p w14:paraId="5E59499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zh-CN" w:bidi="ar"/>
                    </w:rPr>
                    <w:t>17m~419m</w:t>
                  </w:r>
                </w:p>
              </w:tc>
              <w:tc>
                <w:tcPr>
                  <w:tcW w:w="1770" w:type="dxa"/>
                  <w:shd w:val="clear" w:color="auto" w:fill="auto"/>
                  <w:vAlign w:val="center"/>
                </w:tcPr>
                <w:p w14:paraId="1DD0E4E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12</w:t>
                  </w:r>
                  <w:r>
                    <w:rPr>
                      <w:rFonts w:hint="default" w:ascii="Times New Roman" w:hAnsi="Times New Roman" w:eastAsia="宋体" w:cs="Times New Roman"/>
                      <w:b w:val="0"/>
                      <w:bCs w:val="0"/>
                      <w:color w:val="auto"/>
                      <w:sz w:val="21"/>
                      <w:szCs w:val="21"/>
                      <w:highlight w:val="none"/>
                      <w:lang w:val="en-US" w:eastAsia="zh-CN"/>
                    </w:rPr>
                    <w:t>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39</w:t>
                  </w:r>
                  <w:r>
                    <w:rPr>
                      <w:rFonts w:hint="default" w:ascii="Times New Roman" w:hAnsi="Times New Roman" w:cs="Times New Roman"/>
                      <w:color w:val="auto"/>
                      <w:sz w:val="21"/>
                      <w:szCs w:val="21"/>
                      <w:highlight w:val="none"/>
                      <w:lang w:val="en-US" w:eastAsia="zh-CN"/>
                    </w:rPr>
                    <w:t>人）</w:t>
                  </w:r>
                </w:p>
              </w:tc>
              <w:tc>
                <w:tcPr>
                  <w:tcW w:w="1068" w:type="dxa"/>
                  <w:shd w:val="clear" w:color="auto" w:fill="auto"/>
                  <w:vAlign w:val="center"/>
                </w:tcPr>
                <w:p w14:paraId="134363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50" w:type="dxa"/>
                  <w:vMerge w:val="restart"/>
                  <w:vAlign w:val="center"/>
                </w:tcPr>
                <w:p w14:paraId="28E39AF8">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《环境空气质量标准》（GB3095-2012）二级标准</w:t>
                  </w:r>
                </w:p>
              </w:tc>
            </w:tr>
            <w:tr w14:paraId="04F2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shd w:val="clear" w:color="auto" w:fill="auto"/>
                  <w:vAlign w:val="center"/>
                </w:tcPr>
                <w:p w14:paraId="75D141F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农户</w:t>
                  </w:r>
                </w:p>
              </w:tc>
              <w:tc>
                <w:tcPr>
                  <w:tcW w:w="1132" w:type="dxa"/>
                  <w:shd w:val="clear" w:color="auto" w:fill="auto"/>
                  <w:vAlign w:val="center"/>
                </w:tcPr>
                <w:p w14:paraId="037BE60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东</w:t>
                  </w:r>
                  <w:r>
                    <w:rPr>
                      <w:rFonts w:hint="eastAsia" w:ascii="Times New Roman" w:hAnsi="Times New Roman" w:eastAsia="宋体" w:cs="Times New Roman"/>
                      <w:b w:val="0"/>
                      <w:bCs w:val="0"/>
                      <w:color w:val="auto"/>
                      <w:sz w:val="21"/>
                      <w:szCs w:val="21"/>
                      <w:highlight w:val="none"/>
                      <w:lang w:val="en-US" w:eastAsia="zh-CN"/>
                    </w:rPr>
                    <w:t>北</w:t>
                  </w:r>
                  <w:r>
                    <w:rPr>
                      <w:rFonts w:hint="default" w:ascii="Times New Roman" w:hAnsi="Times New Roman" w:eastAsia="宋体" w:cs="Times New Roman"/>
                      <w:b w:val="0"/>
                      <w:bCs w:val="0"/>
                      <w:color w:val="auto"/>
                      <w:sz w:val="21"/>
                      <w:szCs w:val="21"/>
                      <w:highlight w:val="none"/>
                      <w:lang w:val="en-US" w:eastAsia="zh-CN"/>
                    </w:rPr>
                    <w:t>侧</w:t>
                  </w:r>
                </w:p>
              </w:tc>
              <w:tc>
                <w:tcPr>
                  <w:tcW w:w="1320" w:type="dxa"/>
                  <w:shd w:val="clear" w:color="auto" w:fill="auto"/>
                  <w:vAlign w:val="center"/>
                </w:tcPr>
                <w:p w14:paraId="6E5BA13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zh-CN" w:bidi="ar"/>
                    </w:rPr>
                    <w:t>127m~411m</w:t>
                  </w:r>
                </w:p>
              </w:tc>
              <w:tc>
                <w:tcPr>
                  <w:tcW w:w="1770" w:type="dxa"/>
                  <w:shd w:val="clear" w:color="auto" w:fill="auto"/>
                  <w:vAlign w:val="center"/>
                </w:tcPr>
                <w:p w14:paraId="2400408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32</w:t>
                  </w:r>
                  <w:r>
                    <w:rPr>
                      <w:rFonts w:hint="default" w:ascii="Times New Roman" w:hAnsi="Times New Roman" w:cs="Times New Roman"/>
                      <w:color w:val="auto"/>
                      <w:sz w:val="21"/>
                      <w:szCs w:val="21"/>
                      <w:highlight w:val="none"/>
                      <w:lang w:val="en-US" w:eastAsia="zh-CN"/>
                    </w:rPr>
                    <w:t>人）</w:t>
                  </w:r>
                </w:p>
              </w:tc>
              <w:tc>
                <w:tcPr>
                  <w:tcW w:w="1068" w:type="dxa"/>
                  <w:shd w:val="clear" w:color="auto" w:fill="auto"/>
                  <w:vAlign w:val="center"/>
                </w:tcPr>
                <w:p w14:paraId="049BA4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50" w:type="dxa"/>
                  <w:vMerge w:val="continue"/>
                  <w:vAlign w:val="center"/>
                </w:tcPr>
                <w:p w14:paraId="54F356C7">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val="0"/>
                      <w:bCs w:val="0"/>
                      <w:color w:val="auto"/>
                      <w:sz w:val="21"/>
                      <w:szCs w:val="21"/>
                      <w:highlight w:val="none"/>
                    </w:rPr>
                  </w:pPr>
                </w:p>
              </w:tc>
            </w:tr>
            <w:tr w14:paraId="0D48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shd w:val="clear" w:color="auto" w:fill="auto"/>
                  <w:vAlign w:val="center"/>
                </w:tcPr>
                <w:p w14:paraId="0D69712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农户</w:t>
                  </w:r>
                </w:p>
              </w:tc>
              <w:tc>
                <w:tcPr>
                  <w:tcW w:w="1132" w:type="dxa"/>
                  <w:shd w:val="clear" w:color="auto" w:fill="auto"/>
                  <w:vAlign w:val="center"/>
                </w:tcPr>
                <w:p w14:paraId="1FDECAA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东侧</w:t>
                  </w:r>
                </w:p>
              </w:tc>
              <w:tc>
                <w:tcPr>
                  <w:tcW w:w="1320" w:type="dxa"/>
                  <w:shd w:val="clear" w:color="auto" w:fill="auto"/>
                  <w:vAlign w:val="center"/>
                </w:tcPr>
                <w:p w14:paraId="0607ED1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100m~400m</w:t>
                  </w:r>
                </w:p>
              </w:tc>
              <w:tc>
                <w:tcPr>
                  <w:tcW w:w="1770" w:type="dxa"/>
                  <w:shd w:val="clear" w:color="auto" w:fill="auto"/>
                  <w:vAlign w:val="center"/>
                </w:tcPr>
                <w:p w14:paraId="30C064C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4户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人）</w:t>
                  </w:r>
                </w:p>
              </w:tc>
              <w:tc>
                <w:tcPr>
                  <w:tcW w:w="1068" w:type="dxa"/>
                  <w:shd w:val="clear" w:color="auto" w:fill="auto"/>
                  <w:vAlign w:val="center"/>
                </w:tcPr>
                <w:p w14:paraId="424C26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50" w:type="dxa"/>
                  <w:vMerge w:val="continue"/>
                  <w:vAlign w:val="center"/>
                </w:tcPr>
                <w:p w14:paraId="23042336">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val="0"/>
                      <w:bCs w:val="0"/>
                      <w:color w:val="auto"/>
                      <w:sz w:val="21"/>
                      <w:szCs w:val="21"/>
                      <w:highlight w:val="none"/>
                    </w:rPr>
                  </w:pPr>
                </w:p>
              </w:tc>
            </w:tr>
            <w:tr w14:paraId="3219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shd w:val="clear" w:color="auto" w:fill="auto"/>
                  <w:vAlign w:val="center"/>
                </w:tcPr>
                <w:p w14:paraId="6ACC3E6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132" w:type="dxa"/>
                  <w:shd w:val="clear" w:color="auto" w:fill="auto"/>
                  <w:vAlign w:val="center"/>
                </w:tcPr>
                <w:p w14:paraId="40BC6B8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东</w:t>
                  </w:r>
                  <w:r>
                    <w:rPr>
                      <w:rFonts w:hint="default" w:ascii="Times New Roman" w:hAnsi="Times New Roman" w:eastAsia="宋体" w:cs="Times New Roman"/>
                      <w:b w:val="0"/>
                      <w:bCs w:val="0"/>
                      <w:color w:val="auto"/>
                      <w:sz w:val="21"/>
                      <w:szCs w:val="21"/>
                      <w:highlight w:val="none"/>
                      <w:lang w:val="en-US" w:eastAsia="zh-CN"/>
                    </w:rPr>
                    <w:t>南侧</w:t>
                  </w:r>
                </w:p>
              </w:tc>
              <w:tc>
                <w:tcPr>
                  <w:tcW w:w="1320" w:type="dxa"/>
                  <w:shd w:val="clear" w:color="auto" w:fill="auto"/>
                  <w:vAlign w:val="center"/>
                </w:tcPr>
                <w:p w14:paraId="3316BF1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8m~500m</w:t>
                  </w:r>
                </w:p>
              </w:tc>
              <w:tc>
                <w:tcPr>
                  <w:tcW w:w="1770" w:type="dxa"/>
                  <w:shd w:val="clear" w:color="auto" w:fill="auto"/>
                  <w:vAlign w:val="center"/>
                </w:tcPr>
                <w:p w14:paraId="2AEF6D9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23户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70</w:t>
                  </w:r>
                  <w:r>
                    <w:rPr>
                      <w:rFonts w:hint="default" w:ascii="Times New Roman" w:hAnsi="Times New Roman" w:cs="Times New Roman"/>
                      <w:color w:val="auto"/>
                      <w:sz w:val="21"/>
                      <w:szCs w:val="21"/>
                      <w:highlight w:val="none"/>
                      <w:lang w:val="en-US" w:eastAsia="zh-CN"/>
                    </w:rPr>
                    <w:t>人）</w:t>
                  </w:r>
                </w:p>
              </w:tc>
              <w:tc>
                <w:tcPr>
                  <w:tcW w:w="1068" w:type="dxa"/>
                  <w:shd w:val="clear" w:color="auto" w:fill="auto"/>
                  <w:vAlign w:val="center"/>
                </w:tcPr>
                <w:p w14:paraId="1CF2097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50" w:type="dxa"/>
                  <w:vMerge w:val="continue"/>
                  <w:vAlign w:val="center"/>
                </w:tcPr>
                <w:p w14:paraId="5012AB1D">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val="0"/>
                      <w:bCs w:val="0"/>
                      <w:color w:val="auto"/>
                      <w:sz w:val="21"/>
                      <w:szCs w:val="21"/>
                      <w:highlight w:val="none"/>
                    </w:rPr>
                  </w:pPr>
                </w:p>
              </w:tc>
            </w:tr>
            <w:tr w14:paraId="0E19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8" w:type="dxa"/>
                  <w:shd w:val="clear" w:color="auto" w:fill="auto"/>
                  <w:vAlign w:val="center"/>
                </w:tcPr>
                <w:p w14:paraId="1CE2F9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农户</w:t>
                  </w:r>
                </w:p>
              </w:tc>
              <w:tc>
                <w:tcPr>
                  <w:tcW w:w="1132" w:type="dxa"/>
                  <w:shd w:val="clear" w:color="auto" w:fill="auto"/>
                  <w:vAlign w:val="center"/>
                </w:tcPr>
                <w:p w14:paraId="759B04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西南侧</w:t>
                  </w:r>
                </w:p>
              </w:tc>
              <w:tc>
                <w:tcPr>
                  <w:tcW w:w="1320" w:type="dxa"/>
                  <w:shd w:val="clear" w:color="auto" w:fill="auto"/>
                  <w:vAlign w:val="center"/>
                </w:tcPr>
                <w:p w14:paraId="6B9D087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468m</w:t>
                  </w:r>
                </w:p>
              </w:tc>
              <w:tc>
                <w:tcPr>
                  <w:tcW w:w="1770" w:type="dxa"/>
                  <w:shd w:val="clear" w:color="auto" w:fill="auto"/>
                  <w:vAlign w:val="center"/>
                </w:tcPr>
                <w:p w14:paraId="329141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人）</w:t>
                  </w:r>
                </w:p>
              </w:tc>
              <w:tc>
                <w:tcPr>
                  <w:tcW w:w="1068" w:type="dxa"/>
                  <w:shd w:val="clear" w:color="auto" w:fill="auto"/>
                  <w:vAlign w:val="center"/>
                </w:tcPr>
                <w:p w14:paraId="19A436D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50" w:type="dxa"/>
                  <w:vMerge w:val="continue"/>
                  <w:vAlign w:val="center"/>
                </w:tcPr>
                <w:p w14:paraId="6BD78E5E">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val="0"/>
                      <w:bCs w:val="0"/>
                      <w:color w:val="auto"/>
                      <w:sz w:val="21"/>
                      <w:szCs w:val="21"/>
                      <w:highlight w:val="none"/>
                    </w:rPr>
                  </w:pPr>
                </w:p>
              </w:tc>
            </w:tr>
            <w:tr w14:paraId="32FE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5CA8D2A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农户</w:t>
                  </w:r>
                </w:p>
              </w:tc>
              <w:tc>
                <w:tcPr>
                  <w:tcW w:w="0" w:type="auto"/>
                  <w:shd w:val="clear" w:color="auto" w:fill="auto"/>
                  <w:vAlign w:val="center"/>
                </w:tcPr>
                <w:p w14:paraId="3684A51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西侧</w:t>
                  </w:r>
                </w:p>
              </w:tc>
              <w:tc>
                <w:tcPr>
                  <w:tcW w:w="0" w:type="auto"/>
                  <w:shd w:val="clear" w:color="auto" w:fill="auto"/>
                  <w:vAlign w:val="center"/>
                </w:tcPr>
                <w:p w14:paraId="0B9810B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zh-CN" w:bidi="ar"/>
                    </w:rPr>
                    <w:t>44m~485m</w:t>
                  </w:r>
                </w:p>
              </w:tc>
              <w:tc>
                <w:tcPr>
                  <w:tcW w:w="0" w:type="auto"/>
                  <w:shd w:val="clear" w:color="auto" w:fill="auto"/>
                  <w:vAlign w:val="center"/>
                </w:tcPr>
                <w:p w14:paraId="622AF1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21</w:t>
                  </w:r>
                  <w:r>
                    <w:rPr>
                      <w:rFonts w:hint="default" w:ascii="Times New Roman" w:hAnsi="Times New Roman" w:eastAsia="宋体" w:cs="Times New Roman"/>
                      <w:b w:val="0"/>
                      <w:bCs w:val="0"/>
                      <w:color w:val="auto"/>
                      <w:sz w:val="21"/>
                      <w:szCs w:val="21"/>
                      <w:highlight w:val="none"/>
                      <w:lang w:val="en-US" w:eastAsia="zh-CN"/>
                    </w:rPr>
                    <w:t>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65</w:t>
                  </w:r>
                  <w:r>
                    <w:rPr>
                      <w:rFonts w:hint="default" w:ascii="Times New Roman" w:hAnsi="Times New Roman" w:cs="Times New Roman"/>
                      <w:color w:val="auto"/>
                      <w:sz w:val="21"/>
                      <w:szCs w:val="21"/>
                      <w:highlight w:val="none"/>
                      <w:lang w:val="en-US" w:eastAsia="zh-CN"/>
                    </w:rPr>
                    <w:t>人）</w:t>
                  </w:r>
                </w:p>
              </w:tc>
              <w:tc>
                <w:tcPr>
                  <w:tcW w:w="0" w:type="auto"/>
                  <w:shd w:val="clear" w:color="auto" w:fill="auto"/>
                  <w:vAlign w:val="center"/>
                </w:tcPr>
                <w:p w14:paraId="6D6B759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50" w:type="dxa"/>
                  <w:vMerge w:val="continue"/>
                </w:tcPr>
                <w:p w14:paraId="7DFF436B">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val="0"/>
                      <w:bCs w:val="0"/>
                      <w:color w:val="auto"/>
                      <w:sz w:val="21"/>
                      <w:szCs w:val="21"/>
                      <w:highlight w:val="none"/>
                    </w:rPr>
                  </w:pPr>
                </w:p>
              </w:tc>
            </w:tr>
            <w:tr w14:paraId="29E3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shd w:val="clear" w:color="auto" w:fill="auto"/>
                  <w:vAlign w:val="center"/>
                </w:tcPr>
                <w:p w14:paraId="7229806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0" w:type="auto"/>
                  <w:shd w:val="clear" w:color="auto" w:fill="auto"/>
                  <w:vAlign w:val="center"/>
                </w:tcPr>
                <w:p w14:paraId="299E3B7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西北</w:t>
                  </w:r>
                </w:p>
              </w:tc>
              <w:tc>
                <w:tcPr>
                  <w:tcW w:w="0" w:type="auto"/>
                  <w:shd w:val="clear" w:color="auto" w:fill="auto"/>
                  <w:vAlign w:val="center"/>
                </w:tcPr>
                <w:p w14:paraId="1EAE2A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424m~478m</w:t>
                  </w:r>
                </w:p>
              </w:tc>
              <w:tc>
                <w:tcPr>
                  <w:tcW w:w="0" w:type="auto"/>
                  <w:shd w:val="clear" w:color="auto" w:fill="auto"/>
                  <w:vAlign w:val="center"/>
                </w:tcPr>
                <w:p w14:paraId="03B9C3B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4户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人）</w:t>
                  </w:r>
                </w:p>
              </w:tc>
              <w:tc>
                <w:tcPr>
                  <w:tcW w:w="0" w:type="auto"/>
                  <w:shd w:val="clear" w:color="auto" w:fill="auto"/>
                  <w:vAlign w:val="center"/>
                </w:tcPr>
                <w:p w14:paraId="2591799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550" w:type="dxa"/>
                  <w:vMerge w:val="continue"/>
                </w:tcPr>
                <w:p w14:paraId="295EEC58">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val="0"/>
                      <w:bCs w:val="0"/>
                      <w:color w:val="auto"/>
                      <w:sz w:val="21"/>
                      <w:szCs w:val="21"/>
                      <w:highlight w:val="none"/>
                    </w:rPr>
                  </w:pPr>
                </w:p>
              </w:tc>
            </w:tr>
          </w:tbl>
          <w:p w14:paraId="2D386C2F">
            <w:pPr>
              <w:keepNext w:val="0"/>
              <w:keepLines w:val="0"/>
              <w:pageBreakBefore w:val="0"/>
              <w:suppressLineNumbers w:val="0"/>
              <w:kinsoku/>
              <w:wordWrap/>
              <w:topLinePunct w:val="0"/>
              <w:bidi w:val="0"/>
              <w:spacing w:beforeAutospacing="0" w:afterAutospacing="0" w:line="360" w:lineRule="auto"/>
              <w:ind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lang w:val="en-US" w:eastAsia="zh-CN"/>
              </w:rPr>
              <w:t>地表水</w:t>
            </w:r>
            <w:r>
              <w:rPr>
                <w:rFonts w:hint="default" w:ascii="Times New Roman" w:hAnsi="Times New Roman" w:cs="Times New Roman"/>
                <w:b/>
                <w:color w:val="auto"/>
                <w:sz w:val="24"/>
                <w:szCs w:val="24"/>
                <w:highlight w:val="none"/>
              </w:rPr>
              <w:t>环境</w:t>
            </w:r>
          </w:p>
          <w:p w14:paraId="3F72DDFC">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eastAsia="黑体" w:cs="Times New Roman"/>
                <w:color w:val="auto"/>
                <w:szCs w:val="21"/>
                <w:highlight w:val="none"/>
              </w:rPr>
            </w:pPr>
            <w:r>
              <w:rPr>
                <w:rFonts w:hint="default" w:ascii="Times New Roman" w:hAnsi="Times New Roman" w:cs="Times New Roman"/>
                <w:color w:val="auto"/>
                <w:sz w:val="24"/>
                <w:szCs w:val="24"/>
                <w:highlight w:val="none"/>
                <w:lang w:val="en-US" w:eastAsia="zh-CN"/>
              </w:rPr>
              <w:t>本项目地表水环境保护目标</w:t>
            </w:r>
            <w:r>
              <w:rPr>
                <w:rFonts w:hint="eastAsia" w:ascii="Times New Roman" w:hAnsi="Times New Roman" w:cs="Times New Roman"/>
                <w:color w:val="auto"/>
                <w:sz w:val="24"/>
                <w:szCs w:val="24"/>
                <w:highlight w:val="none"/>
                <w:lang w:val="en-US" w:eastAsia="zh-CN"/>
              </w:rPr>
              <w:t>见下表</w:t>
            </w:r>
            <w:r>
              <w:rPr>
                <w:rFonts w:hint="default" w:ascii="Times New Roman" w:hAnsi="Times New Roman" w:cs="Times New Roman"/>
                <w:color w:val="auto"/>
                <w:sz w:val="24"/>
                <w:szCs w:val="24"/>
                <w:highlight w:val="none"/>
              </w:rPr>
              <w:t>。</w:t>
            </w:r>
          </w:p>
          <w:p w14:paraId="428144DB">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9 隘口水厂</w:t>
            </w:r>
            <w:r>
              <w:rPr>
                <w:rFonts w:hint="default" w:ascii="Times New Roman" w:hAnsi="Times New Roman" w:eastAsia="黑体" w:cs="Times New Roman"/>
                <w:color w:val="auto"/>
                <w:szCs w:val="21"/>
                <w:highlight w:val="none"/>
                <w:lang w:val="en-US" w:eastAsia="zh-CN"/>
              </w:rPr>
              <w:t>地表水</w:t>
            </w:r>
            <w:r>
              <w:rPr>
                <w:rFonts w:hint="default" w:ascii="Times New Roman" w:hAnsi="Times New Roman" w:eastAsia="黑体" w:cs="Times New Roman"/>
                <w:color w:val="auto"/>
                <w:szCs w:val="21"/>
                <w:highlight w:val="none"/>
              </w:rPr>
              <w:t>环境保护目标</w:t>
            </w:r>
          </w:p>
          <w:tbl>
            <w:tblPr>
              <w:tblStyle w:val="25"/>
              <w:tblW w:w="90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31"/>
              <w:gridCol w:w="1388"/>
              <w:gridCol w:w="735"/>
              <w:gridCol w:w="765"/>
              <w:gridCol w:w="900"/>
              <w:gridCol w:w="4277"/>
            </w:tblGrid>
            <w:tr w14:paraId="11A6F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031" w:type="dxa"/>
                  <w:tcBorders>
                    <w:tl2br w:val="nil"/>
                    <w:tr2bl w:val="nil"/>
                  </w:tcBorders>
                  <w:noWrap w:val="0"/>
                  <w:vAlign w:val="center"/>
                </w:tcPr>
                <w:p w14:paraId="2E989581">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环境要素</w:t>
                  </w:r>
                </w:p>
              </w:tc>
              <w:tc>
                <w:tcPr>
                  <w:tcW w:w="1388" w:type="dxa"/>
                  <w:tcBorders>
                    <w:tl2br w:val="nil"/>
                    <w:tr2bl w:val="nil"/>
                  </w:tcBorders>
                  <w:noWrap w:val="0"/>
                  <w:vAlign w:val="center"/>
                </w:tcPr>
                <w:p w14:paraId="52F90DB7">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735" w:type="dxa"/>
                  <w:tcBorders>
                    <w:tl2br w:val="nil"/>
                    <w:tr2bl w:val="nil"/>
                  </w:tcBorders>
                  <w:noWrap w:val="0"/>
                  <w:vAlign w:val="center"/>
                </w:tcPr>
                <w:p w14:paraId="11538A2E">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方位</w:t>
                  </w:r>
                </w:p>
              </w:tc>
              <w:tc>
                <w:tcPr>
                  <w:tcW w:w="765" w:type="dxa"/>
                  <w:tcBorders>
                    <w:tl2br w:val="nil"/>
                    <w:tr2bl w:val="nil"/>
                  </w:tcBorders>
                  <w:noWrap w:val="0"/>
                  <w:vAlign w:val="center"/>
                </w:tcPr>
                <w:p w14:paraId="7CD79B72">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距离</w:t>
                  </w:r>
                </w:p>
              </w:tc>
              <w:tc>
                <w:tcPr>
                  <w:tcW w:w="900" w:type="dxa"/>
                  <w:tcBorders>
                    <w:tl2br w:val="nil"/>
                    <w:tr2bl w:val="nil"/>
                  </w:tcBorders>
                  <w:noWrap w:val="0"/>
                  <w:vAlign w:val="center"/>
                </w:tcPr>
                <w:p w14:paraId="5D8BF9FF">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规模</w:t>
                  </w:r>
                </w:p>
              </w:tc>
              <w:tc>
                <w:tcPr>
                  <w:tcW w:w="4277" w:type="dxa"/>
                  <w:tcBorders>
                    <w:tl2br w:val="nil"/>
                    <w:tr2bl w:val="nil"/>
                  </w:tcBorders>
                  <w:noWrap w:val="0"/>
                  <w:vAlign w:val="center"/>
                </w:tcPr>
                <w:p w14:paraId="7CA87AD4">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保护要求</w:t>
                  </w:r>
                </w:p>
              </w:tc>
            </w:tr>
            <w:tr w14:paraId="1B5AAC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1" w:type="dxa"/>
                  <w:tcBorders>
                    <w:tl2br w:val="nil"/>
                    <w:tr2bl w:val="nil"/>
                  </w:tcBorders>
                  <w:noWrap w:val="0"/>
                  <w:vAlign w:val="center"/>
                </w:tcPr>
                <w:p w14:paraId="78B7089C">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地表水</w:t>
                  </w:r>
                </w:p>
              </w:tc>
              <w:tc>
                <w:tcPr>
                  <w:tcW w:w="1388" w:type="dxa"/>
                  <w:tcBorders>
                    <w:tl2br w:val="nil"/>
                    <w:tr2bl w:val="nil"/>
                  </w:tcBorders>
                  <w:noWrap w:val="0"/>
                  <w:vAlign w:val="center"/>
                </w:tcPr>
                <w:p w14:paraId="213E29CE">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普子坪水库</w:t>
                  </w:r>
                </w:p>
              </w:tc>
              <w:tc>
                <w:tcPr>
                  <w:tcW w:w="735" w:type="dxa"/>
                  <w:tcBorders>
                    <w:tl2br w:val="nil"/>
                    <w:tr2bl w:val="nil"/>
                  </w:tcBorders>
                  <w:noWrap w:val="0"/>
                  <w:vAlign w:val="center"/>
                </w:tcPr>
                <w:p w14:paraId="6C045CD5">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东</w:t>
                  </w:r>
                  <w:r>
                    <w:rPr>
                      <w:rFonts w:hint="default" w:ascii="Times New Roman" w:hAnsi="Times New Roman" w:eastAsia="宋体" w:cs="Times New Roman"/>
                      <w:b w:val="0"/>
                      <w:bCs w:val="0"/>
                      <w:color w:val="auto"/>
                      <w:sz w:val="21"/>
                      <w:szCs w:val="21"/>
                      <w:highlight w:val="none"/>
                      <w:lang w:val="en-US" w:eastAsia="zh-CN"/>
                    </w:rPr>
                    <w:t>侧</w:t>
                  </w:r>
                </w:p>
              </w:tc>
              <w:tc>
                <w:tcPr>
                  <w:tcW w:w="765" w:type="dxa"/>
                  <w:tcBorders>
                    <w:tl2br w:val="nil"/>
                    <w:tr2bl w:val="nil"/>
                  </w:tcBorders>
                  <w:noWrap w:val="0"/>
                  <w:vAlign w:val="center"/>
                </w:tcPr>
                <w:p w14:paraId="0C7D5B1E">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322</w:t>
                  </w:r>
                  <w:r>
                    <w:rPr>
                      <w:rFonts w:hint="default" w:ascii="Times New Roman" w:hAnsi="Times New Roman" w:eastAsia="宋体" w:cs="Times New Roman"/>
                      <w:bCs/>
                      <w:color w:val="auto"/>
                      <w:sz w:val="21"/>
                      <w:szCs w:val="21"/>
                      <w:highlight w:val="none"/>
                      <w:lang w:val="en-US" w:eastAsia="zh-CN"/>
                    </w:rPr>
                    <w:t>m</w:t>
                  </w:r>
                </w:p>
              </w:tc>
              <w:tc>
                <w:tcPr>
                  <w:tcW w:w="900" w:type="dxa"/>
                  <w:tcBorders>
                    <w:tl2br w:val="nil"/>
                    <w:tr2bl w:val="nil"/>
                  </w:tcBorders>
                  <w:noWrap w:val="0"/>
                  <w:vAlign w:val="center"/>
                </w:tcPr>
                <w:p w14:paraId="4DECC817">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小型水库</w:t>
                  </w:r>
                </w:p>
              </w:tc>
              <w:tc>
                <w:tcPr>
                  <w:tcW w:w="4277" w:type="dxa"/>
                  <w:tcBorders>
                    <w:tl2br w:val="nil"/>
                    <w:tr2bl w:val="nil"/>
                  </w:tcBorders>
                  <w:noWrap w:val="0"/>
                  <w:vAlign w:val="center"/>
                </w:tcPr>
                <w:p w14:paraId="533DE604">
                  <w:pPr>
                    <w:keepNext w:val="0"/>
                    <w:keepLines w:val="0"/>
                    <w:widowControl/>
                    <w:suppressLineNumbers w:val="0"/>
                    <w:jc w:val="center"/>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z w:val="21"/>
                      <w:szCs w:val="21"/>
                      <w:highlight w:val="none"/>
                    </w:rPr>
                    <w:t>《地表水环境质量标准》（GB3838-2002）</w:t>
                  </w:r>
                  <w:r>
                    <w:rPr>
                      <w:rFonts w:hint="default" w:ascii="Times New Roman" w:hAnsi="Times New Roman" w:cs="Times New Roman"/>
                      <w:color w:val="auto"/>
                      <w:sz w:val="21"/>
                      <w:szCs w:val="21"/>
                      <w:highlight w:val="none"/>
                      <w:lang w:val="en-US" w:eastAsia="zh-CN"/>
                    </w:rPr>
                    <w:t>Ⅱ</w:t>
                  </w:r>
                  <w:r>
                    <w:rPr>
                      <w:rFonts w:hint="default" w:ascii="Times New Roman" w:hAnsi="Times New Roman" w:eastAsia="宋体" w:cs="Times New Roman"/>
                      <w:color w:val="auto"/>
                      <w:sz w:val="21"/>
                      <w:szCs w:val="21"/>
                      <w:highlight w:val="none"/>
                    </w:rPr>
                    <w:t>类</w:t>
                  </w:r>
                </w:p>
              </w:tc>
            </w:tr>
          </w:tbl>
          <w:p w14:paraId="48CEAD35">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10 马渡关水厂</w:t>
            </w:r>
            <w:r>
              <w:rPr>
                <w:rFonts w:hint="default" w:ascii="Times New Roman" w:hAnsi="Times New Roman" w:eastAsia="黑体" w:cs="Times New Roman"/>
                <w:color w:val="auto"/>
                <w:szCs w:val="21"/>
                <w:highlight w:val="none"/>
                <w:lang w:val="en-US" w:eastAsia="zh-CN"/>
              </w:rPr>
              <w:t>地表水</w:t>
            </w:r>
            <w:r>
              <w:rPr>
                <w:rFonts w:hint="default" w:ascii="Times New Roman" w:hAnsi="Times New Roman" w:eastAsia="黑体" w:cs="Times New Roman"/>
                <w:color w:val="auto"/>
                <w:szCs w:val="21"/>
                <w:highlight w:val="none"/>
              </w:rPr>
              <w:t>环境保护目标</w:t>
            </w:r>
          </w:p>
          <w:tbl>
            <w:tblPr>
              <w:tblStyle w:val="25"/>
              <w:tblW w:w="90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31"/>
              <w:gridCol w:w="1403"/>
              <w:gridCol w:w="720"/>
              <w:gridCol w:w="765"/>
              <w:gridCol w:w="900"/>
              <w:gridCol w:w="4277"/>
            </w:tblGrid>
            <w:tr w14:paraId="21B49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031" w:type="dxa"/>
                  <w:tcBorders>
                    <w:tl2br w:val="nil"/>
                    <w:tr2bl w:val="nil"/>
                  </w:tcBorders>
                  <w:noWrap w:val="0"/>
                  <w:vAlign w:val="center"/>
                </w:tcPr>
                <w:p w14:paraId="486DD351">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环境要素</w:t>
                  </w:r>
                </w:p>
              </w:tc>
              <w:tc>
                <w:tcPr>
                  <w:tcW w:w="1403" w:type="dxa"/>
                  <w:tcBorders>
                    <w:tl2br w:val="nil"/>
                    <w:tr2bl w:val="nil"/>
                  </w:tcBorders>
                  <w:noWrap w:val="0"/>
                  <w:vAlign w:val="center"/>
                </w:tcPr>
                <w:p w14:paraId="0FAADDA0">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w:t>
                  </w:r>
                </w:p>
              </w:tc>
              <w:tc>
                <w:tcPr>
                  <w:tcW w:w="720" w:type="dxa"/>
                  <w:tcBorders>
                    <w:tl2br w:val="nil"/>
                    <w:tr2bl w:val="nil"/>
                  </w:tcBorders>
                  <w:noWrap w:val="0"/>
                  <w:vAlign w:val="center"/>
                </w:tcPr>
                <w:p w14:paraId="0C096854">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方位</w:t>
                  </w:r>
                </w:p>
              </w:tc>
              <w:tc>
                <w:tcPr>
                  <w:tcW w:w="765" w:type="dxa"/>
                  <w:tcBorders>
                    <w:tl2br w:val="nil"/>
                    <w:tr2bl w:val="nil"/>
                  </w:tcBorders>
                  <w:noWrap w:val="0"/>
                  <w:vAlign w:val="center"/>
                </w:tcPr>
                <w:p w14:paraId="30D148A0">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距离</w:t>
                  </w:r>
                </w:p>
              </w:tc>
              <w:tc>
                <w:tcPr>
                  <w:tcW w:w="900" w:type="dxa"/>
                  <w:tcBorders>
                    <w:tl2br w:val="nil"/>
                    <w:tr2bl w:val="nil"/>
                  </w:tcBorders>
                  <w:noWrap w:val="0"/>
                  <w:vAlign w:val="center"/>
                </w:tcPr>
                <w:p w14:paraId="2200293E">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规模</w:t>
                  </w:r>
                </w:p>
              </w:tc>
              <w:tc>
                <w:tcPr>
                  <w:tcW w:w="4277" w:type="dxa"/>
                  <w:tcBorders>
                    <w:tl2br w:val="nil"/>
                    <w:tr2bl w:val="nil"/>
                  </w:tcBorders>
                  <w:noWrap w:val="0"/>
                  <w:vAlign w:val="center"/>
                </w:tcPr>
                <w:p w14:paraId="2047CD08">
                  <w:pPr>
                    <w:keepNext w:val="0"/>
                    <w:keepLines w:val="0"/>
                    <w:pageBreakBefore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保护要求</w:t>
                  </w:r>
                </w:p>
              </w:tc>
            </w:tr>
            <w:tr w14:paraId="6FC47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31" w:type="dxa"/>
                  <w:tcBorders>
                    <w:tl2br w:val="nil"/>
                    <w:tr2bl w:val="nil"/>
                  </w:tcBorders>
                  <w:noWrap w:val="0"/>
                  <w:vAlign w:val="center"/>
                </w:tcPr>
                <w:p w14:paraId="3C8952D2">
                  <w:pPr>
                    <w:keepNext w:val="0"/>
                    <w:keepLines w:val="0"/>
                    <w:widowControl/>
                    <w:suppressLineNumbers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地表水</w:t>
                  </w:r>
                </w:p>
              </w:tc>
              <w:tc>
                <w:tcPr>
                  <w:tcW w:w="1403" w:type="dxa"/>
                  <w:tcBorders>
                    <w:tl2br w:val="nil"/>
                    <w:tr2bl w:val="nil"/>
                  </w:tcBorders>
                  <w:noWrap w:val="0"/>
                  <w:vAlign w:val="center"/>
                </w:tcPr>
                <w:p w14:paraId="498813A7">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长滩河</w:t>
                  </w:r>
                </w:p>
              </w:tc>
              <w:tc>
                <w:tcPr>
                  <w:tcW w:w="720" w:type="dxa"/>
                  <w:tcBorders>
                    <w:tl2br w:val="nil"/>
                    <w:tr2bl w:val="nil"/>
                  </w:tcBorders>
                  <w:noWrap w:val="0"/>
                  <w:vAlign w:val="center"/>
                </w:tcPr>
                <w:p w14:paraId="7A9AEA52">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西</w:t>
                  </w:r>
                  <w:r>
                    <w:rPr>
                      <w:rFonts w:hint="default" w:ascii="Times New Roman" w:hAnsi="Times New Roman" w:eastAsia="宋体" w:cs="Times New Roman"/>
                      <w:b w:val="0"/>
                      <w:bCs w:val="0"/>
                      <w:color w:val="auto"/>
                      <w:sz w:val="21"/>
                      <w:szCs w:val="21"/>
                      <w:highlight w:val="none"/>
                      <w:lang w:val="en-US" w:eastAsia="zh-CN"/>
                    </w:rPr>
                    <w:t>侧</w:t>
                  </w:r>
                </w:p>
              </w:tc>
              <w:tc>
                <w:tcPr>
                  <w:tcW w:w="765" w:type="dxa"/>
                  <w:tcBorders>
                    <w:tl2br w:val="nil"/>
                    <w:tr2bl w:val="nil"/>
                  </w:tcBorders>
                  <w:noWrap w:val="0"/>
                  <w:vAlign w:val="center"/>
                </w:tcPr>
                <w:p w14:paraId="1D3DE057">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647</w:t>
                  </w:r>
                  <w:r>
                    <w:rPr>
                      <w:rFonts w:hint="default" w:ascii="Times New Roman" w:hAnsi="Times New Roman" w:eastAsia="宋体" w:cs="Times New Roman"/>
                      <w:bCs/>
                      <w:color w:val="auto"/>
                      <w:sz w:val="21"/>
                      <w:szCs w:val="21"/>
                      <w:highlight w:val="none"/>
                      <w:lang w:val="en-US" w:eastAsia="zh-CN"/>
                    </w:rPr>
                    <w:t>m</w:t>
                  </w:r>
                </w:p>
              </w:tc>
              <w:tc>
                <w:tcPr>
                  <w:tcW w:w="900" w:type="dxa"/>
                  <w:tcBorders>
                    <w:tl2br w:val="nil"/>
                    <w:tr2bl w:val="nil"/>
                  </w:tcBorders>
                  <w:noWrap w:val="0"/>
                  <w:vAlign w:val="center"/>
                </w:tcPr>
                <w:p w14:paraId="0B444167">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小河</w:t>
                  </w:r>
                </w:p>
              </w:tc>
              <w:tc>
                <w:tcPr>
                  <w:tcW w:w="4277" w:type="dxa"/>
                  <w:tcBorders>
                    <w:tl2br w:val="nil"/>
                    <w:tr2bl w:val="nil"/>
                  </w:tcBorders>
                  <w:noWrap w:val="0"/>
                  <w:vAlign w:val="center"/>
                </w:tcPr>
                <w:p w14:paraId="1C7E4207">
                  <w:pPr>
                    <w:keepNext w:val="0"/>
                    <w:keepLines w:val="0"/>
                    <w:widowControl/>
                    <w:suppressLineNumbers w:val="0"/>
                    <w:jc w:val="center"/>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z w:val="21"/>
                      <w:szCs w:val="21"/>
                      <w:highlight w:val="none"/>
                    </w:rPr>
                    <w:t>《地表水环境质量标准》（GB3838-2002）</w:t>
                  </w:r>
                  <w:r>
                    <w:rPr>
                      <w:rFonts w:hint="default" w:ascii="Times New Roman" w:hAnsi="Times New Roman" w:cs="Times New Roman"/>
                      <w:color w:val="auto"/>
                      <w:sz w:val="21"/>
                      <w:szCs w:val="21"/>
                      <w:highlight w:val="none"/>
                      <w:lang w:val="en-US" w:eastAsia="zh-CN"/>
                    </w:rPr>
                    <w:t>Ⅱ</w:t>
                  </w:r>
                  <w:r>
                    <w:rPr>
                      <w:rFonts w:hint="default" w:ascii="Times New Roman" w:hAnsi="Times New Roman" w:eastAsia="宋体" w:cs="Times New Roman"/>
                      <w:color w:val="auto"/>
                      <w:sz w:val="21"/>
                      <w:szCs w:val="21"/>
                      <w:highlight w:val="none"/>
                    </w:rPr>
                    <w:t>类</w:t>
                  </w:r>
                </w:p>
              </w:tc>
            </w:tr>
          </w:tbl>
          <w:p w14:paraId="45233C8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firstLine="420" w:firstLineChars="200"/>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注：</w:t>
            </w:r>
            <w:r>
              <w:rPr>
                <w:rFonts w:hint="eastAsia" w:ascii="Times New Roman" w:hAnsi="Times New Roman" w:eastAsia="宋体" w:cs="Times New Roman"/>
                <w:color w:val="auto"/>
                <w:sz w:val="21"/>
                <w:szCs w:val="21"/>
                <w:highlight w:val="none"/>
                <w:lang w:val="en-US" w:eastAsia="zh-CN"/>
              </w:rPr>
              <w:t>划定饮用水水源保护区后，</w:t>
            </w:r>
            <w:r>
              <w:rPr>
                <w:rFonts w:hint="default" w:ascii="Times New Roman" w:hAnsi="Times New Roman" w:eastAsia="宋体" w:cs="Times New Roman"/>
                <w:color w:val="auto"/>
                <w:sz w:val="21"/>
                <w:szCs w:val="21"/>
                <w:highlight w:val="none"/>
                <w:lang w:val="en-US" w:eastAsia="zh-CN"/>
              </w:rPr>
              <w:t>一级保护区</w:t>
            </w:r>
            <w:r>
              <w:rPr>
                <w:rFonts w:hint="default" w:ascii="Times New Roman" w:hAnsi="Times New Roman" w:eastAsia="宋体" w:cs="Times New Roman"/>
                <w:color w:val="auto"/>
                <w:sz w:val="21"/>
                <w:szCs w:val="21"/>
                <w:highlight w:val="none"/>
              </w:rPr>
              <w:t>《地表水环境质量标准》（GB3838-2002）</w:t>
            </w:r>
            <w:r>
              <w:rPr>
                <w:rFonts w:hint="default" w:ascii="Times New Roman" w:hAnsi="Times New Roman" w:cs="Times New Roman"/>
                <w:color w:val="auto"/>
                <w:sz w:val="21"/>
                <w:szCs w:val="21"/>
                <w:highlight w:val="none"/>
                <w:lang w:val="en-US" w:eastAsia="zh-CN"/>
              </w:rPr>
              <w:t>Ⅱ</w:t>
            </w:r>
            <w:r>
              <w:rPr>
                <w:rFonts w:hint="default" w:ascii="Times New Roman" w:hAnsi="Times New Roman" w:eastAsia="宋体" w:cs="Times New Roman"/>
                <w:color w:val="auto"/>
                <w:sz w:val="21"/>
                <w:szCs w:val="21"/>
                <w:highlight w:val="none"/>
              </w:rPr>
              <w:t>类</w:t>
            </w:r>
            <w:r>
              <w:rPr>
                <w:rFonts w:hint="default" w:ascii="Times New Roman" w:hAnsi="Times New Roman" w:eastAsia="宋体" w:cs="Times New Roman"/>
                <w:color w:val="auto"/>
                <w:sz w:val="21"/>
                <w:szCs w:val="21"/>
                <w:highlight w:val="none"/>
                <w:lang w:val="en-US" w:eastAsia="zh-CN"/>
              </w:rPr>
              <w:t>，二级保护区</w:t>
            </w:r>
            <w:r>
              <w:rPr>
                <w:rFonts w:hint="default" w:ascii="Times New Roman" w:hAnsi="Times New Roman" w:eastAsia="宋体" w:cs="Times New Roman"/>
                <w:color w:val="auto"/>
                <w:sz w:val="21"/>
                <w:szCs w:val="21"/>
                <w:highlight w:val="none"/>
              </w:rPr>
              <w:t>《地表水环境质量标准》（GB3838-2002）</w:t>
            </w:r>
            <w:r>
              <w:rPr>
                <w:rFonts w:hint="default" w:ascii="Times New Roman" w:hAnsi="Times New Roman" w:cs="Times New Roman"/>
                <w:color w:val="auto"/>
                <w:sz w:val="21"/>
                <w:szCs w:val="21"/>
                <w:highlight w:val="none"/>
                <w:lang w:val="en-US" w:eastAsia="zh-CN"/>
              </w:rPr>
              <w:t>Ⅲ</w:t>
            </w:r>
            <w:r>
              <w:rPr>
                <w:rFonts w:hint="default" w:ascii="Times New Roman" w:hAnsi="Times New Roman" w:eastAsia="宋体" w:cs="Times New Roman"/>
                <w:color w:val="auto"/>
                <w:sz w:val="21"/>
                <w:szCs w:val="21"/>
                <w:highlight w:val="none"/>
              </w:rPr>
              <w:t>类</w:t>
            </w:r>
            <w:r>
              <w:rPr>
                <w:rFonts w:hint="eastAsia" w:ascii="Times New Roman" w:hAnsi="Times New Roman" w:eastAsia="宋体" w:cs="Times New Roman"/>
                <w:color w:val="auto"/>
                <w:sz w:val="21"/>
                <w:szCs w:val="21"/>
                <w:highlight w:val="none"/>
                <w:lang w:eastAsia="zh-CN"/>
              </w:rPr>
              <w:t>。</w:t>
            </w:r>
          </w:p>
          <w:p w14:paraId="1C727B59">
            <w:pPr>
              <w:keepNext w:val="0"/>
              <w:keepLines w:val="0"/>
              <w:pageBreakBefore w:val="0"/>
              <w:suppressLineNumbers w:val="0"/>
              <w:kinsoku/>
              <w:wordWrap/>
              <w:topLinePunct w:val="0"/>
              <w:bidi w:val="0"/>
              <w:spacing w:beforeAutospacing="0" w:afterAutospacing="0" w:line="360" w:lineRule="auto"/>
              <w:ind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声环境</w:t>
            </w:r>
          </w:p>
          <w:p w14:paraId="66D81B98">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eastAsia" w:ascii="Times New Roman" w:hAnsi="Times New Roman" w:cs="Times New Roman"/>
                <w:color w:val="auto"/>
                <w:sz w:val="24"/>
                <w:szCs w:val="24"/>
                <w:highlight w:val="none"/>
                <w:lang w:val="en-US" w:eastAsia="zh-CN"/>
              </w:rPr>
              <w:t>隘口水厂</w:t>
            </w:r>
            <w:r>
              <w:rPr>
                <w:rFonts w:hint="default" w:ascii="Times New Roman" w:hAnsi="Times New Roman" w:cs="Times New Roman"/>
                <w:color w:val="auto"/>
                <w:sz w:val="24"/>
                <w:szCs w:val="24"/>
                <w:highlight w:val="none"/>
              </w:rPr>
              <w:t>厂界外50m范围内</w:t>
            </w:r>
            <w:r>
              <w:rPr>
                <w:rFonts w:hint="eastAsia" w:ascii="Times New Roman" w:hAnsi="Times New Roman" w:cs="Times New Roman"/>
                <w:color w:val="auto"/>
                <w:sz w:val="24"/>
                <w:szCs w:val="24"/>
                <w:highlight w:val="none"/>
                <w:lang w:val="en-US" w:eastAsia="zh-CN"/>
              </w:rPr>
              <w:t>无</w:t>
            </w:r>
            <w:r>
              <w:rPr>
                <w:rFonts w:hint="default" w:ascii="Times New Roman" w:hAnsi="Times New Roman" w:cs="Times New Roman"/>
                <w:color w:val="auto"/>
                <w:sz w:val="24"/>
                <w:szCs w:val="24"/>
                <w:highlight w:val="none"/>
              </w:rPr>
              <w:t>声环境保护目标</w:t>
            </w:r>
            <w:r>
              <w:rPr>
                <w:rFonts w:hint="eastAsia" w:ascii="Times New Roman" w:hAnsi="Times New Roman" w:cs="Times New Roman"/>
                <w:color w:val="auto"/>
                <w:sz w:val="24"/>
                <w:szCs w:val="24"/>
                <w:highlight w:val="none"/>
                <w:lang w:val="en-US" w:eastAsia="zh-CN"/>
              </w:rPr>
              <w:t>；马渡关水厂</w:t>
            </w:r>
            <w:r>
              <w:rPr>
                <w:rFonts w:hint="default" w:ascii="Times New Roman" w:hAnsi="Times New Roman" w:cs="Times New Roman"/>
                <w:color w:val="auto"/>
                <w:sz w:val="24"/>
                <w:szCs w:val="24"/>
                <w:highlight w:val="none"/>
              </w:rPr>
              <w:t>厂界外50m范围内声环境保护目标</w:t>
            </w:r>
            <w:r>
              <w:rPr>
                <w:rFonts w:hint="default" w:ascii="Times New Roman" w:hAnsi="Times New Roman" w:cs="Times New Roman"/>
                <w:color w:val="auto"/>
                <w:sz w:val="24"/>
                <w:szCs w:val="24"/>
                <w:highlight w:val="none"/>
                <w:lang w:val="en-US" w:eastAsia="zh-CN"/>
              </w:rPr>
              <w:t>见下表。</w:t>
            </w:r>
          </w:p>
          <w:p w14:paraId="735E24B9">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11 马渡关水厂</w:t>
            </w:r>
            <w:r>
              <w:rPr>
                <w:rFonts w:hint="default" w:ascii="Times New Roman" w:hAnsi="Times New Roman" w:eastAsia="黑体" w:cs="Times New Roman"/>
                <w:color w:val="auto"/>
                <w:szCs w:val="21"/>
                <w:highlight w:val="none"/>
                <w:lang w:val="en-US" w:eastAsia="zh-CN"/>
              </w:rPr>
              <w:t>声</w:t>
            </w:r>
            <w:r>
              <w:rPr>
                <w:rFonts w:hint="default" w:ascii="Times New Roman" w:hAnsi="Times New Roman" w:eastAsia="黑体" w:cs="Times New Roman"/>
                <w:color w:val="auto"/>
                <w:szCs w:val="21"/>
                <w:highlight w:val="none"/>
              </w:rPr>
              <w:t>环境保护目标</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975"/>
              <w:gridCol w:w="1485"/>
              <w:gridCol w:w="1485"/>
              <w:gridCol w:w="1032"/>
              <w:gridCol w:w="2424"/>
            </w:tblGrid>
            <w:tr w14:paraId="07A8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dxa"/>
                  <w:vAlign w:val="center"/>
                </w:tcPr>
                <w:p w14:paraId="61B48903">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保护对象</w:t>
                  </w:r>
                </w:p>
              </w:tc>
              <w:tc>
                <w:tcPr>
                  <w:tcW w:w="975" w:type="dxa"/>
                  <w:vAlign w:val="center"/>
                </w:tcPr>
                <w:p w14:paraId="1773ACC4">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方位</w:t>
                  </w:r>
                </w:p>
              </w:tc>
              <w:tc>
                <w:tcPr>
                  <w:tcW w:w="1485" w:type="dxa"/>
                  <w:vAlign w:val="center"/>
                </w:tcPr>
                <w:p w14:paraId="028E516C">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eastAsiaTheme="minorEastAsia"/>
                      <w:b/>
                      <w:bCs/>
                      <w:color w:val="auto"/>
                      <w:szCs w:val="21"/>
                      <w:highlight w:val="none"/>
                      <w:lang w:val="en-US" w:eastAsia="zh-CN"/>
                    </w:rPr>
                  </w:pPr>
                  <w:r>
                    <w:rPr>
                      <w:rFonts w:hint="default" w:ascii="Times New Roman" w:hAnsi="Times New Roman" w:cs="Times New Roman"/>
                      <w:b/>
                      <w:bCs/>
                      <w:color w:val="auto"/>
                      <w:szCs w:val="21"/>
                      <w:highlight w:val="none"/>
                    </w:rPr>
                    <w:t>距离</w:t>
                  </w:r>
                  <w:r>
                    <w:rPr>
                      <w:rFonts w:hint="default" w:ascii="Times New Roman" w:hAnsi="Times New Roman" w:cs="Times New Roman"/>
                      <w:b/>
                      <w:bCs/>
                      <w:color w:val="auto"/>
                      <w:szCs w:val="21"/>
                      <w:highlight w:val="none"/>
                      <w:lang w:val="en-US" w:eastAsia="zh-CN"/>
                    </w:rPr>
                    <w:t>/m</w:t>
                  </w:r>
                </w:p>
              </w:tc>
              <w:tc>
                <w:tcPr>
                  <w:tcW w:w="1485" w:type="dxa"/>
                  <w:vAlign w:val="center"/>
                </w:tcPr>
                <w:p w14:paraId="02F0A080">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规模</w:t>
                  </w:r>
                </w:p>
              </w:tc>
              <w:tc>
                <w:tcPr>
                  <w:tcW w:w="1032" w:type="dxa"/>
                  <w:vAlign w:val="center"/>
                </w:tcPr>
                <w:p w14:paraId="35CB59C5">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性质</w:t>
                  </w:r>
                </w:p>
              </w:tc>
              <w:tc>
                <w:tcPr>
                  <w:tcW w:w="2424" w:type="dxa"/>
                  <w:vAlign w:val="center"/>
                </w:tcPr>
                <w:p w14:paraId="3A23466E">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保护级别</w:t>
                  </w:r>
                </w:p>
              </w:tc>
            </w:tr>
            <w:tr w14:paraId="5D8B3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dxa"/>
                  <w:shd w:val="clear" w:color="auto" w:fill="auto"/>
                  <w:vAlign w:val="center"/>
                </w:tcPr>
                <w:p w14:paraId="77ABE72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975" w:type="dxa"/>
                  <w:shd w:val="clear" w:color="auto" w:fill="auto"/>
                  <w:vAlign w:val="center"/>
                </w:tcPr>
                <w:p w14:paraId="267897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北侧</w:t>
                  </w:r>
                </w:p>
              </w:tc>
              <w:tc>
                <w:tcPr>
                  <w:tcW w:w="1485" w:type="dxa"/>
                  <w:shd w:val="clear" w:color="auto" w:fill="auto"/>
                  <w:vAlign w:val="center"/>
                </w:tcPr>
                <w:p w14:paraId="6E1BB9F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zh-CN" w:bidi="ar"/>
                    </w:rPr>
                    <w:t>17m~35</w:t>
                  </w:r>
                  <w:r>
                    <w:rPr>
                      <w:rFonts w:hint="default" w:ascii="Times New Roman" w:hAnsi="Times New Roman" w:eastAsia="宋体" w:cs="Times New Roman"/>
                      <w:b w:val="0"/>
                      <w:bCs w:val="0"/>
                      <w:color w:val="auto"/>
                      <w:kern w:val="0"/>
                      <w:sz w:val="21"/>
                      <w:szCs w:val="21"/>
                      <w:lang w:val="en-US" w:eastAsia="zh-CN" w:bidi="ar"/>
                    </w:rPr>
                    <w:t>m</w:t>
                  </w:r>
                </w:p>
              </w:tc>
              <w:tc>
                <w:tcPr>
                  <w:tcW w:w="1485" w:type="dxa"/>
                  <w:shd w:val="clear" w:color="auto" w:fill="auto"/>
                  <w:vAlign w:val="center"/>
                </w:tcPr>
                <w:p w14:paraId="37F4DF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人）</w:t>
                  </w:r>
                </w:p>
              </w:tc>
              <w:tc>
                <w:tcPr>
                  <w:tcW w:w="1032" w:type="dxa"/>
                  <w:shd w:val="clear" w:color="auto" w:fill="auto"/>
                  <w:vAlign w:val="center"/>
                </w:tcPr>
                <w:p w14:paraId="4AEC366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424" w:type="dxa"/>
                  <w:vMerge w:val="restart"/>
                  <w:vAlign w:val="center"/>
                </w:tcPr>
                <w:p w14:paraId="0B2CAF81">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《声环境质量标准》（GB3096-2008）</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w:t>
                  </w:r>
                </w:p>
              </w:tc>
            </w:tr>
            <w:tr w14:paraId="7328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dxa"/>
                  <w:shd w:val="clear" w:color="auto" w:fill="auto"/>
                  <w:vAlign w:val="center"/>
                </w:tcPr>
                <w:p w14:paraId="319AE5A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975" w:type="dxa"/>
                  <w:shd w:val="clear" w:color="auto" w:fill="auto"/>
                  <w:vAlign w:val="center"/>
                </w:tcPr>
                <w:p w14:paraId="1898EB7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东</w:t>
                  </w:r>
                  <w:r>
                    <w:rPr>
                      <w:rFonts w:hint="default" w:ascii="Times New Roman" w:hAnsi="Times New Roman" w:eastAsia="宋体" w:cs="Times New Roman"/>
                      <w:b w:val="0"/>
                      <w:bCs w:val="0"/>
                      <w:color w:val="auto"/>
                      <w:sz w:val="21"/>
                      <w:szCs w:val="21"/>
                      <w:highlight w:val="none"/>
                      <w:lang w:val="en-US" w:eastAsia="zh-CN"/>
                    </w:rPr>
                    <w:t>南侧</w:t>
                  </w:r>
                </w:p>
              </w:tc>
              <w:tc>
                <w:tcPr>
                  <w:tcW w:w="1485" w:type="dxa"/>
                  <w:shd w:val="clear" w:color="auto" w:fill="auto"/>
                  <w:vAlign w:val="center"/>
                </w:tcPr>
                <w:p w14:paraId="4D0D9B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8m</w:t>
                  </w:r>
                  <w:r>
                    <w:rPr>
                      <w:rFonts w:hint="default" w:ascii="Times New Roman" w:hAnsi="Times New Roman" w:eastAsia="宋体" w:cs="Times New Roman"/>
                      <w:b w:val="0"/>
                      <w:bCs w:val="0"/>
                      <w:color w:val="auto"/>
                      <w:kern w:val="0"/>
                      <w:sz w:val="21"/>
                      <w:szCs w:val="21"/>
                      <w:lang w:val="en-US" w:eastAsia="zh-CN" w:bidi="ar"/>
                    </w:rPr>
                    <w:t>~</w:t>
                  </w:r>
                  <w:r>
                    <w:rPr>
                      <w:rFonts w:hint="eastAsia" w:ascii="Times New Roman" w:hAnsi="Times New Roman" w:eastAsia="宋体" w:cs="Times New Roman"/>
                      <w:b w:val="0"/>
                      <w:bCs w:val="0"/>
                      <w:color w:val="auto"/>
                      <w:kern w:val="0"/>
                      <w:sz w:val="21"/>
                      <w:szCs w:val="21"/>
                      <w:lang w:val="en-US" w:eastAsia="zh-CN" w:bidi="ar"/>
                    </w:rPr>
                    <w:t>41</w:t>
                  </w:r>
                  <w:r>
                    <w:rPr>
                      <w:rFonts w:hint="default" w:ascii="Times New Roman" w:hAnsi="Times New Roman" w:eastAsia="宋体" w:cs="Times New Roman"/>
                      <w:b w:val="0"/>
                      <w:bCs w:val="0"/>
                      <w:color w:val="auto"/>
                      <w:kern w:val="0"/>
                      <w:sz w:val="21"/>
                      <w:szCs w:val="21"/>
                      <w:lang w:val="en-US" w:eastAsia="zh-CN" w:bidi="ar"/>
                    </w:rPr>
                    <w:t>m</w:t>
                  </w:r>
                </w:p>
              </w:tc>
              <w:tc>
                <w:tcPr>
                  <w:tcW w:w="1485" w:type="dxa"/>
                  <w:shd w:val="clear" w:color="auto" w:fill="auto"/>
                  <w:vAlign w:val="center"/>
                </w:tcPr>
                <w:p w14:paraId="3373032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2户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人）</w:t>
                  </w:r>
                </w:p>
              </w:tc>
              <w:tc>
                <w:tcPr>
                  <w:tcW w:w="1032" w:type="dxa"/>
                  <w:shd w:val="clear" w:color="auto" w:fill="auto"/>
                  <w:vAlign w:val="center"/>
                </w:tcPr>
                <w:p w14:paraId="28DFA08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424" w:type="dxa"/>
                  <w:vMerge w:val="continue"/>
                  <w:vAlign w:val="center"/>
                </w:tcPr>
                <w:p w14:paraId="2B660764">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r w14:paraId="2E95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5" w:type="dxa"/>
                  <w:shd w:val="clear" w:color="auto" w:fill="auto"/>
                  <w:vAlign w:val="center"/>
                </w:tcPr>
                <w:p w14:paraId="36DD8A1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975" w:type="dxa"/>
                  <w:shd w:val="clear" w:color="auto" w:fill="auto"/>
                  <w:vAlign w:val="center"/>
                </w:tcPr>
                <w:p w14:paraId="00953B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西侧</w:t>
                  </w:r>
                </w:p>
              </w:tc>
              <w:tc>
                <w:tcPr>
                  <w:tcW w:w="1485" w:type="dxa"/>
                  <w:shd w:val="clear" w:color="auto" w:fill="auto"/>
                  <w:vAlign w:val="center"/>
                </w:tcPr>
                <w:p w14:paraId="05306A7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zh-CN" w:bidi="ar"/>
                    </w:rPr>
                    <w:t>44m</w:t>
                  </w:r>
                </w:p>
              </w:tc>
              <w:tc>
                <w:tcPr>
                  <w:tcW w:w="1485" w:type="dxa"/>
                  <w:shd w:val="clear" w:color="auto" w:fill="auto"/>
                  <w:vAlign w:val="center"/>
                </w:tcPr>
                <w:p w14:paraId="3ABB1D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户</w:t>
                  </w:r>
                  <w:r>
                    <w:rPr>
                      <w:rFonts w:hint="default" w:ascii="Times New Roman" w:hAnsi="Times New Roman" w:cs="Times New Roman"/>
                      <w:color w:val="auto"/>
                      <w:sz w:val="21"/>
                      <w:szCs w:val="21"/>
                      <w:highlight w:val="none"/>
                      <w:lang w:val="en-US" w:eastAsia="zh-CN"/>
                    </w:rPr>
                    <w:t>（约</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人）</w:t>
                  </w:r>
                </w:p>
              </w:tc>
              <w:tc>
                <w:tcPr>
                  <w:tcW w:w="1032" w:type="dxa"/>
                  <w:shd w:val="clear" w:color="auto" w:fill="auto"/>
                  <w:vAlign w:val="center"/>
                </w:tcPr>
                <w:p w14:paraId="4F0912F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居民区</w:t>
                  </w:r>
                </w:p>
              </w:tc>
              <w:tc>
                <w:tcPr>
                  <w:tcW w:w="2424" w:type="dxa"/>
                  <w:vMerge w:val="continue"/>
                  <w:vAlign w:val="center"/>
                </w:tcPr>
                <w:p w14:paraId="75E7A300">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bl>
          <w:p w14:paraId="70AC3CC7">
            <w:pPr>
              <w:keepNext w:val="0"/>
              <w:keepLines w:val="0"/>
              <w:pageBreakBefore w:val="0"/>
              <w:suppressLineNumbers w:val="0"/>
              <w:kinsoku/>
              <w:wordWrap/>
              <w:topLinePunct w:val="0"/>
              <w:bidi w:val="0"/>
              <w:spacing w:beforeAutospacing="0" w:afterAutospacing="0" w:line="360" w:lineRule="auto"/>
              <w:ind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4、</w:t>
            </w:r>
            <w:r>
              <w:rPr>
                <w:rFonts w:hint="default" w:ascii="Times New Roman" w:hAnsi="Times New Roman" w:cs="Times New Roman"/>
                <w:b/>
                <w:color w:val="auto"/>
                <w:sz w:val="24"/>
                <w:szCs w:val="24"/>
                <w:highlight w:val="none"/>
              </w:rPr>
              <w:t>地下水环境</w:t>
            </w:r>
          </w:p>
          <w:p w14:paraId="65759A5E">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本项目厂界外500m范围内无地下水集中式饮用水水源和热水、矿泉水、温泉等特殊地下水资源。</w:t>
            </w:r>
          </w:p>
          <w:p w14:paraId="72E67DE0">
            <w:pPr>
              <w:keepNext w:val="0"/>
              <w:keepLines w:val="0"/>
              <w:pageBreakBefore w:val="0"/>
              <w:suppressLineNumbers w:val="0"/>
              <w:kinsoku/>
              <w:wordWrap/>
              <w:topLinePunct w:val="0"/>
              <w:bidi w:val="0"/>
              <w:spacing w:beforeAutospacing="0" w:afterAutospacing="0" w:line="360" w:lineRule="auto"/>
              <w:ind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5、</w:t>
            </w:r>
            <w:r>
              <w:rPr>
                <w:rFonts w:hint="default" w:ascii="Times New Roman" w:hAnsi="Times New Roman" w:cs="Times New Roman"/>
                <w:b/>
                <w:color w:val="auto"/>
                <w:sz w:val="24"/>
                <w:szCs w:val="24"/>
                <w:highlight w:val="none"/>
              </w:rPr>
              <w:t>生态环境</w:t>
            </w:r>
          </w:p>
          <w:p w14:paraId="2D30D5E1">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b/>
                <w:color w:val="auto"/>
                <w:sz w:val="24"/>
                <w:szCs w:val="24"/>
                <w:highlight w:val="none"/>
              </w:rPr>
            </w:pPr>
            <w:r>
              <w:rPr>
                <w:rFonts w:hint="default" w:ascii="Times New Roman" w:hAnsi="Times New Roman" w:cs="Times New Roman"/>
                <w:color w:val="auto"/>
                <w:sz w:val="24"/>
                <w:szCs w:val="24"/>
                <w:highlight w:val="none"/>
              </w:rPr>
              <w:t>本项目用地范围内无生态环境保护目标。</w:t>
            </w:r>
          </w:p>
        </w:tc>
      </w:tr>
      <w:tr w14:paraId="1E93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0" w:type="dxa"/>
            <w:vAlign w:val="center"/>
          </w:tcPr>
          <w:p w14:paraId="45FFD3FD">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污染物排放控制标准</w:t>
            </w:r>
          </w:p>
        </w:tc>
        <w:tc>
          <w:tcPr>
            <w:tcW w:w="9343" w:type="dxa"/>
            <w:vAlign w:val="center"/>
          </w:tcPr>
          <w:p w14:paraId="751A0D4B">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1、废气</w:t>
            </w:r>
          </w:p>
          <w:p w14:paraId="1FF2C3A4">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施工期执行《四川省施工场地扬尘排放标准》（DB51/2682-2020）表1中排放限值。</w:t>
            </w:r>
          </w:p>
          <w:p w14:paraId="7E4EFC87">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 xml:space="preserve">12 </w:t>
            </w:r>
            <w:r>
              <w:rPr>
                <w:rFonts w:hint="default" w:ascii="Times New Roman" w:hAnsi="Times New Roman" w:eastAsia="黑体" w:cs="Times New Roman"/>
                <w:color w:val="auto"/>
                <w:szCs w:val="21"/>
                <w:highlight w:val="none"/>
              </w:rPr>
              <w:t>施工扬尘排放标准限值</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215"/>
              <w:gridCol w:w="3360"/>
              <w:gridCol w:w="2550"/>
              <w:gridCol w:w="1317"/>
            </w:tblGrid>
            <w:tr w14:paraId="0FBB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69" w:type="pct"/>
                  <w:vAlign w:val="center"/>
                </w:tcPr>
                <w:p w14:paraId="44FEFE9B">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666" w:type="pct"/>
                  <w:vAlign w:val="center"/>
                </w:tcPr>
                <w:p w14:paraId="2F011973">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842" w:type="pct"/>
                  <w:vAlign w:val="center"/>
                </w:tcPr>
                <w:p w14:paraId="3A295CBE">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施工阶段</w:t>
                  </w:r>
                </w:p>
              </w:tc>
              <w:tc>
                <w:tcPr>
                  <w:tcW w:w="1398" w:type="pct"/>
                  <w:vAlign w:val="center"/>
                </w:tcPr>
                <w:p w14:paraId="6C6BF03B">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监测点排放限值（mg/m</w:t>
                  </w:r>
                  <w:r>
                    <w:rPr>
                      <w:rFonts w:hint="default" w:ascii="Times New Roman" w:hAnsi="Times New Roman" w:cs="Times New Roman"/>
                      <w:b/>
                      <w:bCs/>
                      <w:color w:val="auto"/>
                      <w:szCs w:val="21"/>
                      <w:highlight w:val="none"/>
                      <w:vertAlign w:val="superscript"/>
                    </w:rPr>
                    <w:t>3</w:t>
                  </w:r>
                  <w:r>
                    <w:rPr>
                      <w:rFonts w:hint="default" w:ascii="Times New Roman" w:hAnsi="Times New Roman" w:cs="Times New Roman"/>
                      <w:b/>
                      <w:bCs/>
                      <w:color w:val="auto"/>
                      <w:szCs w:val="21"/>
                      <w:highlight w:val="none"/>
                    </w:rPr>
                    <w:t>）</w:t>
                  </w:r>
                </w:p>
              </w:tc>
              <w:tc>
                <w:tcPr>
                  <w:tcW w:w="722" w:type="pct"/>
                  <w:vAlign w:val="center"/>
                </w:tcPr>
                <w:p w14:paraId="2F0504A5">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监测时间</w:t>
                  </w:r>
                </w:p>
              </w:tc>
            </w:tr>
            <w:tr w14:paraId="17BF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restart"/>
                  <w:vAlign w:val="center"/>
                </w:tcPr>
                <w:p w14:paraId="11834E0F">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666" w:type="pct"/>
                  <w:vMerge w:val="restart"/>
                  <w:vAlign w:val="center"/>
                </w:tcPr>
                <w:p w14:paraId="584D39D3">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总悬浮颗粒物（TSP）</w:t>
                  </w:r>
                </w:p>
              </w:tc>
              <w:tc>
                <w:tcPr>
                  <w:tcW w:w="1842" w:type="pct"/>
                  <w:vAlign w:val="center"/>
                </w:tcPr>
                <w:p w14:paraId="55C8F437">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拆除过程/土方开挖/土方回填阶段</w:t>
                  </w:r>
                </w:p>
              </w:tc>
              <w:tc>
                <w:tcPr>
                  <w:tcW w:w="1398" w:type="pct"/>
                  <w:vAlign w:val="center"/>
                </w:tcPr>
                <w:p w14:paraId="0C212C52">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0.600</w:t>
                  </w:r>
                </w:p>
              </w:tc>
              <w:tc>
                <w:tcPr>
                  <w:tcW w:w="722" w:type="pct"/>
                  <w:vMerge w:val="restart"/>
                  <w:vAlign w:val="center"/>
                </w:tcPr>
                <w:p w14:paraId="27FDE639">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自监测起持续15min</w:t>
                  </w:r>
                </w:p>
              </w:tc>
            </w:tr>
            <w:tr w14:paraId="39F0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 w:type="pct"/>
                  <w:vMerge w:val="continue"/>
                  <w:vAlign w:val="center"/>
                </w:tcPr>
                <w:p w14:paraId="35DCCCEC">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666" w:type="pct"/>
                  <w:vMerge w:val="continue"/>
                  <w:vAlign w:val="center"/>
                </w:tcPr>
                <w:p w14:paraId="42A07CE0">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842" w:type="pct"/>
                  <w:vAlign w:val="center"/>
                </w:tcPr>
                <w:p w14:paraId="21A6FA8A">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其他工程阶段</w:t>
                  </w:r>
                </w:p>
              </w:tc>
              <w:tc>
                <w:tcPr>
                  <w:tcW w:w="1398" w:type="pct"/>
                  <w:vAlign w:val="center"/>
                </w:tcPr>
                <w:p w14:paraId="3458E979">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0.250</w:t>
                  </w:r>
                </w:p>
              </w:tc>
              <w:tc>
                <w:tcPr>
                  <w:tcW w:w="722" w:type="pct"/>
                  <w:vMerge w:val="continue"/>
                  <w:vAlign w:val="center"/>
                </w:tcPr>
                <w:p w14:paraId="4F8947F8">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r>
          </w:tbl>
          <w:p w14:paraId="64022689">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2、废水</w:t>
            </w:r>
          </w:p>
          <w:p w14:paraId="6FCBA397">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本项目生活污水经化粪池处理后用于农肥，不外排；</w:t>
            </w:r>
            <w:r>
              <w:rPr>
                <w:rFonts w:hint="eastAsia" w:ascii="Times New Roman" w:cs="Times New Roman"/>
                <w:color w:val="auto"/>
                <w:sz w:val="24"/>
                <w:szCs w:val="24"/>
                <w:lang w:val="en-US" w:eastAsia="zh-CN"/>
              </w:rPr>
              <w:t>排泥水</w:t>
            </w:r>
            <w:r>
              <w:rPr>
                <w:rFonts w:hint="eastAsia" w:ascii="Times New Roman" w:hAnsi="Times New Roman" w:cs="Times New Roman"/>
                <w:color w:val="auto"/>
                <w:sz w:val="24"/>
                <w:szCs w:val="24"/>
                <w:highlight w:val="none"/>
                <w:vertAlign w:val="baseline"/>
                <w:lang w:val="en-US" w:eastAsia="zh-CN"/>
              </w:rPr>
              <w:t>经沉淀后回用</w:t>
            </w:r>
            <w:r>
              <w:rPr>
                <w:rFonts w:hint="eastAsia"/>
                <w:color w:val="auto"/>
                <w:sz w:val="24"/>
                <w:szCs w:val="24"/>
                <w:lang w:val="en-US" w:eastAsia="zh-CN"/>
              </w:rPr>
              <w:t>；</w:t>
            </w:r>
            <w:r>
              <w:rPr>
                <w:rFonts w:hint="eastAsia" w:ascii="Times New Roman" w:cs="Times New Roman"/>
                <w:color w:val="auto"/>
                <w:sz w:val="24"/>
                <w:szCs w:val="24"/>
                <w:lang w:val="en-US" w:eastAsia="zh-CN"/>
              </w:rPr>
              <w:t>反冲洗水</w:t>
            </w:r>
            <w:r>
              <w:rPr>
                <w:rFonts w:hint="eastAsia" w:ascii="Times New Roman" w:hAnsi="Times New Roman" w:cs="Times New Roman"/>
                <w:color w:val="auto"/>
                <w:sz w:val="24"/>
                <w:szCs w:val="24"/>
                <w:highlight w:val="none"/>
                <w:vertAlign w:val="baseline"/>
                <w:lang w:val="en-US" w:eastAsia="zh-CN"/>
              </w:rPr>
              <w:t>经废水管道收集至排水池，全部返回净水设施处理</w:t>
            </w:r>
            <w:r>
              <w:rPr>
                <w:rFonts w:hint="default" w:ascii="Times New Roman" w:hAnsi="Times New Roman" w:cs="Times New Roman"/>
                <w:color w:val="auto"/>
                <w:sz w:val="24"/>
                <w:szCs w:val="24"/>
                <w:highlight w:val="none"/>
                <w:lang w:val="en-US" w:eastAsia="zh-CN"/>
              </w:rPr>
              <w:t>。</w:t>
            </w:r>
          </w:p>
          <w:p w14:paraId="46D66D41">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3、噪声</w:t>
            </w:r>
          </w:p>
          <w:p w14:paraId="4C6D13DC">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施工期执行《建筑施工场界环境噪声排放标准》（GB12523-2011），运营期执行《工业企业厂界环境噪声排放标准》（GB12348-2008）2类标准。</w:t>
            </w:r>
          </w:p>
          <w:p w14:paraId="5341FE0E">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表3-</w:t>
            </w:r>
            <w:r>
              <w:rPr>
                <w:rFonts w:hint="eastAsia" w:ascii="Times New Roman" w:hAnsi="Times New Roman" w:eastAsia="黑体" w:cs="Times New Roman"/>
                <w:color w:val="auto"/>
                <w:szCs w:val="21"/>
                <w:highlight w:val="none"/>
                <w:lang w:val="en-US" w:eastAsia="zh-CN"/>
              </w:rPr>
              <w:t xml:space="preserve">13 </w:t>
            </w:r>
            <w:r>
              <w:rPr>
                <w:rFonts w:hint="default" w:ascii="Times New Roman" w:hAnsi="Times New Roman" w:eastAsia="黑体" w:cs="Times New Roman"/>
                <w:color w:val="auto"/>
                <w:szCs w:val="21"/>
                <w:highlight w:val="none"/>
              </w:rPr>
              <w:t>噪声排放标准限值</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7"/>
              <w:gridCol w:w="3145"/>
              <w:gridCol w:w="3145"/>
            </w:tblGrid>
            <w:tr w14:paraId="32A7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0" w:type="pct"/>
                  <w:vMerge w:val="restart"/>
                  <w:shd w:val="clear" w:color="auto" w:fill="auto"/>
                  <w:vAlign w:val="center"/>
                </w:tcPr>
                <w:p w14:paraId="6C177537">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3450" w:type="pct"/>
                  <w:gridSpan w:val="2"/>
                  <w:shd w:val="clear" w:color="auto" w:fill="auto"/>
                  <w:vAlign w:val="center"/>
                </w:tcPr>
                <w:p w14:paraId="4B4EAA4F">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排放限值</w:t>
                  </w:r>
                  <w:r>
                    <w:rPr>
                      <w:rFonts w:hint="default" w:ascii="Times New Roman" w:hAnsi="Times New Roman" w:eastAsia="仿宋" w:cs="Times New Roman"/>
                      <w:color w:val="auto"/>
                      <w:szCs w:val="21"/>
                      <w:highlight w:val="none"/>
                    </w:rPr>
                    <w:t>[</w:t>
                  </w:r>
                  <w:r>
                    <w:rPr>
                      <w:rFonts w:hint="default" w:ascii="Times New Roman" w:hAnsi="Times New Roman" w:cs="Times New Roman"/>
                      <w:color w:val="auto"/>
                      <w:szCs w:val="21"/>
                      <w:highlight w:val="none"/>
                    </w:rPr>
                    <w:t>dB（A）</w:t>
                  </w:r>
                  <w:r>
                    <w:rPr>
                      <w:rFonts w:hint="default" w:ascii="Times New Roman" w:hAnsi="Times New Roman" w:eastAsia="仿宋" w:cs="Times New Roman"/>
                      <w:color w:val="auto"/>
                      <w:szCs w:val="21"/>
                      <w:highlight w:val="none"/>
                    </w:rPr>
                    <w:t>]</w:t>
                  </w:r>
                </w:p>
              </w:tc>
            </w:tr>
            <w:tr w14:paraId="52F1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0" w:type="pct"/>
                  <w:vMerge w:val="continue"/>
                  <w:shd w:val="clear" w:color="auto" w:fill="auto"/>
                  <w:vAlign w:val="center"/>
                </w:tcPr>
                <w:p w14:paraId="1B6841C5">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p>
              </w:tc>
              <w:tc>
                <w:tcPr>
                  <w:tcW w:w="1725" w:type="pct"/>
                  <w:shd w:val="clear" w:color="auto" w:fill="auto"/>
                  <w:vAlign w:val="center"/>
                </w:tcPr>
                <w:p w14:paraId="744514F1">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昼间</w:t>
                  </w:r>
                </w:p>
              </w:tc>
              <w:tc>
                <w:tcPr>
                  <w:tcW w:w="1725" w:type="pct"/>
                  <w:shd w:val="clear" w:color="auto" w:fill="auto"/>
                  <w:vAlign w:val="center"/>
                </w:tcPr>
                <w:p w14:paraId="268803AB">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夜间</w:t>
                  </w:r>
                </w:p>
              </w:tc>
            </w:tr>
            <w:tr w14:paraId="7C1D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0" w:type="pct"/>
                  <w:shd w:val="clear" w:color="auto" w:fill="auto"/>
                  <w:vAlign w:val="center"/>
                </w:tcPr>
                <w:p w14:paraId="2EA11277">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施工期</w:t>
                  </w:r>
                </w:p>
              </w:tc>
              <w:tc>
                <w:tcPr>
                  <w:tcW w:w="1725" w:type="pct"/>
                  <w:shd w:val="clear" w:color="auto" w:fill="auto"/>
                  <w:vAlign w:val="center"/>
                </w:tcPr>
                <w:p w14:paraId="3935CBA6">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725" w:type="pct"/>
                  <w:shd w:val="clear" w:color="auto" w:fill="auto"/>
                  <w:vAlign w:val="center"/>
                </w:tcPr>
                <w:p w14:paraId="75901EFD">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55</w:t>
                  </w:r>
                </w:p>
              </w:tc>
            </w:tr>
            <w:tr w14:paraId="4C71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0" w:type="pct"/>
                  <w:shd w:val="clear" w:color="auto" w:fill="auto"/>
                  <w:vAlign w:val="center"/>
                </w:tcPr>
                <w:p w14:paraId="5F7AD8FF">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运营期</w:t>
                  </w:r>
                </w:p>
              </w:tc>
              <w:tc>
                <w:tcPr>
                  <w:tcW w:w="1725" w:type="pct"/>
                  <w:shd w:val="clear" w:color="auto" w:fill="auto"/>
                  <w:vAlign w:val="center"/>
                </w:tcPr>
                <w:p w14:paraId="1DE950F6">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725" w:type="pct"/>
                  <w:shd w:val="clear" w:color="auto" w:fill="auto"/>
                  <w:vAlign w:val="center"/>
                </w:tcPr>
                <w:p w14:paraId="01E8AF05">
                  <w:pPr>
                    <w:keepNext w:val="0"/>
                    <w:keepLines w:val="0"/>
                    <w:pageBreakBefore w:val="0"/>
                    <w:suppressLineNumbers w:val="0"/>
                    <w:kinsoku/>
                    <w:wordWrap/>
                    <w:topLinePunct w:val="0"/>
                    <w:bidi w:val="0"/>
                    <w:spacing w:beforeAutospacing="0" w:afterAutospacing="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r>
          </w:tbl>
          <w:p w14:paraId="4AA719D9">
            <w:pPr>
              <w:keepNext w:val="0"/>
              <w:keepLines w:val="0"/>
              <w:pageBreakBefore w:val="0"/>
              <w:suppressLineNumbers w:val="0"/>
              <w:kinsoku/>
              <w:wordWrap/>
              <w:topLinePunct w:val="0"/>
              <w:bidi w:val="0"/>
              <w:spacing w:beforeAutospacing="0" w:afterAutospacing="0" w:line="360" w:lineRule="auto"/>
              <w:ind w:left="0" w:leftChars="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4、固体废物</w:t>
            </w:r>
          </w:p>
          <w:p w14:paraId="40CCE456">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r>
              <w:rPr>
                <w:rFonts w:ascii="Times New Roman"/>
                <w:color w:val="auto"/>
                <w:sz w:val="24"/>
                <w:szCs w:val="24"/>
              </w:rPr>
              <w:t>一般固体废物执行《一般工业固体废物贮存和填埋污染控制标准》（</w:t>
            </w:r>
            <w:r>
              <w:rPr>
                <w:rFonts w:ascii="Times New Roman" w:hAnsi="Times New Roman"/>
                <w:color w:val="auto"/>
                <w:sz w:val="24"/>
                <w:szCs w:val="24"/>
              </w:rPr>
              <w:t>GB 18599-2020</w:t>
            </w:r>
            <w:r>
              <w:rPr>
                <w:rFonts w:ascii="Times New Roman"/>
                <w:color w:val="auto"/>
                <w:sz w:val="24"/>
                <w:szCs w:val="24"/>
              </w:rPr>
              <w:t>）。</w:t>
            </w:r>
          </w:p>
        </w:tc>
      </w:tr>
      <w:tr w14:paraId="21F3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dxa"/>
            <w:vAlign w:val="center"/>
          </w:tcPr>
          <w:p w14:paraId="26AC6F4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总量控制指标</w:t>
            </w:r>
          </w:p>
        </w:tc>
        <w:tc>
          <w:tcPr>
            <w:tcW w:w="9343" w:type="dxa"/>
            <w:vAlign w:val="center"/>
          </w:tcPr>
          <w:p w14:paraId="4B4B7169">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7B488091">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7A142483">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1EF6FF74">
            <w:pPr>
              <w:keepNext w:val="0"/>
              <w:keepLines w:val="0"/>
              <w:pageBreakBefore w:val="0"/>
              <w:suppressLineNumbers w:val="0"/>
              <w:kinsoku/>
              <w:wordWrap/>
              <w:topLinePunct w:val="0"/>
              <w:bidi w:val="0"/>
              <w:spacing w:beforeAutospacing="0" w:afterAutospacing="0" w:line="360" w:lineRule="auto"/>
              <w:ind w:right="0"/>
              <w:rPr>
                <w:rFonts w:hint="default" w:ascii="Times New Roman" w:hAnsi="Times New Roman" w:cs="Times New Roman"/>
                <w:color w:val="auto"/>
                <w:sz w:val="24"/>
                <w:szCs w:val="24"/>
                <w:highlight w:val="none"/>
              </w:rPr>
            </w:pPr>
          </w:p>
          <w:p w14:paraId="31670C7C">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1F76C318">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2DA540B5">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1873180E">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436572DD">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0DA603D0">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p>
          <w:p w14:paraId="0311D4F6">
            <w:pPr>
              <w:keepNext w:val="0"/>
              <w:keepLines w:val="0"/>
              <w:pageBreakBefore w:val="0"/>
              <w:suppressLineNumbers w:val="0"/>
              <w:kinsoku/>
              <w:wordWrap/>
              <w:topLinePunct w:val="0"/>
              <w:bidi w:val="0"/>
              <w:spacing w:beforeAutospacing="0" w:afterAutospacing="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根据国家对实施污染物排放总量控制的要求以及本项目的特点，确定此项目不涉及污染物排放总量控制，本次建设工程不新增总量，因此本项目无需申请总量。</w:t>
            </w:r>
          </w:p>
          <w:p w14:paraId="7780D1CB">
            <w:pPr>
              <w:keepNext w:val="0"/>
              <w:keepLines w:val="0"/>
              <w:pageBreakBefore w:val="0"/>
              <w:suppressLineNumbers w:val="0"/>
              <w:kinsoku/>
              <w:wordWrap/>
              <w:topLinePunct w:val="0"/>
              <w:bidi w:val="0"/>
              <w:spacing w:beforeAutospacing="0" w:afterAutospacing="0" w:line="360" w:lineRule="auto"/>
              <w:ind w:left="0" w:leftChars="0" w:right="0" w:firstLine="480" w:firstLineChars="200"/>
              <w:rPr>
                <w:rFonts w:hint="default" w:ascii="Times New Roman" w:hAnsi="Times New Roman" w:cs="Times New Roman"/>
                <w:color w:val="auto"/>
                <w:sz w:val="24"/>
                <w:szCs w:val="24"/>
                <w:highlight w:val="none"/>
              </w:rPr>
            </w:pPr>
          </w:p>
          <w:p w14:paraId="49A50CA7">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p w14:paraId="3C3B891C">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p w14:paraId="315D5652">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p w14:paraId="7952A7D3">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p w14:paraId="5D26AFAE">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p w14:paraId="47E5739B">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p w14:paraId="46673E27">
            <w:pPr>
              <w:pStyle w:val="21"/>
              <w:rPr>
                <w:rFonts w:hint="default" w:ascii="Times New Roman" w:hAnsi="Times New Roman" w:cs="Times New Roman" w:eastAsiaTheme="minorEastAsia"/>
                <w:color w:val="auto"/>
                <w:sz w:val="24"/>
                <w:szCs w:val="24"/>
                <w:highlight w:val="none"/>
                <w:lang w:eastAsia="zh-CN"/>
              </w:rPr>
            </w:pPr>
          </w:p>
          <w:p w14:paraId="4188EFCB">
            <w:pPr>
              <w:rPr>
                <w:rFonts w:hint="default" w:ascii="Times New Roman" w:hAnsi="Times New Roman" w:cs="Times New Roman" w:eastAsiaTheme="minorEastAsia"/>
                <w:color w:val="auto"/>
                <w:sz w:val="24"/>
                <w:szCs w:val="24"/>
                <w:highlight w:val="none"/>
                <w:lang w:eastAsia="zh-CN"/>
              </w:rPr>
            </w:pPr>
          </w:p>
          <w:p w14:paraId="01DA71A6">
            <w:pPr>
              <w:pStyle w:val="21"/>
              <w:rPr>
                <w:rFonts w:hint="default"/>
                <w:lang w:eastAsia="zh-CN"/>
              </w:rPr>
            </w:pPr>
          </w:p>
          <w:p w14:paraId="614BA9DE">
            <w:pPr>
              <w:keepNext w:val="0"/>
              <w:keepLines w:val="0"/>
              <w:pageBreakBefore w:val="0"/>
              <w:suppressLineNumbers w:val="0"/>
              <w:kinsoku/>
              <w:wordWrap/>
              <w:topLinePunct w:val="0"/>
              <w:bidi w:val="0"/>
              <w:spacing w:beforeAutospacing="0" w:afterAutospacing="0" w:line="360" w:lineRule="auto"/>
              <w:ind w:left="0" w:leftChars="0" w:right="0"/>
              <w:rPr>
                <w:rFonts w:hint="default" w:ascii="Times New Roman" w:hAnsi="Times New Roman" w:cs="Times New Roman" w:eastAsiaTheme="minorEastAsia"/>
                <w:color w:val="auto"/>
                <w:sz w:val="24"/>
                <w:szCs w:val="24"/>
                <w:highlight w:val="none"/>
                <w:lang w:eastAsia="zh-CN"/>
              </w:rPr>
            </w:pPr>
          </w:p>
        </w:tc>
      </w:tr>
    </w:tbl>
    <w:p w14:paraId="2535CDBA">
      <w:pPr>
        <w:pStyle w:val="24"/>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6"/>
          <w:highlight w:val="none"/>
          <w:lang w:eastAsia="zh-CN"/>
        </w:rPr>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D9D367F">
      <w:pPr>
        <w:pStyle w:val="30"/>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四、主要环境影响和保护措施</w:t>
      </w:r>
    </w:p>
    <w:tbl>
      <w:tblPr>
        <w:tblStyle w:val="2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9502"/>
      </w:tblGrid>
      <w:tr w14:paraId="40B5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14:paraId="1E6F5114">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w:t>
            </w:r>
          </w:p>
          <w:p w14:paraId="3AA4BE2F">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14:paraId="7A2E31D9">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境保</w:t>
            </w:r>
          </w:p>
          <w:p w14:paraId="1C4F180B">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护措</w:t>
            </w:r>
          </w:p>
          <w:p w14:paraId="5EB722F1">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w:t>
            </w:r>
          </w:p>
        </w:tc>
        <w:tc>
          <w:tcPr>
            <w:tcW w:w="4766" w:type="pct"/>
          </w:tcPr>
          <w:p w14:paraId="7CFD2D2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1、废气</w:t>
            </w:r>
          </w:p>
          <w:p w14:paraId="1C0214B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施工期产生的大气环境污染物主要来源：施工扬尘、施工机械废气、焊接废气、</w:t>
            </w:r>
            <w:r>
              <w:rPr>
                <w:rFonts w:hint="default" w:ascii="Times New Roman" w:hAnsi="Times New Roman" w:cs="Times New Roman"/>
                <w:b w:val="0"/>
                <w:bCs w:val="0"/>
                <w:color w:val="auto"/>
                <w:sz w:val="24"/>
                <w:szCs w:val="24"/>
                <w:highlight w:val="none"/>
                <w:lang w:val="en-US" w:eastAsia="zh-CN"/>
              </w:rPr>
              <w:t>装修废气</w:t>
            </w:r>
            <w:r>
              <w:rPr>
                <w:rFonts w:hint="default" w:ascii="Times New Roman" w:hAnsi="Times New Roman" w:cs="Times New Roman"/>
                <w:b w:val="0"/>
                <w:bCs w:val="0"/>
                <w:color w:val="auto"/>
                <w:sz w:val="24"/>
                <w:szCs w:val="24"/>
                <w:highlight w:val="none"/>
                <w:lang w:eastAsia="zh-CN"/>
              </w:rPr>
              <w:t>等。</w:t>
            </w:r>
          </w:p>
          <w:p w14:paraId="48B07FE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（1）施工扬尘</w:t>
            </w:r>
          </w:p>
          <w:p w14:paraId="0030356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cs="Times New Roman"/>
                <w:color w:val="auto"/>
                <w:sz w:val="24"/>
                <w:szCs w:val="24"/>
                <w:highlight w:val="none"/>
                <w:lang w:eastAsia="zh-CN"/>
              </w:rPr>
              <w:t>在施工阶段，产生扬尘的作业主要有土地平整、开挖、回填、建材运输、装卸等过程。经类比分析，施工场地扬尘浓度一般约为3.5mg/m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，会对周围环境产生一定影响。</w:t>
            </w:r>
            <w:r>
              <w:rPr>
                <w:rFonts w:hint="default" w:ascii="Times New Roman" w:hAnsi="Times New Roman" w:cs="Times New Roman"/>
                <w:color w:val="auto"/>
                <w:sz w:val="24"/>
                <w:szCs w:val="24"/>
                <w:highlight w:val="none"/>
              </w:rPr>
              <w:t>为减轻施工期扬尘对大气环境的影响，施工单位必须严格按照</w:t>
            </w:r>
            <w:r>
              <w:rPr>
                <w:rFonts w:hint="default" w:ascii="Times New Roman" w:hAnsi="Times New Roman" w:eastAsia="宋体" w:cs="Times New Roman"/>
                <w:b w:val="0"/>
                <w:bCs w:val="0"/>
                <w:color w:val="auto"/>
                <w:kern w:val="0"/>
                <w:sz w:val="24"/>
                <w:szCs w:val="24"/>
                <w:lang w:val="en-US" w:eastAsia="zh-CN" w:bidi="ar"/>
              </w:rPr>
              <w:t>《四川省人民政府关于印发四川省打赢蓝天保卫战等九个实施方案的通知》</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川府发〔2019</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4号</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中有关施工工地和道路扬尘污染防治规定，积极推行绿色施工，施工现场必须全封闭设置围墙，严禁敞开式作业，施工现场道路、作业区、生活区必须进行地面硬化</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制定、完善和严格执行建设施工管理制度，全面推行现场标准化管理，</w:t>
            </w:r>
            <w:r>
              <w:rPr>
                <w:rFonts w:hint="default" w:ascii="Times New Roman" w:hAnsi="Times New Roman" w:eastAsia="宋体" w:cs="Times New Roman"/>
                <w:color w:val="auto"/>
                <w:sz w:val="24"/>
                <w:szCs w:val="24"/>
                <w:lang w:val="en-US" w:eastAsia="zh-CN"/>
              </w:rPr>
              <w:t>认真落实施工现场管理</w:t>
            </w:r>
            <w:r>
              <w:rPr>
                <w:rFonts w:hint="default" w:ascii="Times New Roman" w:hAnsi="Times New Roman" w:eastAsia="宋体" w:cs="Times New Roman"/>
                <w:b w:val="0"/>
                <w:bCs w:val="0"/>
                <w:color w:val="auto"/>
                <w:kern w:val="0"/>
                <w:sz w:val="24"/>
                <w:szCs w:val="24"/>
                <w:lang w:val="en-US" w:eastAsia="zh-CN" w:bidi="ar"/>
              </w:rPr>
              <w:t>“六必须”</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必须围挡作业</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必须硬化道路</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必须设置冲洗设施</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必须及时洒水作业</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必须配齐保洁人员</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必须及时清扫施工现场</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、“六不准”</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不准车辆带泥出门</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不准运渣车辆冒载</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不准高空抛洒建筑垃圾</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不准现场搅拌混凝土</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不准场地积水</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eastAsia="宋体" w:cs="Times New Roman"/>
                <w:b w:val="0"/>
                <w:bCs w:val="0"/>
                <w:color w:val="auto"/>
                <w:kern w:val="0"/>
                <w:sz w:val="24"/>
                <w:szCs w:val="24"/>
                <w:lang w:val="en-US" w:eastAsia="zh-CN" w:bidi="ar"/>
              </w:rPr>
              <w:t>不准现场焚烧废弃物），加强建设工地监督检查，督促责任单位落实降尘、压尘和抑尘措施。为此，施工单位应根据本项目分阶段建设的特殊性采取以下扬尘治理措施</w:t>
            </w:r>
            <w:r>
              <w:rPr>
                <w:rFonts w:hint="eastAsia" w:ascii="Times New Roman" w:hAnsi="Times New Roman" w:eastAsia="宋体" w:cs="Times New Roman"/>
                <w:b w:val="0"/>
                <w:bCs w:val="0"/>
                <w:color w:val="auto"/>
                <w:kern w:val="0"/>
                <w:sz w:val="24"/>
                <w:szCs w:val="24"/>
                <w:lang w:val="en-US" w:eastAsia="zh-CN" w:bidi="ar"/>
              </w:rPr>
              <w:t>：</w:t>
            </w:r>
          </w:p>
          <w:p w14:paraId="5AF96010">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①施工现场架设2.5~3米高施工围墙且安装喷淋装置，封闭施工现场，采用密目安全网，以减少结构和装修过程中的粉尘飞扬现象，降低粉尘向大气中的排放，达到作业区目测扬尘高度小于1.5m，不扩散到场区外。</w:t>
            </w:r>
          </w:p>
          <w:p w14:paraId="119BDAEA">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②施工单位文明施工，定期对地面洒水，并对撒落在路面的渣土及时清除，清理阶段做到先洒水后清扫，避免产生扬尘。</w:t>
            </w:r>
          </w:p>
          <w:p w14:paraId="0DB6A561">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③施工车辆实施限速管理，施工现场主要运输道路</w:t>
            </w:r>
            <w:r>
              <w:rPr>
                <w:rFonts w:hint="default" w:ascii="Times New Roman" w:hAnsi="Times New Roman" w:eastAsia="宋体" w:cs="Times New Roman"/>
                <w:b w:val="0"/>
                <w:bCs w:val="0"/>
                <w:color w:val="auto"/>
                <w:kern w:val="0"/>
                <w:sz w:val="24"/>
                <w:szCs w:val="24"/>
                <w:lang w:val="en-US" w:eastAsia="zh-CN" w:bidi="ar"/>
              </w:rPr>
              <w:t>采用硬化路面并进行洒水抑尘</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b w:val="0"/>
                <w:bCs w:val="0"/>
                <w:color w:val="auto"/>
                <w:kern w:val="0"/>
                <w:sz w:val="24"/>
                <w:szCs w:val="24"/>
                <w:lang w:val="en-US" w:eastAsia="zh-CN" w:bidi="ar"/>
              </w:rPr>
              <w:t>工地出入口处设置</w:t>
            </w:r>
            <w:r>
              <w:rPr>
                <w:rFonts w:hint="eastAsia" w:ascii="Times New Roman" w:hAnsi="Times New Roman" w:eastAsia="宋体" w:cs="Times New Roman"/>
                <w:b w:val="0"/>
                <w:bCs w:val="0"/>
                <w:color w:val="auto"/>
                <w:kern w:val="0"/>
                <w:sz w:val="24"/>
                <w:szCs w:val="24"/>
                <w:lang w:val="en-US" w:eastAsia="zh-CN" w:bidi="ar"/>
              </w:rPr>
              <w:t>车辆冲洗平台</w:t>
            </w:r>
            <w:r>
              <w:rPr>
                <w:rFonts w:hint="default" w:ascii="Times New Roman" w:hAnsi="Times New Roman" w:eastAsia="宋体" w:cs="Times New Roman"/>
                <w:b w:val="0"/>
                <w:bCs w:val="0"/>
                <w:color w:val="auto"/>
                <w:kern w:val="0"/>
                <w:sz w:val="24"/>
                <w:szCs w:val="24"/>
                <w:lang w:val="en-US" w:eastAsia="zh-CN" w:bidi="ar"/>
              </w:rPr>
              <w:t>，</w:t>
            </w:r>
            <w:r>
              <w:rPr>
                <w:rFonts w:hint="default" w:ascii="Times New Roman" w:hAnsi="Times New Roman" w:cs="Times New Roman"/>
                <w:color w:val="auto"/>
                <w:sz w:val="24"/>
                <w:szCs w:val="24"/>
                <w:highlight w:val="none"/>
              </w:rPr>
              <w:t>配套设置地面排水沟、沉淀池。</w:t>
            </w:r>
            <w:r>
              <w:rPr>
                <w:rFonts w:hint="default" w:ascii="Times New Roman" w:hAnsi="Times New Roman" w:eastAsia="宋体" w:cs="Times New Roman"/>
                <w:b w:val="0"/>
                <w:bCs w:val="0"/>
                <w:color w:val="auto"/>
                <w:kern w:val="0"/>
                <w:sz w:val="24"/>
                <w:szCs w:val="24"/>
                <w:lang w:val="en-US" w:eastAsia="zh-CN" w:bidi="ar"/>
              </w:rPr>
              <w:t>确保出入工地车轮不带泥</w:t>
            </w:r>
            <w:r>
              <w:rPr>
                <w:rFonts w:hint="eastAsia" w:ascii="Times New Roman" w:hAnsi="Times New Roman" w:eastAsia="宋体" w:cs="Times New Roman"/>
                <w:b w:val="0"/>
                <w:bCs w:val="0"/>
                <w:color w:val="auto"/>
                <w:kern w:val="0"/>
                <w:sz w:val="24"/>
                <w:szCs w:val="24"/>
                <w:lang w:val="en-US" w:eastAsia="zh-CN" w:bidi="ar"/>
              </w:rPr>
              <w:t>。</w:t>
            </w:r>
          </w:p>
          <w:p w14:paraId="411A2946">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运输车辆采取密闭运输（使用防尘布覆盖），装填时需进行压实，装填高度严禁超过车斗防护栏；车辆卸货时禁止直接倾倒、抛撒；施工期材料尽可能适量、适时采购，运至施工场地后，应尽快使用，禁止在施工场地长时间堆放。</w:t>
            </w:r>
          </w:p>
          <w:p w14:paraId="6864DA1D">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禁止在风天进行渣土堆放作业，弃方及建材堆放地点要相对集中，弃方及建筑垃圾应及时清运，对易产生扬尘的堆放材料应采取覆盖措施，禁止露天堆放；对粉末状材料应封闭存放；可能引起扬尘的材料及建筑垃圾搬运应有降尘措施。裸露的场地和集中堆放的土方应采取覆盖、固化或绿化等措施。</w:t>
            </w:r>
          </w:p>
          <w:p w14:paraId="66EBC304">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⑥尽可能的加快施工进度安排，使项目挖、填方作业尽快完成。</w:t>
            </w:r>
          </w:p>
          <w:p w14:paraId="33BE765A">
            <w:pPr>
              <w:pageBreakBefore w:val="0"/>
              <w:kinsoku/>
              <w:wordWrap/>
              <w:bidi w:val="0"/>
              <w:spacing w:line="360" w:lineRule="auto"/>
              <w:ind w:left="0" w:leftChars="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⑦风速大于4m/s时应停止施工；尽量避免冬季、春季进行大规模土方作业，做到“慎开工，早完工”。</w:t>
            </w:r>
          </w:p>
          <w:p w14:paraId="55EBA707">
            <w:pPr>
              <w:pageBreakBefore w:val="0"/>
              <w:kinsoku/>
              <w:wordWrap/>
              <w:bidi w:val="0"/>
              <w:spacing w:line="360" w:lineRule="auto"/>
              <w:ind w:left="0" w:leftChars="0" w:right="0"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val="0"/>
                <w:bCs w:val="0"/>
                <w:color w:val="auto"/>
                <w:sz w:val="24"/>
                <w:szCs w:val="24"/>
                <w:highlight w:val="none"/>
              </w:rPr>
              <w:t>评价认为在项目施工期，对扬尘严格采取了上述防治措施后，其浓度可得到有效控制，可满足《四川省施工场地扬尘排放标准》（DB51/2682-2020）表1标准限值要求，实现达标排放。</w:t>
            </w:r>
          </w:p>
          <w:p w14:paraId="69B4444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（2）施工机械废气</w:t>
            </w:r>
          </w:p>
          <w:p w14:paraId="4FF7B01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施工设备和建筑机械设备的运转，会排放一定量的CO、NOx以及未完全燃烧的THC等，由于其属间断性无组织排放，特点是排放量小，加之施工现场开阔，扩散条件良好，对其不加处理也可达到相应的排放标准。环评要求：建设单位应禁止使用高排放非道路移动机械，制定施工现场非道路移动机械管理制度，加强施工设备维护，采用低污染的燃料，减少废气排放。</w:t>
            </w:r>
          </w:p>
          <w:p w14:paraId="6124205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（3）</w:t>
            </w:r>
            <w:r>
              <w:rPr>
                <w:rFonts w:hint="default" w:ascii="Times New Roman" w:hAnsi="Times New Roman" w:cs="Times New Roman"/>
                <w:b/>
                <w:bCs/>
                <w:color w:val="auto"/>
                <w:sz w:val="24"/>
                <w:szCs w:val="24"/>
                <w:highlight w:val="none"/>
                <w:lang w:val="en-US" w:eastAsia="zh-CN"/>
              </w:rPr>
              <w:t>焊接废气</w:t>
            </w:r>
          </w:p>
          <w:p w14:paraId="3199D5E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本次工程管道采用国内应用技术较成熟的焊接工艺进行焊接，每公里消耗约300kg的焊条，根据类比资料分析，每公斤焊条产生的焊烟约8g。</w:t>
            </w:r>
            <w:r>
              <w:rPr>
                <w:rFonts w:hint="default" w:ascii="Times New Roman" w:hAnsi="Times New Roman" w:cs="Times New Roman"/>
                <w:b w:val="0"/>
                <w:bCs w:val="0"/>
                <w:color w:val="auto"/>
                <w:sz w:val="24"/>
                <w:szCs w:val="24"/>
                <w:highlight w:val="none"/>
                <w:lang w:val="en-US" w:eastAsia="zh-CN"/>
              </w:rPr>
              <w:t>经计算，焊接烟尘产生量为0.0024t/km，</w:t>
            </w:r>
            <w:r>
              <w:rPr>
                <w:rFonts w:hint="default" w:ascii="Times New Roman" w:hAnsi="Times New Roman" w:cs="Times New Roman"/>
                <w:b w:val="0"/>
                <w:bCs w:val="0"/>
                <w:color w:val="auto"/>
                <w:sz w:val="24"/>
                <w:szCs w:val="24"/>
                <w:highlight w:val="none"/>
                <w:lang w:eastAsia="zh-CN"/>
              </w:rPr>
              <w:t>由于废气量较小，且施工现场均在野外，有利于空气的扩散，同时废气污染原具有间歇性和流动性，因此对局部地区的环境影响较轻。</w:t>
            </w:r>
          </w:p>
          <w:p w14:paraId="7162028A">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auto"/>
                <w:sz w:val="24"/>
                <w:szCs w:val="24"/>
                <w:highlight w:val="none"/>
                <w:lang w:bidi="ar"/>
              </w:rPr>
            </w:pPr>
            <w:r>
              <w:rPr>
                <w:rFonts w:hint="default" w:ascii="Times New Roman" w:hAnsi="Times New Roman" w:cs="Times New Roman"/>
                <w:b/>
                <w:bCs/>
                <w:color w:val="auto"/>
                <w:sz w:val="24"/>
                <w:szCs w:val="24"/>
                <w:highlight w:val="none"/>
                <w:lang w:val="zh-CN"/>
              </w:rPr>
              <w:t>本项目探伤采用超声波探伤的方式进行，不会对周边环境造成影响，若建设方在后续工作中采取射线探伤的工艺，则需另行环评，不在本次评价范围内。</w:t>
            </w:r>
            <w:r>
              <w:rPr>
                <w:rFonts w:hint="eastAsia" w:cs="Times New Roman"/>
                <w:color w:val="auto"/>
                <w:sz w:val="24"/>
                <w:szCs w:val="24"/>
                <w:highlight w:val="none"/>
                <w:lang w:val="en-US" w:eastAsia="zh-CN"/>
              </w:rPr>
              <w:t>在此只提出环境管理要求，</w:t>
            </w:r>
            <w:r>
              <w:rPr>
                <w:rFonts w:hint="default" w:ascii="Times New Roman" w:hAnsi="Times New Roman" w:cs="Times New Roman"/>
                <w:color w:val="auto"/>
                <w:sz w:val="24"/>
                <w:szCs w:val="24"/>
                <w:highlight w:val="none"/>
              </w:rPr>
              <w:t>要求放射源的安装、使用地点要设有明显的放射性标志和警告标志</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附近不得放置易燃、易爆、腐蚀性物品</w:t>
            </w:r>
            <w:r>
              <w:rPr>
                <w:rFonts w:hint="eastAsia" w:cs="Times New Roman"/>
                <w:color w:val="auto"/>
                <w:sz w:val="24"/>
                <w:szCs w:val="24"/>
                <w:highlight w:val="none"/>
                <w:lang w:eastAsia="zh-CN"/>
              </w:rPr>
              <w:t>；放射源使用单位应配备必要的检查或监测设备，受辐射剂量较高的技术和操作维修人员要配备带报警装置的个人辐射剂量计；对运行中含放射源的装置和场所，要配置剂量监测和报警装置，并定期检验，确保辐射防护设施完好与含源装置性能的稳定。放射源的使用场所应有相应的辐射屏蔽，并设置放射安全禁区黄线，安装带报警的剂量测量仪器；用源单位产生的放射性废气、废水和固体放射性废物应按有关规定进行必要的处理和处置，到达国家规定的标准后外排或送有资质的单位进行处置。</w:t>
            </w:r>
          </w:p>
          <w:p w14:paraId="1ED058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eastAsia="zh-CN"/>
              </w:rPr>
              <w:t>）装修废气</w:t>
            </w:r>
          </w:p>
          <w:p w14:paraId="33E0C0E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装修过程中主要污染因子是涂料挥发废气，该废气的排放属无组织排放，由于装修阶段的装修废气排放周期短，且装修面积较少、作业点分散，故装修期间应加强通风换气，环评要求：施工期采用优质环保的装修材料，使用无污染性废气产生的材料、涂料，减少废气中有害物质的排放。</w:t>
            </w:r>
          </w:p>
          <w:p w14:paraId="56D63C75">
            <w:pPr>
              <w:pageBreakBefore w:val="0"/>
              <w:kinsoku/>
              <w:wordWrap/>
              <w:bidi w:val="0"/>
              <w:spacing w:line="360" w:lineRule="auto"/>
              <w:ind w:left="0" w:leftChars="0" w:right="0"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lang w:bidi="ar"/>
              </w:rPr>
              <w:t>项目施工期采取了上述防治措施后，其施工期产生的废气可得到有效控制，能够实现达标排放。</w:t>
            </w:r>
          </w:p>
          <w:p w14:paraId="39322F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2、废水</w:t>
            </w:r>
          </w:p>
          <w:p w14:paraId="62A0679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施工期废水主要为工地</w:t>
            </w:r>
            <w:r>
              <w:rPr>
                <w:rFonts w:hint="default" w:ascii="Times New Roman" w:hAnsi="Times New Roman" w:cs="Times New Roman"/>
                <w:b w:val="0"/>
                <w:bCs w:val="0"/>
                <w:color w:val="auto"/>
                <w:sz w:val="24"/>
                <w:szCs w:val="24"/>
                <w:highlight w:val="none"/>
                <w:lang w:val="en-US" w:eastAsia="zh-CN"/>
              </w:rPr>
              <w:t>员工</w:t>
            </w:r>
            <w:r>
              <w:rPr>
                <w:rFonts w:hint="default" w:ascii="Times New Roman" w:hAnsi="Times New Roman" w:cs="Times New Roman"/>
                <w:b w:val="0"/>
                <w:bCs w:val="0"/>
                <w:color w:val="auto"/>
                <w:sz w:val="24"/>
                <w:szCs w:val="24"/>
                <w:highlight w:val="none"/>
                <w:lang w:eastAsia="zh-CN"/>
              </w:rPr>
              <w:t>生活</w:t>
            </w:r>
            <w:r>
              <w:rPr>
                <w:rFonts w:hint="default" w:ascii="Times New Roman" w:hAnsi="Times New Roman" w:cs="Times New Roman"/>
                <w:b w:val="0"/>
                <w:bCs w:val="0"/>
                <w:color w:val="auto"/>
                <w:sz w:val="24"/>
                <w:szCs w:val="24"/>
                <w:highlight w:val="none"/>
                <w:lang w:val="en-US" w:eastAsia="zh-CN"/>
              </w:rPr>
              <w:t>污水</w:t>
            </w:r>
            <w:r>
              <w:rPr>
                <w:rFonts w:hint="default" w:ascii="Times New Roman" w:hAnsi="Times New Roman" w:cs="Times New Roman"/>
                <w:b w:val="0"/>
                <w:bCs w:val="0"/>
                <w:color w:val="auto"/>
                <w:sz w:val="24"/>
                <w:szCs w:val="24"/>
                <w:highlight w:val="none"/>
                <w:lang w:eastAsia="zh-CN"/>
              </w:rPr>
              <w:t>、施工废水。</w:t>
            </w:r>
          </w:p>
          <w:p w14:paraId="5CB4E5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（1）施工废水</w:t>
            </w:r>
          </w:p>
          <w:p w14:paraId="4490E7F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1）供水厂施工废水</w:t>
            </w:r>
          </w:p>
          <w:p w14:paraId="45882C5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施工废水中的主要污染物为pH（一般大于7）、SS、COD、石油类，污水中COD浓度值最高约500mg/L、BOD</w:t>
            </w:r>
            <w:r>
              <w:rPr>
                <w:rFonts w:hint="default" w:ascii="Times New Roman" w:hAnsi="Times New Roman" w:cs="Times New Roman"/>
                <w:color w:val="auto"/>
                <w:sz w:val="24"/>
                <w:szCs w:val="24"/>
                <w:highlight w:val="none"/>
                <w:vertAlign w:val="subscript"/>
                <w:lang w:eastAsia="zh-CN"/>
              </w:rPr>
              <w:t>5</w:t>
            </w:r>
            <w:r>
              <w:rPr>
                <w:rFonts w:hint="default" w:ascii="Times New Roman" w:hAnsi="Times New Roman" w:cs="Times New Roman"/>
                <w:color w:val="auto"/>
                <w:sz w:val="24"/>
                <w:szCs w:val="24"/>
                <w:highlight w:val="none"/>
                <w:lang w:eastAsia="zh-CN"/>
              </w:rPr>
              <w:t>约400mg/L、SS约1000mg/L。经类比分析，</w:t>
            </w:r>
            <w:r>
              <w:rPr>
                <w:rFonts w:hint="eastAsia" w:ascii="Times New Roman" w:hAnsi="Times New Roman" w:cs="Times New Roman"/>
                <w:color w:val="auto"/>
                <w:sz w:val="24"/>
                <w:szCs w:val="24"/>
                <w:highlight w:val="none"/>
                <w:lang w:val="en-US" w:eastAsia="zh-CN"/>
              </w:rPr>
              <w:t>隘口水厂、马渡关水厂</w:t>
            </w:r>
            <w:r>
              <w:rPr>
                <w:rFonts w:hint="default" w:ascii="Times New Roman" w:hAnsi="Times New Roman" w:cs="Times New Roman"/>
                <w:color w:val="auto"/>
                <w:sz w:val="24"/>
                <w:szCs w:val="24"/>
                <w:highlight w:val="none"/>
                <w:lang w:eastAsia="zh-CN"/>
              </w:rPr>
              <w:t>施工期施工废水预计排放量</w:t>
            </w:r>
            <w:r>
              <w:rPr>
                <w:rFonts w:hint="eastAsia" w:ascii="Times New Roman" w:hAnsi="Times New Roman"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lang w:eastAsia="zh-CN"/>
              </w:rPr>
              <w:t>为</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/d，为防止施工废水对区域地表水环境造成影响，环评要求建设单位应采取以下污染防治措施：</w:t>
            </w:r>
          </w:p>
          <w:p w14:paraId="5FCB61B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①施工场地设置排水沟（沟宽×深≥300×300mm，排水坡度应大于3%）和三级沉淀池（</w:t>
            </w:r>
            <w:r>
              <w:rPr>
                <w:rFonts w:hint="eastAsia" w:ascii="Times New Roman" w:hAnsi="Times New Roman" w:cs="Times New Roman"/>
                <w:color w:val="auto"/>
                <w:sz w:val="24"/>
                <w:szCs w:val="24"/>
                <w:highlight w:val="none"/>
                <w:lang w:val="en-US" w:eastAsia="zh-CN"/>
              </w:rPr>
              <w:t>隘口水厂</w:t>
            </w:r>
            <w:r>
              <w:rPr>
                <w:rFonts w:hint="default" w:ascii="Times New Roman" w:hAnsi="Times New Roman" w:cs="Times New Roman"/>
                <w:color w:val="auto"/>
                <w:sz w:val="24"/>
                <w:szCs w:val="24"/>
                <w:highlight w:val="none"/>
                <w:lang w:eastAsia="zh-CN"/>
              </w:rPr>
              <w:t>池体容积≥</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eastAsia" w:ascii="Times New Roman" w:hAnsi="Times New Roman" w:cs="Times New Roman"/>
                <w:color w:val="auto"/>
                <w:sz w:val="24"/>
                <w:szCs w:val="24"/>
                <w:highlight w:val="none"/>
                <w:vertAlign w:val="baseline"/>
                <w:lang w:eastAsia="zh-CN"/>
              </w:rPr>
              <w:t>、</w:t>
            </w:r>
            <w:r>
              <w:rPr>
                <w:rFonts w:hint="eastAsia" w:ascii="Times New Roman" w:hAnsi="Times New Roman" w:cs="Times New Roman"/>
                <w:color w:val="auto"/>
                <w:sz w:val="24"/>
                <w:szCs w:val="24"/>
                <w:highlight w:val="none"/>
                <w:lang w:val="en-US" w:eastAsia="zh-CN"/>
              </w:rPr>
              <w:t>马渡关水厂</w:t>
            </w:r>
            <w:r>
              <w:rPr>
                <w:rFonts w:hint="default" w:ascii="Times New Roman" w:hAnsi="Times New Roman" w:cs="Times New Roman"/>
                <w:color w:val="auto"/>
                <w:sz w:val="24"/>
                <w:szCs w:val="24"/>
                <w:highlight w:val="none"/>
                <w:lang w:eastAsia="zh-CN"/>
              </w:rPr>
              <w:t>池体容积≥</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），车辆冲洗点配套修建隔油设施（池体容积≥1m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），废水经隔油沉淀处理后全部回用。</w:t>
            </w:r>
            <w:r>
              <w:rPr>
                <w:rFonts w:hint="default" w:ascii="Times New Roman" w:hAnsi="Times New Roman" w:cs="Times New Roman"/>
                <w:color w:val="auto"/>
                <w:sz w:val="24"/>
                <w:szCs w:val="24"/>
                <w:highlight w:val="none"/>
                <w:lang w:val="en-US" w:eastAsia="zh-CN"/>
              </w:rPr>
              <w:t>禁止废水直接排入地表水体。</w:t>
            </w:r>
          </w:p>
          <w:p w14:paraId="787ED48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②加强施工管理，严格避免超挖、禁止雨天开挖作业；场地内地下渗水等应收集后用作车辆冲洗、洒水降尘等；</w:t>
            </w:r>
            <w:r>
              <w:rPr>
                <w:rFonts w:hint="default" w:ascii="Times New Roman" w:hAnsi="Times New Roman" w:cs="Times New Roman"/>
                <w:color w:val="auto"/>
                <w:sz w:val="24"/>
                <w:szCs w:val="24"/>
                <w:highlight w:val="none"/>
                <w:lang w:val="en-US" w:eastAsia="zh-CN"/>
              </w:rPr>
              <w:t>禁止将污染物直接排入地表水体</w:t>
            </w:r>
            <w:r>
              <w:rPr>
                <w:rFonts w:hint="default" w:ascii="Times New Roman" w:hAnsi="Times New Roman" w:cs="Times New Roman"/>
                <w:color w:val="auto"/>
                <w:sz w:val="24"/>
                <w:szCs w:val="24"/>
                <w:highlight w:val="none"/>
                <w:lang w:eastAsia="zh-CN"/>
              </w:rPr>
              <w:t>。</w:t>
            </w:r>
          </w:p>
          <w:p w14:paraId="50822DD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w:t>
            </w:r>
            <w:r>
              <w:rPr>
                <w:rFonts w:hint="eastAsia" w:cs="Times New Roman"/>
                <w:b/>
                <w:bCs w:val="0"/>
                <w:color w:val="auto"/>
                <w:sz w:val="24"/>
                <w:szCs w:val="24"/>
                <w:highlight w:val="none"/>
                <w:lang w:val="en-US" w:eastAsia="zh-CN"/>
              </w:rPr>
              <w:t>基坑排水</w:t>
            </w:r>
          </w:p>
          <w:p w14:paraId="54620DD5">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eastAsia="zh-CN"/>
              </w:rPr>
            </w:pPr>
            <w:r>
              <w:rPr>
                <w:rFonts w:hint="default" w:ascii="Times New Roman" w:hAnsi="Times New Roman" w:cs="Times New Roman"/>
                <w:b w:val="0"/>
                <w:bCs w:val="0"/>
                <w:color w:val="auto"/>
                <w:sz w:val="24"/>
                <w:szCs w:val="24"/>
                <w:highlight w:val="none"/>
                <w:lang w:eastAsia="zh-CN"/>
              </w:rPr>
              <w:t>本项目涉水工程主要包括</w:t>
            </w:r>
            <w:r>
              <w:rPr>
                <w:rFonts w:hint="eastAsia" w:ascii="Times New Roman" w:hAnsi="Times New Roman" w:cs="Times New Roman"/>
                <w:b w:val="0"/>
                <w:bCs w:val="0"/>
                <w:color w:val="auto"/>
                <w:sz w:val="24"/>
                <w:szCs w:val="24"/>
                <w:highlight w:val="none"/>
                <w:lang w:val="en-US" w:eastAsia="zh-CN"/>
              </w:rPr>
              <w:t>隘口水厂和马渡关水厂取水工程</w:t>
            </w:r>
            <w:r>
              <w:rPr>
                <w:rFonts w:hint="default" w:ascii="Times New Roman" w:hAnsi="Times New Roman" w:cs="Times New Roman"/>
                <w:b w:val="0"/>
                <w:bCs w:val="0"/>
                <w:color w:val="auto"/>
                <w:sz w:val="24"/>
                <w:szCs w:val="24"/>
                <w:highlight w:val="none"/>
                <w:lang w:eastAsia="zh-CN"/>
              </w:rPr>
              <w:t>施工。根据地形条件，</w:t>
            </w:r>
            <w:r>
              <w:rPr>
                <w:rFonts w:hint="eastAsia" w:ascii="Times New Roman" w:hAnsi="Times New Roman" w:cs="Times New Roman"/>
                <w:b w:val="0"/>
                <w:bCs w:val="0"/>
                <w:color w:val="auto"/>
                <w:sz w:val="24"/>
                <w:szCs w:val="24"/>
                <w:highlight w:val="none"/>
                <w:lang w:val="en-US" w:eastAsia="zh-CN"/>
              </w:rPr>
              <w:t>隘口水厂取水工程</w:t>
            </w:r>
            <w:r>
              <w:rPr>
                <w:rFonts w:hint="default" w:ascii="Times New Roman" w:hAnsi="Times New Roman" w:cs="Times New Roman"/>
                <w:b w:val="0"/>
                <w:bCs w:val="0"/>
                <w:color w:val="auto"/>
                <w:sz w:val="24"/>
                <w:szCs w:val="32"/>
                <w:highlight w:val="none"/>
                <w:vertAlign w:val="baseline"/>
                <w:lang w:val="en-US" w:eastAsia="zh-CN"/>
              </w:rPr>
              <w:t>采用半幅围堰导流，</w:t>
            </w:r>
            <w:r>
              <w:rPr>
                <w:rFonts w:hint="eastAsia" w:ascii="Times New Roman" w:hAnsi="Times New Roman" w:cs="Times New Roman"/>
                <w:b w:val="0"/>
                <w:bCs w:val="0"/>
                <w:color w:val="auto"/>
                <w:sz w:val="24"/>
                <w:szCs w:val="24"/>
                <w:highlight w:val="none"/>
                <w:lang w:val="en-US" w:eastAsia="zh-CN"/>
              </w:rPr>
              <w:t>马渡关水厂取水工程</w:t>
            </w:r>
            <w:r>
              <w:rPr>
                <w:rFonts w:hint="default" w:ascii="Times New Roman" w:hAnsi="Times New Roman" w:cs="Times New Roman"/>
                <w:b w:val="0"/>
                <w:bCs w:val="0"/>
                <w:color w:val="auto"/>
                <w:sz w:val="24"/>
                <w:szCs w:val="32"/>
                <w:highlight w:val="none"/>
                <w:vertAlign w:val="baseline"/>
                <w:lang w:val="en-US" w:eastAsia="zh-CN"/>
              </w:rPr>
              <w:t>采用岸边全断围堰导流。</w:t>
            </w:r>
            <w:r>
              <w:rPr>
                <w:rFonts w:hint="default" w:ascii="Times New Roman" w:hAnsi="Times New Roman" w:cs="Times New Roman"/>
                <w:b w:val="0"/>
                <w:bCs w:val="0"/>
                <w:color w:val="auto"/>
                <w:sz w:val="24"/>
                <w:szCs w:val="24"/>
                <w:highlight w:val="none"/>
                <w:lang w:eastAsia="zh-CN"/>
              </w:rPr>
              <w:t>围堰的堰体迎水面采用编织袋装土料填筑，结合双层土工膜防渗。</w:t>
            </w:r>
          </w:p>
          <w:p w14:paraId="1DC1DFE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rPr>
              <w:t>根据施工情况和基坑渗漏情况，采用初期排水和经常性排水两种方式</w:t>
            </w:r>
            <w:r>
              <w:rPr>
                <w:rFonts w:hint="default" w:ascii="Times New Roman" w:hAnsi="Times New Roman" w:cs="Times New Roman"/>
                <w:b w:val="0"/>
                <w:bCs/>
                <w:color w:val="auto"/>
                <w:sz w:val="24"/>
                <w:szCs w:val="24"/>
                <w:highlight w:val="none"/>
                <w:lang w:eastAsia="zh-CN"/>
              </w:rPr>
              <w:t>，排出基坑内的积水和渗水。</w:t>
            </w:r>
          </w:p>
          <w:p w14:paraId="635A3114">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初期排水：由于工程区冬季少雨，且排水历时较短，初期排水不考虑降雨影响。</w:t>
            </w:r>
            <w:r>
              <w:rPr>
                <w:rFonts w:hint="default" w:ascii="Times New Roman" w:hAnsi="Times New Roman" w:cs="Times New Roman"/>
                <w:b w:val="0"/>
                <w:bCs/>
                <w:color w:val="auto"/>
                <w:sz w:val="24"/>
                <w:szCs w:val="24"/>
                <w:highlight w:val="none"/>
                <w:lang w:val="en-US" w:eastAsia="zh-CN"/>
              </w:rPr>
              <w:t>枯水期</w:t>
            </w:r>
            <w:r>
              <w:rPr>
                <w:rFonts w:hint="default" w:ascii="Times New Roman" w:hAnsi="Times New Roman" w:cs="Times New Roman"/>
                <w:b w:val="0"/>
                <w:bCs/>
                <w:color w:val="auto"/>
                <w:sz w:val="24"/>
                <w:szCs w:val="24"/>
                <w:highlight w:val="none"/>
                <w:lang w:eastAsia="zh-CN"/>
              </w:rPr>
              <w:t>围堰内水位较低，当上游围堰填筑完成后，基坑内积水较少，故考虑较小的初期排水。</w:t>
            </w:r>
          </w:p>
          <w:p w14:paraId="23AE317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经常性排水：经常性排水主要为基础渗透水，堤基渗透系数较小，同时基坑开挖深度浅，加之围堰有</w:t>
            </w:r>
            <w:r>
              <w:rPr>
                <w:rFonts w:hint="default" w:ascii="Times New Roman" w:hAnsi="Times New Roman" w:cs="Times New Roman"/>
                <w:b w:val="0"/>
                <w:bCs/>
                <w:color w:val="auto"/>
                <w:sz w:val="24"/>
                <w:szCs w:val="24"/>
                <w:highlight w:val="none"/>
                <w:lang w:val="en-US" w:eastAsia="zh-CN"/>
              </w:rPr>
              <w:t>土工膜</w:t>
            </w:r>
            <w:r>
              <w:rPr>
                <w:rFonts w:hint="default" w:ascii="Times New Roman" w:hAnsi="Times New Roman" w:cs="Times New Roman"/>
                <w:b w:val="0"/>
                <w:bCs/>
                <w:color w:val="auto"/>
                <w:sz w:val="24"/>
                <w:szCs w:val="24"/>
                <w:highlight w:val="none"/>
                <w:lang w:eastAsia="zh-CN"/>
              </w:rPr>
              <w:t>防渗，因此，根据类似河道防洪堤施工经验，其渗流量较小。</w:t>
            </w:r>
          </w:p>
          <w:p w14:paraId="72BD809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本工程基坑内设置截流槽，每100m设置一个集水坑，每段基坑排水选用水泵抽排，并在下游设置一个沉淀池，基坑排水静置经沉淀池沉淀处理后排放河道。</w:t>
            </w:r>
          </w:p>
          <w:p w14:paraId="0609C19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环评要求：为保护水体的环境质量，涉水工程应尽量选择在枯水季节施工，以避免污染水质；严禁将施工弃渣、弃土、垃圾</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油类</w:t>
            </w:r>
            <w:r>
              <w:rPr>
                <w:rFonts w:hint="default" w:ascii="Times New Roman" w:hAnsi="Times New Roman" w:cs="Times New Roman"/>
                <w:b/>
                <w:bCs/>
                <w:color w:val="auto"/>
                <w:sz w:val="24"/>
                <w:szCs w:val="24"/>
                <w:highlight w:val="none"/>
                <w:lang w:eastAsia="zh-CN"/>
              </w:rPr>
              <w:t>以及未经处理的废水、废液直接倾倒至</w:t>
            </w:r>
            <w:r>
              <w:rPr>
                <w:rFonts w:hint="default" w:ascii="Times New Roman" w:hAnsi="Times New Roman" w:cs="Times New Roman"/>
                <w:b/>
                <w:bCs/>
                <w:color w:val="auto"/>
                <w:sz w:val="24"/>
                <w:szCs w:val="24"/>
                <w:highlight w:val="none"/>
                <w:lang w:val="en-US" w:eastAsia="zh-CN"/>
              </w:rPr>
              <w:t>其中</w:t>
            </w:r>
            <w:r>
              <w:rPr>
                <w:rFonts w:hint="default" w:ascii="Times New Roman" w:hAnsi="Times New Roman" w:cs="Times New Roman"/>
                <w:b/>
                <w:bCs/>
                <w:color w:val="auto"/>
                <w:sz w:val="24"/>
                <w:szCs w:val="24"/>
                <w:highlight w:val="none"/>
                <w:lang w:eastAsia="zh-CN"/>
              </w:rPr>
              <w:t>。</w:t>
            </w:r>
          </w:p>
          <w:p w14:paraId="5E28BED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（2）生活污水</w:t>
            </w:r>
          </w:p>
          <w:p w14:paraId="7359940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32"/>
                <w:highlight w:val="none"/>
                <w:vertAlign w:val="baseline"/>
                <w:lang w:val="en-US" w:eastAsia="zh-CN"/>
              </w:rPr>
              <w:t>隘口</w:t>
            </w:r>
            <w:r>
              <w:rPr>
                <w:rFonts w:hint="default" w:ascii="Times New Roman" w:hAnsi="Times New Roman" w:cs="Times New Roman"/>
                <w:b/>
                <w:bCs/>
                <w:color w:val="auto"/>
                <w:sz w:val="24"/>
                <w:szCs w:val="32"/>
                <w:highlight w:val="none"/>
                <w:vertAlign w:val="baseline"/>
                <w:lang w:val="en-US" w:eastAsia="zh-CN"/>
              </w:rPr>
              <w:t>水厂</w:t>
            </w:r>
          </w:p>
          <w:p w14:paraId="1BCC800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项目施工人员预计可达</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0人，根据《四川省用水定额》（川府函〔2021〕8号），施工人员生活用水量按</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lang w:eastAsia="zh-CN"/>
              </w:rPr>
              <w:t>L/人·d计，生活污水产生系数取0.85，则生活污水产生量为</w:t>
            </w: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/d。生活污水</w:t>
            </w:r>
            <w:r>
              <w:rPr>
                <w:rFonts w:hint="eastAsia" w:ascii="Times New Roman" w:hAnsi="Times New Roman" w:cs="Times New Roman"/>
                <w:color w:val="auto"/>
                <w:sz w:val="24"/>
                <w:szCs w:val="24"/>
                <w:highlight w:val="none"/>
                <w:lang w:val="en-US" w:eastAsia="zh-CN"/>
              </w:rPr>
              <w:t>利用</w:t>
            </w:r>
            <w:r>
              <w:rPr>
                <w:rFonts w:hint="default" w:ascii="Times New Roman" w:hAnsi="Times New Roman" w:cs="Times New Roman"/>
                <w:color w:val="auto"/>
                <w:sz w:val="24"/>
                <w:szCs w:val="24"/>
                <w:highlight w:val="none"/>
                <w:lang w:eastAsia="zh-CN"/>
              </w:rPr>
              <w:t>现有</w:t>
            </w:r>
            <w:r>
              <w:rPr>
                <w:rFonts w:hint="eastAsia" w:ascii="Times New Roman" w:hAnsi="Times New Roman" w:cs="Times New Roman"/>
                <w:color w:val="auto"/>
                <w:sz w:val="24"/>
                <w:szCs w:val="24"/>
                <w:highlight w:val="none"/>
                <w:lang w:val="en-US" w:eastAsia="zh-CN"/>
              </w:rPr>
              <w:t>化粪池</w:t>
            </w:r>
            <w:r>
              <w:rPr>
                <w:rFonts w:hint="default" w:ascii="Times New Roman" w:hAnsi="Times New Roman" w:cs="Times New Roman"/>
                <w:color w:val="auto"/>
                <w:sz w:val="24"/>
                <w:szCs w:val="24"/>
                <w:highlight w:val="none"/>
                <w:lang w:eastAsia="zh-CN"/>
              </w:rPr>
              <w:t>进行处理</w:t>
            </w:r>
            <w:r>
              <w:rPr>
                <w:rFonts w:hint="eastAsia" w:ascii="Times New Roman" w:hAnsi="Times New Roman" w:cs="Times New Roman"/>
                <w:color w:val="auto"/>
                <w:sz w:val="24"/>
                <w:szCs w:val="24"/>
                <w:highlight w:val="none"/>
                <w:lang w:val="en-US" w:eastAsia="zh-CN"/>
              </w:rPr>
              <w:t>后用作农肥</w:t>
            </w:r>
            <w:r>
              <w:rPr>
                <w:rFonts w:hint="eastAsia" w:ascii="Times New Roman" w:hAnsi="Times New Roman" w:cs="Times New Roman"/>
                <w:color w:val="auto"/>
                <w:sz w:val="24"/>
                <w:szCs w:val="24"/>
                <w:highlight w:val="none"/>
                <w:lang w:eastAsia="zh-CN"/>
              </w:rPr>
              <w:t>。</w:t>
            </w:r>
          </w:p>
          <w:p w14:paraId="5AC53E4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2）马渡关</w:t>
            </w:r>
            <w:r>
              <w:rPr>
                <w:rFonts w:hint="default" w:ascii="Times New Roman" w:hAnsi="Times New Roman" w:cs="Times New Roman"/>
                <w:b/>
                <w:bCs/>
                <w:color w:val="auto"/>
                <w:sz w:val="24"/>
                <w:szCs w:val="24"/>
                <w:highlight w:val="none"/>
                <w:lang w:val="en-US" w:eastAsia="zh-CN"/>
              </w:rPr>
              <w:t>水厂</w:t>
            </w:r>
          </w:p>
          <w:p w14:paraId="7057049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项目施工人员预计可达</w:t>
            </w:r>
            <w:r>
              <w:rPr>
                <w:rFonts w:hint="eastAsia"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lang w:eastAsia="zh-CN"/>
              </w:rPr>
              <w:t>人，根据《四川省用水定额》（川府函〔2021〕8号），施工人员生活用水量按</w:t>
            </w:r>
            <w:r>
              <w:rPr>
                <w:rFonts w:hint="default" w:ascii="Times New Roman" w:hAnsi="Times New Roman" w:cs="Times New Roman"/>
                <w:color w:val="auto"/>
                <w:sz w:val="24"/>
                <w:szCs w:val="24"/>
                <w:highlight w:val="none"/>
                <w:lang w:val="en-US" w:eastAsia="zh-CN"/>
              </w:rPr>
              <w:t>80</w:t>
            </w:r>
            <w:r>
              <w:rPr>
                <w:rFonts w:hint="default" w:ascii="Times New Roman" w:hAnsi="Times New Roman" w:cs="Times New Roman"/>
                <w:color w:val="auto"/>
                <w:sz w:val="24"/>
                <w:szCs w:val="24"/>
                <w:highlight w:val="none"/>
                <w:lang w:eastAsia="zh-CN"/>
              </w:rPr>
              <w:t>L/人·d计，生活污水产生系数取0.85，则生活污水产生量为</w:t>
            </w:r>
            <w:r>
              <w:rPr>
                <w:rFonts w:hint="eastAsia" w:ascii="Times New Roman" w:hAnsi="Times New Roman" w:cs="Times New Roman"/>
                <w:color w:val="auto"/>
                <w:sz w:val="24"/>
                <w:szCs w:val="24"/>
                <w:highlight w:val="none"/>
                <w:lang w:val="en-US" w:eastAsia="zh-CN"/>
              </w:rPr>
              <w:t>2.04</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eastAsia="zh-CN"/>
              </w:rPr>
              <w:t>/d。生活污水依托</w:t>
            </w:r>
            <w:r>
              <w:rPr>
                <w:rFonts w:hint="default" w:ascii="Times New Roman" w:hAnsi="Times New Roman" w:cs="Times New Roman"/>
                <w:color w:val="auto"/>
                <w:sz w:val="24"/>
                <w:szCs w:val="24"/>
                <w:highlight w:val="none"/>
                <w:lang w:val="en-US" w:eastAsia="zh-CN"/>
              </w:rPr>
              <w:t>周边</w:t>
            </w:r>
            <w:r>
              <w:rPr>
                <w:rFonts w:hint="default" w:ascii="Times New Roman" w:hAnsi="Times New Roman" w:cs="Times New Roman"/>
                <w:color w:val="auto"/>
                <w:sz w:val="24"/>
                <w:szCs w:val="24"/>
                <w:highlight w:val="none"/>
                <w:lang w:eastAsia="zh-CN"/>
              </w:rPr>
              <w:t>民房现有的污水处理设施进行处理</w:t>
            </w:r>
            <w:r>
              <w:rPr>
                <w:rFonts w:hint="eastAsia" w:ascii="Times New Roman" w:hAnsi="Times New Roman" w:cs="Times New Roman"/>
                <w:color w:val="auto"/>
                <w:sz w:val="24"/>
                <w:szCs w:val="24"/>
                <w:highlight w:val="none"/>
                <w:lang w:eastAsia="zh-CN"/>
              </w:rPr>
              <w:t>。</w:t>
            </w:r>
          </w:p>
          <w:p w14:paraId="31A3BE0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管道闭水试验废水</w:t>
            </w:r>
          </w:p>
          <w:p w14:paraId="63D4DA78">
            <w:pPr>
              <w:pageBreakBefore w:val="0"/>
              <w:kinsoku/>
              <w:wordWrap/>
              <w:bidi w:val="0"/>
              <w:spacing w:line="360" w:lineRule="auto"/>
              <w:ind w:left="0" w:leftChars="0" w:right="0" w:firstLine="48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管道闭水试验废水主要为管道测试时产生的废水，该部分废水主要污染因子为COD、SS，浓度分别为：100~120mg/L、</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00~</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eastAsia="zh-CN"/>
              </w:rPr>
              <w:t>00mg/L。该部分废水经沉淀池沉淀后</w:t>
            </w:r>
            <w:r>
              <w:rPr>
                <w:rFonts w:hint="eastAsia" w:ascii="Times New Roman" w:hAnsi="Times New Roman" w:cs="Times New Roman"/>
                <w:color w:val="auto"/>
                <w:sz w:val="24"/>
                <w:szCs w:val="24"/>
                <w:highlight w:val="none"/>
                <w:lang w:val="en-US" w:eastAsia="zh-CN"/>
              </w:rPr>
              <w:t>直接外排</w:t>
            </w:r>
            <w:r>
              <w:rPr>
                <w:rFonts w:hint="default" w:ascii="Times New Roman" w:hAnsi="Times New Roman" w:cs="Times New Roman"/>
                <w:color w:val="auto"/>
                <w:sz w:val="24"/>
                <w:szCs w:val="24"/>
                <w:highlight w:val="none"/>
                <w:lang w:eastAsia="zh-CN"/>
              </w:rPr>
              <w:t>。</w:t>
            </w:r>
          </w:p>
          <w:p w14:paraId="45DB8234">
            <w:pPr>
              <w:pageBreakBefore w:val="0"/>
              <w:kinsoku/>
              <w:wordWrap/>
              <w:bidi w:val="0"/>
              <w:spacing w:line="360" w:lineRule="auto"/>
              <w:ind w:left="0" w:leftChars="0" w:right="0" w:firstLine="480"/>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highlight w:val="none"/>
              </w:rPr>
              <w:t>综上，采取上述污染防治措施后不会对项目周边水体产生不良影响。</w:t>
            </w:r>
            <w:r>
              <w:rPr>
                <w:rFonts w:hint="default" w:ascii="Times New Roman" w:hAnsi="Times New Roman" w:cs="Times New Roman"/>
                <w:color w:val="auto"/>
                <w:sz w:val="24"/>
                <w:szCs w:val="24"/>
                <w:highlight w:val="none"/>
              </w:rPr>
              <w:t>其对环境的影响可接受。</w:t>
            </w:r>
          </w:p>
          <w:p w14:paraId="7773C1F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3、噪声</w:t>
            </w:r>
          </w:p>
          <w:p w14:paraId="50017FB0">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（1）</w:t>
            </w:r>
            <w:r>
              <w:rPr>
                <w:rFonts w:hint="default" w:ascii="Times New Roman" w:hAnsi="Times New Roman" w:cs="Times New Roman"/>
                <w:b/>
                <w:bCs/>
                <w:color w:val="auto"/>
                <w:sz w:val="24"/>
                <w:szCs w:val="24"/>
              </w:rPr>
              <w:t>噪声源强</w:t>
            </w:r>
          </w:p>
          <w:p w14:paraId="33138330">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施工期主要分为机械噪声、施工作业噪声和施工车辆噪声。本项目机械噪声主要由施工机械所造成，多为点声源；施工作业噪声主要是一些零星敲打声、装卸车辆的撞击声等；施工车辆噪声属于交通噪声。在上述施工噪声中，对环境影响最大的是施工机械噪声。</w:t>
            </w:r>
          </w:p>
          <w:p w14:paraId="5BEF8B8D">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根据工程所在区域环境现状，为实现施工场界噪声达标排放，降低施工噪声对周围环境的影响，施工单位需严格按照相关要求文明施工，采取以下噪声防治措施：</w:t>
            </w:r>
          </w:p>
          <w:p w14:paraId="4ADE58BB">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①在满足工艺要求的前提下，首先选用先进的、噪声较低的环保型设备，严格按操作规程使用各类机械，使机器设备处于良好的运行状态。</w:t>
            </w:r>
          </w:p>
          <w:p w14:paraId="0FB543D7">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②合理安排工期，尽量缩短整个施工期；严格控制施工时间，禁止夜间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22:00-次日6:00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进行产生环境噪声污染的施工作业；应尽可能避免大量高噪声设备同时施工。</w:t>
            </w:r>
          </w:p>
          <w:p w14:paraId="52CE89F9">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③坚持文明施工，降低人为噪声，搬运应该轻拿轻放。</w:t>
            </w:r>
          </w:p>
          <w:p w14:paraId="3A65DA13">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④合理布局，避免在同一地点安排大量动力机械设备。</w:t>
            </w:r>
          </w:p>
          <w:p w14:paraId="55C4864B">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⑤运输物料的车辆进入现场应减速行驶、并禁止鸣笛。合理安排运输路线，物料运输通道尽量避开居民区和环境噪声敏感区。</w:t>
            </w:r>
          </w:p>
          <w:p w14:paraId="123BD437">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kern w:val="0"/>
                <w:sz w:val="24"/>
                <w:szCs w:val="24"/>
                <w:lang w:val="en-US" w:eastAsia="zh-CN" w:bidi="ar"/>
              </w:rPr>
            </w:pPr>
            <w:r>
              <w:rPr>
                <w:rFonts w:hint="eastAsia"/>
                <w:color w:val="auto"/>
                <w:sz w:val="24"/>
                <w:szCs w:val="24"/>
              </w:rPr>
              <w:t>本项目施工期噪声污染源源强核算结果及相关参数见下表：</w:t>
            </w:r>
          </w:p>
          <w:p w14:paraId="2CDF96C8">
            <w:pPr>
              <w:pStyle w:val="23"/>
              <w:keepNext w:val="0"/>
              <w:keepLines w:val="0"/>
              <w:pageBreakBefore w:val="0"/>
              <w:widowControl w:val="0"/>
              <w:kinsoku/>
              <w:wordWrap/>
              <w:overflowPunct/>
              <w:topLinePunct w:val="0"/>
              <w:autoSpaceDE/>
              <w:autoSpaceDN/>
              <w:bidi w:val="0"/>
              <w:adjustRightInd/>
              <w:snapToGrid/>
              <w:spacing w:before="0" w:after="0" w:line="360" w:lineRule="auto"/>
              <w:ind w:right="113"/>
              <w:jc w:val="center"/>
              <w:textAlignment w:val="auto"/>
              <w:rPr>
                <w:rFonts w:hint="default" w:ascii="Times New Roman" w:hAnsi="Times New Roman" w:eastAsia="黑体" w:cs="Times New Roman"/>
                <w:b w:val="0"/>
                <w:bCs w:val="0"/>
                <w:color w:val="auto"/>
                <w:sz w:val="21"/>
                <w:szCs w:val="21"/>
                <w:lang w:val="en-US" w:eastAsia="zh-CN"/>
              </w:rPr>
            </w:pPr>
            <w:r>
              <w:rPr>
                <w:rFonts w:hint="default" w:ascii="Times New Roman" w:hAnsi="Times New Roman" w:eastAsia="黑体" w:cs="Times New Roman"/>
                <w:b w:val="0"/>
                <w:bCs w:val="0"/>
                <w:color w:val="auto"/>
                <w:kern w:val="0"/>
                <w:sz w:val="21"/>
                <w:szCs w:val="21"/>
                <w:lang w:val="en-US" w:eastAsia="zh-CN" w:bidi="ar"/>
              </w:rPr>
              <w:t>表4-</w:t>
            </w:r>
            <w:r>
              <w:rPr>
                <w:rFonts w:hint="eastAsia" w:ascii="Times New Roman" w:hAnsi="Times New Roman" w:eastAsia="黑体" w:cs="Times New Roman"/>
                <w:b w:val="0"/>
                <w:bCs w:val="0"/>
                <w:color w:val="auto"/>
                <w:kern w:val="0"/>
                <w:sz w:val="21"/>
                <w:szCs w:val="21"/>
                <w:lang w:val="en-US" w:eastAsia="zh-CN" w:bidi="ar"/>
              </w:rPr>
              <w:t>1</w:t>
            </w:r>
            <w:r>
              <w:rPr>
                <w:rFonts w:hint="default" w:ascii="Times New Roman" w:hAnsi="Times New Roman" w:eastAsia="黑体" w:cs="Times New Roman"/>
                <w:b w:val="0"/>
                <w:bCs w:val="0"/>
                <w:color w:val="auto"/>
                <w:kern w:val="0"/>
                <w:sz w:val="21"/>
                <w:szCs w:val="21"/>
                <w:lang w:val="en-US" w:eastAsia="zh-CN" w:bidi="ar"/>
              </w:rPr>
              <w:t xml:space="preserve"> 施工期主要噪声源强情况表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578"/>
              <w:gridCol w:w="970"/>
              <w:gridCol w:w="970"/>
              <w:gridCol w:w="970"/>
              <w:gridCol w:w="1310"/>
              <w:gridCol w:w="1256"/>
              <w:gridCol w:w="1584"/>
            </w:tblGrid>
            <w:tr w14:paraId="6E709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restart"/>
                  <w:tcBorders>
                    <w:tl2br w:val="nil"/>
                    <w:tr2bl w:val="nil"/>
                  </w:tcBorders>
                  <w:noWrap w:val="0"/>
                  <w:vAlign w:val="center"/>
                </w:tcPr>
                <w:p w14:paraId="3BF8487E">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850" w:type="pct"/>
                  <w:vMerge w:val="restart"/>
                  <w:tcBorders>
                    <w:tl2br w:val="nil"/>
                    <w:tr2bl w:val="nil"/>
                  </w:tcBorders>
                  <w:noWrap w:val="0"/>
                  <w:vAlign w:val="center"/>
                </w:tcPr>
                <w:p w14:paraId="3E4889DE">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设备名称</w:t>
                  </w:r>
                </w:p>
              </w:tc>
              <w:tc>
                <w:tcPr>
                  <w:tcW w:w="1569" w:type="pct"/>
                  <w:gridSpan w:val="3"/>
                  <w:tcBorders>
                    <w:tl2br w:val="nil"/>
                    <w:tr2bl w:val="nil"/>
                  </w:tcBorders>
                  <w:noWrap w:val="0"/>
                  <w:vAlign w:val="center"/>
                </w:tcPr>
                <w:p w14:paraId="25D27C71">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空间相对位置</w:t>
                  </w:r>
                </w:p>
              </w:tc>
              <w:tc>
                <w:tcPr>
                  <w:tcW w:w="706" w:type="pct"/>
                  <w:vMerge w:val="restart"/>
                  <w:tcBorders>
                    <w:tl2br w:val="nil"/>
                    <w:tr2bl w:val="nil"/>
                  </w:tcBorders>
                  <w:noWrap w:val="0"/>
                  <w:vAlign w:val="center"/>
                </w:tcPr>
                <w:p w14:paraId="60DF3637">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最大声级（dB（A））</w:t>
                  </w:r>
                </w:p>
              </w:tc>
              <w:tc>
                <w:tcPr>
                  <w:tcW w:w="677" w:type="pct"/>
                  <w:vMerge w:val="restart"/>
                  <w:tcBorders>
                    <w:tl2br w:val="nil"/>
                    <w:tr2bl w:val="nil"/>
                  </w:tcBorders>
                  <w:noWrap w:val="0"/>
                  <w:vAlign w:val="center"/>
                </w:tcPr>
                <w:p w14:paraId="2A37BED7">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rPr>
                    <w:t>声源控制措施</w:t>
                  </w:r>
                </w:p>
              </w:tc>
              <w:tc>
                <w:tcPr>
                  <w:tcW w:w="854" w:type="pct"/>
                  <w:vMerge w:val="restart"/>
                  <w:tcBorders>
                    <w:tl2br w:val="nil"/>
                    <w:tr2bl w:val="nil"/>
                  </w:tcBorders>
                  <w:noWrap w:val="0"/>
                  <w:vAlign w:val="center"/>
                </w:tcPr>
                <w:p w14:paraId="6EECA209">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 xml:space="preserve">运行时间（h） </w:t>
                  </w:r>
                </w:p>
              </w:tc>
            </w:tr>
            <w:tr w14:paraId="299B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Borders>
                    <w:tl2br w:val="nil"/>
                    <w:tr2bl w:val="nil"/>
                  </w:tcBorders>
                  <w:noWrap w:val="0"/>
                  <w:vAlign w:val="center"/>
                </w:tcPr>
                <w:p w14:paraId="783E7BDA">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sz w:val="21"/>
                      <w:szCs w:val="21"/>
                    </w:rPr>
                  </w:pPr>
                </w:p>
              </w:tc>
              <w:tc>
                <w:tcPr>
                  <w:tcW w:w="850" w:type="pct"/>
                  <w:vMerge w:val="continue"/>
                  <w:tcBorders>
                    <w:tl2br w:val="nil"/>
                    <w:tr2bl w:val="nil"/>
                  </w:tcBorders>
                  <w:noWrap w:val="0"/>
                  <w:vAlign w:val="center"/>
                </w:tcPr>
                <w:p w14:paraId="259462DA">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sz w:val="21"/>
                      <w:szCs w:val="21"/>
                    </w:rPr>
                  </w:pPr>
                </w:p>
              </w:tc>
              <w:tc>
                <w:tcPr>
                  <w:tcW w:w="523" w:type="pct"/>
                  <w:tcBorders>
                    <w:tl2br w:val="nil"/>
                    <w:tr2bl w:val="nil"/>
                  </w:tcBorders>
                  <w:noWrap w:val="0"/>
                  <w:vAlign w:val="center"/>
                </w:tcPr>
                <w:p w14:paraId="2B68449A">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X</w:t>
                  </w:r>
                </w:p>
              </w:tc>
              <w:tc>
                <w:tcPr>
                  <w:tcW w:w="523" w:type="pct"/>
                  <w:tcBorders>
                    <w:tl2br w:val="nil"/>
                    <w:tr2bl w:val="nil"/>
                  </w:tcBorders>
                  <w:noWrap w:val="0"/>
                  <w:vAlign w:val="center"/>
                </w:tcPr>
                <w:p w14:paraId="0145E875">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Y</w:t>
                  </w:r>
                </w:p>
              </w:tc>
              <w:tc>
                <w:tcPr>
                  <w:tcW w:w="523" w:type="pct"/>
                  <w:tcBorders>
                    <w:tl2br w:val="nil"/>
                    <w:tr2bl w:val="nil"/>
                  </w:tcBorders>
                  <w:noWrap w:val="0"/>
                  <w:vAlign w:val="center"/>
                </w:tcPr>
                <w:p w14:paraId="14E5A511">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Z</w:t>
                  </w:r>
                </w:p>
              </w:tc>
              <w:tc>
                <w:tcPr>
                  <w:tcW w:w="706" w:type="pct"/>
                  <w:vMerge w:val="continue"/>
                  <w:tcBorders>
                    <w:tl2br w:val="nil"/>
                    <w:tr2bl w:val="nil"/>
                  </w:tcBorders>
                  <w:noWrap w:val="0"/>
                  <w:vAlign w:val="center"/>
                </w:tcPr>
                <w:p w14:paraId="33E48470">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p>
              </w:tc>
              <w:tc>
                <w:tcPr>
                  <w:tcW w:w="677" w:type="pct"/>
                  <w:vMerge w:val="continue"/>
                  <w:tcBorders>
                    <w:tl2br w:val="nil"/>
                    <w:tr2bl w:val="nil"/>
                  </w:tcBorders>
                  <w:noWrap w:val="0"/>
                  <w:vAlign w:val="center"/>
                </w:tcPr>
                <w:p w14:paraId="0CA07BFD">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p>
              </w:tc>
              <w:tc>
                <w:tcPr>
                  <w:tcW w:w="854" w:type="pct"/>
                  <w:vMerge w:val="continue"/>
                  <w:tcBorders>
                    <w:tl2br w:val="nil"/>
                    <w:tr2bl w:val="nil"/>
                  </w:tcBorders>
                  <w:noWrap w:val="0"/>
                  <w:vAlign w:val="center"/>
                </w:tcPr>
                <w:p w14:paraId="4D285E46">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b/>
                      <w:bCs/>
                      <w:color w:val="auto"/>
                      <w:kern w:val="0"/>
                      <w:sz w:val="21"/>
                      <w:szCs w:val="21"/>
                      <w:highlight w:val="none"/>
                    </w:rPr>
                  </w:pPr>
                </w:p>
              </w:tc>
            </w:tr>
            <w:tr w14:paraId="439A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restart"/>
                  <w:tcBorders>
                    <w:tl2br w:val="nil"/>
                    <w:tr2bl w:val="nil"/>
                  </w:tcBorders>
                  <w:noWrap w:val="0"/>
                  <w:vAlign w:val="center"/>
                </w:tcPr>
                <w:p w14:paraId="5E1A1E75">
                  <w:pPr>
                    <w:spacing w:line="32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隘口水厂</w:t>
                  </w:r>
                </w:p>
              </w:tc>
              <w:tc>
                <w:tcPr>
                  <w:tcW w:w="850" w:type="pct"/>
                  <w:tcBorders>
                    <w:tl2br w:val="nil"/>
                    <w:tr2bl w:val="nil"/>
                  </w:tcBorders>
                  <w:noWrap w:val="0"/>
                  <w:vAlign w:val="center"/>
                </w:tcPr>
                <w:p w14:paraId="2669637A">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电锯</w:t>
                  </w:r>
                </w:p>
              </w:tc>
              <w:tc>
                <w:tcPr>
                  <w:tcW w:w="523" w:type="pct"/>
                  <w:tcBorders>
                    <w:tl2br w:val="nil"/>
                    <w:tr2bl w:val="nil"/>
                  </w:tcBorders>
                  <w:noWrap w:val="0"/>
                  <w:vAlign w:val="center"/>
                </w:tcPr>
                <w:p w14:paraId="09A2981B">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19.1</w:t>
                  </w:r>
                </w:p>
              </w:tc>
              <w:tc>
                <w:tcPr>
                  <w:tcW w:w="523" w:type="pct"/>
                  <w:tcBorders>
                    <w:tl2br w:val="nil"/>
                    <w:tr2bl w:val="nil"/>
                  </w:tcBorders>
                  <w:noWrap w:val="0"/>
                  <w:vAlign w:val="center"/>
                </w:tcPr>
                <w:p w14:paraId="46F048CE">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-12.3</w:t>
                  </w:r>
                </w:p>
              </w:tc>
              <w:tc>
                <w:tcPr>
                  <w:tcW w:w="523" w:type="pct"/>
                  <w:tcBorders>
                    <w:tl2br w:val="nil"/>
                    <w:tr2bl w:val="nil"/>
                  </w:tcBorders>
                  <w:noWrap w:val="0"/>
                  <w:vAlign w:val="center"/>
                </w:tcPr>
                <w:p w14:paraId="6EC23B28">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706" w:type="pct"/>
                  <w:tcBorders>
                    <w:tl2br w:val="nil"/>
                    <w:tr2bl w:val="nil"/>
                  </w:tcBorders>
                  <w:noWrap w:val="0"/>
                  <w:vAlign w:val="center"/>
                </w:tcPr>
                <w:p w14:paraId="7D1428D6">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8</w:t>
                  </w:r>
                  <w:r>
                    <w:rPr>
                      <w:rFonts w:hint="eastAsia" w:ascii="Times New Roman" w:hAnsi="Times New Roman" w:eastAsia="宋体" w:cs="Times New Roman"/>
                      <w:b w:val="0"/>
                      <w:bCs w:val="0"/>
                      <w:color w:val="auto"/>
                      <w:sz w:val="21"/>
                      <w:szCs w:val="21"/>
                      <w:lang w:val="en-US" w:eastAsia="zh-CN"/>
                    </w:rPr>
                    <w:t>5</w:t>
                  </w:r>
                </w:p>
              </w:tc>
              <w:tc>
                <w:tcPr>
                  <w:tcW w:w="677" w:type="pct"/>
                  <w:vMerge w:val="restart"/>
                  <w:tcBorders>
                    <w:tl2br w:val="nil"/>
                    <w:tr2bl w:val="nil"/>
                  </w:tcBorders>
                  <w:noWrap w:val="0"/>
                  <w:vAlign w:val="center"/>
                </w:tcPr>
                <w:p w14:paraId="19448C11">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rPr>
                    <w:t>选用低噪声设备，合理布置设备，加强管理</w:t>
                  </w:r>
                </w:p>
              </w:tc>
              <w:tc>
                <w:tcPr>
                  <w:tcW w:w="854" w:type="pct"/>
                  <w:tcBorders>
                    <w:tl2br w:val="nil"/>
                    <w:tr2bl w:val="nil"/>
                  </w:tcBorders>
                  <w:noWrap w:val="0"/>
                  <w:vAlign w:val="center"/>
                </w:tcPr>
                <w:p w14:paraId="605D3154">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间断，&lt;4</w:t>
                  </w:r>
                </w:p>
              </w:tc>
            </w:tr>
            <w:tr w14:paraId="27AD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Borders>
                    <w:tl2br w:val="nil"/>
                    <w:tr2bl w:val="nil"/>
                  </w:tcBorders>
                  <w:noWrap w:val="0"/>
                  <w:vAlign w:val="center"/>
                </w:tcPr>
                <w:p w14:paraId="41A22716">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850" w:type="pct"/>
                  <w:tcBorders>
                    <w:tl2br w:val="nil"/>
                    <w:tr2bl w:val="nil"/>
                  </w:tcBorders>
                  <w:noWrap w:val="0"/>
                  <w:vAlign w:val="center"/>
                </w:tcPr>
                <w:p w14:paraId="72CC1104">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回旋钻机</w:t>
                  </w:r>
                </w:p>
              </w:tc>
              <w:tc>
                <w:tcPr>
                  <w:tcW w:w="523" w:type="pct"/>
                  <w:tcBorders>
                    <w:tl2br w:val="nil"/>
                    <w:tr2bl w:val="nil"/>
                  </w:tcBorders>
                  <w:noWrap w:val="0"/>
                  <w:vAlign w:val="center"/>
                </w:tcPr>
                <w:p w14:paraId="6FB8C86F">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12.4</w:t>
                  </w:r>
                </w:p>
              </w:tc>
              <w:tc>
                <w:tcPr>
                  <w:tcW w:w="523" w:type="pct"/>
                  <w:tcBorders>
                    <w:tl2br w:val="nil"/>
                    <w:tr2bl w:val="nil"/>
                  </w:tcBorders>
                  <w:noWrap w:val="0"/>
                  <w:vAlign w:val="center"/>
                </w:tcPr>
                <w:p w14:paraId="11B1300F">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10.5</w:t>
                  </w:r>
                </w:p>
              </w:tc>
              <w:tc>
                <w:tcPr>
                  <w:tcW w:w="523" w:type="pct"/>
                  <w:tcBorders>
                    <w:tl2br w:val="nil"/>
                    <w:tr2bl w:val="nil"/>
                  </w:tcBorders>
                  <w:noWrap w:val="0"/>
                  <w:vAlign w:val="center"/>
                </w:tcPr>
                <w:p w14:paraId="5601DAC4">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706" w:type="pct"/>
                  <w:tcBorders>
                    <w:tl2br w:val="nil"/>
                    <w:tr2bl w:val="nil"/>
                  </w:tcBorders>
                  <w:noWrap w:val="0"/>
                  <w:vAlign w:val="center"/>
                </w:tcPr>
                <w:p w14:paraId="6703206A">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85</w:t>
                  </w:r>
                </w:p>
              </w:tc>
              <w:tc>
                <w:tcPr>
                  <w:tcW w:w="677" w:type="pct"/>
                  <w:vMerge w:val="continue"/>
                  <w:tcBorders>
                    <w:tl2br w:val="nil"/>
                    <w:tr2bl w:val="nil"/>
                  </w:tcBorders>
                  <w:noWrap w:val="0"/>
                  <w:vAlign w:val="center"/>
                </w:tcPr>
                <w:p w14:paraId="52D8AA4F">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rPr>
                  </w:pPr>
                </w:p>
              </w:tc>
              <w:tc>
                <w:tcPr>
                  <w:tcW w:w="854" w:type="pct"/>
                  <w:tcBorders>
                    <w:tl2br w:val="nil"/>
                    <w:tr2bl w:val="nil"/>
                  </w:tcBorders>
                  <w:noWrap w:val="0"/>
                  <w:vAlign w:val="center"/>
                </w:tcPr>
                <w:p w14:paraId="46F7F35E">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间断，&lt;</w:t>
                  </w:r>
                  <w:r>
                    <w:rPr>
                      <w:rFonts w:hint="default" w:ascii="Times New Roman" w:hAnsi="Times New Roman" w:eastAsia="宋体" w:cs="Times New Roman"/>
                      <w:color w:val="auto"/>
                      <w:kern w:val="0"/>
                      <w:sz w:val="21"/>
                      <w:szCs w:val="21"/>
                      <w:highlight w:val="none"/>
                      <w:lang w:val="en-US" w:eastAsia="zh-CN"/>
                    </w:rPr>
                    <w:t>4</w:t>
                  </w:r>
                </w:p>
              </w:tc>
            </w:tr>
            <w:tr w14:paraId="2228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Borders>
                    <w:tl2br w:val="nil"/>
                    <w:tr2bl w:val="nil"/>
                  </w:tcBorders>
                  <w:noWrap w:val="0"/>
                  <w:vAlign w:val="center"/>
                </w:tcPr>
                <w:p w14:paraId="4689D4CB">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850" w:type="pct"/>
                  <w:tcBorders>
                    <w:tl2br w:val="nil"/>
                    <w:tr2bl w:val="nil"/>
                  </w:tcBorders>
                  <w:noWrap w:val="0"/>
                  <w:vAlign w:val="center"/>
                </w:tcPr>
                <w:p w14:paraId="29010A0B">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电焊机</w:t>
                  </w:r>
                </w:p>
              </w:tc>
              <w:tc>
                <w:tcPr>
                  <w:tcW w:w="523" w:type="pct"/>
                  <w:tcBorders>
                    <w:tl2br w:val="nil"/>
                    <w:tr2bl w:val="nil"/>
                  </w:tcBorders>
                  <w:noWrap w:val="0"/>
                  <w:vAlign w:val="center"/>
                </w:tcPr>
                <w:p w14:paraId="3C8AD8D5">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14.5</w:t>
                  </w:r>
                </w:p>
              </w:tc>
              <w:tc>
                <w:tcPr>
                  <w:tcW w:w="523" w:type="pct"/>
                  <w:tcBorders>
                    <w:tl2br w:val="nil"/>
                    <w:tr2bl w:val="nil"/>
                  </w:tcBorders>
                  <w:noWrap w:val="0"/>
                  <w:vAlign w:val="center"/>
                </w:tcPr>
                <w:p w14:paraId="1B033325">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7.4</w:t>
                  </w:r>
                </w:p>
              </w:tc>
              <w:tc>
                <w:tcPr>
                  <w:tcW w:w="523" w:type="pct"/>
                  <w:tcBorders>
                    <w:tl2br w:val="nil"/>
                    <w:tr2bl w:val="nil"/>
                  </w:tcBorders>
                  <w:noWrap w:val="0"/>
                  <w:vAlign w:val="center"/>
                </w:tcPr>
                <w:p w14:paraId="28CD993D">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706" w:type="pct"/>
                  <w:tcBorders>
                    <w:tl2br w:val="nil"/>
                    <w:tr2bl w:val="nil"/>
                  </w:tcBorders>
                  <w:noWrap w:val="0"/>
                  <w:vAlign w:val="center"/>
                </w:tcPr>
                <w:p w14:paraId="2CC337CE">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80</w:t>
                  </w:r>
                </w:p>
              </w:tc>
              <w:tc>
                <w:tcPr>
                  <w:tcW w:w="677" w:type="pct"/>
                  <w:vMerge w:val="continue"/>
                  <w:tcBorders>
                    <w:tl2br w:val="nil"/>
                    <w:tr2bl w:val="nil"/>
                  </w:tcBorders>
                  <w:noWrap w:val="0"/>
                  <w:vAlign w:val="center"/>
                </w:tcPr>
                <w:p w14:paraId="79F2D728">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rPr>
                  </w:pPr>
                </w:p>
              </w:tc>
              <w:tc>
                <w:tcPr>
                  <w:tcW w:w="854" w:type="pct"/>
                  <w:tcBorders>
                    <w:tl2br w:val="nil"/>
                    <w:tr2bl w:val="nil"/>
                  </w:tcBorders>
                  <w:noWrap w:val="0"/>
                  <w:vAlign w:val="center"/>
                </w:tcPr>
                <w:p w14:paraId="58314E45">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间断，&lt;2</w:t>
                  </w:r>
                </w:p>
              </w:tc>
            </w:tr>
            <w:tr w14:paraId="5793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Borders>
                    <w:tl2br w:val="nil"/>
                    <w:tr2bl w:val="nil"/>
                  </w:tcBorders>
                  <w:noWrap w:val="0"/>
                  <w:vAlign w:val="center"/>
                </w:tcPr>
                <w:p w14:paraId="370F4C06">
                  <w:pPr>
                    <w:spacing w:line="320" w:lineRule="atLeast"/>
                    <w:jc w:val="center"/>
                    <w:rPr>
                      <w:rFonts w:hint="eastAsia" w:ascii="Times New Roman" w:hAnsi="Times New Roman" w:eastAsia="宋体" w:cs="Times New Roman"/>
                      <w:color w:val="auto"/>
                      <w:kern w:val="2"/>
                      <w:sz w:val="21"/>
                      <w:szCs w:val="21"/>
                      <w:lang w:val="en-US" w:eastAsia="zh-CN" w:bidi="ar-SA"/>
                    </w:rPr>
                  </w:pPr>
                </w:p>
              </w:tc>
              <w:tc>
                <w:tcPr>
                  <w:tcW w:w="850" w:type="pct"/>
                  <w:tcBorders>
                    <w:tl2br w:val="nil"/>
                    <w:tr2bl w:val="nil"/>
                  </w:tcBorders>
                  <w:noWrap w:val="0"/>
                  <w:vAlign w:val="center"/>
                </w:tcPr>
                <w:p w14:paraId="5C3529A0">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自卸汽车</w:t>
                  </w:r>
                </w:p>
              </w:tc>
              <w:tc>
                <w:tcPr>
                  <w:tcW w:w="523" w:type="pct"/>
                  <w:tcBorders>
                    <w:tl2br w:val="nil"/>
                    <w:tr2bl w:val="nil"/>
                  </w:tcBorders>
                  <w:noWrap w:val="0"/>
                  <w:vAlign w:val="center"/>
                </w:tcPr>
                <w:p w14:paraId="15498219">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8.9</w:t>
                  </w:r>
                </w:p>
              </w:tc>
              <w:tc>
                <w:tcPr>
                  <w:tcW w:w="523" w:type="pct"/>
                  <w:tcBorders>
                    <w:tl2br w:val="nil"/>
                    <w:tr2bl w:val="nil"/>
                  </w:tcBorders>
                  <w:noWrap w:val="0"/>
                  <w:vAlign w:val="center"/>
                </w:tcPr>
                <w:p w14:paraId="38339376">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13.6</w:t>
                  </w:r>
                </w:p>
              </w:tc>
              <w:tc>
                <w:tcPr>
                  <w:tcW w:w="523" w:type="pct"/>
                  <w:tcBorders>
                    <w:tl2br w:val="nil"/>
                    <w:tr2bl w:val="nil"/>
                  </w:tcBorders>
                  <w:noWrap w:val="0"/>
                  <w:vAlign w:val="center"/>
                </w:tcPr>
                <w:p w14:paraId="1E42A550">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706" w:type="pct"/>
                  <w:tcBorders>
                    <w:tl2br w:val="nil"/>
                    <w:tr2bl w:val="nil"/>
                  </w:tcBorders>
                  <w:noWrap w:val="0"/>
                  <w:vAlign w:val="center"/>
                </w:tcPr>
                <w:p w14:paraId="19E092B8">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75</w:t>
                  </w:r>
                </w:p>
              </w:tc>
              <w:tc>
                <w:tcPr>
                  <w:tcW w:w="677" w:type="pct"/>
                  <w:vMerge w:val="continue"/>
                  <w:tcBorders>
                    <w:tl2br w:val="nil"/>
                    <w:tr2bl w:val="nil"/>
                  </w:tcBorders>
                  <w:noWrap w:val="0"/>
                  <w:vAlign w:val="center"/>
                </w:tcPr>
                <w:p w14:paraId="3C2B9AF1">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rPr>
                  </w:pPr>
                </w:p>
              </w:tc>
              <w:tc>
                <w:tcPr>
                  <w:tcW w:w="854" w:type="pct"/>
                  <w:tcBorders>
                    <w:tl2br w:val="nil"/>
                    <w:tr2bl w:val="nil"/>
                  </w:tcBorders>
                  <w:noWrap w:val="0"/>
                  <w:vAlign w:val="center"/>
                </w:tcPr>
                <w:p w14:paraId="06135DDD">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间断，&lt;</w:t>
                  </w:r>
                  <w:r>
                    <w:rPr>
                      <w:rFonts w:hint="default" w:ascii="Times New Roman" w:hAnsi="Times New Roman" w:eastAsia="宋体" w:cs="Times New Roman"/>
                      <w:color w:val="auto"/>
                      <w:kern w:val="0"/>
                      <w:sz w:val="21"/>
                      <w:szCs w:val="21"/>
                      <w:highlight w:val="none"/>
                      <w:lang w:val="en-US" w:eastAsia="zh-CN"/>
                    </w:rPr>
                    <w:t>2</w:t>
                  </w:r>
                </w:p>
              </w:tc>
            </w:tr>
            <w:tr w14:paraId="2F65D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Borders>
                    <w:tl2br w:val="nil"/>
                    <w:tr2bl w:val="nil"/>
                  </w:tcBorders>
                  <w:noWrap w:val="0"/>
                  <w:vAlign w:val="center"/>
                </w:tcPr>
                <w:p w14:paraId="3015E4D3">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850" w:type="pct"/>
                  <w:tcBorders>
                    <w:tl2br w:val="nil"/>
                    <w:tr2bl w:val="nil"/>
                  </w:tcBorders>
                  <w:noWrap w:val="0"/>
                  <w:vAlign w:val="center"/>
                </w:tcPr>
                <w:p w14:paraId="71E546AA">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汽车起重机</w:t>
                  </w:r>
                </w:p>
              </w:tc>
              <w:tc>
                <w:tcPr>
                  <w:tcW w:w="523" w:type="pct"/>
                  <w:tcBorders>
                    <w:tl2br w:val="nil"/>
                    <w:tr2bl w:val="nil"/>
                  </w:tcBorders>
                  <w:noWrap w:val="0"/>
                  <w:vAlign w:val="center"/>
                </w:tcPr>
                <w:p w14:paraId="66F407D1">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12.8</w:t>
                  </w:r>
                </w:p>
              </w:tc>
              <w:tc>
                <w:tcPr>
                  <w:tcW w:w="523" w:type="pct"/>
                  <w:tcBorders>
                    <w:tl2br w:val="nil"/>
                    <w:tr2bl w:val="nil"/>
                  </w:tcBorders>
                  <w:noWrap w:val="0"/>
                  <w:vAlign w:val="center"/>
                </w:tcPr>
                <w:p w14:paraId="60FDBBC0">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16.7</w:t>
                  </w:r>
                </w:p>
              </w:tc>
              <w:tc>
                <w:tcPr>
                  <w:tcW w:w="523" w:type="pct"/>
                  <w:tcBorders>
                    <w:tl2br w:val="nil"/>
                    <w:tr2bl w:val="nil"/>
                  </w:tcBorders>
                  <w:noWrap w:val="0"/>
                  <w:vAlign w:val="center"/>
                </w:tcPr>
                <w:p w14:paraId="651BBEC6">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706" w:type="pct"/>
                  <w:tcBorders>
                    <w:tl2br w:val="nil"/>
                    <w:tr2bl w:val="nil"/>
                  </w:tcBorders>
                  <w:noWrap w:val="0"/>
                  <w:vAlign w:val="center"/>
                </w:tcPr>
                <w:p w14:paraId="49B7FCEE">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75</w:t>
                  </w:r>
                </w:p>
              </w:tc>
              <w:tc>
                <w:tcPr>
                  <w:tcW w:w="677" w:type="pct"/>
                  <w:vMerge w:val="continue"/>
                  <w:tcBorders>
                    <w:tl2br w:val="nil"/>
                    <w:tr2bl w:val="nil"/>
                  </w:tcBorders>
                  <w:noWrap w:val="0"/>
                  <w:vAlign w:val="center"/>
                </w:tcPr>
                <w:p w14:paraId="0BA3F63B">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854" w:type="pct"/>
                  <w:tcBorders>
                    <w:tl2br w:val="nil"/>
                    <w:tr2bl w:val="nil"/>
                  </w:tcBorders>
                  <w:noWrap w:val="0"/>
                  <w:vAlign w:val="center"/>
                </w:tcPr>
                <w:p w14:paraId="1BB49178">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间断，&lt;2</w:t>
                  </w:r>
                </w:p>
              </w:tc>
            </w:tr>
            <w:tr w14:paraId="784A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Borders>
                    <w:tl2br w:val="nil"/>
                    <w:tr2bl w:val="nil"/>
                  </w:tcBorders>
                  <w:noWrap w:val="0"/>
                  <w:vAlign w:val="center"/>
                </w:tcPr>
                <w:p w14:paraId="4C420804">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850" w:type="pct"/>
                  <w:tcBorders>
                    <w:tl2br w:val="nil"/>
                    <w:tr2bl w:val="nil"/>
                  </w:tcBorders>
                  <w:noWrap w:val="0"/>
                  <w:vAlign w:val="center"/>
                </w:tcPr>
                <w:p w14:paraId="45EB4129">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冲击成空钻机</w:t>
                  </w:r>
                </w:p>
              </w:tc>
              <w:tc>
                <w:tcPr>
                  <w:tcW w:w="523" w:type="pct"/>
                  <w:tcBorders>
                    <w:tl2br w:val="nil"/>
                    <w:tr2bl w:val="nil"/>
                  </w:tcBorders>
                  <w:noWrap w:val="0"/>
                  <w:vAlign w:val="center"/>
                </w:tcPr>
                <w:p w14:paraId="1EBD4021">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15.8</w:t>
                  </w:r>
                </w:p>
              </w:tc>
              <w:tc>
                <w:tcPr>
                  <w:tcW w:w="523" w:type="pct"/>
                  <w:tcBorders>
                    <w:tl2br w:val="nil"/>
                    <w:tr2bl w:val="nil"/>
                  </w:tcBorders>
                  <w:noWrap w:val="0"/>
                  <w:vAlign w:val="center"/>
                </w:tcPr>
                <w:p w14:paraId="078D0368">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19.3</w:t>
                  </w:r>
                </w:p>
              </w:tc>
              <w:tc>
                <w:tcPr>
                  <w:tcW w:w="523" w:type="pct"/>
                  <w:tcBorders>
                    <w:tl2br w:val="nil"/>
                    <w:tr2bl w:val="nil"/>
                  </w:tcBorders>
                  <w:noWrap w:val="0"/>
                  <w:vAlign w:val="center"/>
                </w:tcPr>
                <w:p w14:paraId="6AEC0BB5">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w:t>
                  </w:r>
                </w:p>
              </w:tc>
              <w:tc>
                <w:tcPr>
                  <w:tcW w:w="706" w:type="pct"/>
                  <w:tcBorders>
                    <w:tl2br w:val="nil"/>
                    <w:tr2bl w:val="nil"/>
                  </w:tcBorders>
                  <w:noWrap w:val="0"/>
                  <w:vAlign w:val="center"/>
                </w:tcPr>
                <w:p w14:paraId="029AB216">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85</w:t>
                  </w:r>
                </w:p>
              </w:tc>
              <w:tc>
                <w:tcPr>
                  <w:tcW w:w="677" w:type="pct"/>
                  <w:vMerge w:val="continue"/>
                  <w:tcBorders>
                    <w:tl2br w:val="nil"/>
                    <w:tr2bl w:val="nil"/>
                  </w:tcBorders>
                  <w:noWrap w:val="0"/>
                  <w:vAlign w:val="center"/>
                </w:tcPr>
                <w:p w14:paraId="57C9A9FD">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854" w:type="pct"/>
                  <w:tcBorders>
                    <w:tl2br w:val="nil"/>
                    <w:tr2bl w:val="nil"/>
                  </w:tcBorders>
                  <w:noWrap w:val="0"/>
                  <w:vAlign w:val="center"/>
                </w:tcPr>
                <w:p w14:paraId="6472A772">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间断，&lt;</w:t>
                  </w:r>
                  <w:r>
                    <w:rPr>
                      <w:rFonts w:hint="default" w:ascii="Times New Roman" w:hAnsi="Times New Roman" w:eastAsia="宋体" w:cs="Times New Roman"/>
                      <w:color w:val="auto"/>
                      <w:kern w:val="0"/>
                      <w:sz w:val="21"/>
                      <w:szCs w:val="21"/>
                      <w:highlight w:val="none"/>
                      <w:lang w:val="en-US" w:eastAsia="zh-CN"/>
                    </w:rPr>
                    <w:t>4</w:t>
                  </w:r>
                </w:p>
              </w:tc>
            </w:tr>
            <w:tr w14:paraId="2621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restart"/>
                  <w:tcBorders>
                    <w:tl2br w:val="nil"/>
                    <w:tr2bl w:val="nil"/>
                  </w:tcBorders>
                  <w:noWrap w:val="0"/>
                  <w:vAlign w:val="center"/>
                </w:tcPr>
                <w:p w14:paraId="78EEADFC">
                  <w:pPr>
                    <w:spacing w:line="320" w:lineRule="atLeas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马渡关水厂</w:t>
                  </w:r>
                </w:p>
              </w:tc>
              <w:tc>
                <w:tcPr>
                  <w:tcW w:w="850" w:type="pct"/>
                  <w:tcBorders>
                    <w:tl2br w:val="nil"/>
                    <w:tr2bl w:val="nil"/>
                  </w:tcBorders>
                  <w:shd w:val="clear" w:color="auto" w:fill="auto"/>
                  <w:noWrap w:val="0"/>
                  <w:vAlign w:val="center"/>
                </w:tcPr>
                <w:p w14:paraId="257D705F">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电锯</w:t>
                  </w:r>
                </w:p>
              </w:tc>
              <w:tc>
                <w:tcPr>
                  <w:tcW w:w="523" w:type="pct"/>
                  <w:tcBorders>
                    <w:tl2br w:val="nil"/>
                    <w:tr2bl w:val="nil"/>
                  </w:tcBorders>
                  <w:shd w:val="clear" w:color="auto" w:fill="auto"/>
                  <w:noWrap w:val="0"/>
                  <w:vAlign w:val="center"/>
                </w:tcPr>
                <w:p w14:paraId="5E37B6C0">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6.7</w:t>
                  </w:r>
                </w:p>
              </w:tc>
              <w:tc>
                <w:tcPr>
                  <w:tcW w:w="523" w:type="pct"/>
                  <w:tcBorders>
                    <w:tl2br w:val="nil"/>
                    <w:tr2bl w:val="nil"/>
                  </w:tcBorders>
                  <w:shd w:val="clear" w:color="auto" w:fill="auto"/>
                  <w:noWrap w:val="0"/>
                  <w:vAlign w:val="center"/>
                </w:tcPr>
                <w:p w14:paraId="6087796D">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8.9</w:t>
                  </w:r>
                </w:p>
              </w:tc>
              <w:tc>
                <w:tcPr>
                  <w:tcW w:w="523" w:type="pct"/>
                  <w:tcBorders>
                    <w:tl2br w:val="nil"/>
                    <w:tr2bl w:val="nil"/>
                  </w:tcBorders>
                  <w:shd w:val="clear" w:color="auto" w:fill="auto"/>
                  <w:noWrap w:val="0"/>
                  <w:vAlign w:val="center"/>
                </w:tcPr>
                <w:p w14:paraId="407769E6">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706" w:type="pct"/>
                  <w:tcBorders>
                    <w:tl2br w:val="nil"/>
                    <w:tr2bl w:val="nil"/>
                  </w:tcBorders>
                  <w:shd w:val="clear" w:color="auto" w:fill="auto"/>
                  <w:noWrap w:val="0"/>
                  <w:vAlign w:val="center"/>
                </w:tcPr>
                <w:p w14:paraId="7A80F80A">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8</w:t>
                  </w:r>
                  <w:r>
                    <w:rPr>
                      <w:rFonts w:hint="eastAsia" w:ascii="Times New Roman" w:hAnsi="Times New Roman" w:eastAsia="宋体" w:cs="Times New Roman"/>
                      <w:b w:val="0"/>
                      <w:bCs w:val="0"/>
                      <w:color w:val="auto"/>
                      <w:sz w:val="21"/>
                      <w:szCs w:val="21"/>
                      <w:lang w:val="en-US" w:eastAsia="zh-CN"/>
                    </w:rPr>
                    <w:t>5</w:t>
                  </w:r>
                </w:p>
              </w:tc>
              <w:tc>
                <w:tcPr>
                  <w:tcW w:w="677" w:type="pct"/>
                  <w:vMerge w:val="continue"/>
                  <w:tcBorders>
                    <w:tl2br w:val="nil"/>
                    <w:tr2bl w:val="nil"/>
                  </w:tcBorders>
                  <w:noWrap w:val="0"/>
                  <w:vAlign w:val="center"/>
                </w:tcPr>
                <w:p w14:paraId="58B1568E">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854" w:type="pct"/>
                  <w:tcBorders>
                    <w:tl2br w:val="nil"/>
                    <w:tr2bl w:val="nil"/>
                  </w:tcBorders>
                  <w:shd w:val="clear" w:color="auto" w:fill="auto"/>
                  <w:noWrap w:val="0"/>
                  <w:vAlign w:val="center"/>
                </w:tcPr>
                <w:p w14:paraId="184E2971">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间断，&lt;4</w:t>
                  </w:r>
                </w:p>
              </w:tc>
            </w:tr>
            <w:tr w14:paraId="2E71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Pr>
                <w:p w14:paraId="050E4CC7">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0" w:type="auto"/>
                  <w:shd w:val="clear" w:color="auto" w:fill="auto"/>
                  <w:vAlign w:val="center"/>
                </w:tcPr>
                <w:p w14:paraId="1E5B753F">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回旋钻机</w:t>
                  </w:r>
                </w:p>
              </w:tc>
              <w:tc>
                <w:tcPr>
                  <w:tcW w:w="0" w:type="auto"/>
                  <w:shd w:val="clear" w:color="auto" w:fill="auto"/>
                  <w:vAlign w:val="center"/>
                </w:tcPr>
                <w:p w14:paraId="6191FBE2">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10.8</w:t>
                  </w:r>
                </w:p>
              </w:tc>
              <w:tc>
                <w:tcPr>
                  <w:tcW w:w="0" w:type="auto"/>
                  <w:shd w:val="clear" w:color="auto" w:fill="auto"/>
                  <w:vAlign w:val="center"/>
                </w:tcPr>
                <w:p w14:paraId="4E19A844">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-5.6</w:t>
                  </w:r>
                </w:p>
              </w:tc>
              <w:tc>
                <w:tcPr>
                  <w:tcW w:w="0" w:type="auto"/>
                  <w:shd w:val="clear" w:color="auto" w:fill="auto"/>
                  <w:vAlign w:val="center"/>
                </w:tcPr>
                <w:p w14:paraId="33CA8864">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0" w:type="auto"/>
                  <w:shd w:val="clear" w:color="auto" w:fill="auto"/>
                  <w:vAlign w:val="center"/>
                </w:tcPr>
                <w:p w14:paraId="284E74F9">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85</w:t>
                  </w:r>
                </w:p>
              </w:tc>
              <w:tc>
                <w:tcPr>
                  <w:tcW w:w="677" w:type="pct"/>
                  <w:vMerge w:val="continue"/>
                </w:tcPr>
                <w:p w14:paraId="7560F247">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0" w:type="auto"/>
                  <w:shd w:val="clear" w:color="auto" w:fill="auto"/>
                  <w:vAlign w:val="center"/>
                </w:tcPr>
                <w:p w14:paraId="7441A28C">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间断，&lt;</w:t>
                  </w:r>
                  <w:r>
                    <w:rPr>
                      <w:rFonts w:hint="default" w:ascii="Times New Roman" w:hAnsi="Times New Roman" w:eastAsia="宋体" w:cs="Times New Roman"/>
                      <w:color w:val="auto"/>
                      <w:kern w:val="0"/>
                      <w:sz w:val="21"/>
                      <w:szCs w:val="21"/>
                      <w:highlight w:val="none"/>
                      <w:lang w:val="en-US" w:eastAsia="zh-CN"/>
                    </w:rPr>
                    <w:t>4</w:t>
                  </w:r>
                </w:p>
              </w:tc>
            </w:tr>
            <w:tr w14:paraId="23F0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Pr>
                <w:p w14:paraId="31D49494">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0" w:type="auto"/>
                  <w:shd w:val="clear" w:color="auto" w:fill="auto"/>
                  <w:vAlign w:val="center"/>
                </w:tcPr>
                <w:p w14:paraId="6310A11F">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电焊机</w:t>
                  </w:r>
                </w:p>
              </w:tc>
              <w:tc>
                <w:tcPr>
                  <w:tcW w:w="0" w:type="auto"/>
                  <w:shd w:val="clear" w:color="auto" w:fill="auto"/>
                  <w:vAlign w:val="center"/>
                </w:tcPr>
                <w:p w14:paraId="5A4BEE10">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12.6</w:t>
                  </w:r>
                </w:p>
              </w:tc>
              <w:tc>
                <w:tcPr>
                  <w:tcW w:w="0" w:type="auto"/>
                  <w:shd w:val="clear" w:color="auto" w:fill="auto"/>
                  <w:vAlign w:val="center"/>
                </w:tcPr>
                <w:p w14:paraId="6B37CB17">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-6.2</w:t>
                  </w:r>
                </w:p>
              </w:tc>
              <w:tc>
                <w:tcPr>
                  <w:tcW w:w="0" w:type="auto"/>
                  <w:shd w:val="clear" w:color="auto" w:fill="auto"/>
                  <w:vAlign w:val="center"/>
                </w:tcPr>
                <w:p w14:paraId="0A358EF9">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0" w:type="auto"/>
                  <w:shd w:val="clear" w:color="auto" w:fill="auto"/>
                  <w:vAlign w:val="center"/>
                </w:tcPr>
                <w:p w14:paraId="5EACBBAE">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80</w:t>
                  </w:r>
                </w:p>
              </w:tc>
              <w:tc>
                <w:tcPr>
                  <w:tcW w:w="677" w:type="pct"/>
                  <w:vMerge w:val="continue"/>
                </w:tcPr>
                <w:p w14:paraId="2ED347D4">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0" w:type="auto"/>
                  <w:shd w:val="clear" w:color="auto" w:fill="auto"/>
                  <w:vAlign w:val="center"/>
                </w:tcPr>
                <w:p w14:paraId="650430A5">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间断，&lt;2</w:t>
                  </w:r>
                </w:p>
              </w:tc>
            </w:tr>
            <w:tr w14:paraId="0668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Pr>
                <w:p w14:paraId="6D2E436A">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0" w:type="auto"/>
                  <w:shd w:val="clear" w:color="auto" w:fill="auto"/>
                  <w:vAlign w:val="center"/>
                </w:tcPr>
                <w:p w14:paraId="3C49B3AA">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自卸汽车</w:t>
                  </w:r>
                </w:p>
              </w:tc>
              <w:tc>
                <w:tcPr>
                  <w:tcW w:w="0" w:type="auto"/>
                  <w:shd w:val="clear" w:color="auto" w:fill="auto"/>
                  <w:vAlign w:val="center"/>
                </w:tcPr>
                <w:p w14:paraId="20D660D5">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13.6</w:t>
                  </w:r>
                </w:p>
              </w:tc>
              <w:tc>
                <w:tcPr>
                  <w:tcW w:w="0" w:type="auto"/>
                  <w:shd w:val="clear" w:color="auto" w:fill="auto"/>
                  <w:vAlign w:val="center"/>
                </w:tcPr>
                <w:p w14:paraId="224B5885">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10.2</w:t>
                  </w:r>
                </w:p>
              </w:tc>
              <w:tc>
                <w:tcPr>
                  <w:tcW w:w="0" w:type="auto"/>
                  <w:shd w:val="clear" w:color="auto" w:fill="auto"/>
                  <w:vAlign w:val="center"/>
                </w:tcPr>
                <w:p w14:paraId="4CDFBFF5">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w:t>
                  </w:r>
                </w:p>
              </w:tc>
              <w:tc>
                <w:tcPr>
                  <w:tcW w:w="0" w:type="auto"/>
                  <w:shd w:val="clear" w:color="auto" w:fill="auto"/>
                  <w:vAlign w:val="center"/>
                </w:tcPr>
                <w:p w14:paraId="56781060">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75</w:t>
                  </w:r>
                </w:p>
              </w:tc>
              <w:tc>
                <w:tcPr>
                  <w:tcW w:w="677" w:type="pct"/>
                  <w:vMerge w:val="continue"/>
                </w:tcPr>
                <w:p w14:paraId="29B31F06">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0" w:type="auto"/>
                  <w:shd w:val="clear" w:color="auto" w:fill="auto"/>
                  <w:vAlign w:val="center"/>
                </w:tcPr>
                <w:p w14:paraId="7B351AE3">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间断，&lt;</w:t>
                  </w:r>
                  <w:r>
                    <w:rPr>
                      <w:rFonts w:hint="default" w:ascii="Times New Roman" w:hAnsi="Times New Roman" w:eastAsia="宋体" w:cs="Times New Roman"/>
                      <w:color w:val="auto"/>
                      <w:kern w:val="0"/>
                      <w:sz w:val="21"/>
                      <w:szCs w:val="21"/>
                      <w:highlight w:val="none"/>
                      <w:lang w:val="en-US" w:eastAsia="zh-CN"/>
                    </w:rPr>
                    <w:t>2</w:t>
                  </w:r>
                </w:p>
              </w:tc>
            </w:tr>
            <w:tr w14:paraId="0349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Pr>
                <w:p w14:paraId="5BEED095">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0" w:type="auto"/>
                  <w:shd w:val="clear" w:color="auto" w:fill="auto"/>
                  <w:vAlign w:val="center"/>
                </w:tcPr>
                <w:p w14:paraId="3922BD03">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汽车起重机</w:t>
                  </w:r>
                </w:p>
              </w:tc>
              <w:tc>
                <w:tcPr>
                  <w:tcW w:w="0" w:type="auto"/>
                  <w:shd w:val="clear" w:color="auto" w:fill="auto"/>
                  <w:vAlign w:val="center"/>
                </w:tcPr>
                <w:p w14:paraId="5AF54960">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10.2</w:t>
                  </w:r>
                </w:p>
              </w:tc>
              <w:tc>
                <w:tcPr>
                  <w:tcW w:w="0" w:type="auto"/>
                  <w:shd w:val="clear" w:color="auto" w:fill="auto"/>
                  <w:vAlign w:val="center"/>
                </w:tcPr>
                <w:p w14:paraId="26A2E432">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4.5</w:t>
                  </w:r>
                </w:p>
              </w:tc>
              <w:tc>
                <w:tcPr>
                  <w:tcW w:w="0" w:type="auto"/>
                  <w:shd w:val="clear" w:color="auto" w:fill="auto"/>
                  <w:vAlign w:val="center"/>
                </w:tcPr>
                <w:p w14:paraId="2D055F68">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1.0</w:t>
                  </w:r>
                </w:p>
              </w:tc>
              <w:tc>
                <w:tcPr>
                  <w:tcW w:w="0" w:type="auto"/>
                  <w:shd w:val="clear" w:color="auto" w:fill="auto"/>
                  <w:vAlign w:val="center"/>
                </w:tcPr>
                <w:p w14:paraId="7D407E89">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75</w:t>
                  </w:r>
                </w:p>
              </w:tc>
              <w:tc>
                <w:tcPr>
                  <w:tcW w:w="677" w:type="pct"/>
                  <w:vMerge w:val="continue"/>
                </w:tcPr>
                <w:p w14:paraId="52179DC2">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0" w:type="auto"/>
                  <w:shd w:val="clear" w:color="auto" w:fill="auto"/>
                  <w:vAlign w:val="center"/>
                </w:tcPr>
                <w:p w14:paraId="4182A8FA">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间断，&lt;2</w:t>
                  </w:r>
                </w:p>
              </w:tc>
            </w:tr>
            <w:tr w14:paraId="4892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1" w:type="pct"/>
                  <w:vMerge w:val="continue"/>
                </w:tcPr>
                <w:p w14:paraId="167D7FA8">
                  <w:pPr>
                    <w:spacing w:line="320" w:lineRule="atLeast"/>
                    <w:jc w:val="center"/>
                    <w:rPr>
                      <w:rFonts w:hint="default" w:ascii="Times New Roman" w:hAnsi="Times New Roman" w:eastAsia="宋体" w:cs="Times New Roman"/>
                      <w:color w:val="auto"/>
                      <w:kern w:val="2"/>
                      <w:sz w:val="21"/>
                      <w:szCs w:val="21"/>
                      <w:lang w:val="en-US" w:eastAsia="zh-CN" w:bidi="ar-SA"/>
                    </w:rPr>
                  </w:pPr>
                </w:p>
              </w:tc>
              <w:tc>
                <w:tcPr>
                  <w:tcW w:w="0" w:type="auto"/>
                  <w:shd w:val="clear" w:color="auto" w:fill="auto"/>
                  <w:vAlign w:val="center"/>
                </w:tcPr>
                <w:p w14:paraId="7A84056D">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冲击成空钻机</w:t>
                  </w:r>
                </w:p>
              </w:tc>
              <w:tc>
                <w:tcPr>
                  <w:tcW w:w="0" w:type="auto"/>
                  <w:shd w:val="clear" w:color="auto" w:fill="auto"/>
                  <w:vAlign w:val="center"/>
                </w:tcPr>
                <w:p w14:paraId="57989EED">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6.9</w:t>
                  </w:r>
                </w:p>
              </w:tc>
              <w:tc>
                <w:tcPr>
                  <w:tcW w:w="0" w:type="auto"/>
                  <w:shd w:val="clear" w:color="auto" w:fill="auto"/>
                  <w:vAlign w:val="center"/>
                </w:tcPr>
                <w:p w14:paraId="19E33F76">
                  <w:pPr>
                    <w:pStyle w:val="6"/>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14.5</w:t>
                  </w:r>
                </w:p>
              </w:tc>
              <w:tc>
                <w:tcPr>
                  <w:tcW w:w="0" w:type="auto"/>
                  <w:shd w:val="clear" w:color="auto" w:fill="auto"/>
                  <w:vAlign w:val="center"/>
                </w:tcPr>
                <w:p w14:paraId="1CDF406F">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1.5</w:t>
                  </w:r>
                </w:p>
              </w:tc>
              <w:tc>
                <w:tcPr>
                  <w:tcW w:w="0" w:type="auto"/>
                  <w:shd w:val="clear" w:color="auto" w:fill="auto"/>
                  <w:vAlign w:val="center"/>
                </w:tcPr>
                <w:p w14:paraId="4B8CC225">
                  <w:pPr>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85</w:t>
                  </w:r>
                </w:p>
              </w:tc>
              <w:tc>
                <w:tcPr>
                  <w:tcW w:w="677" w:type="pct"/>
                  <w:vMerge w:val="continue"/>
                </w:tcPr>
                <w:p w14:paraId="78DD9FAF">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p>
              </w:tc>
              <w:tc>
                <w:tcPr>
                  <w:tcW w:w="0" w:type="auto"/>
                  <w:shd w:val="clear" w:color="auto" w:fill="auto"/>
                  <w:vAlign w:val="center"/>
                </w:tcPr>
                <w:p w14:paraId="0830C3CA">
                  <w:pPr>
                    <w:pStyle w:val="49"/>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bottom"/>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间断，&lt;</w:t>
                  </w:r>
                  <w:r>
                    <w:rPr>
                      <w:rFonts w:hint="default" w:ascii="Times New Roman" w:hAnsi="Times New Roman" w:eastAsia="宋体" w:cs="Times New Roman"/>
                      <w:color w:val="auto"/>
                      <w:kern w:val="0"/>
                      <w:sz w:val="21"/>
                      <w:szCs w:val="21"/>
                      <w:highlight w:val="none"/>
                      <w:lang w:val="en-US" w:eastAsia="zh-CN"/>
                    </w:rPr>
                    <w:t>4</w:t>
                  </w:r>
                </w:p>
              </w:tc>
            </w:tr>
          </w:tbl>
          <w:p w14:paraId="2D829435">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（2）</w:t>
            </w:r>
            <w:r>
              <w:rPr>
                <w:rFonts w:hint="default" w:ascii="Times New Roman" w:hAnsi="Times New Roman" w:eastAsia="宋体" w:cs="Times New Roman"/>
                <w:b/>
                <w:bCs/>
                <w:color w:val="auto"/>
                <w:sz w:val="24"/>
                <w:szCs w:val="24"/>
                <w:highlight w:val="none"/>
                <w:lang w:val="en-US" w:eastAsia="zh-CN"/>
              </w:rPr>
              <w:t>环境影响分析</w:t>
            </w:r>
          </w:p>
          <w:p w14:paraId="1D9320BB">
            <w:pPr>
              <w:spacing w:line="360" w:lineRule="auto"/>
              <w:ind w:firstLine="480" w:firstLineChars="200"/>
              <w:rPr>
                <w:rFonts w:hint="default" w:ascii="Times New Roman" w:hAnsi="Times New Roman" w:eastAsia="黑体" w:cs="Times New Roman"/>
                <w:b w:val="0"/>
                <w:bCs w:val="0"/>
                <w:color w:val="auto"/>
                <w:sz w:val="21"/>
                <w:szCs w:val="21"/>
              </w:rPr>
            </w:pPr>
            <w:r>
              <w:rPr>
                <w:rFonts w:hint="default" w:ascii="Times New Roman" w:hAnsi="Times New Roman" w:cs="Times New Roman"/>
                <w:color w:val="auto"/>
                <w:sz w:val="24"/>
                <w:szCs w:val="24"/>
              </w:rPr>
              <w:t>本次评价采用《环境影响评价技术导则一声环境》（HJ2.4-2021）中推荐模式进行预测，用A声级计算。具体模式见运营期噪声达标情况分析。</w:t>
            </w:r>
          </w:p>
          <w:p w14:paraId="603883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1"/>
                <w:szCs w:val="21"/>
              </w:rPr>
            </w:pPr>
            <w:r>
              <w:rPr>
                <w:rFonts w:hint="default" w:ascii="Times New Roman" w:hAnsi="Times New Roman" w:eastAsia="黑体" w:cs="Times New Roman"/>
                <w:b w:val="0"/>
                <w:bCs w:val="0"/>
                <w:color w:val="auto"/>
                <w:sz w:val="21"/>
                <w:szCs w:val="21"/>
              </w:rPr>
              <w:t>表</w:t>
            </w:r>
            <w:r>
              <w:rPr>
                <w:rFonts w:hint="default" w:ascii="Times New Roman" w:hAnsi="Times New Roman" w:eastAsia="黑体" w:cs="Times New Roman"/>
                <w:b w:val="0"/>
                <w:bCs w:val="0"/>
                <w:color w:val="auto"/>
                <w:sz w:val="21"/>
                <w:szCs w:val="21"/>
                <w:lang w:val="en-US" w:eastAsia="zh-CN"/>
              </w:rPr>
              <w:t>4-</w:t>
            </w:r>
            <w:r>
              <w:rPr>
                <w:rFonts w:hint="eastAsia" w:ascii="Times New Roman" w:hAnsi="Times New Roman" w:eastAsia="黑体" w:cs="Times New Roman"/>
                <w:b w:val="0"/>
                <w:bCs w:val="0"/>
                <w:color w:val="auto"/>
                <w:sz w:val="21"/>
                <w:szCs w:val="21"/>
                <w:lang w:val="en-US" w:eastAsia="zh-CN"/>
              </w:rPr>
              <w:t>2</w:t>
            </w:r>
            <w:r>
              <w:rPr>
                <w:rFonts w:hint="default" w:ascii="Times New Roman" w:hAnsi="Times New Roman" w:eastAsia="黑体" w:cs="Times New Roman"/>
                <w:b w:val="0"/>
                <w:bCs w:val="0"/>
                <w:color w:val="auto"/>
                <w:sz w:val="21"/>
                <w:szCs w:val="21"/>
              </w:rPr>
              <w:t xml:space="preserve"> </w:t>
            </w:r>
            <w:r>
              <w:rPr>
                <w:rFonts w:hint="default" w:ascii="Times New Roman" w:hAnsi="Times New Roman" w:eastAsia="黑体" w:cs="Times New Roman"/>
                <w:b w:val="0"/>
                <w:bCs w:val="0"/>
                <w:color w:val="auto"/>
                <w:kern w:val="0"/>
                <w:sz w:val="21"/>
                <w:szCs w:val="21"/>
                <w:lang w:val="en-US" w:eastAsia="zh-CN" w:bidi="ar"/>
              </w:rPr>
              <w:t>施工机械噪声影响范围预测结果 单位：dB（A）</w:t>
            </w:r>
          </w:p>
          <w:tbl>
            <w:tblPr>
              <w:tblStyle w:val="26"/>
              <w:tblW w:w="49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88"/>
              <w:gridCol w:w="1412"/>
              <w:gridCol w:w="1412"/>
              <w:gridCol w:w="1414"/>
              <w:gridCol w:w="1359"/>
              <w:gridCol w:w="816"/>
            </w:tblGrid>
            <w:tr w14:paraId="6D1C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88" w:type="pct"/>
                  <w:vMerge w:val="restart"/>
                  <w:tcBorders>
                    <w:tl2br w:val="nil"/>
                    <w:tr2bl w:val="nil"/>
                  </w:tcBorders>
                  <w:shd w:val="clear" w:color="000000" w:fill="auto"/>
                  <w:noWrap w:val="0"/>
                  <w:vAlign w:val="center"/>
                </w:tcPr>
                <w:p w14:paraId="5C35D7EB">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1132" w:type="pct"/>
                  <w:vMerge w:val="restart"/>
                  <w:tcBorders>
                    <w:tl2br w:val="nil"/>
                    <w:tr2bl w:val="nil"/>
                  </w:tcBorders>
                  <w:shd w:val="clear" w:color="000000" w:fill="auto"/>
                  <w:noWrap w:val="0"/>
                  <w:vAlign w:val="center"/>
                </w:tcPr>
                <w:p w14:paraId="66232BAB">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预测点位置</w:t>
                  </w:r>
                </w:p>
              </w:tc>
              <w:tc>
                <w:tcPr>
                  <w:tcW w:w="765" w:type="pct"/>
                  <w:tcBorders>
                    <w:tl2br w:val="nil"/>
                    <w:tr2bl w:val="nil"/>
                  </w:tcBorders>
                  <w:shd w:val="clear" w:color="000000" w:fill="auto"/>
                  <w:noWrap w:val="0"/>
                  <w:vAlign w:val="center"/>
                </w:tcPr>
                <w:p w14:paraId="596160FE">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贡献值</w:t>
                  </w:r>
                </w:p>
                <w:p w14:paraId="547D8B6B">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765" w:type="pct"/>
                  <w:tcBorders>
                    <w:tl2br w:val="nil"/>
                    <w:tr2bl w:val="nil"/>
                  </w:tcBorders>
                  <w:shd w:val="clear" w:color="000000" w:fill="auto"/>
                  <w:noWrap w:val="0"/>
                  <w:vAlign w:val="center"/>
                </w:tcPr>
                <w:p w14:paraId="5CCC5C2A">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背景值</w:t>
                  </w:r>
                </w:p>
                <w:p w14:paraId="76579863">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767" w:type="pct"/>
                  <w:tcBorders>
                    <w:tl2br w:val="nil"/>
                    <w:tr2bl w:val="nil"/>
                  </w:tcBorders>
                  <w:shd w:val="clear" w:color="000000" w:fill="auto"/>
                  <w:noWrap w:val="0"/>
                  <w:vAlign w:val="center"/>
                </w:tcPr>
                <w:p w14:paraId="52D0778E">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预测值</w:t>
                  </w:r>
                </w:p>
                <w:p w14:paraId="5A2A088E">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737" w:type="pct"/>
                  <w:tcBorders>
                    <w:tl2br w:val="nil"/>
                    <w:tr2bl w:val="nil"/>
                  </w:tcBorders>
                  <w:shd w:val="clear" w:color="000000" w:fill="auto"/>
                  <w:noWrap w:val="0"/>
                  <w:vAlign w:val="center"/>
                </w:tcPr>
                <w:p w14:paraId="67E33AD8">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p w14:paraId="4A621CCF">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442" w:type="pct"/>
                  <w:vMerge w:val="restart"/>
                  <w:tcBorders>
                    <w:tl2br w:val="nil"/>
                    <w:tr2bl w:val="nil"/>
                  </w:tcBorders>
                  <w:shd w:val="clear" w:color="000000" w:fill="auto"/>
                  <w:noWrap w:val="0"/>
                  <w:vAlign w:val="center"/>
                </w:tcPr>
                <w:p w14:paraId="281F0772">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预测结果</w:t>
                  </w:r>
                </w:p>
              </w:tc>
            </w:tr>
            <w:tr w14:paraId="01A3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shd w:val="clear" w:color="auto" w:fill="auto"/>
                  <w:noWrap w:val="0"/>
                  <w:vAlign w:val="center"/>
                </w:tcPr>
                <w:p w14:paraId="0D89A325">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1132" w:type="pct"/>
                  <w:vMerge w:val="continue"/>
                  <w:tcBorders>
                    <w:tl2br w:val="nil"/>
                    <w:tr2bl w:val="nil"/>
                  </w:tcBorders>
                  <w:shd w:val="clear" w:color="auto" w:fill="auto"/>
                  <w:noWrap w:val="0"/>
                  <w:vAlign w:val="center"/>
                </w:tcPr>
                <w:p w14:paraId="3F5CD749">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765" w:type="pct"/>
                  <w:tcBorders>
                    <w:tl2br w:val="nil"/>
                    <w:tr2bl w:val="nil"/>
                  </w:tcBorders>
                  <w:shd w:val="clear" w:color="000000" w:fill="auto"/>
                  <w:noWrap w:val="0"/>
                  <w:vAlign w:val="center"/>
                </w:tcPr>
                <w:p w14:paraId="713BC510">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765" w:type="pct"/>
                  <w:tcBorders>
                    <w:tl2br w:val="nil"/>
                    <w:tr2bl w:val="nil"/>
                  </w:tcBorders>
                  <w:shd w:val="clear" w:color="000000" w:fill="auto"/>
                  <w:noWrap w:val="0"/>
                  <w:vAlign w:val="center"/>
                </w:tcPr>
                <w:p w14:paraId="221089B8">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767" w:type="pct"/>
                  <w:tcBorders>
                    <w:tl2br w:val="nil"/>
                    <w:tr2bl w:val="nil"/>
                  </w:tcBorders>
                  <w:shd w:val="clear" w:color="000000" w:fill="auto"/>
                  <w:noWrap w:val="0"/>
                  <w:vAlign w:val="center"/>
                </w:tcPr>
                <w:p w14:paraId="078C13C4">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737" w:type="pct"/>
                  <w:tcBorders>
                    <w:tl2br w:val="nil"/>
                    <w:tr2bl w:val="nil"/>
                  </w:tcBorders>
                  <w:shd w:val="clear" w:color="000000" w:fill="auto"/>
                  <w:noWrap w:val="0"/>
                  <w:vAlign w:val="center"/>
                </w:tcPr>
                <w:p w14:paraId="731DAB2D">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442" w:type="pct"/>
                  <w:vMerge w:val="continue"/>
                  <w:tcBorders>
                    <w:tl2br w:val="nil"/>
                    <w:tr2bl w:val="nil"/>
                  </w:tcBorders>
                  <w:noWrap w:val="0"/>
                  <w:vAlign w:val="center"/>
                </w:tcPr>
                <w:p w14:paraId="3936A8CE">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r>
            <w:tr w14:paraId="55FC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restart"/>
                  <w:tcBorders>
                    <w:tl2br w:val="nil"/>
                    <w:tr2bl w:val="nil"/>
                  </w:tcBorders>
                  <w:noWrap w:val="0"/>
                  <w:vAlign w:val="center"/>
                </w:tcPr>
                <w:p w14:paraId="550D79EE">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隘口水厂</w:t>
                  </w:r>
                </w:p>
              </w:tc>
              <w:tc>
                <w:tcPr>
                  <w:tcW w:w="1132" w:type="pct"/>
                  <w:tcBorders>
                    <w:tl2br w:val="nil"/>
                    <w:tr2bl w:val="nil"/>
                  </w:tcBorders>
                  <w:shd w:val="clear" w:color="auto" w:fill="auto"/>
                  <w:noWrap w:val="0"/>
                  <w:vAlign w:val="center"/>
                </w:tcPr>
                <w:p w14:paraId="1E53392F">
                  <w:pPr>
                    <w:jc w:val="center"/>
                    <w:rPr>
                      <w:rFonts w:hint="default" w:ascii="Times New Roman" w:hAnsi="Times New Roman" w:eastAsia="宋体" w:cs="Times New Roman"/>
                      <w:color w:val="auto"/>
                      <w:kern w:val="2"/>
                      <w:sz w:val="21"/>
                      <w:szCs w:val="21"/>
                      <w:lang w:val="en-US" w:eastAsia="zh-TW" w:bidi="ar-SA"/>
                    </w:rPr>
                  </w:pPr>
                  <w:r>
                    <w:rPr>
                      <w:rFonts w:hint="default" w:ascii="Times New Roman" w:hAnsi="Times New Roman" w:eastAsia="宋体" w:cs="Times New Roman"/>
                      <w:color w:val="auto"/>
                      <w:sz w:val="21"/>
                      <w:szCs w:val="21"/>
                    </w:rPr>
                    <w:t>北侧界外1m处</w:t>
                  </w:r>
                </w:p>
              </w:tc>
              <w:tc>
                <w:tcPr>
                  <w:tcW w:w="765" w:type="pct"/>
                  <w:tcBorders>
                    <w:tl2br w:val="nil"/>
                    <w:tr2bl w:val="nil"/>
                  </w:tcBorders>
                  <w:noWrap w:val="0"/>
                  <w:vAlign w:val="center"/>
                </w:tcPr>
                <w:p w14:paraId="2D46DB11">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66.8</w:t>
                  </w:r>
                </w:p>
              </w:tc>
              <w:tc>
                <w:tcPr>
                  <w:tcW w:w="765" w:type="pct"/>
                  <w:tcBorders>
                    <w:tl2br w:val="nil"/>
                    <w:tr2bl w:val="nil"/>
                  </w:tcBorders>
                  <w:noWrap w:val="0"/>
                  <w:vAlign w:val="center"/>
                </w:tcPr>
                <w:p w14:paraId="50F52256">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24E1549C">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66.8</w:t>
                  </w:r>
                </w:p>
              </w:tc>
              <w:tc>
                <w:tcPr>
                  <w:tcW w:w="737" w:type="pct"/>
                  <w:tcBorders>
                    <w:tl2br w:val="nil"/>
                    <w:tr2bl w:val="nil"/>
                  </w:tcBorders>
                  <w:noWrap w:val="0"/>
                  <w:vAlign w:val="center"/>
                </w:tcPr>
                <w:p w14:paraId="0C407472">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42" w:type="pct"/>
                  <w:tcBorders>
                    <w:tl2br w:val="nil"/>
                    <w:tr2bl w:val="nil"/>
                  </w:tcBorders>
                  <w:noWrap w:val="0"/>
                  <w:vAlign w:val="center"/>
                </w:tcPr>
                <w:p w14:paraId="4D8E6A97">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B39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14:paraId="7F474EF6">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1132" w:type="pct"/>
                  <w:tcBorders>
                    <w:tl2br w:val="nil"/>
                    <w:tr2bl w:val="nil"/>
                  </w:tcBorders>
                  <w:shd w:val="clear" w:color="auto" w:fill="auto"/>
                  <w:noWrap w:val="0"/>
                  <w:vAlign w:val="center"/>
                </w:tcPr>
                <w:p w14:paraId="7C07E32A">
                  <w:pPr>
                    <w:jc w:val="center"/>
                    <w:rPr>
                      <w:rFonts w:hint="default" w:ascii="Times New Roman" w:hAnsi="Times New Roman" w:eastAsia="宋体" w:cs="Times New Roman"/>
                      <w:color w:val="auto"/>
                      <w:kern w:val="2"/>
                      <w:sz w:val="21"/>
                      <w:szCs w:val="21"/>
                      <w:lang w:val="en-US" w:eastAsia="zh-TW" w:bidi="ar-SA"/>
                    </w:rPr>
                  </w:pPr>
                  <w:r>
                    <w:rPr>
                      <w:rFonts w:hint="default" w:ascii="Times New Roman" w:hAnsi="Times New Roman" w:eastAsia="宋体" w:cs="Times New Roman"/>
                      <w:color w:val="auto"/>
                      <w:sz w:val="21"/>
                      <w:szCs w:val="21"/>
                    </w:rPr>
                    <w:t>东侧界外1m处</w:t>
                  </w:r>
                </w:p>
              </w:tc>
              <w:tc>
                <w:tcPr>
                  <w:tcW w:w="765" w:type="pct"/>
                  <w:tcBorders>
                    <w:tl2br w:val="nil"/>
                    <w:tr2bl w:val="nil"/>
                  </w:tcBorders>
                  <w:noWrap w:val="0"/>
                  <w:vAlign w:val="center"/>
                </w:tcPr>
                <w:p w14:paraId="3731F590">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65.3</w:t>
                  </w:r>
                </w:p>
              </w:tc>
              <w:tc>
                <w:tcPr>
                  <w:tcW w:w="765" w:type="pct"/>
                  <w:tcBorders>
                    <w:tl2br w:val="nil"/>
                    <w:tr2bl w:val="nil"/>
                  </w:tcBorders>
                  <w:noWrap w:val="0"/>
                  <w:vAlign w:val="center"/>
                </w:tcPr>
                <w:p w14:paraId="235B2E9F">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7C59AFD2">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65.3</w:t>
                  </w:r>
                </w:p>
              </w:tc>
              <w:tc>
                <w:tcPr>
                  <w:tcW w:w="737" w:type="pct"/>
                  <w:tcBorders>
                    <w:tl2br w:val="nil"/>
                    <w:tr2bl w:val="nil"/>
                  </w:tcBorders>
                  <w:noWrap w:val="0"/>
                  <w:vAlign w:val="center"/>
                </w:tcPr>
                <w:p w14:paraId="1A06917A">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42" w:type="pct"/>
                  <w:tcBorders>
                    <w:tl2br w:val="nil"/>
                    <w:tr2bl w:val="nil"/>
                  </w:tcBorders>
                  <w:noWrap w:val="0"/>
                  <w:vAlign w:val="center"/>
                </w:tcPr>
                <w:p w14:paraId="46E0B57A">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59E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14:paraId="6019A77C">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1132" w:type="pct"/>
                  <w:tcBorders>
                    <w:tl2br w:val="nil"/>
                    <w:tr2bl w:val="nil"/>
                  </w:tcBorders>
                  <w:shd w:val="clear" w:color="auto" w:fill="auto"/>
                  <w:noWrap w:val="0"/>
                  <w:vAlign w:val="center"/>
                </w:tcPr>
                <w:p w14:paraId="3BF96EE3">
                  <w:pPr>
                    <w:jc w:val="center"/>
                    <w:rPr>
                      <w:rFonts w:hint="default" w:ascii="Times New Roman" w:hAnsi="Times New Roman" w:eastAsia="宋体" w:cs="Times New Roman"/>
                      <w:color w:val="auto"/>
                      <w:kern w:val="2"/>
                      <w:sz w:val="21"/>
                      <w:szCs w:val="21"/>
                      <w:lang w:val="en-US" w:eastAsia="zh-TW" w:bidi="ar-SA"/>
                    </w:rPr>
                  </w:pPr>
                  <w:r>
                    <w:rPr>
                      <w:rFonts w:hint="default" w:ascii="Times New Roman" w:hAnsi="Times New Roman" w:eastAsia="宋体" w:cs="Times New Roman"/>
                      <w:color w:val="auto"/>
                      <w:sz w:val="21"/>
                      <w:szCs w:val="21"/>
                    </w:rPr>
                    <w:t>南侧界外1m处</w:t>
                  </w:r>
                </w:p>
              </w:tc>
              <w:tc>
                <w:tcPr>
                  <w:tcW w:w="765" w:type="pct"/>
                  <w:tcBorders>
                    <w:tl2br w:val="nil"/>
                    <w:tr2bl w:val="nil"/>
                  </w:tcBorders>
                  <w:noWrap w:val="0"/>
                  <w:vAlign w:val="center"/>
                </w:tcPr>
                <w:p w14:paraId="7BC0EE8B">
                  <w:pPr>
                    <w:pStyle w:val="6"/>
                    <w:keepNext w:val="0"/>
                    <w:keepLines w:val="0"/>
                    <w:pageBreakBefore w:val="0"/>
                    <w:widowControl w:val="0"/>
                    <w:tabs>
                      <w:tab w:val="left" w:pos="490"/>
                    </w:tabs>
                    <w:kinsoku/>
                    <w:wordWrap/>
                    <w:overflowPunct/>
                    <w:topLinePunct w:val="0"/>
                    <w:autoSpaceDE/>
                    <w:autoSpaceDN/>
                    <w:bidi w:val="0"/>
                    <w:adjustRightInd w:val="0"/>
                    <w:snapToGrid/>
                    <w:jc w:val="left"/>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ab/>
                  </w:r>
                  <w:r>
                    <w:rPr>
                      <w:rFonts w:hint="eastAsia" w:ascii="Times New Roman" w:hAnsi="Times New Roman" w:eastAsia="宋体" w:cs="Times New Roman"/>
                      <w:color w:val="auto"/>
                      <w:sz w:val="21"/>
                      <w:szCs w:val="21"/>
                      <w:lang w:val="en-US" w:eastAsia="zh-CN"/>
                    </w:rPr>
                    <w:t>67.3</w:t>
                  </w:r>
                </w:p>
              </w:tc>
              <w:tc>
                <w:tcPr>
                  <w:tcW w:w="765" w:type="pct"/>
                  <w:tcBorders>
                    <w:tl2br w:val="nil"/>
                    <w:tr2bl w:val="nil"/>
                  </w:tcBorders>
                  <w:noWrap w:val="0"/>
                  <w:vAlign w:val="center"/>
                </w:tcPr>
                <w:p w14:paraId="5A15ED3D">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37E598CB">
                  <w:pPr>
                    <w:pStyle w:val="6"/>
                    <w:keepNext w:val="0"/>
                    <w:keepLines w:val="0"/>
                    <w:pageBreakBefore w:val="0"/>
                    <w:widowControl w:val="0"/>
                    <w:tabs>
                      <w:tab w:val="left" w:pos="490"/>
                    </w:tabs>
                    <w:kinsoku/>
                    <w:wordWrap/>
                    <w:overflowPunct/>
                    <w:topLinePunct w:val="0"/>
                    <w:autoSpaceDE/>
                    <w:autoSpaceDN/>
                    <w:bidi w:val="0"/>
                    <w:adjustRightInd w:val="0"/>
                    <w:snapToGrid/>
                    <w:ind w:firstLine="0" w:firstLineChars="0"/>
                    <w:jc w:val="left"/>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ab/>
                  </w:r>
                  <w:r>
                    <w:rPr>
                      <w:rFonts w:hint="eastAsia" w:ascii="Times New Roman" w:hAnsi="Times New Roman" w:eastAsia="宋体" w:cs="Times New Roman"/>
                      <w:color w:val="auto"/>
                      <w:sz w:val="21"/>
                      <w:szCs w:val="21"/>
                      <w:lang w:val="en-US" w:eastAsia="zh-CN"/>
                    </w:rPr>
                    <w:t>67.3</w:t>
                  </w:r>
                </w:p>
              </w:tc>
              <w:tc>
                <w:tcPr>
                  <w:tcW w:w="737" w:type="pct"/>
                  <w:tcBorders>
                    <w:tl2br w:val="nil"/>
                    <w:tr2bl w:val="nil"/>
                  </w:tcBorders>
                  <w:noWrap w:val="0"/>
                  <w:vAlign w:val="center"/>
                </w:tcPr>
                <w:p w14:paraId="6F7C511A">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42" w:type="pct"/>
                  <w:tcBorders>
                    <w:tl2br w:val="nil"/>
                    <w:tr2bl w:val="nil"/>
                  </w:tcBorders>
                  <w:noWrap w:val="0"/>
                  <w:vAlign w:val="center"/>
                </w:tcPr>
                <w:p w14:paraId="29527076">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F5F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14:paraId="751A1C11">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1132" w:type="pct"/>
                  <w:tcBorders>
                    <w:tl2br w:val="nil"/>
                    <w:tr2bl w:val="nil"/>
                  </w:tcBorders>
                  <w:shd w:val="clear" w:color="auto" w:fill="auto"/>
                  <w:noWrap w:val="0"/>
                  <w:vAlign w:val="center"/>
                </w:tcPr>
                <w:p w14:paraId="5570B6EB">
                  <w:pPr>
                    <w:jc w:val="center"/>
                    <w:rPr>
                      <w:rFonts w:hint="default" w:ascii="Times New Roman" w:hAnsi="Times New Roman" w:eastAsia="宋体" w:cs="Times New Roman"/>
                      <w:color w:val="auto"/>
                      <w:kern w:val="2"/>
                      <w:sz w:val="21"/>
                      <w:szCs w:val="21"/>
                      <w:lang w:val="en-US" w:eastAsia="zh-TW" w:bidi="ar-SA"/>
                    </w:rPr>
                  </w:pPr>
                  <w:r>
                    <w:rPr>
                      <w:rFonts w:hint="default" w:ascii="Times New Roman" w:hAnsi="Times New Roman" w:eastAsia="宋体" w:cs="Times New Roman"/>
                      <w:color w:val="auto"/>
                      <w:sz w:val="21"/>
                      <w:szCs w:val="21"/>
                    </w:rPr>
                    <w:t>西侧界外1m处</w:t>
                  </w:r>
                </w:p>
              </w:tc>
              <w:tc>
                <w:tcPr>
                  <w:tcW w:w="765" w:type="pct"/>
                  <w:tcBorders>
                    <w:tl2br w:val="nil"/>
                    <w:tr2bl w:val="nil"/>
                  </w:tcBorders>
                  <w:noWrap w:val="0"/>
                  <w:vAlign w:val="center"/>
                </w:tcPr>
                <w:p w14:paraId="7534E48B">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60.9</w:t>
                  </w:r>
                </w:p>
              </w:tc>
              <w:tc>
                <w:tcPr>
                  <w:tcW w:w="765" w:type="pct"/>
                  <w:tcBorders>
                    <w:tl2br w:val="nil"/>
                    <w:tr2bl w:val="nil"/>
                  </w:tcBorders>
                  <w:noWrap w:val="0"/>
                  <w:vAlign w:val="center"/>
                </w:tcPr>
                <w:p w14:paraId="0C9BD21F">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666ADF90">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sz w:val="21"/>
                      <w:szCs w:val="21"/>
                      <w:lang w:val="en-US" w:eastAsia="zh-CN"/>
                    </w:rPr>
                    <w:t>60.9</w:t>
                  </w:r>
                </w:p>
              </w:tc>
              <w:tc>
                <w:tcPr>
                  <w:tcW w:w="737" w:type="pct"/>
                  <w:tcBorders>
                    <w:tl2br w:val="nil"/>
                    <w:tr2bl w:val="nil"/>
                  </w:tcBorders>
                  <w:noWrap w:val="0"/>
                  <w:vAlign w:val="center"/>
                </w:tcPr>
                <w:p w14:paraId="729915C1">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42" w:type="pct"/>
                  <w:tcBorders>
                    <w:tl2br w:val="nil"/>
                    <w:tr2bl w:val="nil"/>
                  </w:tcBorders>
                  <w:noWrap w:val="0"/>
                  <w:vAlign w:val="center"/>
                </w:tcPr>
                <w:p w14:paraId="297FFF7D">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6053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restart"/>
                  <w:tcBorders>
                    <w:tl2br w:val="nil"/>
                    <w:tr2bl w:val="nil"/>
                  </w:tcBorders>
                  <w:noWrap w:val="0"/>
                  <w:vAlign w:val="center"/>
                </w:tcPr>
                <w:p w14:paraId="718614EC">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马渡关水厂</w:t>
                  </w:r>
                </w:p>
              </w:tc>
              <w:tc>
                <w:tcPr>
                  <w:tcW w:w="1132" w:type="pct"/>
                  <w:tcBorders>
                    <w:tl2br w:val="nil"/>
                    <w:tr2bl w:val="nil"/>
                  </w:tcBorders>
                  <w:shd w:val="clear" w:color="auto" w:fill="auto"/>
                  <w:noWrap w:val="0"/>
                  <w:vAlign w:val="center"/>
                </w:tcPr>
                <w:p w14:paraId="018D2C9C">
                  <w:pPr>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西</w:t>
                  </w:r>
                  <w:r>
                    <w:rPr>
                      <w:rFonts w:hint="default" w:ascii="Times New Roman" w:hAnsi="Times New Roman" w:eastAsia="宋体" w:cs="Times New Roman"/>
                      <w:color w:val="auto"/>
                      <w:sz w:val="21"/>
                      <w:szCs w:val="21"/>
                    </w:rPr>
                    <w:t>北侧界外1m处</w:t>
                  </w:r>
                </w:p>
              </w:tc>
              <w:tc>
                <w:tcPr>
                  <w:tcW w:w="765" w:type="pct"/>
                  <w:tcBorders>
                    <w:tl2br w:val="nil"/>
                    <w:tr2bl w:val="nil"/>
                  </w:tcBorders>
                  <w:shd w:val="clear" w:color="auto" w:fill="auto"/>
                  <w:noWrap w:val="0"/>
                  <w:vAlign w:val="center"/>
                </w:tcPr>
                <w:p w14:paraId="39ABEE26">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65.4</w:t>
                  </w:r>
                </w:p>
              </w:tc>
              <w:tc>
                <w:tcPr>
                  <w:tcW w:w="765" w:type="pct"/>
                  <w:tcBorders>
                    <w:tl2br w:val="nil"/>
                    <w:tr2bl w:val="nil"/>
                  </w:tcBorders>
                  <w:shd w:val="clear" w:color="auto" w:fill="auto"/>
                  <w:noWrap w:val="0"/>
                  <w:vAlign w:val="center"/>
                </w:tcPr>
                <w:p w14:paraId="647E0C58">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5CDD0738">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65.4</w:t>
                  </w:r>
                </w:p>
              </w:tc>
              <w:tc>
                <w:tcPr>
                  <w:tcW w:w="737" w:type="pct"/>
                  <w:tcBorders>
                    <w:tl2br w:val="nil"/>
                    <w:tr2bl w:val="nil"/>
                  </w:tcBorders>
                  <w:shd w:val="clear" w:color="auto" w:fill="auto"/>
                  <w:noWrap w:val="0"/>
                  <w:vAlign w:val="center"/>
                </w:tcPr>
                <w:p w14:paraId="522A0B59">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70</w:t>
                  </w:r>
                </w:p>
              </w:tc>
              <w:tc>
                <w:tcPr>
                  <w:tcW w:w="442" w:type="pct"/>
                  <w:tcBorders>
                    <w:tl2br w:val="nil"/>
                    <w:tr2bl w:val="nil"/>
                  </w:tcBorders>
                  <w:shd w:val="clear" w:color="auto" w:fill="auto"/>
                  <w:noWrap w:val="0"/>
                  <w:vAlign w:val="center"/>
                </w:tcPr>
                <w:p w14:paraId="5726F5E3">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达标</w:t>
                  </w:r>
                </w:p>
              </w:tc>
            </w:tr>
            <w:tr w14:paraId="7A19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14:paraId="08D76E51">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1132" w:type="pct"/>
                  <w:tcBorders>
                    <w:tl2br w:val="nil"/>
                    <w:tr2bl w:val="nil"/>
                  </w:tcBorders>
                  <w:shd w:val="clear" w:color="auto" w:fill="auto"/>
                  <w:noWrap w:val="0"/>
                  <w:vAlign w:val="center"/>
                </w:tcPr>
                <w:p w14:paraId="480D09A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东</w:t>
                  </w:r>
                  <w:r>
                    <w:rPr>
                      <w:rFonts w:hint="eastAsia" w:ascii="Times New Roman" w:hAnsi="Times New Roman" w:eastAsia="宋体" w:cs="Times New Roman"/>
                      <w:color w:val="auto"/>
                      <w:sz w:val="21"/>
                      <w:szCs w:val="21"/>
                      <w:lang w:val="en-US" w:eastAsia="zh-CN"/>
                    </w:rPr>
                    <w:t>北</w:t>
                  </w:r>
                  <w:r>
                    <w:rPr>
                      <w:rFonts w:hint="default" w:ascii="Times New Roman" w:hAnsi="Times New Roman" w:eastAsia="宋体" w:cs="Times New Roman"/>
                      <w:color w:val="auto"/>
                      <w:sz w:val="21"/>
                      <w:szCs w:val="21"/>
                    </w:rPr>
                    <w:t>侧界外1m处</w:t>
                  </w:r>
                </w:p>
              </w:tc>
              <w:tc>
                <w:tcPr>
                  <w:tcW w:w="765" w:type="pct"/>
                  <w:tcBorders>
                    <w:tl2br w:val="nil"/>
                    <w:tr2bl w:val="nil"/>
                  </w:tcBorders>
                  <w:shd w:val="clear" w:color="auto" w:fill="auto"/>
                  <w:noWrap w:val="0"/>
                  <w:vAlign w:val="center"/>
                </w:tcPr>
                <w:p w14:paraId="2BCB3FEE">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67.2</w:t>
                  </w:r>
                </w:p>
              </w:tc>
              <w:tc>
                <w:tcPr>
                  <w:tcW w:w="765" w:type="pct"/>
                  <w:tcBorders>
                    <w:tl2br w:val="nil"/>
                    <w:tr2bl w:val="nil"/>
                  </w:tcBorders>
                  <w:shd w:val="clear" w:color="auto" w:fill="auto"/>
                  <w:noWrap w:val="0"/>
                  <w:vAlign w:val="center"/>
                </w:tcPr>
                <w:p w14:paraId="0725371F">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3B98E3FF">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67.2</w:t>
                  </w:r>
                </w:p>
              </w:tc>
              <w:tc>
                <w:tcPr>
                  <w:tcW w:w="737" w:type="pct"/>
                  <w:tcBorders>
                    <w:tl2br w:val="nil"/>
                    <w:tr2bl w:val="nil"/>
                  </w:tcBorders>
                  <w:shd w:val="clear" w:color="auto" w:fill="auto"/>
                  <w:noWrap w:val="0"/>
                  <w:vAlign w:val="center"/>
                </w:tcPr>
                <w:p w14:paraId="7CCE39BD">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70</w:t>
                  </w:r>
                </w:p>
              </w:tc>
              <w:tc>
                <w:tcPr>
                  <w:tcW w:w="442" w:type="pct"/>
                  <w:tcBorders>
                    <w:tl2br w:val="nil"/>
                    <w:tr2bl w:val="nil"/>
                  </w:tcBorders>
                  <w:shd w:val="clear" w:color="auto" w:fill="auto"/>
                  <w:noWrap w:val="0"/>
                  <w:vAlign w:val="center"/>
                </w:tcPr>
                <w:p w14:paraId="75CE57B8">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达标</w:t>
                  </w:r>
                </w:p>
              </w:tc>
            </w:tr>
            <w:tr w14:paraId="1C60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14:paraId="2401CF5F">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1132" w:type="pct"/>
                  <w:tcBorders>
                    <w:tl2br w:val="nil"/>
                    <w:tr2bl w:val="nil"/>
                  </w:tcBorders>
                  <w:shd w:val="clear" w:color="auto" w:fill="auto"/>
                  <w:noWrap w:val="0"/>
                  <w:vAlign w:val="center"/>
                </w:tcPr>
                <w:p w14:paraId="4DA95C6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东</w:t>
                  </w:r>
                  <w:r>
                    <w:rPr>
                      <w:rFonts w:hint="default" w:ascii="Times New Roman" w:hAnsi="Times New Roman" w:eastAsia="宋体" w:cs="Times New Roman"/>
                      <w:color w:val="auto"/>
                      <w:sz w:val="21"/>
                      <w:szCs w:val="21"/>
                    </w:rPr>
                    <w:t>南侧界外1m处</w:t>
                  </w:r>
                </w:p>
              </w:tc>
              <w:tc>
                <w:tcPr>
                  <w:tcW w:w="765" w:type="pct"/>
                  <w:tcBorders>
                    <w:tl2br w:val="nil"/>
                    <w:tr2bl w:val="nil"/>
                  </w:tcBorders>
                  <w:shd w:val="clear" w:color="auto" w:fill="auto"/>
                  <w:noWrap w:val="0"/>
                  <w:vAlign w:val="center"/>
                </w:tcPr>
                <w:p w14:paraId="7BC37F35">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60.2</w:t>
                  </w:r>
                </w:p>
              </w:tc>
              <w:tc>
                <w:tcPr>
                  <w:tcW w:w="765" w:type="pct"/>
                  <w:tcBorders>
                    <w:tl2br w:val="nil"/>
                    <w:tr2bl w:val="nil"/>
                  </w:tcBorders>
                  <w:shd w:val="clear" w:color="auto" w:fill="auto"/>
                  <w:noWrap w:val="0"/>
                  <w:vAlign w:val="center"/>
                </w:tcPr>
                <w:p w14:paraId="25A25C2D">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0DF54D13">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60.2</w:t>
                  </w:r>
                </w:p>
              </w:tc>
              <w:tc>
                <w:tcPr>
                  <w:tcW w:w="737" w:type="pct"/>
                  <w:tcBorders>
                    <w:tl2br w:val="nil"/>
                    <w:tr2bl w:val="nil"/>
                  </w:tcBorders>
                  <w:shd w:val="clear" w:color="auto" w:fill="auto"/>
                  <w:noWrap w:val="0"/>
                  <w:vAlign w:val="center"/>
                </w:tcPr>
                <w:p w14:paraId="7040A098">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70</w:t>
                  </w:r>
                </w:p>
              </w:tc>
              <w:tc>
                <w:tcPr>
                  <w:tcW w:w="442" w:type="pct"/>
                  <w:tcBorders>
                    <w:tl2br w:val="nil"/>
                    <w:tr2bl w:val="nil"/>
                  </w:tcBorders>
                  <w:shd w:val="clear" w:color="auto" w:fill="auto"/>
                  <w:noWrap w:val="0"/>
                  <w:vAlign w:val="center"/>
                </w:tcPr>
                <w:p w14:paraId="69017B26">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达标</w:t>
                  </w:r>
                </w:p>
              </w:tc>
            </w:tr>
            <w:tr w14:paraId="04F1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14:paraId="6694963C">
                  <w:pPr>
                    <w:pStyle w:val="6"/>
                    <w:keepNext w:val="0"/>
                    <w:keepLines w:val="0"/>
                    <w:pageBreakBefore w:val="0"/>
                    <w:widowControl w:val="0"/>
                    <w:kinsoku/>
                    <w:wordWrap/>
                    <w:overflowPunct/>
                    <w:topLinePunct w:val="0"/>
                    <w:autoSpaceDE/>
                    <w:autoSpaceDN/>
                    <w:bidi w:val="0"/>
                    <w:adjustRightInd w:val="0"/>
                    <w:snapToGrid/>
                    <w:textAlignment w:val="baseline"/>
                    <w:rPr>
                      <w:rFonts w:hint="default" w:ascii="Times New Roman" w:hAnsi="Times New Roman" w:cs="Times New Roman"/>
                      <w:color w:val="auto"/>
                      <w:sz w:val="21"/>
                      <w:szCs w:val="21"/>
                    </w:rPr>
                  </w:pPr>
                </w:p>
              </w:tc>
              <w:tc>
                <w:tcPr>
                  <w:tcW w:w="1132" w:type="pct"/>
                  <w:tcBorders>
                    <w:tl2br w:val="nil"/>
                    <w:tr2bl w:val="nil"/>
                  </w:tcBorders>
                  <w:shd w:val="clear" w:color="auto" w:fill="auto"/>
                  <w:noWrap w:val="0"/>
                  <w:vAlign w:val="center"/>
                </w:tcPr>
                <w:p w14:paraId="0A7AD98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侧界外1m处</w:t>
                  </w:r>
                </w:p>
              </w:tc>
              <w:tc>
                <w:tcPr>
                  <w:tcW w:w="765" w:type="pct"/>
                  <w:tcBorders>
                    <w:tl2br w:val="nil"/>
                    <w:tr2bl w:val="nil"/>
                  </w:tcBorders>
                  <w:shd w:val="clear" w:color="auto" w:fill="auto"/>
                  <w:noWrap w:val="0"/>
                  <w:vAlign w:val="center"/>
                </w:tcPr>
                <w:p w14:paraId="206FA7B7">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62.7</w:t>
                  </w:r>
                </w:p>
              </w:tc>
              <w:tc>
                <w:tcPr>
                  <w:tcW w:w="765" w:type="pct"/>
                  <w:tcBorders>
                    <w:tl2br w:val="nil"/>
                    <w:tr2bl w:val="nil"/>
                  </w:tcBorders>
                  <w:shd w:val="clear" w:color="auto" w:fill="auto"/>
                  <w:noWrap w:val="0"/>
                  <w:vAlign w:val="center"/>
                </w:tcPr>
                <w:p w14:paraId="3C616D4A">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w:t>
                  </w:r>
                </w:p>
              </w:tc>
              <w:tc>
                <w:tcPr>
                  <w:tcW w:w="767" w:type="pct"/>
                  <w:tcBorders>
                    <w:tl2br w:val="nil"/>
                    <w:tr2bl w:val="nil"/>
                  </w:tcBorders>
                  <w:shd w:val="clear" w:color="auto" w:fill="auto"/>
                  <w:noWrap w:val="0"/>
                  <w:vAlign w:val="center"/>
                </w:tcPr>
                <w:p w14:paraId="223CCB45">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62.7</w:t>
                  </w:r>
                </w:p>
              </w:tc>
              <w:tc>
                <w:tcPr>
                  <w:tcW w:w="737" w:type="pct"/>
                  <w:tcBorders>
                    <w:tl2br w:val="nil"/>
                    <w:tr2bl w:val="nil"/>
                  </w:tcBorders>
                  <w:shd w:val="clear" w:color="auto" w:fill="auto"/>
                  <w:noWrap w:val="0"/>
                  <w:vAlign w:val="center"/>
                </w:tcPr>
                <w:p w14:paraId="22B560B6">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70</w:t>
                  </w:r>
                </w:p>
              </w:tc>
              <w:tc>
                <w:tcPr>
                  <w:tcW w:w="442" w:type="pct"/>
                  <w:tcBorders>
                    <w:tl2br w:val="nil"/>
                    <w:tr2bl w:val="nil"/>
                  </w:tcBorders>
                  <w:shd w:val="clear" w:color="auto" w:fill="auto"/>
                  <w:noWrap w:val="0"/>
                  <w:vAlign w:val="center"/>
                </w:tcPr>
                <w:p w14:paraId="2233BA82">
                  <w:pPr>
                    <w:pStyle w:val="6"/>
                    <w:keepNext w:val="0"/>
                    <w:keepLines w:val="0"/>
                    <w:pageBreakBefore w:val="0"/>
                    <w:widowControl w:val="0"/>
                    <w:kinsoku/>
                    <w:wordWrap/>
                    <w:overflowPunct/>
                    <w:topLinePunct w:val="0"/>
                    <w:autoSpaceDE/>
                    <w:autoSpaceDN/>
                    <w:bidi w:val="0"/>
                    <w:adjustRightInd w:val="0"/>
                    <w:snapToGrid/>
                    <w:ind w:firstLine="0" w:firstLineChars="0"/>
                    <w:textAlignment w:val="baseline"/>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rPr>
                    <w:t>达标</w:t>
                  </w:r>
                </w:p>
              </w:tc>
            </w:tr>
          </w:tbl>
          <w:p w14:paraId="19686F9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ascii="Times New Roman" w:hAnsi="Times New Roman" w:eastAsia="黑体" w:cs="Times New Roman"/>
                <w:b w:val="0"/>
                <w:bCs w:val="0"/>
                <w:color w:val="auto"/>
                <w:sz w:val="21"/>
                <w:szCs w:val="21"/>
              </w:rPr>
            </w:pPr>
            <w:r>
              <w:rPr>
                <w:rFonts w:hint="default" w:ascii="Times New Roman" w:hAnsi="Times New Roman" w:cs="Times New Roman"/>
                <w:color w:val="auto"/>
                <w:sz w:val="24"/>
                <w:szCs w:val="24"/>
              </w:rPr>
              <w:t>由预测结果可知，施工期昼间厂界四周预测点噪声排放值均满足《建筑施工场界环境噪声排放标准》（GB12523-2011），可实现达标排放。</w:t>
            </w:r>
          </w:p>
          <w:p w14:paraId="38E45E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因此，施工噪声影响随项目施工的结束而消失，不会造成长期环境影响，在当地环境可接受范围内。</w:t>
            </w:r>
          </w:p>
          <w:p w14:paraId="49C43EA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4、固体废物</w:t>
            </w:r>
          </w:p>
          <w:p w14:paraId="6934F10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（1）土石方</w:t>
            </w:r>
          </w:p>
          <w:p w14:paraId="31F632F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供水厂</w:t>
            </w:r>
            <w:r>
              <w:rPr>
                <w:rFonts w:hint="default" w:ascii="Times New Roman" w:hAnsi="Times New Roman" w:cs="Times New Roman"/>
                <w:color w:val="auto"/>
                <w:sz w:val="24"/>
                <w:szCs w:val="24"/>
                <w:highlight w:val="none"/>
              </w:rPr>
              <w:t>施工期开挖土石方全部用于场地回填、调整场平，无弃土产生</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32"/>
                <w:highlight w:val="none"/>
                <w:vertAlign w:val="baseline"/>
                <w:lang w:val="en-US" w:eastAsia="zh-CN"/>
              </w:rPr>
              <w:t>剥离的表土全部用于植物绿化的表土回覆</w:t>
            </w:r>
            <w:r>
              <w:rPr>
                <w:rFonts w:hint="eastAsia" w:ascii="Times New Roman" w:hAnsi="Times New Roman" w:cs="Times New Roman"/>
                <w:color w:val="auto"/>
                <w:sz w:val="24"/>
                <w:szCs w:val="32"/>
                <w:highlight w:val="none"/>
                <w:vertAlign w:val="baseline"/>
                <w:lang w:val="en-US" w:eastAsia="zh-CN"/>
              </w:rPr>
              <w:t>。</w:t>
            </w:r>
          </w:p>
          <w:p w14:paraId="0895A6C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为了控制土石方对环境的污染，减少堆放对环境的影响，建议采取如下措施：</w:t>
            </w:r>
          </w:p>
          <w:p w14:paraId="114334F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①</w:t>
            </w:r>
            <w:r>
              <w:rPr>
                <w:rFonts w:hint="default" w:ascii="Times New Roman" w:hAnsi="Times New Roman" w:cs="Times New Roman"/>
                <w:color w:val="auto"/>
                <w:sz w:val="24"/>
                <w:szCs w:val="24"/>
                <w:highlight w:val="none"/>
                <w:lang w:val="en-US" w:eastAsia="zh-CN"/>
              </w:rPr>
              <w:t>工程在动工前对各类土地可利用的表土进行剥离，剥离后的表土根据施工点就近布置在场地平缓地带，待绿化工程启动后用</w:t>
            </w:r>
            <w:r>
              <w:rPr>
                <w:rFonts w:hint="eastAsia" w:ascii="Times New Roman" w:hAnsi="Times New Roman" w:cs="Times New Roman"/>
                <w:color w:val="auto"/>
                <w:sz w:val="24"/>
                <w:szCs w:val="24"/>
                <w:highlight w:val="none"/>
                <w:lang w:val="en-US" w:eastAsia="zh-CN"/>
              </w:rPr>
              <w:t>于</w:t>
            </w:r>
            <w:r>
              <w:rPr>
                <w:rFonts w:hint="default" w:ascii="Times New Roman" w:hAnsi="Times New Roman" w:cs="Times New Roman"/>
                <w:color w:val="auto"/>
                <w:sz w:val="24"/>
                <w:szCs w:val="24"/>
                <w:highlight w:val="none"/>
                <w:lang w:val="en-US" w:eastAsia="zh-CN"/>
              </w:rPr>
              <w:t>工程绿化。</w:t>
            </w:r>
          </w:p>
          <w:p w14:paraId="783D93F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②</w:t>
            </w:r>
            <w:r>
              <w:rPr>
                <w:rFonts w:hint="default" w:ascii="Times New Roman" w:hAnsi="Times New Roman" w:cs="Times New Roman"/>
                <w:color w:val="auto"/>
                <w:sz w:val="24"/>
                <w:szCs w:val="24"/>
                <w:highlight w:val="none"/>
                <w:lang w:val="en-US" w:eastAsia="zh-CN"/>
              </w:rPr>
              <w:t>施工期禁止大风天气和雨天进行土石方开挖作业，开挖的土石方应及时回填，回填后应及时夯实覆土；施工完成后，应尽快进行绿化建设，优先选用固沙植物，覆盖的泥土应不超出绿化边界。</w:t>
            </w:r>
          </w:p>
          <w:p w14:paraId="16E67B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（2）建筑垃圾</w:t>
            </w:r>
          </w:p>
          <w:p w14:paraId="40F2032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rPr>
              <w:t>建筑垃圾主要来自拆除工程</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隘口水厂现有厂区构筑物全部推平重建、马渡关水厂</w:t>
            </w:r>
            <w:r>
              <w:rPr>
                <w:rFonts w:hint="default" w:ascii="Times New Roman" w:hAnsi="Times New Roman" w:cs="Times New Roman"/>
                <w:color w:val="auto"/>
                <w:sz w:val="24"/>
                <w:szCs w:val="32"/>
                <w:highlight w:val="none"/>
                <w:vertAlign w:val="baseline"/>
                <w:lang w:val="en-US" w:eastAsia="zh-CN"/>
              </w:rPr>
              <w:t>拆除现状学校食堂、厕所和篮球场设施等</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和新建工程，</w:t>
            </w:r>
            <w:r>
              <w:rPr>
                <w:rFonts w:hint="default" w:ascii="Times New Roman" w:hAnsi="Times New Roman" w:cs="Times New Roman"/>
                <w:color w:val="auto"/>
                <w:sz w:val="24"/>
                <w:szCs w:val="24"/>
                <w:highlight w:val="none"/>
                <w:lang w:eastAsia="zh-CN"/>
              </w:rPr>
              <w:t>包括建筑废料</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eastAsia="zh-CN"/>
              </w:rPr>
              <w:t>装修垃圾。环评要求：施工现场应设置建筑垃圾临时堆场并树立标示牌，采取进行防雨、防泄漏处理。对于施工期间产生的可回收利用的废料（如钢筋、钢板、木材等下角料）通过分类收集后交废物收购站处理；对不能回收的建筑废物不能随意倾倒，而应用编织袋包装后清运到建筑垃圾处置场。</w:t>
            </w:r>
          </w:p>
          <w:p w14:paraId="2068E30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（3）拆除设备</w:t>
            </w:r>
          </w:p>
          <w:p w14:paraId="3A91077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eastAsia="zh-CN"/>
              </w:rPr>
            </w:pPr>
            <w:r>
              <w:rPr>
                <w:rFonts w:hint="eastAsia" w:ascii="宋体" w:hAnsi="宋体" w:eastAsia="宋体" w:cs="宋体"/>
                <w:color w:val="auto"/>
                <w:sz w:val="24"/>
                <w:szCs w:val="24"/>
                <w:lang w:val="en-US" w:eastAsia="zh-CN"/>
              </w:rPr>
              <w:t>本项目隘口水厂生产系统设备全部新购，现有项目生产系统设备全部拆除，由厂家回收或外卖处理。</w:t>
            </w:r>
          </w:p>
          <w:p w14:paraId="6459022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eastAsia="zh-CN"/>
              </w:rPr>
              <w:t>）生活垃圾</w:t>
            </w:r>
          </w:p>
          <w:p w14:paraId="75A32E7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32"/>
                <w:highlight w:val="none"/>
                <w:vertAlign w:val="baseline"/>
                <w:lang w:val="en-US" w:eastAsia="zh-CN"/>
              </w:rPr>
              <w:t>隘口</w:t>
            </w:r>
            <w:r>
              <w:rPr>
                <w:rFonts w:hint="default" w:ascii="Times New Roman" w:hAnsi="Times New Roman" w:cs="Times New Roman"/>
                <w:b/>
                <w:bCs/>
                <w:color w:val="auto"/>
                <w:sz w:val="24"/>
                <w:szCs w:val="32"/>
                <w:highlight w:val="none"/>
                <w:vertAlign w:val="baseline"/>
                <w:lang w:val="en-US" w:eastAsia="zh-CN"/>
              </w:rPr>
              <w:t>水厂</w:t>
            </w:r>
          </w:p>
          <w:p w14:paraId="25752BE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施工期生活垃圾主要为施工人员办公生活过程的产生的垃圾，施工人员预计约</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eastAsia="zh-CN"/>
              </w:rPr>
              <w:t>0人，生活垃圾产生量按0.5kg/人·d计，预计产生量1</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eastAsia="zh-CN"/>
              </w:rPr>
              <w:t>kg/d，生活垃圾经袋装收集后，由环卫部门统一清运处理</w:t>
            </w:r>
            <w:r>
              <w:rPr>
                <w:rFonts w:hint="eastAsia" w:ascii="Times New Roman" w:hAnsi="Times New Roman" w:cs="Times New Roman"/>
                <w:color w:val="auto"/>
                <w:sz w:val="24"/>
                <w:szCs w:val="24"/>
                <w:highlight w:val="none"/>
                <w:lang w:eastAsia="zh-CN"/>
              </w:rPr>
              <w:t>。</w:t>
            </w:r>
          </w:p>
          <w:p w14:paraId="1989929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2）马渡关</w:t>
            </w:r>
            <w:r>
              <w:rPr>
                <w:rFonts w:hint="default" w:ascii="Times New Roman" w:hAnsi="Times New Roman" w:cs="Times New Roman"/>
                <w:b/>
                <w:bCs/>
                <w:color w:val="auto"/>
                <w:sz w:val="24"/>
                <w:szCs w:val="24"/>
                <w:highlight w:val="none"/>
                <w:lang w:val="en-US" w:eastAsia="zh-CN"/>
              </w:rPr>
              <w:t>水厂</w:t>
            </w:r>
          </w:p>
          <w:p w14:paraId="1584791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施工期生活垃圾主要为施工人员办公生活过程的产生的垃圾，施工人员预计约</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eastAsia="zh-CN"/>
              </w:rPr>
              <w:t>0人，生活垃圾产生量按0.5kg/人·d计，预计产生量</w:t>
            </w:r>
            <w:r>
              <w:rPr>
                <w:rFonts w:hint="eastAsia"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lang w:eastAsia="zh-CN"/>
              </w:rPr>
              <w:t>kg/d，生活垃圾经袋装收集后，由环卫部门统一清运处理</w:t>
            </w:r>
            <w:r>
              <w:rPr>
                <w:rFonts w:hint="eastAsia" w:ascii="Times New Roman" w:hAnsi="Times New Roman" w:cs="Times New Roman"/>
                <w:color w:val="auto"/>
                <w:sz w:val="24"/>
                <w:szCs w:val="24"/>
                <w:highlight w:val="none"/>
                <w:lang w:eastAsia="zh-CN"/>
              </w:rPr>
              <w:t>。</w:t>
            </w:r>
          </w:p>
          <w:p w14:paraId="5273CA4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val="en-US" w:eastAsia="zh-CN"/>
              </w:rPr>
              <w:t>）清管废渣</w:t>
            </w:r>
          </w:p>
          <w:p w14:paraId="47F1BA4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本项目管道施工完成试运行前对管道进行清管、试压，清管时会产生少量废渣，主要为管道内的少量灰尘和铁锈，产生的量约为</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kg/次，均属于一般固废，可交由当地环卫部门统一清运处理。</w:t>
            </w:r>
          </w:p>
          <w:p w14:paraId="434A206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5、生态环境</w:t>
            </w:r>
          </w:p>
          <w:p w14:paraId="7C44F06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eastAsia" w:ascii="Times New Roman" w:hAnsi="Times New Roman" w:cs="Times New Roman"/>
                <w:b w:val="0"/>
                <w:bCs/>
                <w:color w:val="auto"/>
                <w:sz w:val="24"/>
                <w:szCs w:val="24"/>
                <w:highlight w:val="none"/>
                <w:lang w:val="en-US" w:eastAsia="zh-CN"/>
              </w:rPr>
              <w:t>本项目</w:t>
            </w:r>
            <w:r>
              <w:rPr>
                <w:rFonts w:hint="default" w:ascii="Times New Roman" w:hAnsi="Times New Roman" w:cs="Times New Roman"/>
                <w:b w:val="0"/>
                <w:bCs/>
                <w:color w:val="auto"/>
                <w:sz w:val="24"/>
                <w:szCs w:val="24"/>
                <w:highlight w:val="none"/>
              </w:rPr>
              <w:t>包括永久占地和临时占地</w:t>
            </w:r>
            <w:r>
              <w:rPr>
                <w:rFonts w:hint="default" w:ascii="Times New Roman" w:hAnsi="Times New Roman" w:cs="Times New Roman"/>
                <w:color w:val="auto"/>
                <w:sz w:val="24"/>
                <w:szCs w:val="24"/>
                <w:highlight w:val="none"/>
                <w:lang w:eastAsia="zh-CN"/>
              </w:rPr>
              <w:t>，占地类型主要为耕地、林地、草地</w:t>
            </w:r>
            <w:r>
              <w:rPr>
                <w:rFonts w:hint="eastAsia" w:ascii="Times New Roman" w:hAnsi="Times New Roman" w:cs="Times New Roman"/>
                <w:color w:val="auto"/>
                <w:sz w:val="24"/>
                <w:szCs w:val="24"/>
                <w:highlight w:val="none"/>
                <w:lang w:val="en-US" w:eastAsia="zh-CN"/>
              </w:rPr>
              <w:t>等</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建设期间的施工作业带、</w:t>
            </w:r>
            <w:r>
              <w:rPr>
                <w:rFonts w:hint="eastAsia" w:ascii="Times New Roman" w:hAnsi="Times New Roman" w:cs="Times New Roman"/>
                <w:color w:val="auto"/>
                <w:sz w:val="24"/>
                <w:szCs w:val="24"/>
                <w:highlight w:val="none"/>
                <w:lang w:val="en-US" w:eastAsia="zh-CN"/>
              </w:rPr>
              <w:t>土石方临时</w:t>
            </w:r>
            <w:r>
              <w:rPr>
                <w:rFonts w:hint="default" w:ascii="Times New Roman" w:hAnsi="Times New Roman" w:cs="Times New Roman"/>
                <w:color w:val="auto"/>
                <w:sz w:val="24"/>
                <w:szCs w:val="24"/>
                <w:highlight w:val="none"/>
                <w:lang w:eastAsia="zh-CN"/>
              </w:rPr>
              <w:t>堆放、工程临时占地将破坏原有植被，造成一定的新增水土流失，对</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直接影响区生态环境有一定的不利影响。由于</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建设期短，不利影响很快就消失。施工结束后对破坏区域进行恢复和绿化。</w:t>
            </w:r>
          </w:p>
          <w:p w14:paraId="1011010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施工期环境影响</w:t>
            </w:r>
          </w:p>
          <w:p w14:paraId="19FE8D1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不涉水施工生态环境影响</w:t>
            </w:r>
          </w:p>
          <w:p w14:paraId="6199FF3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w:t>
            </w:r>
            <w:r>
              <w:rPr>
                <w:rFonts w:hint="eastAsia" w:ascii="Times New Roman" w:hAnsi="Times New Roman" w:cs="Times New Roman"/>
                <w:b w:val="0"/>
                <w:bCs w:val="0"/>
                <w:color w:val="auto"/>
                <w:sz w:val="24"/>
                <w:szCs w:val="24"/>
                <w:highlight w:val="none"/>
                <w:lang w:val="en-US" w:eastAsia="zh-CN"/>
              </w:rPr>
              <w:t>不涉水工程主要为</w:t>
            </w:r>
            <w:r>
              <w:rPr>
                <w:rFonts w:hint="default" w:ascii="Times New Roman" w:hAnsi="Times New Roman" w:cs="Times New Roman"/>
                <w:b w:val="0"/>
                <w:bCs w:val="0"/>
                <w:color w:val="auto"/>
                <w:sz w:val="24"/>
                <w:szCs w:val="24"/>
                <w:highlight w:val="none"/>
                <w:lang w:val="en-US" w:eastAsia="zh-CN"/>
              </w:rPr>
              <w:t>水厂</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其施工期主要生态保护对象为陆生动植物。</w:t>
            </w:r>
          </w:p>
          <w:p w14:paraId="0F00381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陆生植物：</w:t>
            </w:r>
            <w:r>
              <w:rPr>
                <w:rFonts w:hint="default" w:ascii="Times New Roman" w:hAnsi="Times New Roman" w:cs="Times New Roman"/>
                <w:color w:val="auto"/>
                <w:sz w:val="24"/>
                <w:szCs w:val="24"/>
                <w:highlight w:val="none"/>
                <w:lang w:eastAsia="zh-CN"/>
              </w:rPr>
              <w:t>经</w:t>
            </w:r>
            <w:r>
              <w:rPr>
                <w:rFonts w:hint="default" w:ascii="Times New Roman" w:hAnsi="Times New Roman" w:cs="Times New Roman"/>
                <w:color w:val="auto"/>
                <w:sz w:val="24"/>
                <w:szCs w:val="24"/>
                <w:highlight w:val="none"/>
                <w:lang w:val="en-US" w:eastAsia="zh-CN"/>
              </w:rPr>
              <w:t>调查</w:t>
            </w:r>
            <w:r>
              <w:rPr>
                <w:rFonts w:hint="default" w:ascii="Times New Roman" w:hAnsi="Times New Roman" w:cs="Times New Roman"/>
                <w:color w:val="auto"/>
                <w:sz w:val="24"/>
                <w:szCs w:val="24"/>
                <w:highlight w:val="none"/>
                <w:lang w:eastAsia="zh-CN"/>
              </w:rPr>
              <w:t>，评价范围内植被以农业栽培植被为主，零星分布有针叶林、阔叶林、竹林、灌木林等森林植被，</w:t>
            </w:r>
            <w:r>
              <w:rPr>
                <w:rFonts w:hint="default" w:ascii="Times New Roman" w:hAnsi="Times New Roman" w:cs="Times New Roman"/>
                <w:color w:val="auto"/>
                <w:sz w:val="24"/>
                <w:szCs w:val="24"/>
                <w:highlight w:val="none"/>
                <w:lang w:val="en-US" w:eastAsia="zh-CN"/>
              </w:rPr>
              <w:t>无</w:t>
            </w:r>
            <w:r>
              <w:rPr>
                <w:rFonts w:hint="default" w:ascii="Times New Roman" w:hAnsi="Times New Roman" w:cs="Times New Roman"/>
                <w:color w:val="auto"/>
                <w:sz w:val="24"/>
                <w:szCs w:val="24"/>
                <w:highlight w:val="none"/>
                <w:lang w:eastAsia="zh-CN"/>
              </w:rPr>
              <w:t>国家保护的珍稀植物分布。施工过程中，局部开挖和工程占地将导致植被遭到破坏，区域环境中绿地数量较施工前相对减少。</w:t>
            </w:r>
          </w:p>
          <w:p w14:paraId="61BD462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陆生动物：</w:t>
            </w:r>
            <w:r>
              <w:rPr>
                <w:rFonts w:hint="default" w:ascii="Times New Roman" w:hAnsi="Times New Roman" w:cs="Times New Roman"/>
                <w:color w:val="auto"/>
                <w:sz w:val="24"/>
                <w:szCs w:val="24"/>
                <w:highlight w:val="none"/>
                <w:lang w:eastAsia="zh-CN"/>
              </w:rPr>
              <w:t>经</w:t>
            </w:r>
            <w:r>
              <w:rPr>
                <w:rFonts w:hint="default" w:ascii="Times New Roman" w:hAnsi="Times New Roman" w:cs="Times New Roman"/>
                <w:color w:val="auto"/>
                <w:sz w:val="24"/>
                <w:szCs w:val="24"/>
                <w:highlight w:val="none"/>
                <w:lang w:val="en-US" w:eastAsia="zh-CN"/>
              </w:rPr>
              <w:t>调查</w:t>
            </w:r>
            <w:r>
              <w:rPr>
                <w:rFonts w:hint="default" w:ascii="Times New Roman" w:hAnsi="Times New Roman" w:cs="Times New Roman"/>
                <w:color w:val="auto"/>
                <w:sz w:val="24"/>
                <w:szCs w:val="24"/>
                <w:highlight w:val="none"/>
                <w:lang w:eastAsia="zh-CN"/>
              </w:rPr>
              <w:t>，评价</w:t>
            </w:r>
            <w:r>
              <w:rPr>
                <w:rFonts w:hint="default" w:ascii="Times New Roman" w:hAnsi="Times New Roman" w:cs="Times New Roman"/>
                <w:color w:val="auto"/>
                <w:sz w:val="24"/>
                <w:szCs w:val="24"/>
                <w:highlight w:val="none"/>
                <w:lang w:val="en-US" w:eastAsia="zh-CN"/>
              </w:rPr>
              <w:t>范围</w:t>
            </w:r>
            <w:r>
              <w:rPr>
                <w:rFonts w:hint="default" w:ascii="Times New Roman" w:hAnsi="Times New Roman" w:cs="Times New Roman"/>
                <w:color w:val="auto"/>
                <w:sz w:val="24"/>
                <w:szCs w:val="24"/>
                <w:highlight w:val="none"/>
                <w:lang w:eastAsia="zh-CN"/>
              </w:rPr>
              <w:t>内野生动物资源主要种类有麻雀、喜鹊，无国家级和省级保护的珍稀野生动物分布。工程建设开始后，随着工程的实施，将破坏施工区内现有野生动物的生存环境，使该区域的动物不得不迁移到适宜的环境中去栖息和繁衍，使该区域的动物数量呈减少趋势。</w:t>
            </w:r>
          </w:p>
          <w:p w14:paraId="3330C00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涉水施工生态环境影响</w:t>
            </w:r>
          </w:p>
          <w:p w14:paraId="6DFA51A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eastAsia="zh-CN"/>
              </w:rPr>
              <w:t>本项目涉水工程主要包括</w:t>
            </w:r>
            <w:r>
              <w:rPr>
                <w:rFonts w:hint="eastAsia" w:ascii="Times New Roman" w:hAnsi="Times New Roman" w:cs="Times New Roman"/>
                <w:b w:val="0"/>
                <w:bCs w:val="0"/>
                <w:color w:val="auto"/>
                <w:sz w:val="24"/>
                <w:szCs w:val="24"/>
                <w:highlight w:val="none"/>
                <w:lang w:val="en-US" w:eastAsia="zh-CN"/>
              </w:rPr>
              <w:t>隘口水厂和马渡关水厂取水工程</w:t>
            </w:r>
            <w:r>
              <w:rPr>
                <w:rFonts w:hint="default" w:ascii="Times New Roman" w:hAnsi="Times New Roman" w:cs="Times New Roman"/>
                <w:b w:val="0"/>
                <w:bCs w:val="0"/>
                <w:color w:val="auto"/>
                <w:sz w:val="24"/>
                <w:szCs w:val="24"/>
                <w:highlight w:val="none"/>
                <w:lang w:eastAsia="zh-CN"/>
              </w:rPr>
              <w:t>施工</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lang w:val="en-US" w:eastAsia="zh-CN"/>
              </w:rPr>
              <w:t>其施工期主要保护对象为水生生物。</w:t>
            </w:r>
          </w:p>
          <w:p w14:paraId="41D07C8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水生生物：</w:t>
            </w:r>
            <w:r>
              <w:rPr>
                <w:rFonts w:hint="default" w:ascii="Times New Roman" w:hAnsi="Times New Roman" w:cs="Times New Roman"/>
                <w:color w:val="auto"/>
                <w:sz w:val="24"/>
                <w:szCs w:val="24"/>
                <w:highlight w:val="none"/>
                <w:lang w:eastAsia="zh-CN"/>
              </w:rPr>
              <w:t>经调查，</w:t>
            </w:r>
            <w:r>
              <w:rPr>
                <w:rFonts w:hint="default" w:ascii="Times New Roman" w:hAnsi="Times New Roman" w:cs="Times New Roman"/>
                <w:b w:val="0"/>
                <w:bCs w:val="0"/>
                <w:color w:val="auto"/>
                <w:sz w:val="24"/>
                <w:szCs w:val="24"/>
                <w:highlight w:val="none"/>
                <w:lang w:val="en-US" w:eastAsia="zh-CN"/>
              </w:rPr>
              <w:t>取水口</w:t>
            </w:r>
            <w:r>
              <w:rPr>
                <w:rFonts w:hint="eastAsia" w:ascii="Times New Roman" w:hAnsi="Times New Roman" w:cs="Times New Roman"/>
                <w:b w:val="0"/>
                <w:bCs w:val="0"/>
                <w:color w:val="auto"/>
                <w:sz w:val="24"/>
                <w:szCs w:val="24"/>
                <w:highlight w:val="none"/>
                <w:lang w:val="en-US" w:eastAsia="zh-CN"/>
              </w:rPr>
              <w:t>区域无</w:t>
            </w:r>
            <w:r>
              <w:rPr>
                <w:rFonts w:hint="default" w:ascii="Times New Roman" w:hAnsi="Times New Roman" w:cs="Times New Roman"/>
                <w:color w:val="auto"/>
                <w:sz w:val="24"/>
                <w:szCs w:val="24"/>
                <w:highlight w:val="none"/>
                <w:lang w:eastAsia="zh-CN"/>
              </w:rPr>
              <w:t>珍稀保护水生物和</w:t>
            </w:r>
            <w:r>
              <w:rPr>
                <w:rFonts w:hint="default" w:ascii="Times New Roman" w:hAnsi="Times New Roman" w:cs="Times New Roman"/>
                <w:color w:val="auto"/>
                <w:sz w:val="24"/>
                <w:szCs w:val="24"/>
                <w:highlight w:val="none"/>
                <w:lang w:val="en-US" w:eastAsia="zh-CN"/>
              </w:rPr>
              <w:t>鱼</w:t>
            </w:r>
            <w:r>
              <w:rPr>
                <w:rFonts w:hint="default" w:ascii="Times New Roman" w:hAnsi="Times New Roman" w:cs="Times New Roman"/>
                <w:color w:val="auto"/>
                <w:sz w:val="24"/>
                <w:szCs w:val="24"/>
                <w:highlight w:val="none"/>
                <w:lang w:eastAsia="zh-CN"/>
              </w:rPr>
              <w:t>类，水生</w:t>
            </w:r>
            <w:r>
              <w:rPr>
                <w:rFonts w:hint="default" w:ascii="Times New Roman" w:hAnsi="Times New Roman" w:cs="Times New Roman"/>
                <w:color w:val="auto"/>
                <w:sz w:val="24"/>
                <w:szCs w:val="24"/>
                <w:highlight w:val="none"/>
                <w:lang w:val="en-US" w:eastAsia="zh-CN"/>
              </w:rPr>
              <w:t>植物</w:t>
            </w:r>
            <w:r>
              <w:rPr>
                <w:rFonts w:hint="default" w:ascii="Times New Roman" w:hAnsi="Times New Roman" w:cs="Times New Roman"/>
                <w:color w:val="auto"/>
                <w:sz w:val="24"/>
                <w:szCs w:val="24"/>
                <w:highlight w:val="none"/>
                <w:lang w:eastAsia="zh-CN"/>
              </w:rPr>
              <w:t>以南方常见水生植被藻类及水草等为主，水生动物以常见鱼类为主，也没有重要保护湿地，且项目取水是在满足河道生态环境用水的前提下进行，因此本项目取水对水生生物生存环境影响</w:t>
            </w:r>
            <w:r>
              <w:rPr>
                <w:rFonts w:hint="default" w:ascii="Times New Roman" w:hAnsi="Times New Roman" w:cs="Times New Roman"/>
                <w:color w:val="auto"/>
                <w:sz w:val="24"/>
                <w:szCs w:val="24"/>
                <w:highlight w:val="none"/>
                <w:lang w:val="en-US" w:eastAsia="zh-CN"/>
              </w:rPr>
              <w:t>较小</w:t>
            </w:r>
            <w:r>
              <w:rPr>
                <w:rFonts w:hint="default" w:ascii="Times New Roman" w:hAnsi="Times New Roman" w:cs="Times New Roman"/>
                <w:color w:val="auto"/>
                <w:sz w:val="24"/>
                <w:szCs w:val="24"/>
                <w:highlight w:val="none"/>
                <w:lang w:eastAsia="zh-CN"/>
              </w:rPr>
              <w:t>。</w:t>
            </w:r>
          </w:p>
          <w:p w14:paraId="381C824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施工期生态环境保护措施</w:t>
            </w:r>
          </w:p>
          <w:p w14:paraId="70782E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为防止施工期水土流失，环评要求施工阶段应采取以下措施：</w:t>
            </w:r>
          </w:p>
          <w:p w14:paraId="57999D5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①严格按照《中华人民共和国水土保持法》等有关法律法规以及当地有关部门的要求进行施工。</w:t>
            </w:r>
          </w:p>
          <w:p w14:paraId="0DFE397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②严格遵守环保法律法规，加强施工人员环保意识；科学合理的安排施工进度与时序，严格控制开挖施工作业面。</w:t>
            </w:r>
          </w:p>
          <w:p w14:paraId="5AC04EB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③严格控制施工作业范围，合理安排施工进度，减少施工裸露面的暴露时间。</w:t>
            </w:r>
          </w:p>
          <w:p w14:paraId="12696DB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④为防止雨水、地表径流对堆料场和渣（土）体的冲刷，应对临时堆土、裸土采取覆盖、拦挡措施，避免雨水冲刷造成水土流失。</w:t>
            </w:r>
          </w:p>
          <w:p w14:paraId="7732552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⑤避免雨季进行挖填方作业，土石方及时回填，回填后及时夯实覆土，弃方及时清运。</w:t>
            </w:r>
          </w:p>
          <w:p w14:paraId="45A29DC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⑥施工完成后，做好施工迹地的恢复工作。</w:t>
            </w:r>
          </w:p>
          <w:p w14:paraId="77C2B8A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⑦在施工作业带建排水沟，防止雨水冲刷场地，并在排水沟出口设沉淀池，使雨水经沉淀池沉清后回用，尽力减少施工期水土流失。</w:t>
            </w:r>
          </w:p>
          <w:p w14:paraId="76D8EF2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⑧严格限值施工作业带宽度，禁止在施工作业带以外施工、加强野生动植物保护措施，禁止捕猎野生动物、禁止捕鱼。</w:t>
            </w:r>
          </w:p>
          <w:p w14:paraId="287166E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⑨</w:t>
            </w:r>
            <w:r>
              <w:rPr>
                <w:rFonts w:hint="default" w:ascii="Times New Roman" w:hAnsi="Times New Roman" w:cs="Times New Roman"/>
                <w:color w:val="auto"/>
                <w:sz w:val="24"/>
                <w:szCs w:val="24"/>
                <w:highlight w:val="none"/>
                <w:lang w:eastAsia="zh-CN"/>
              </w:rPr>
              <w:t>做好表层土剥离、暂存工作，施工结束后及时进行回铺表土、撒草绿化等，所选草种应具有抗逆性强、保土性好、生长快的特点，最大限度保护和恢复植被。</w:t>
            </w:r>
          </w:p>
          <w:p w14:paraId="110CE32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⑩项目取水工程施工和</w:t>
            </w:r>
            <w:r>
              <w:rPr>
                <w:rFonts w:hint="eastAsia" w:ascii="Times New Roman" w:hAnsi="Times New Roman" w:cs="Times New Roman"/>
                <w:color w:val="auto"/>
                <w:sz w:val="24"/>
                <w:szCs w:val="24"/>
                <w:highlight w:val="none"/>
                <w:lang w:val="en-US" w:eastAsia="zh-CN"/>
              </w:rPr>
              <w:t>取</w:t>
            </w:r>
            <w:r>
              <w:rPr>
                <w:rFonts w:hint="default" w:ascii="Times New Roman" w:hAnsi="Times New Roman" w:cs="Times New Roman"/>
                <w:color w:val="auto"/>
                <w:sz w:val="24"/>
                <w:szCs w:val="24"/>
                <w:highlight w:val="none"/>
                <w:lang w:val="en-US" w:eastAsia="zh-CN"/>
              </w:rPr>
              <w:t>水管线施工过程中，临近</w:t>
            </w:r>
            <w:r>
              <w:rPr>
                <w:rFonts w:hint="eastAsia" w:ascii="Times New Roman" w:hAnsi="Times New Roman" w:cs="Times New Roman"/>
                <w:color w:val="auto"/>
                <w:sz w:val="24"/>
                <w:szCs w:val="24"/>
                <w:highlight w:val="none"/>
                <w:lang w:val="en-US" w:eastAsia="zh-CN"/>
              </w:rPr>
              <w:t>河流</w:t>
            </w:r>
            <w:r>
              <w:rPr>
                <w:rFonts w:hint="default" w:ascii="Times New Roman" w:hAnsi="Times New Roman" w:cs="Times New Roman"/>
                <w:color w:val="auto"/>
                <w:sz w:val="24"/>
                <w:szCs w:val="24"/>
                <w:highlight w:val="none"/>
                <w:lang w:val="en-US" w:eastAsia="zh-CN"/>
              </w:rPr>
              <w:t>，本环评要求临河施工过程中，在施工现场设置排水沟、设立警示牌、尽量避免下雨施工，防止雨水冲刷施工场；施工单位应随时跟踪气象预报，事先了解降雨时间和特点，以便在降雨前将施工点的泥土清运、填铺的路面压实，并做好防护措施；雨季施工要做好场地的排水工作，保持排水系统的畅通。环评要求注意邻近路段的渣土禁止入河，堵塞河道，导致下游地表径流减少。</w:t>
            </w:r>
          </w:p>
          <w:p w14:paraId="5A9B046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本项目施工过程中，将对原有地形地貌、土壤植被等产生一定的破坏，导致施工场地附近土壤结构破坏，林地退化，降低了表层土壤的抗蚀性，造成新的水土流失，本</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eastAsia="zh-CN"/>
              </w:rPr>
              <w:t>虽然采取了一系列防护措施，但施工期间还是会对周边区域生态环境和自然景观造成一定程度的影响。</w:t>
            </w:r>
          </w:p>
          <w:p w14:paraId="6523C52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eastAsia="zh-CN"/>
              </w:rPr>
              <w:t>项目施工结束后，会对临时占地进行生态恢复，故本项目施工占地对地表植被的影响是暂时的</w:t>
            </w:r>
            <w:r>
              <w:rPr>
                <w:rFonts w:hint="eastAsia" w:ascii="Times New Roman" w:hAnsi="Times New Roman" w:cs="Times New Roman"/>
                <w:color w:val="auto"/>
                <w:sz w:val="24"/>
                <w:szCs w:val="24"/>
                <w:highlight w:val="none"/>
                <w:lang w:eastAsia="zh-CN"/>
              </w:rPr>
              <w:t>。</w:t>
            </w:r>
          </w:p>
          <w:p w14:paraId="242E6F0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rPr>
              <w:t>综上，项目施工期对环境产生的“三废”及噪声影响，均为短期的。建设单位和施工单位在施工过程中切实落实对施工产生的扬尘、</w:t>
            </w:r>
            <w:r>
              <w:rPr>
                <w:rFonts w:hint="default" w:ascii="Times New Roman" w:hAnsi="Times New Roman" w:cs="Times New Roman"/>
                <w:b/>
                <w:bCs/>
                <w:color w:val="auto"/>
                <w:sz w:val="24"/>
                <w:szCs w:val="24"/>
                <w:highlight w:val="none"/>
                <w:lang w:val="en-US" w:eastAsia="zh-CN"/>
              </w:rPr>
              <w:t>废水、</w:t>
            </w:r>
            <w:r>
              <w:rPr>
                <w:rFonts w:hint="default" w:ascii="Times New Roman" w:hAnsi="Times New Roman" w:cs="Times New Roman"/>
                <w:b/>
                <w:bCs/>
                <w:color w:val="auto"/>
                <w:sz w:val="24"/>
                <w:szCs w:val="24"/>
                <w:highlight w:val="none"/>
              </w:rPr>
              <w:t>噪声、固体废物的管理和控制措施，施工期的负面环境影响得到有效控制。</w:t>
            </w:r>
          </w:p>
          <w:p w14:paraId="270E813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lang w:val="en-US" w:eastAsia="zh-CN"/>
              </w:rPr>
              <w:t>、施工交通影响分析</w:t>
            </w:r>
          </w:p>
          <w:p w14:paraId="1F80F93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管网工程施工期社会影响主要表现在对交通的影响。管网施工路段</w:t>
            </w:r>
            <w:r>
              <w:rPr>
                <w:rFonts w:hint="default" w:ascii="Times New Roman" w:hAnsi="Times New Roman" w:cs="Times New Roman"/>
                <w:color w:val="auto"/>
                <w:sz w:val="24"/>
                <w:szCs w:val="24"/>
                <w:highlight w:val="none"/>
                <w:lang w:val="en-US" w:eastAsia="zh-CN"/>
              </w:rPr>
              <w:t>主要沿道路</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桥梁</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lang w:val="en-US" w:eastAsia="zh-CN"/>
              </w:rPr>
              <w:t>多数</w:t>
            </w:r>
            <w:r>
              <w:rPr>
                <w:rFonts w:hint="default" w:ascii="Times New Roman" w:hAnsi="Times New Roman" w:cs="Times New Roman"/>
                <w:color w:val="auto"/>
                <w:sz w:val="24"/>
                <w:szCs w:val="24"/>
                <w:highlight w:val="none"/>
                <w:lang w:eastAsia="zh-CN"/>
              </w:rPr>
              <w:t>集镇居民集中区，管网施工对已建公路将产生交通阻碍影响；管网施工过程中土方的临时堆置和开挖阻碍居民交通出行，管网施工材料运输车辆的增加使道路上的车流量增大，阻碍区域交通出行，虽然采取分段施工方法，但在工程施工过程中对管网施工沿线道路的交通仍将产生一定的不利影响，应尽量分段施工，尽快完成开挖、回填，要注意设置临时便道，并配设交通警示标志；材料运输应避免交通高峰期，减轻交通道路车流压力。建筑材料的运输应避开交通高峰期，或在夜间进行，以减少交通堵塞，降低对居民出行的影响。</w:t>
            </w:r>
          </w:p>
        </w:tc>
      </w:tr>
      <w:tr w14:paraId="7A52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 w:type="pct"/>
            <w:vAlign w:val="center"/>
          </w:tcPr>
          <w:p w14:paraId="2DDD97E0">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运营</w:t>
            </w:r>
          </w:p>
          <w:p w14:paraId="0715B6CE">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14:paraId="6CB7CDB3">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境影</w:t>
            </w:r>
          </w:p>
          <w:p w14:paraId="4A0DA59F">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响和</w:t>
            </w:r>
          </w:p>
          <w:p w14:paraId="5E5C1F40">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保护</w:t>
            </w:r>
          </w:p>
          <w:p w14:paraId="27F9247D">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措施</w:t>
            </w:r>
          </w:p>
        </w:tc>
        <w:tc>
          <w:tcPr>
            <w:tcW w:w="4766" w:type="pct"/>
          </w:tcPr>
          <w:p w14:paraId="3464F7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一</w:t>
            </w:r>
            <w:r>
              <w:rPr>
                <w:rFonts w:hint="default" w:ascii="Times New Roman" w:hAnsi="Times New Roman" w:cs="Times New Roman"/>
                <w:b/>
                <w:bCs/>
                <w:color w:val="auto"/>
                <w:sz w:val="24"/>
                <w:szCs w:val="24"/>
                <w:highlight w:val="none"/>
                <w:lang w:val="en-US" w:eastAsia="zh-CN"/>
              </w:rPr>
              <w:t>、废水</w:t>
            </w:r>
          </w:p>
          <w:p w14:paraId="129F49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1、隘口水厂</w:t>
            </w:r>
          </w:p>
          <w:p w14:paraId="52B1DCF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（1）产排污环节、类别、污染物种类、产生量核算</w:t>
            </w:r>
          </w:p>
          <w:p w14:paraId="186B06D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w:t>
            </w:r>
            <w:r>
              <w:rPr>
                <w:rFonts w:hint="eastAsia" w:ascii="Times New Roman" w:hAnsi="Times New Roman" w:cs="Times New Roman"/>
                <w:b/>
                <w:bCs/>
                <w:color w:val="auto"/>
                <w:sz w:val="24"/>
                <w:szCs w:val="24"/>
                <w:highlight w:val="none"/>
                <w:lang w:val="en-US" w:eastAsia="zh-CN"/>
              </w:rPr>
              <w:t>办公</w:t>
            </w:r>
            <w:r>
              <w:rPr>
                <w:rFonts w:hint="default" w:ascii="Times New Roman" w:hAnsi="Times New Roman" w:cs="Times New Roman"/>
                <w:b/>
                <w:bCs/>
                <w:color w:val="auto"/>
                <w:sz w:val="24"/>
                <w:szCs w:val="24"/>
                <w:highlight w:val="none"/>
                <w:lang w:val="en-US" w:eastAsia="zh-CN"/>
              </w:rPr>
              <w:t>生活污水</w:t>
            </w:r>
          </w:p>
          <w:p w14:paraId="06F2652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eastAsia" w:ascii="Times New Roman" w:hAnsi="Times New Roman" w:cs="Times New Roman"/>
                <w:b w:val="0"/>
                <w:bCs w:val="0"/>
                <w:color w:val="auto"/>
                <w:sz w:val="24"/>
                <w:szCs w:val="24"/>
                <w:highlight w:val="none"/>
                <w:lang w:val="en-US" w:eastAsia="zh-CN"/>
              </w:rPr>
              <w:t>隘口水厂</w:t>
            </w:r>
            <w:r>
              <w:rPr>
                <w:rFonts w:hint="default" w:ascii="Times New Roman" w:hAnsi="Times New Roman" w:cs="Times New Roman"/>
                <w:color w:val="auto"/>
                <w:sz w:val="24"/>
                <w:szCs w:val="24"/>
                <w:highlight w:val="none"/>
                <w:vertAlign w:val="baseline"/>
                <w:lang w:val="en-US" w:eastAsia="zh-CN"/>
              </w:rPr>
              <w:t>员工人数为</w:t>
            </w:r>
            <w:r>
              <w:rPr>
                <w:rFonts w:hint="eastAsia" w:ascii="Times New Roman" w:hAnsi="Times New Roman" w:cs="Times New Roman"/>
                <w:color w:val="auto"/>
                <w:sz w:val="24"/>
                <w:szCs w:val="24"/>
                <w:highlight w:val="none"/>
                <w:vertAlign w:val="baseline"/>
                <w:lang w:val="en-US" w:eastAsia="zh-CN"/>
              </w:rPr>
              <w:t>4</w:t>
            </w:r>
            <w:r>
              <w:rPr>
                <w:rFonts w:hint="default" w:ascii="Times New Roman" w:hAnsi="Times New Roman" w:cs="Times New Roman"/>
                <w:color w:val="auto"/>
                <w:sz w:val="24"/>
                <w:szCs w:val="24"/>
                <w:highlight w:val="none"/>
                <w:vertAlign w:val="baseline"/>
                <w:lang w:val="en-US" w:eastAsia="zh-CN"/>
              </w:rPr>
              <w:t>人，根据《四川省用水定额》（川府函〔2021〕8号）中表5农村居民生活用水定额表，用水量按60L/人·d计，则办公生活用水量为0.</w:t>
            </w:r>
            <w:r>
              <w:rPr>
                <w:rFonts w:hint="eastAsia" w:ascii="Times New Roman" w:hAnsi="Times New Roman" w:cs="Times New Roman"/>
                <w:color w:val="auto"/>
                <w:sz w:val="24"/>
                <w:szCs w:val="24"/>
                <w:highlight w:val="none"/>
                <w:vertAlign w:val="baseline"/>
                <w:lang w:val="en-US" w:eastAsia="zh-CN"/>
              </w:rPr>
              <w:t>24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产</w:t>
            </w:r>
            <w:r>
              <w:rPr>
                <w:rFonts w:hint="eastAsia" w:ascii="Times New Roman" w:hAnsi="Times New Roman" w:cs="Times New Roman"/>
                <w:color w:val="auto"/>
                <w:sz w:val="24"/>
                <w:szCs w:val="24"/>
                <w:highlight w:val="none"/>
                <w:lang w:val="en-US" w:eastAsia="zh-CN"/>
              </w:rPr>
              <w:t>污</w:t>
            </w:r>
            <w:r>
              <w:rPr>
                <w:rFonts w:hint="default" w:ascii="Times New Roman" w:hAnsi="Times New Roman" w:cs="Times New Roman"/>
                <w:color w:val="auto"/>
                <w:sz w:val="24"/>
                <w:szCs w:val="24"/>
                <w:highlight w:val="none"/>
              </w:rPr>
              <w:t>系数取0.85，</w:t>
            </w:r>
            <w:r>
              <w:rPr>
                <w:rFonts w:hint="default" w:ascii="Times New Roman" w:hAnsi="Times New Roman" w:cs="Times New Roman"/>
                <w:color w:val="auto"/>
                <w:kern w:val="24"/>
                <w:sz w:val="24"/>
                <w:szCs w:val="24"/>
                <w:highlight w:val="none"/>
              </w:rPr>
              <w:t>则</w:t>
            </w:r>
            <w:r>
              <w:rPr>
                <w:rFonts w:hint="eastAsia" w:ascii="Times New Roman" w:hAnsi="Times New Roman" w:cs="Times New Roman"/>
                <w:color w:val="auto"/>
                <w:kern w:val="24"/>
                <w:sz w:val="24"/>
                <w:szCs w:val="24"/>
                <w:highlight w:val="none"/>
                <w:lang w:val="en-US" w:eastAsia="zh-CN"/>
              </w:rPr>
              <w:t>办公</w:t>
            </w:r>
            <w:r>
              <w:rPr>
                <w:rFonts w:hint="default" w:ascii="Times New Roman" w:hAnsi="Times New Roman" w:cs="Times New Roman"/>
                <w:color w:val="auto"/>
                <w:kern w:val="24"/>
                <w:sz w:val="24"/>
                <w:szCs w:val="24"/>
                <w:highlight w:val="none"/>
              </w:rPr>
              <w:t>生活污水产生量约</w:t>
            </w:r>
            <w:r>
              <w:rPr>
                <w:rFonts w:hint="eastAsia" w:ascii="Times New Roman" w:hAnsi="Times New Roman" w:cs="Times New Roman"/>
                <w:color w:val="auto"/>
                <w:kern w:val="24"/>
                <w:sz w:val="24"/>
                <w:szCs w:val="24"/>
                <w:highlight w:val="none"/>
                <w:lang w:val="en-US" w:eastAsia="zh-CN"/>
              </w:rPr>
              <w:t>0.204</w:t>
            </w:r>
            <w:r>
              <w:rPr>
                <w:rFonts w:hint="default" w:ascii="Times New Roman" w:hAnsi="Times New Roman" w:cs="Times New Roman"/>
                <w:color w:val="auto"/>
                <w:kern w:val="24"/>
                <w:sz w:val="24"/>
                <w:szCs w:val="24"/>
                <w:highlight w:val="none"/>
              </w:rPr>
              <w:t>m</w:t>
            </w:r>
            <w:r>
              <w:rPr>
                <w:rFonts w:hint="default" w:ascii="Times New Roman" w:hAnsi="Times New Roman" w:cs="Times New Roman"/>
                <w:color w:val="auto"/>
                <w:kern w:val="24"/>
                <w:sz w:val="24"/>
                <w:szCs w:val="24"/>
                <w:highlight w:val="none"/>
                <w:vertAlign w:val="superscript"/>
              </w:rPr>
              <w:t>3</w:t>
            </w:r>
            <w:r>
              <w:rPr>
                <w:rFonts w:hint="default" w:ascii="Times New Roman" w:hAnsi="Times New Roman" w:cs="Times New Roman"/>
                <w:color w:val="auto"/>
                <w:kern w:val="24"/>
                <w:sz w:val="24"/>
                <w:szCs w:val="24"/>
                <w:highlight w:val="none"/>
              </w:rPr>
              <w:t>/d</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74.46</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eastAsia="zh-CN"/>
              </w:rPr>
              <w:t>根据《排放源统计调查产排污核算方法和系数手册》（公告2021年第24号）中“生活源产排污核算方法和系数手册”，主要污染物浓度COD：325mg/L、BOD</w:t>
            </w:r>
            <w:r>
              <w:rPr>
                <w:rFonts w:hint="default" w:ascii="Times New Roman" w:hAnsi="Times New Roman" w:cs="Times New Roman"/>
                <w:color w:val="auto"/>
                <w:sz w:val="24"/>
                <w:szCs w:val="24"/>
                <w:highlight w:val="none"/>
                <w:vertAlign w:val="subscript"/>
                <w:lang w:eastAsia="zh-CN"/>
              </w:rPr>
              <w:t>5</w:t>
            </w:r>
            <w:r>
              <w:rPr>
                <w:rFonts w:hint="default" w:ascii="Times New Roman" w:hAnsi="Times New Roman" w:cs="Times New Roman"/>
                <w:color w:val="auto"/>
                <w:sz w:val="24"/>
                <w:szCs w:val="24"/>
                <w:highlight w:val="none"/>
                <w:lang w:eastAsia="zh-CN"/>
              </w:rPr>
              <w:t>：140mg/L、SS：200mg/L、NH</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lang w:eastAsia="zh-CN"/>
              </w:rPr>
              <w:t>-N：37.7mg/L、TP：4.28mg/L，则</w:t>
            </w:r>
            <w:r>
              <w:rPr>
                <w:rFonts w:hint="eastAsia" w:ascii="Times New Roman" w:hAnsi="Times New Roman" w:cs="Times New Roman"/>
                <w:color w:val="auto"/>
                <w:sz w:val="24"/>
                <w:szCs w:val="24"/>
                <w:highlight w:val="none"/>
                <w:lang w:val="en-US" w:eastAsia="zh-CN"/>
              </w:rPr>
              <w:t>办公</w:t>
            </w:r>
            <w:r>
              <w:rPr>
                <w:rFonts w:hint="default" w:ascii="Times New Roman" w:hAnsi="Times New Roman" w:cs="Times New Roman"/>
                <w:color w:val="auto"/>
                <w:sz w:val="24"/>
                <w:szCs w:val="24"/>
                <w:highlight w:val="none"/>
                <w:lang w:eastAsia="zh-CN"/>
              </w:rPr>
              <w:t>生活污水产生源强见下表：</w:t>
            </w:r>
          </w:p>
          <w:p w14:paraId="5F021FE3">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3 办公</w:t>
            </w:r>
            <w:r>
              <w:rPr>
                <w:rFonts w:hint="default" w:ascii="Times New Roman" w:hAnsi="Times New Roman" w:eastAsia="黑体" w:cs="Times New Roman"/>
                <w:b w:val="0"/>
                <w:bCs/>
                <w:color w:val="auto"/>
                <w:kern w:val="2"/>
                <w:sz w:val="21"/>
                <w:szCs w:val="21"/>
                <w:highlight w:val="none"/>
                <w:lang w:val="en-US" w:eastAsia="zh-CN" w:bidi="ar-SA"/>
              </w:rPr>
              <w:t>生活污水产排污环节、类别、污染物种类、产生量</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709"/>
              <w:gridCol w:w="1273"/>
              <w:gridCol w:w="1597"/>
              <w:gridCol w:w="1760"/>
              <w:gridCol w:w="1760"/>
            </w:tblGrid>
            <w:tr w14:paraId="1AAD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restart"/>
                  <w:vAlign w:val="center"/>
                </w:tcPr>
                <w:p w14:paraId="2CC69AE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废水产污环节</w:t>
                  </w:r>
                </w:p>
              </w:tc>
              <w:tc>
                <w:tcPr>
                  <w:tcW w:w="921" w:type="pct"/>
                  <w:vMerge w:val="restart"/>
                  <w:vAlign w:val="center"/>
                </w:tcPr>
                <w:p w14:paraId="162D739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废水类别</w:t>
                  </w:r>
                </w:p>
              </w:tc>
              <w:tc>
                <w:tcPr>
                  <w:tcW w:w="686" w:type="pct"/>
                  <w:vMerge w:val="restart"/>
                  <w:vAlign w:val="center"/>
                </w:tcPr>
                <w:p w14:paraId="27C56FD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废水量（m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a</w:t>
                  </w:r>
                  <w:r>
                    <w:rPr>
                      <w:rFonts w:hint="default" w:ascii="Times New Roman" w:hAnsi="Times New Roman" w:eastAsia="宋体" w:cs="Times New Roman"/>
                      <w:b/>
                      <w:bCs/>
                      <w:color w:val="auto"/>
                      <w:sz w:val="21"/>
                      <w:szCs w:val="21"/>
                      <w:highlight w:val="none"/>
                      <w:lang w:val="en-US" w:eastAsia="zh-CN"/>
                    </w:rPr>
                    <w:t>）</w:t>
                  </w:r>
                </w:p>
              </w:tc>
              <w:tc>
                <w:tcPr>
                  <w:tcW w:w="860" w:type="pct"/>
                  <w:vMerge w:val="restart"/>
                  <w:vAlign w:val="center"/>
                </w:tcPr>
                <w:p w14:paraId="08A1CB3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污染物种类</w:t>
                  </w:r>
                </w:p>
              </w:tc>
              <w:tc>
                <w:tcPr>
                  <w:tcW w:w="1897" w:type="pct"/>
                  <w:gridSpan w:val="2"/>
                  <w:vAlign w:val="center"/>
                </w:tcPr>
                <w:p w14:paraId="279E321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污染物产生量</w:t>
                  </w:r>
                </w:p>
              </w:tc>
            </w:tr>
            <w:tr w14:paraId="2571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472A683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921" w:type="pct"/>
                  <w:vMerge w:val="continue"/>
                  <w:vAlign w:val="center"/>
                </w:tcPr>
                <w:p w14:paraId="46F469C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686" w:type="pct"/>
                  <w:vMerge w:val="continue"/>
                  <w:vAlign w:val="center"/>
                </w:tcPr>
                <w:p w14:paraId="1D5B140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860" w:type="pct"/>
                  <w:vMerge w:val="continue"/>
                  <w:vAlign w:val="center"/>
                </w:tcPr>
                <w:p w14:paraId="6D4FC29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948" w:type="pct"/>
                  <w:vAlign w:val="center"/>
                </w:tcPr>
                <w:p w14:paraId="2D3BE47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浓度（mg/L）</w:t>
                  </w:r>
                </w:p>
              </w:tc>
              <w:tc>
                <w:tcPr>
                  <w:tcW w:w="948" w:type="pct"/>
                  <w:vAlign w:val="center"/>
                </w:tcPr>
                <w:p w14:paraId="621262B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产生量（t/a）</w:t>
                  </w:r>
                </w:p>
              </w:tc>
            </w:tr>
            <w:tr w14:paraId="44F1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restart"/>
                  <w:vAlign w:val="center"/>
                </w:tcPr>
                <w:p w14:paraId="05254ED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值班人员</w:t>
                  </w:r>
                </w:p>
              </w:tc>
              <w:tc>
                <w:tcPr>
                  <w:tcW w:w="921" w:type="pct"/>
                  <w:vMerge w:val="restart"/>
                  <w:vAlign w:val="center"/>
                </w:tcPr>
                <w:p w14:paraId="038DEDC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办公生活污水</w:t>
                  </w:r>
                </w:p>
              </w:tc>
              <w:tc>
                <w:tcPr>
                  <w:tcW w:w="686" w:type="pct"/>
                  <w:vMerge w:val="restart"/>
                  <w:vAlign w:val="center"/>
                </w:tcPr>
                <w:p w14:paraId="2936AAB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74.46</w:t>
                  </w:r>
                </w:p>
              </w:tc>
              <w:tc>
                <w:tcPr>
                  <w:tcW w:w="860" w:type="pct"/>
                  <w:vAlign w:val="center"/>
                </w:tcPr>
                <w:p w14:paraId="58BDA77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948" w:type="pct"/>
                  <w:vAlign w:val="center"/>
                </w:tcPr>
                <w:p w14:paraId="027A44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325</w:t>
                  </w:r>
                </w:p>
              </w:tc>
              <w:tc>
                <w:tcPr>
                  <w:tcW w:w="948" w:type="pct"/>
                  <w:vAlign w:val="center"/>
                </w:tcPr>
                <w:p w14:paraId="027B7D5E">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ascii="Times New Roman" w:hAnsi="Times New Roman" w:eastAsia="宋体" w:cs="Times New Roman"/>
                      <w:i w:val="0"/>
                      <w:iCs w:val="0"/>
                      <w:color w:val="000000"/>
                      <w:kern w:val="0"/>
                      <w:sz w:val="21"/>
                      <w:szCs w:val="21"/>
                      <w:u w:val="none"/>
                      <w:lang w:val="en-US" w:eastAsia="zh-CN" w:bidi="ar"/>
                    </w:rPr>
                    <w:t>4</w:t>
                  </w:r>
                </w:p>
              </w:tc>
            </w:tr>
            <w:tr w14:paraId="27BC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4040904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1F1876D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6A5F715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7A43385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948" w:type="pct"/>
                  <w:vAlign w:val="center"/>
                </w:tcPr>
                <w:p w14:paraId="1DCE07A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w:t>
                  </w:r>
                </w:p>
              </w:tc>
              <w:tc>
                <w:tcPr>
                  <w:tcW w:w="948" w:type="pct"/>
                  <w:vAlign w:val="center"/>
                </w:tcPr>
                <w:p w14:paraId="046ECA3D">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ascii="Times New Roman" w:hAnsi="Times New Roman" w:eastAsia="宋体" w:cs="Times New Roman"/>
                      <w:i w:val="0"/>
                      <w:iCs w:val="0"/>
                      <w:color w:val="000000"/>
                      <w:kern w:val="0"/>
                      <w:sz w:val="21"/>
                      <w:szCs w:val="21"/>
                      <w:u w:val="none"/>
                      <w:lang w:val="en-US" w:eastAsia="zh-CN" w:bidi="ar"/>
                    </w:rPr>
                    <w:t>0</w:t>
                  </w:r>
                </w:p>
              </w:tc>
            </w:tr>
            <w:tr w14:paraId="16C9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22334C8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435731C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2F7503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5FB72AA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948" w:type="pct"/>
                  <w:vAlign w:val="center"/>
                </w:tcPr>
                <w:p w14:paraId="4F3A94E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948" w:type="pct"/>
                  <w:vAlign w:val="center"/>
                </w:tcPr>
                <w:p w14:paraId="640BB6B2">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ascii="Times New Roman" w:hAnsi="Times New Roman" w:eastAsia="宋体" w:cs="Times New Roman"/>
                      <w:i w:val="0"/>
                      <w:iCs w:val="0"/>
                      <w:color w:val="000000"/>
                      <w:kern w:val="0"/>
                      <w:sz w:val="21"/>
                      <w:szCs w:val="21"/>
                      <w:u w:val="none"/>
                      <w:lang w:val="en-US" w:eastAsia="zh-CN" w:bidi="ar"/>
                    </w:rPr>
                    <w:t>5</w:t>
                  </w:r>
                </w:p>
              </w:tc>
            </w:tr>
            <w:tr w14:paraId="293B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0E2ABFE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22D92EE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4E15E13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2FDAB97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948" w:type="pct"/>
                  <w:vAlign w:val="center"/>
                </w:tcPr>
                <w:p w14:paraId="0B35AE4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37.7</w:t>
                  </w:r>
                </w:p>
              </w:tc>
              <w:tc>
                <w:tcPr>
                  <w:tcW w:w="948" w:type="pct"/>
                  <w:vAlign w:val="center"/>
                </w:tcPr>
                <w:p w14:paraId="2C22AE5E">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r>
            <w:tr w14:paraId="190A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23B367A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1CF6179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1F2F737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1F5F6E1D">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w:t>
                  </w:r>
                </w:p>
              </w:tc>
              <w:tc>
                <w:tcPr>
                  <w:tcW w:w="948" w:type="pct"/>
                  <w:vAlign w:val="center"/>
                </w:tcPr>
                <w:p w14:paraId="7F320BA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4.28</w:t>
                  </w:r>
                </w:p>
              </w:tc>
              <w:tc>
                <w:tcPr>
                  <w:tcW w:w="948" w:type="pct"/>
                  <w:vAlign w:val="center"/>
                </w:tcPr>
                <w:p w14:paraId="1337A404">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3</w:t>
                  </w:r>
                </w:p>
              </w:tc>
            </w:tr>
          </w:tbl>
          <w:p w14:paraId="274AC0D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w:t>
            </w:r>
            <w:r>
              <w:rPr>
                <w:rFonts w:hint="default" w:ascii="Times New Roman" w:hAnsi="Times New Roman" w:cs="Times New Roman"/>
                <w:b/>
                <w:bCs/>
                <w:color w:val="auto"/>
                <w:sz w:val="24"/>
                <w:szCs w:val="24"/>
                <w:highlight w:val="none"/>
                <w:vertAlign w:val="baseline"/>
                <w:lang w:val="en-US" w:eastAsia="zh-CN"/>
              </w:rPr>
              <w:t>排泥水</w:t>
            </w:r>
            <w:r>
              <w:rPr>
                <w:rFonts w:hint="eastAsia" w:ascii="Times New Roman" w:hAnsi="Times New Roman" w:cs="Times New Roman"/>
                <w:b/>
                <w:bCs/>
                <w:color w:val="auto"/>
                <w:sz w:val="24"/>
                <w:szCs w:val="24"/>
                <w:highlight w:val="none"/>
                <w:vertAlign w:val="baseline"/>
                <w:lang w:val="en-US" w:eastAsia="zh-CN"/>
              </w:rPr>
              <w:t>、</w:t>
            </w:r>
            <w:r>
              <w:rPr>
                <w:rFonts w:hint="default" w:ascii="Times New Roman" w:hAnsi="Times New Roman" w:cs="Times New Roman"/>
                <w:b/>
                <w:bCs/>
                <w:color w:val="auto"/>
                <w:sz w:val="24"/>
                <w:szCs w:val="24"/>
                <w:highlight w:val="none"/>
                <w:vertAlign w:val="baseline"/>
                <w:lang w:val="en-US" w:eastAsia="zh-CN"/>
              </w:rPr>
              <w:t>反冲洗水</w:t>
            </w:r>
          </w:p>
          <w:p w14:paraId="0B634DD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u w:val="singl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w:t>
            </w:r>
            <w:r>
              <w:rPr>
                <w:rFonts w:hint="eastAsia" w:ascii="Times New Roman" w:hAnsi="Times New Roman" w:cs="Times New Roman"/>
                <w:color w:val="auto"/>
                <w:sz w:val="24"/>
                <w:szCs w:val="24"/>
                <w:highlight w:val="none"/>
                <w:vertAlign w:val="baseline"/>
                <w:lang w:val="en-US" w:eastAsia="zh-CN"/>
              </w:rPr>
              <w:t>生产</w:t>
            </w:r>
            <w:r>
              <w:rPr>
                <w:rFonts w:hint="default" w:ascii="Times New Roman" w:hAnsi="Times New Roman" w:cs="Times New Roman"/>
                <w:color w:val="auto"/>
                <w:sz w:val="24"/>
                <w:szCs w:val="24"/>
                <w:highlight w:val="none"/>
                <w:vertAlign w:val="baseline"/>
                <w:lang w:val="en-US" w:eastAsia="zh-CN"/>
              </w:rPr>
              <w:t>废水包含絮凝</w:t>
            </w:r>
            <w:r>
              <w:rPr>
                <w:rFonts w:hint="eastAsia" w:ascii="Times New Roman" w:hAnsi="Times New Roman" w:cs="Times New Roman"/>
                <w:color w:val="auto"/>
                <w:sz w:val="24"/>
                <w:szCs w:val="24"/>
                <w:highlight w:val="none"/>
                <w:vertAlign w:val="baseline"/>
                <w:lang w:val="en-US" w:eastAsia="zh-CN"/>
              </w:rPr>
              <w:t>池、斜管</w:t>
            </w:r>
            <w:r>
              <w:rPr>
                <w:rFonts w:hint="default" w:ascii="Times New Roman" w:hAnsi="Times New Roman" w:cs="Times New Roman"/>
                <w:color w:val="auto"/>
                <w:sz w:val="24"/>
                <w:szCs w:val="24"/>
                <w:highlight w:val="none"/>
                <w:vertAlign w:val="baseline"/>
                <w:lang w:val="en-US" w:eastAsia="zh-CN"/>
              </w:rPr>
              <w:t>沉淀</w:t>
            </w:r>
            <w:r>
              <w:rPr>
                <w:rFonts w:hint="eastAsia" w:ascii="Times New Roman" w:hAnsi="Times New Roman" w:cs="Times New Roman"/>
                <w:color w:val="auto"/>
                <w:sz w:val="24"/>
                <w:szCs w:val="24"/>
                <w:highlight w:val="none"/>
                <w:vertAlign w:val="baseline"/>
                <w:lang w:val="en-US" w:eastAsia="zh-CN"/>
              </w:rPr>
              <w:t>池、</w:t>
            </w:r>
            <w:r>
              <w:rPr>
                <w:rFonts w:hint="default" w:ascii="Times New Roman" w:hAnsi="Times New Roman" w:cs="Times New Roman"/>
                <w:color w:val="auto"/>
                <w:sz w:val="24"/>
                <w:szCs w:val="24"/>
                <w:highlight w:val="none"/>
                <w:vertAlign w:val="baseline"/>
                <w:lang w:val="en-US" w:eastAsia="zh-CN"/>
              </w:rPr>
              <w:t>气浮池排泥水</w:t>
            </w:r>
            <w:r>
              <w:rPr>
                <w:rFonts w:hint="eastAsia" w:ascii="Times New Roman" w:hAnsi="Times New Roman" w:cs="Times New Roman"/>
                <w:color w:val="auto"/>
                <w:sz w:val="24"/>
                <w:szCs w:val="24"/>
                <w:highlight w:val="none"/>
                <w:vertAlign w:val="baseline"/>
                <w:lang w:val="en-US" w:eastAsia="zh-CN"/>
              </w:rPr>
              <w:t>和滤池</w:t>
            </w:r>
            <w:r>
              <w:rPr>
                <w:rFonts w:hint="default" w:ascii="Times New Roman" w:hAnsi="Times New Roman" w:cs="Times New Roman"/>
                <w:color w:val="auto"/>
                <w:sz w:val="24"/>
                <w:szCs w:val="24"/>
                <w:highlight w:val="none"/>
                <w:vertAlign w:val="baseline"/>
                <w:lang w:val="en-US" w:eastAsia="zh-CN"/>
              </w:rPr>
              <w:t>反冲洗水等，根据《排放源统计调查产排污核算方法和系数手册》（公告2021年第24号）中“4610自来水生产和供应行业系数手册”中</w:t>
            </w:r>
            <w:r>
              <w:rPr>
                <w:rFonts w:hint="eastAsia" w:ascii="Times New Roman" w:hAnsi="Times New Roman" w:cs="Times New Roman"/>
                <w:color w:val="auto"/>
                <w:sz w:val="24"/>
                <w:szCs w:val="24"/>
                <w:highlight w:val="none"/>
                <w:vertAlign w:val="baseline"/>
                <w:lang w:val="en-US" w:eastAsia="zh-CN"/>
              </w:rPr>
              <w:t>气浮</w:t>
            </w:r>
            <w:r>
              <w:rPr>
                <w:rFonts w:hint="default" w:ascii="Times New Roman" w:hAnsi="Times New Roman" w:cs="Times New Roman"/>
                <w:color w:val="auto"/>
                <w:sz w:val="24"/>
                <w:szCs w:val="24"/>
                <w:highlight w:val="none"/>
                <w:vertAlign w:val="baseline"/>
                <w:lang w:val="en-US" w:eastAsia="zh-CN"/>
              </w:rPr>
              <w:t>（或</w:t>
            </w:r>
            <w:r>
              <w:rPr>
                <w:rFonts w:hint="eastAsia" w:ascii="Times New Roman" w:hAnsi="Times New Roman" w:cs="Times New Roman"/>
                <w:color w:val="auto"/>
                <w:sz w:val="24"/>
                <w:szCs w:val="24"/>
                <w:highlight w:val="none"/>
                <w:vertAlign w:val="baseline"/>
                <w:lang w:val="en-US" w:eastAsia="zh-CN"/>
              </w:rPr>
              <w:t>沉淀</w:t>
            </w:r>
            <w:r>
              <w:rPr>
                <w:rFonts w:hint="default" w:ascii="Times New Roman" w:hAnsi="Times New Roman" w:cs="Times New Roman"/>
                <w:color w:val="auto"/>
                <w:sz w:val="24"/>
                <w:szCs w:val="24"/>
                <w:highlight w:val="none"/>
                <w:vertAlign w:val="baseline"/>
                <w:lang w:val="en-US" w:eastAsia="zh-CN"/>
              </w:rPr>
              <w:t>）过滤消毒工艺（≤5万吨/日）废水量产污系数</w:t>
            </w:r>
            <w:r>
              <w:rPr>
                <w:rFonts w:hint="eastAsia" w:ascii="Times New Roman" w:hAnsi="Times New Roman" w:cs="Times New Roman"/>
                <w:color w:val="auto"/>
                <w:sz w:val="24"/>
                <w:szCs w:val="24"/>
                <w:highlight w:val="none"/>
                <w:vertAlign w:val="baseline"/>
                <w:lang w:val="en-US" w:eastAsia="zh-CN"/>
              </w:rPr>
              <w:t>4.2</w:t>
            </w:r>
            <w:r>
              <w:rPr>
                <w:rFonts w:hint="default" w:ascii="Times New Roman" w:hAnsi="Times New Roman" w:cs="Times New Roman"/>
                <w:color w:val="auto"/>
                <w:sz w:val="24"/>
                <w:szCs w:val="24"/>
                <w:highlight w:val="none"/>
                <w:vertAlign w:val="baseline"/>
                <w:lang w:val="en-US" w:eastAsia="zh-CN"/>
              </w:rPr>
              <w:t>×10</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t/t-产品计，</w:t>
            </w:r>
            <w:r>
              <w:rPr>
                <w:rFonts w:hint="eastAsia" w:ascii="Times New Roman" w:hAnsi="Times New Roman" w:cs="Times New Roman"/>
                <w:color w:val="auto"/>
                <w:sz w:val="24"/>
                <w:szCs w:val="24"/>
                <w:highlight w:val="none"/>
                <w:vertAlign w:val="baseline"/>
                <w:lang w:val="en-US" w:eastAsia="zh-CN"/>
              </w:rPr>
              <w:t>隘口水厂</w:t>
            </w:r>
            <w:r>
              <w:rPr>
                <w:rFonts w:hint="eastAsia" w:ascii="Times New Roman" w:hAnsi="Times New Roman" w:cs="Times New Roman"/>
                <w:color w:val="auto"/>
                <w:sz w:val="24"/>
                <w:szCs w:val="32"/>
                <w:highlight w:val="none"/>
                <w:vertAlign w:val="baseline"/>
                <w:lang w:val="en-US" w:eastAsia="zh-CN"/>
              </w:rPr>
              <w:t>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cs="Times New Roman"/>
                <w:color w:val="auto"/>
                <w:sz w:val="24"/>
                <w:szCs w:val="32"/>
                <w:highlight w:val="none"/>
                <w:vertAlign w:val="baseline"/>
                <w:lang w:val="en-US" w:eastAsia="zh-CN"/>
              </w:rPr>
              <w:t>为20</w:t>
            </w:r>
            <w:r>
              <w:rPr>
                <w:rFonts w:hint="default" w:ascii="Times New Roman" w:hAnsi="Times New Roman" w:cs="Times New Roman"/>
                <w:color w:val="auto"/>
                <w:sz w:val="24"/>
                <w:szCs w:val="32"/>
                <w:highlight w:val="none"/>
                <w:vertAlign w:val="baseline"/>
                <w:lang w:val="en-US" w:eastAsia="zh-CN"/>
              </w:rPr>
              <w:t>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则排泥水</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反冲洗水产生量为</w:t>
            </w:r>
            <w:r>
              <w:rPr>
                <w:rFonts w:hint="eastAsia" w:ascii="Times New Roman" w:hAnsi="Times New Roman" w:cs="Times New Roman"/>
                <w:color w:val="auto"/>
                <w:sz w:val="24"/>
                <w:szCs w:val="24"/>
                <w:highlight w:val="none"/>
                <w:vertAlign w:val="baseline"/>
                <w:lang w:val="en-US" w:eastAsia="zh-CN"/>
              </w:rPr>
              <w:t>84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（30660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u w:val="none"/>
                <w:vertAlign w:val="baseline"/>
                <w:lang w:val="en-US" w:eastAsia="zh-CN"/>
              </w:rPr>
              <w:t>根据工艺设计</w:t>
            </w:r>
            <w:r>
              <w:rPr>
                <w:rFonts w:hint="eastAsia" w:ascii="Times New Roman" w:hAnsi="Times New Roman" w:cs="Times New Roman"/>
                <w:color w:val="auto"/>
                <w:sz w:val="24"/>
                <w:szCs w:val="32"/>
                <w:highlight w:val="none"/>
                <w:u w:val="none"/>
                <w:vertAlign w:val="baseline"/>
                <w:lang w:val="en-US" w:eastAsia="zh-CN"/>
              </w:rPr>
              <w:t>净水设备</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eastAsia="宋体" w:cs="Times New Roman"/>
                <w:sz w:val="24"/>
                <w:szCs w:val="24"/>
                <w:highlight w:val="none"/>
                <w:u w:val="none"/>
              </w:rPr>
              <w:t>每次排泥水量约</w:t>
            </w:r>
            <w:r>
              <w:rPr>
                <w:rFonts w:hint="eastAsia" w:ascii="Times New Roman" w:hAnsi="Times New Roman" w:eastAsia="宋体" w:cs="Times New Roman"/>
                <w:sz w:val="24"/>
                <w:szCs w:val="24"/>
                <w:highlight w:val="none"/>
                <w:u w:val="none"/>
                <w:lang w:val="en-US" w:eastAsia="zh-CN"/>
              </w:rPr>
              <w:t>20</w:t>
            </w:r>
            <w:r>
              <w:rPr>
                <w:rFonts w:hint="default" w:ascii="Times New Roman" w:hAnsi="Times New Roman" w:eastAsia="宋体" w:cs="Times New Roman"/>
                <w:sz w:val="24"/>
                <w:szCs w:val="24"/>
                <w:highlight w:val="none"/>
                <w:u w:val="none"/>
              </w:rPr>
              <w:t>m</w:t>
            </w:r>
            <w:r>
              <w:rPr>
                <w:rFonts w:hint="default" w:ascii="Times New Roman" w:hAnsi="Times New Roman" w:eastAsia="宋体" w:cs="Times New Roman"/>
                <w:sz w:val="24"/>
                <w:szCs w:val="24"/>
                <w:highlight w:val="none"/>
                <w:u w:val="none"/>
                <w:vertAlign w:val="superscript"/>
                <w:lang w:val="en-US" w:eastAsia="zh-CN"/>
              </w:rPr>
              <w:t>3</w:t>
            </w:r>
            <w:r>
              <w:rPr>
                <w:rFonts w:hint="default" w:ascii="Times New Roman" w:hAnsi="Times New Roman" w:eastAsia="宋体" w:cs="Times New Roman"/>
                <w:sz w:val="24"/>
                <w:szCs w:val="24"/>
                <w:highlight w:val="none"/>
                <w:u w:val="none"/>
                <w:vertAlign w:val="baseline"/>
                <w:lang w:val="en-US" w:eastAsia="zh-CN"/>
              </w:rPr>
              <w:t>，</w:t>
            </w:r>
            <w:r>
              <w:rPr>
                <w:rFonts w:hint="eastAsia" w:ascii="Times New Roman" w:hAnsi="Times New Roman" w:eastAsia="宋体" w:cs="Times New Roman"/>
                <w:sz w:val="24"/>
                <w:szCs w:val="24"/>
                <w:highlight w:val="none"/>
                <w:u w:val="none"/>
                <w:vertAlign w:val="baseline"/>
                <w:lang w:val="en-US" w:eastAsia="zh-CN"/>
              </w:rPr>
              <w:t>每天排一次，则</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产生量为20</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（7300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cs="Times New Roman"/>
                <w:color w:val="auto"/>
                <w:sz w:val="24"/>
                <w:szCs w:val="24"/>
                <w:highlight w:val="none"/>
                <w:u w:val="none"/>
                <w:vertAlign w:val="baseline"/>
                <w:lang w:val="en-US" w:eastAsia="zh-CN"/>
              </w:rPr>
              <w:t>反冲洗水</w:t>
            </w:r>
            <w:r>
              <w:rPr>
                <w:rFonts w:hint="eastAsia" w:ascii="Times New Roman" w:hAnsi="Times New Roman" w:cs="Times New Roman"/>
                <w:color w:val="auto"/>
                <w:sz w:val="24"/>
                <w:szCs w:val="24"/>
                <w:highlight w:val="none"/>
                <w:u w:val="none"/>
                <w:vertAlign w:val="baseline"/>
                <w:lang w:val="en-US" w:eastAsia="zh-CN"/>
              </w:rPr>
              <w:t>产生量为</w:t>
            </w:r>
            <w:r>
              <w:rPr>
                <w:rFonts w:hint="eastAsia" w:ascii="Times New Roman" w:hAnsi="Times New Roman" w:eastAsia="宋体" w:cs="Times New Roman"/>
                <w:sz w:val="24"/>
                <w:szCs w:val="24"/>
                <w:highlight w:val="none"/>
                <w:u w:val="none"/>
                <w:lang w:val="en-US" w:eastAsia="zh-CN"/>
              </w:rPr>
              <w:t>64</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（23360</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u w:val="none"/>
                <w:vertAlign w:val="baseline"/>
                <w:lang w:val="en-US" w:eastAsia="zh-CN"/>
              </w:rPr>
              <w:t>。</w:t>
            </w:r>
          </w:p>
          <w:p w14:paraId="61CF2B48">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4 排泥水、反冲洗水</w:t>
            </w:r>
            <w:r>
              <w:rPr>
                <w:rFonts w:hint="default" w:ascii="Times New Roman" w:hAnsi="Times New Roman" w:eastAsia="黑体" w:cs="Times New Roman"/>
                <w:b w:val="0"/>
                <w:bCs/>
                <w:color w:val="auto"/>
                <w:kern w:val="2"/>
                <w:sz w:val="21"/>
                <w:szCs w:val="21"/>
                <w:highlight w:val="none"/>
                <w:lang w:val="en-US" w:eastAsia="zh-CN" w:bidi="ar-SA"/>
              </w:rPr>
              <w:t>产排污环节、类别、污染物种类、产生量</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37"/>
              <w:gridCol w:w="1095"/>
              <w:gridCol w:w="2037"/>
              <w:gridCol w:w="1860"/>
              <w:gridCol w:w="2222"/>
            </w:tblGrid>
            <w:tr w14:paraId="5FB9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51" w:type="pct"/>
                  <w:tcBorders>
                    <w:tl2br w:val="nil"/>
                    <w:tr2bl w:val="nil"/>
                  </w:tcBorders>
                  <w:vAlign w:val="center"/>
                </w:tcPr>
                <w:p w14:paraId="213835B5">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废水产污环节</w:t>
                  </w:r>
                </w:p>
              </w:tc>
              <w:tc>
                <w:tcPr>
                  <w:tcW w:w="559" w:type="pct"/>
                  <w:tcBorders>
                    <w:tl2br w:val="nil"/>
                    <w:tr2bl w:val="nil"/>
                  </w:tcBorders>
                  <w:vAlign w:val="center"/>
                </w:tcPr>
                <w:p w14:paraId="42902AC4">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废水类别</w:t>
                  </w:r>
                </w:p>
              </w:tc>
              <w:tc>
                <w:tcPr>
                  <w:tcW w:w="590" w:type="pct"/>
                  <w:tcBorders>
                    <w:tl2br w:val="nil"/>
                    <w:tr2bl w:val="nil"/>
                  </w:tcBorders>
                  <w:vAlign w:val="center"/>
                </w:tcPr>
                <w:p w14:paraId="17BFC719">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a</w:t>
                  </w:r>
                  <w:r>
                    <w:rPr>
                      <w:rFonts w:hint="default" w:ascii="Times New Roman" w:hAnsi="Times New Roman" w:cs="Times New Roman"/>
                      <w:b/>
                      <w:bCs/>
                      <w:color w:val="auto"/>
                      <w:sz w:val="21"/>
                      <w:szCs w:val="21"/>
                      <w:highlight w:val="none"/>
                    </w:rPr>
                    <w:t>）</w:t>
                  </w:r>
                </w:p>
              </w:tc>
              <w:tc>
                <w:tcPr>
                  <w:tcW w:w="1098" w:type="pct"/>
                  <w:tcBorders>
                    <w:tl2br w:val="nil"/>
                    <w:tr2bl w:val="nil"/>
                  </w:tcBorders>
                  <w:vAlign w:val="center"/>
                </w:tcPr>
                <w:p w14:paraId="3F905171">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产污系数</w:t>
                  </w:r>
                </w:p>
              </w:tc>
              <w:tc>
                <w:tcPr>
                  <w:tcW w:w="1002" w:type="pct"/>
                  <w:tcBorders>
                    <w:tl2br w:val="nil"/>
                    <w:tr2bl w:val="nil"/>
                  </w:tcBorders>
                  <w:vAlign w:val="center"/>
                </w:tcPr>
                <w:p w14:paraId="3C33C52E">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1198" w:type="pct"/>
                  <w:tcBorders>
                    <w:tl2br w:val="nil"/>
                    <w:tr2bl w:val="nil"/>
                  </w:tcBorders>
                  <w:vAlign w:val="center"/>
                </w:tcPr>
                <w:p w14:paraId="6BF7D2DB">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污染物产生量（t/a）</w:t>
                  </w:r>
                </w:p>
              </w:tc>
            </w:tr>
            <w:tr w14:paraId="172A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restart"/>
                  <w:tcBorders>
                    <w:tl2br w:val="nil"/>
                    <w:tr2bl w:val="nil"/>
                  </w:tcBorders>
                  <w:vAlign w:val="center"/>
                </w:tcPr>
                <w:p w14:paraId="6BC3198B">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混凝</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沉淀</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气浮、</w:t>
                  </w:r>
                  <w:r>
                    <w:rPr>
                      <w:rFonts w:hint="default" w:ascii="Times New Roman" w:hAnsi="Times New Roman" w:cs="Times New Roman"/>
                      <w:color w:val="auto"/>
                      <w:sz w:val="21"/>
                      <w:szCs w:val="21"/>
                      <w:highlight w:val="none"/>
                    </w:rPr>
                    <w:t>过滤</w:t>
                  </w:r>
                </w:p>
              </w:tc>
              <w:tc>
                <w:tcPr>
                  <w:tcW w:w="559" w:type="pct"/>
                  <w:vMerge w:val="restart"/>
                  <w:tcBorders>
                    <w:tl2br w:val="nil"/>
                    <w:tr2bl w:val="nil"/>
                  </w:tcBorders>
                  <w:vAlign w:val="center"/>
                </w:tcPr>
                <w:p w14:paraId="2B65CA11">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排泥水、反冲洗水</w:t>
                  </w:r>
                </w:p>
              </w:tc>
              <w:tc>
                <w:tcPr>
                  <w:tcW w:w="590" w:type="pct"/>
                  <w:vMerge w:val="restart"/>
                  <w:tcBorders>
                    <w:tl2br w:val="nil"/>
                    <w:tr2bl w:val="nil"/>
                  </w:tcBorders>
                  <w:vAlign w:val="center"/>
                </w:tcPr>
                <w:p w14:paraId="48FDD4EE">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30660</w:t>
                  </w:r>
                </w:p>
              </w:tc>
              <w:tc>
                <w:tcPr>
                  <w:tcW w:w="1098" w:type="pct"/>
                  <w:tcBorders>
                    <w:tl2br w:val="nil"/>
                    <w:tr2bl w:val="nil"/>
                  </w:tcBorders>
                  <w:vAlign w:val="center"/>
                </w:tcPr>
                <w:p w14:paraId="035B22F6">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21</w:t>
                  </w:r>
                  <w:r>
                    <w:rPr>
                      <w:rFonts w:hint="default" w:ascii="Times New Roman" w:hAnsi="Times New Roman" w:cs="Times New Roman"/>
                      <w:color w:val="auto"/>
                      <w:sz w:val="21"/>
                      <w:szCs w:val="21"/>
                      <w:highlight w:val="none"/>
                      <w:lang w:val="en-US" w:eastAsia="zh-CN"/>
                    </w:rPr>
                    <w:t>g/t-产品</w:t>
                  </w:r>
                </w:p>
              </w:tc>
              <w:tc>
                <w:tcPr>
                  <w:tcW w:w="1002" w:type="pct"/>
                  <w:tcBorders>
                    <w:tl2br w:val="nil"/>
                    <w:tr2bl w:val="nil"/>
                  </w:tcBorders>
                  <w:vAlign w:val="center"/>
                </w:tcPr>
                <w:p w14:paraId="1280FB65">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198" w:type="pct"/>
                  <w:tcBorders>
                    <w:tl2br w:val="nil"/>
                    <w:tr2bl w:val="nil"/>
                  </w:tcBorders>
                  <w:vAlign w:val="center"/>
                </w:tcPr>
                <w:p w14:paraId="2D7E6F6F">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0.883</w:t>
                  </w:r>
                </w:p>
              </w:tc>
            </w:tr>
            <w:tr w14:paraId="592B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14:paraId="7FC068CC">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59" w:type="pct"/>
                  <w:vMerge w:val="continue"/>
                  <w:tcBorders>
                    <w:tl2br w:val="nil"/>
                    <w:tr2bl w:val="nil"/>
                  </w:tcBorders>
                  <w:vAlign w:val="center"/>
                </w:tcPr>
                <w:p w14:paraId="6F51FE4F">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14:paraId="1A05BF78">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1098" w:type="pct"/>
                  <w:tcBorders>
                    <w:tl2br w:val="nil"/>
                    <w:tr2bl w:val="nil"/>
                  </w:tcBorders>
                  <w:vAlign w:val="center"/>
                </w:tcPr>
                <w:p w14:paraId="69D37F32">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39</w:t>
                  </w:r>
                  <w:r>
                    <w:rPr>
                      <w:rFonts w:hint="default" w:ascii="Times New Roman" w:hAnsi="Times New Roman" w:cs="Times New Roman"/>
                      <w:color w:val="auto"/>
                      <w:sz w:val="21"/>
                      <w:szCs w:val="21"/>
                      <w:highlight w:val="none"/>
                      <w:lang w:val="en-US" w:eastAsia="zh-CN"/>
                    </w:rPr>
                    <w:t>g/t-产品</w:t>
                  </w:r>
                </w:p>
              </w:tc>
              <w:tc>
                <w:tcPr>
                  <w:tcW w:w="1002" w:type="pct"/>
                  <w:tcBorders>
                    <w:tl2br w:val="nil"/>
                    <w:tr2bl w:val="nil"/>
                  </w:tcBorders>
                  <w:vAlign w:val="center"/>
                </w:tcPr>
                <w:p w14:paraId="270EDA34">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198" w:type="pct"/>
                  <w:tcBorders>
                    <w:tl2br w:val="nil"/>
                    <w:tr2bl w:val="nil"/>
                  </w:tcBorders>
                  <w:vAlign w:val="center"/>
                </w:tcPr>
                <w:p w14:paraId="4259BC0D">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0.028</w:t>
                  </w:r>
                </w:p>
              </w:tc>
            </w:tr>
            <w:tr w14:paraId="2789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14:paraId="5507134D">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59" w:type="pct"/>
                  <w:vMerge w:val="continue"/>
                  <w:tcBorders>
                    <w:tl2br w:val="nil"/>
                    <w:tr2bl w:val="nil"/>
                  </w:tcBorders>
                  <w:vAlign w:val="center"/>
                </w:tcPr>
                <w:p w14:paraId="73661377">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14:paraId="49AEB5F7">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1098" w:type="pct"/>
                  <w:tcBorders>
                    <w:tl2br w:val="nil"/>
                    <w:tr2bl w:val="nil"/>
                  </w:tcBorders>
                  <w:vAlign w:val="center"/>
                </w:tcPr>
                <w:p w14:paraId="04C46EBB">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g/t-产品</w:t>
                  </w:r>
                </w:p>
              </w:tc>
              <w:tc>
                <w:tcPr>
                  <w:tcW w:w="1002" w:type="pct"/>
                  <w:tcBorders>
                    <w:tl2br w:val="nil"/>
                    <w:tr2bl w:val="nil"/>
                  </w:tcBorders>
                  <w:vAlign w:val="center"/>
                </w:tcPr>
                <w:p w14:paraId="560A8D10">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TN</w:t>
                  </w:r>
                </w:p>
              </w:tc>
              <w:tc>
                <w:tcPr>
                  <w:tcW w:w="1198" w:type="pct"/>
                  <w:tcBorders>
                    <w:tl2br w:val="nil"/>
                    <w:tr2bl w:val="nil"/>
                  </w:tcBorders>
                  <w:vAlign w:val="center"/>
                </w:tcPr>
                <w:p w14:paraId="05EF833A">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0.278</w:t>
                  </w:r>
                </w:p>
              </w:tc>
            </w:tr>
            <w:tr w14:paraId="6BEF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14:paraId="46029ADF">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59" w:type="pct"/>
                  <w:vMerge w:val="continue"/>
                  <w:tcBorders>
                    <w:tl2br w:val="nil"/>
                    <w:tr2bl w:val="nil"/>
                  </w:tcBorders>
                  <w:vAlign w:val="center"/>
                </w:tcPr>
                <w:p w14:paraId="134406D2">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14:paraId="4356CECC">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1098" w:type="pct"/>
                  <w:tcBorders>
                    <w:tl2br w:val="nil"/>
                    <w:tr2bl w:val="nil"/>
                  </w:tcBorders>
                  <w:vAlign w:val="center"/>
                </w:tcPr>
                <w:p w14:paraId="5BEFE091">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g/t-产品</w:t>
                  </w:r>
                </w:p>
              </w:tc>
              <w:tc>
                <w:tcPr>
                  <w:tcW w:w="1002" w:type="pct"/>
                  <w:tcBorders>
                    <w:tl2br w:val="nil"/>
                    <w:tr2bl w:val="nil"/>
                  </w:tcBorders>
                  <w:vAlign w:val="center"/>
                </w:tcPr>
                <w:p w14:paraId="6D3772F5">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1198" w:type="pct"/>
                  <w:tcBorders>
                    <w:tl2br w:val="nil"/>
                    <w:tr2bl w:val="nil"/>
                  </w:tcBorders>
                  <w:vAlign w:val="center"/>
                </w:tcPr>
                <w:p w14:paraId="181422A0">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0.018</w:t>
                  </w:r>
                </w:p>
              </w:tc>
            </w:tr>
          </w:tbl>
          <w:p w14:paraId="7A113A3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（2）治理设施、排放方式、排放口基本信息</w:t>
            </w:r>
          </w:p>
          <w:p w14:paraId="33D52FE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①治理措施</w:t>
            </w:r>
          </w:p>
          <w:p w14:paraId="5302577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生活污水：</w:t>
            </w:r>
            <w:r>
              <w:rPr>
                <w:rFonts w:hint="default" w:ascii="Times New Roman" w:hAnsi="Times New Roman" w:eastAsia="宋体" w:cs="Times New Roman"/>
                <w:color w:val="auto"/>
                <w:sz w:val="24"/>
                <w:szCs w:val="24"/>
                <w:highlight w:val="none"/>
                <w:lang w:val="en-US" w:eastAsia="zh-CN"/>
              </w:rPr>
              <w:t>经</w:t>
            </w:r>
            <w:r>
              <w:rPr>
                <w:rFonts w:hint="eastAsia" w:ascii="Times New Roman" w:hAnsi="Times New Roman" w:eastAsia="宋体" w:cs="Times New Roman"/>
                <w:color w:val="auto"/>
                <w:sz w:val="24"/>
                <w:szCs w:val="24"/>
                <w:highlight w:val="none"/>
                <w:lang w:val="en-US" w:eastAsia="zh-CN"/>
              </w:rPr>
              <w:t>一个4m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化粪池处理后用于农肥，不外排。</w:t>
            </w:r>
          </w:p>
          <w:p w14:paraId="5B8C935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eastAsia"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排泥水</w:t>
            </w:r>
            <w:r>
              <w:rPr>
                <w:rFonts w:hint="eastAsia" w:ascii="Times New Roman" w:hAnsi="Times New Roman" w:cs="Times New Roman"/>
                <w:b/>
                <w:bCs/>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经沉淀后回用于厂区绿化。</w:t>
            </w:r>
          </w:p>
          <w:p w14:paraId="45CA3E3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vertAlign w:val="baseline"/>
                <w:lang w:val="en-US" w:eastAsia="zh-CN"/>
              </w:rPr>
              <w:t>反冲洗水</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经排水池收集后全部返回供水厂净水设施处理。</w:t>
            </w:r>
          </w:p>
          <w:p w14:paraId="38584C6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②废水治理设施、排放口基本信息表</w:t>
            </w:r>
          </w:p>
          <w:p w14:paraId="384FDC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本项目废水治理设施、排放口基本信息见下表：</w:t>
            </w:r>
          </w:p>
          <w:p w14:paraId="0A563363">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 xml:space="preserve">5 </w:t>
            </w:r>
            <w:r>
              <w:rPr>
                <w:rFonts w:hint="default" w:ascii="Times New Roman" w:hAnsi="Times New Roman" w:eastAsia="黑体" w:cs="Times New Roman"/>
                <w:b w:val="0"/>
                <w:bCs/>
                <w:color w:val="auto"/>
                <w:kern w:val="2"/>
                <w:sz w:val="21"/>
                <w:szCs w:val="21"/>
                <w:highlight w:val="none"/>
                <w:lang w:val="en-US" w:eastAsia="zh-CN" w:bidi="ar-SA"/>
              </w:rPr>
              <w:t>废水治理设施信息表</w:t>
            </w:r>
          </w:p>
          <w:tbl>
            <w:tblPr>
              <w:tblStyle w:val="25"/>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83"/>
              <w:gridCol w:w="1369"/>
              <w:gridCol w:w="1708"/>
              <w:gridCol w:w="1058"/>
              <w:gridCol w:w="1391"/>
              <w:gridCol w:w="1067"/>
              <w:gridCol w:w="836"/>
              <w:gridCol w:w="745"/>
            </w:tblGrid>
            <w:tr w14:paraId="4C66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vMerge w:val="restart"/>
                  <w:tcBorders>
                    <w:tl2br w:val="nil"/>
                    <w:tr2bl w:val="nil"/>
                  </w:tcBorders>
                  <w:shd w:val="clear" w:color="000000" w:fill="auto"/>
                  <w:noWrap w:val="0"/>
                  <w:vAlign w:val="center"/>
                </w:tcPr>
                <w:p w14:paraId="076CEB0E">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废水类别</w:t>
                  </w:r>
                </w:p>
              </w:tc>
              <w:tc>
                <w:tcPr>
                  <w:tcW w:w="739" w:type="pct"/>
                  <w:vMerge w:val="restart"/>
                  <w:tcBorders>
                    <w:tl2br w:val="nil"/>
                    <w:tr2bl w:val="nil"/>
                  </w:tcBorders>
                  <w:shd w:val="clear" w:color="000000" w:fill="auto"/>
                  <w:noWrap w:val="0"/>
                  <w:vAlign w:val="center"/>
                </w:tcPr>
                <w:p w14:paraId="0A0EE06A">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2821" w:type="pct"/>
                  <w:gridSpan w:val="4"/>
                  <w:tcBorders>
                    <w:tl2br w:val="nil"/>
                    <w:tr2bl w:val="nil"/>
                  </w:tcBorders>
                  <w:shd w:val="clear" w:color="000000" w:fill="auto"/>
                  <w:noWrap w:val="0"/>
                  <w:vAlign w:val="center"/>
                </w:tcPr>
                <w:p w14:paraId="5C1058AB">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污染治理设施</w:t>
                  </w:r>
                </w:p>
              </w:tc>
              <w:tc>
                <w:tcPr>
                  <w:tcW w:w="451" w:type="pct"/>
                  <w:vMerge w:val="restart"/>
                  <w:tcBorders>
                    <w:tl2br w:val="nil"/>
                    <w:tr2bl w:val="nil"/>
                  </w:tcBorders>
                  <w:shd w:val="clear" w:color="000000" w:fill="auto"/>
                  <w:noWrap w:val="0"/>
                  <w:vAlign w:val="center"/>
                </w:tcPr>
                <w:p w14:paraId="1F69717C">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4A5023CD">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402" w:type="pct"/>
                  <w:vMerge w:val="restart"/>
                  <w:tcBorders>
                    <w:tl2br w:val="nil"/>
                    <w:tr2bl w:val="nil"/>
                  </w:tcBorders>
                  <w:shd w:val="clear" w:color="000000" w:fill="auto"/>
                  <w:noWrap w:val="0"/>
                  <w:vAlign w:val="center"/>
                </w:tcPr>
                <w:p w14:paraId="22212911">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5F3488C5">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去向</w:t>
                  </w:r>
                </w:p>
              </w:tc>
            </w:tr>
            <w:tr w14:paraId="7DEB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vMerge w:val="continue"/>
                  <w:tcBorders>
                    <w:tl2br w:val="nil"/>
                    <w:tr2bl w:val="nil"/>
                  </w:tcBorders>
                  <w:shd w:val="clear" w:color="auto" w:fill="auto"/>
                  <w:noWrap w:val="0"/>
                  <w:vAlign w:val="center"/>
                </w:tcPr>
                <w:p w14:paraId="01CD20D5">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39" w:type="pct"/>
                  <w:vMerge w:val="continue"/>
                  <w:tcBorders>
                    <w:tl2br w:val="nil"/>
                    <w:tr2bl w:val="nil"/>
                  </w:tcBorders>
                  <w:shd w:val="clear" w:color="auto" w:fill="auto"/>
                  <w:noWrap w:val="0"/>
                  <w:vAlign w:val="center"/>
                </w:tcPr>
                <w:p w14:paraId="654BA19E">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22" w:type="pct"/>
                  <w:tcBorders>
                    <w:tl2br w:val="nil"/>
                    <w:tr2bl w:val="nil"/>
                  </w:tcBorders>
                  <w:shd w:val="clear" w:color="000000" w:fill="auto"/>
                  <w:noWrap w:val="0"/>
                  <w:vAlign w:val="center"/>
                </w:tcPr>
                <w:p w14:paraId="7C736924">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571" w:type="pct"/>
                  <w:tcBorders>
                    <w:tl2br w:val="nil"/>
                    <w:tr2bl w:val="nil"/>
                  </w:tcBorders>
                  <w:shd w:val="clear" w:color="000000" w:fill="auto"/>
                  <w:noWrap w:val="0"/>
                  <w:vAlign w:val="center"/>
                </w:tcPr>
                <w:p w14:paraId="0268FDC8">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rPr>
                    <w:t>处理能力</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t/d</w:t>
                  </w:r>
                  <w:r>
                    <w:rPr>
                      <w:rFonts w:hint="default" w:ascii="Times New Roman" w:hAnsi="Times New Roman" w:cs="Times New Roman"/>
                      <w:b/>
                      <w:bCs/>
                      <w:color w:val="auto"/>
                      <w:sz w:val="21"/>
                      <w:szCs w:val="21"/>
                      <w:highlight w:val="none"/>
                      <w:lang w:eastAsia="zh-CN"/>
                    </w:rPr>
                    <w:t>）</w:t>
                  </w:r>
                </w:p>
              </w:tc>
              <w:tc>
                <w:tcPr>
                  <w:tcW w:w="751" w:type="pct"/>
                  <w:tcBorders>
                    <w:tl2br w:val="nil"/>
                    <w:tr2bl w:val="nil"/>
                  </w:tcBorders>
                  <w:shd w:val="clear" w:color="000000" w:fill="auto"/>
                  <w:noWrap w:val="0"/>
                  <w:vAlign w:val="center"/>
                </w:tcPr>
                <w:p w14:paraId="58EDE1AC">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w:t>
                  </w:r>
                </w:p>
                <w:p w14:paraId="3949E32F">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576" w:type="pct"/>
                  <w:tcBorders>
                    <w:tl2br w:val="nil"/>
                    <w:tr2bl w:val="nil"/>
                  </w:tcBorders>
                  <w:shd w:val="clear" w:color="000000" w:fill="auto"/>
                  <w:noWrap w:val="0"/>
                  <w:vAlign w:val="center"/>
                </w:tcPr>
                <w:p w14:paraId="44E79BB4">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是否为可行性技术</w:t>
                  </w:r>
                </w:p>
              </w:tc>
              <w:tc>
                <w:tcPr>
                  <w:tcW w:w="451" w:type="pct"/>
                  <w:vMerge w:val="continue"/>
                  <w:tcBorders>
                    <w:tl2br w:val="nil"/>
                    <w:tr2bl w:val="nil"/>
                  </w:tcBorders>
                  <w:noWrap w:val="0"/>
                  <w:vAlign w:val="center"/>
                </w:tcPr>
                <w:p w14:paraId="2E4788C4">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402" w:type="pct"/>
                  <w:vMerge w:val="continue"/>
                  <w:tcBorders>
                    <w:tl2br w:val="nil"/>
                    <w:tr2bl w:val="nil"/>
                  </w:tcBorders>
                  <w:noWrap w:val="0"/>
                  <w:vAlign w:val="center"/>
                </w:tcPr>
                <w:p w14:paraId="1906D1F3">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r w14:paraId="212EC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tcBorders>
                    <w:tl2br w:val="nil"/>
                    <w:tr2bl w:val="nil"/>
                  </w:tcBorders>
                  <w:noWrap w:val="0"/>
                  <w:vAlign w:val="center"/>
                </w:tcPr>
                <w:p w14:paraId="61BD8D1E">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739" w:type="pct"/>
                  <w:tcBorders>
                    <w:tl2br w:val="nil"/>
                    <w:tr2bl w:val="nil"/>
                  </w:tcBorders>
                  <w:noWrap w:val="0"/>
                  <w:vAlign w:val="center"/>
                </w:tcPr>
                <w:p w14:paraId="524D93CA">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w:t>
                  </w:r>
                </w:p>
              </w:tc>
              <w:tc>
                <w:tcPr>
                  <w:tcW w:w="922" w:type="pct"/>
                  <w:tcBorders>
                    <w:tl2br w:val="nil"/>
                    <w:tr2bl w:val="nil"/>
                  </w:tcBorders>
                  <w:noWrap w:val="0"/>
                  <w:vAlign w:val="center"/>
                </w:tcPr>
                <w:p w14:paraId="11FD7C6D">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化粪池</w:t>
                  </w:r>
                </w:p>
              </w:tc>
              <w:tc>
                <w:tcPr>
                  <w:tcW w:w="571" w:type="pct"/>
                  <w:tcBorders>
                    <w:tl2br w:val="nil"/>
                    <w:tr2bl w:val="nil"/>
                  </w:tcBorders>
                  <w:noWrap w:val="0"/>
                  <w:vAlign w:val="center"/>
                </w:tcPr>
                <w:p w14:paraId="64CE8BDE">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751" w:type="pct"/>
                  <w:tcBorders>
                    <w:tl2br w:val="nil"/>
                    <w:tr2bl w:val="nil"/>
                  </w:tcBorders>
                  <w:noWrap w:val="0"/>
                  <w:vAlign w:val="center"/>
                </w:tcPr>
                <w:p w14:paraId="62785CD3">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厌氧处理</w:t>
                  </w:r>
                </w:p>
              </w:tc>
              <w:tc>
                <w:tcPr>
                  <w:tcW w:w="576" w:type="pct"/>
                  <w:tcBorders>
                    <w:tl2br w:val="nil"/>
                    <w:tr2bl w:val="nil"/>
                  </w:tcBorders>
                  <w:noWrap w:val="0"/>
                  <w:vAlign w:val="center"/>
                </w:tcPr>
                <w:p w14:paraId="593FFCBD">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51" w:type="pct"/>
                  <w:tcBorders>
                    <w:tl2br w:val="nil"/>
                    <w:tr2bl w:val="nil"/>
                  </w:tcBorders>
                  <w:noWrap w:val="0"/>
                  <w:vAlign w:val="center"/>
                </w:tcPr>
                <w:p w14:paraId="0D37580F">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不排放</w:t>
                  </w:r>
                </w:p>
              </w:tc>
              <w:tc>
                <w:tcPr>
                  <w:tcW w:w="402" w:type="pct"/>
                  <w:tcBorders>
                    <w:tl2br w:val="nil"/>
                    <w:tr2bl w:val="nil"/>
                  </w:tcBorders>
                  <w:noWrap w:val="0"/>
                  <w:vAlign w:val="center"/>
                </w:tcPr>
                <w:p w14:paraId="380219E0">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农肥</w:t>
                  </w:r>
                </w:p>
              </w:tc>
            </w:tr>
            <w:tr w14:paraId="39C9C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tcBorders>
                    <w:tl2br w:val="nil"/>
                    <w:tr2bl w:val="nil"/>
                  </w:tcBorders>
                  <w:noWrap w:val="0"/>
                  <w:vAlign w:val="center"/>
                </w:tcPr>
                <w:p w14:paraId="2C2C281C">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排泥水</w:t>
                  </w:r>
                </w:p>
              </w:tc>
              <w:tc>
                <w:tcPr>
                  <w:tcW w:w="739" w:type="pct"/>
                  <w:vMerge w:val="restart"/>
                  <w:tcBorders>
                    <w:tl2br w:val="nil"/>
                    <w:tr2bl w:val="nil"/>
                  </w:tcBorders>
                  <w:noWrap w:val="0"/>
                  <w:vAlign w:val="center"/>
                </w:tcPr>
                <w:p w14:paraId="5C6BA27E">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w:t>
                  </w:r>
                </w:p>
              </w:tc>
              <w:tc>
                <w:tcPr>
                  <w:tcW w:w="922" w:type="pct"/>
                  <w:tcBorders>
                    <w:tl2br w:val="nil"/>
                    <w:tr2bl w:val="nil"/>
                  </w:tcBorders>
                  <w:noWrap w:val="0"/>
                  <w:vAlign w:val="center"/>
                </w:tcPr>
                <w:p w14:paraId="38EB3701">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vertAlign w:val="baseline"/>
                      <w:lang w:val="en-US" w:eastAsia="zh-CN"/>
                    </w:rPr>
                    <w:t>排泥水</w:t>
                  </w:r>
                  <w:r>
                    <w:rPr>
                      <w:rFonts w:hint="eastAsia" w:ascii="Times New Roman" w:hAnsi="Times New Roman" w:cs="Times New Roman"/>
                      <w:color w:val="auto"/>
                      <w:sz w:val="21"/>
                      <w:szCs w:val="21"/>
                      <w:highlight w:val="none"/>
                      <w:vertAlign w:val="baseline"/>
                      <w:lang w:val="en-US" w:eastAsia="zh-CN"/>
                    </w:rPr>
                    <w:t>经沉淀后回用于厂区绿化</w:t>
                  </w:r>
                </w:p>
              </w:tc>
              <w:tc>
                <w:tcPr>
                  <w:tcW w:w="571" w:type="pct"/>
                  <w:tcBorders>
                    <w:tl2br w:val="nil"/>
                    <w:tr2bl w:val="nil"/>
                  </w:tcBorders>
                  <w:noWrap w:val="0"/>
                  <w:vAlign w:val="center"/>
                </w:tcPr>
                <w:p w14:paraId="7DF9C1BA">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751" w:type="pct"/>
                  <w:tcBorders>
                    <w:tl2br w:val="nil"/>
                    <w:tr2bl w:val="nil"/>
                  </w:tcBorders>
                  <w:noWrap w:val="0"/>
                  <w:vAlign w:val="center"/>
                </w:tcPr>
                <w:p w14:paraId="40B5EB08">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沉淀</w:t>
                  </w:r>
                </w:p>
              </w:tc>
              <w:tc>
                <w:tcPr>
                  <w:tcW w:w="576" w:type="pct"/>
                  <w:tcBorders>
                    <w:tl2br w:val="nil"/>
                    <w:tr2bl w:val="nil"/>
                  </w:tcBorders>
                  <w:noWrap w:val="0"/>
                  <w:vAlign w:val="center"/>
                </w:tcPr>
                <w:p w14:paraId="0216222B">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451" w:type="pct"/>
                  <w:tcBorders>
                    <w:tl2br w:val="nil"/>
                    <w:tr2bl w:val="nil"/>
                  </w:tcBorders>
                  <w:shd w:val="clear" w:color="auto" w:fill="auto"/>
                  <w:noWrap w:val="0"/>
                  <w:vAlign w:val="center"/>
                </w:tcPr>
                <w:p w14:paraId="0A4F6F7B">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不外排</w:t>
                  </w:r>
                </w:p>
              </w:tc>
              <w:tc>
                <w:tcPr>
                  <w:tcW w:w="402" w:type="pct"/>
                  <w:tcBorders>
                    <w:tl2br w:val="nil"/>
                    <w:tr2bl w:val="nil"/>
                  </w:tcBorders>
                  <w:shd w:val="clear" w:color="auto" w:fill="auto"/>
                  <w:noWrap w:val="0"/>
                  <w:vAlign w:val="center"/>
                </w:tcPr>
                <w:p w14:paraId="68B1E434">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回用</w:t>
                  </w:r>
                </w:p>
              </w:tc>
            </w:tr>
            <w:tr w14:paraId="30A7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tcBorders>
                    <w:tl2br w:val="nil"/>
                    <w:tr2bl w:val="nil"/>
                  </w:tcBorders>
                  <w:noWrap w:val="0"/>
                  <w:vAlign w:val="center"/>
                </w:tcPr>
                <w:p w14:paraId="5352566F">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膜</w:t>
                  </w:r>
                  <w:r>
                    <w:rPr>
                      <w:rFonts w:hint="default" w:ascii="Times New Roman" w:hAnsi="Times New Roman" w:cs="Times New Roman"/>
                      <w:color w:val="auto"/>
                      <w:sz w:val="21"/>
                      <w:szCs w:val="21"/>
                      <w:highlight w:val="none"/>
                      <w:lang w:val="en-US" w:eastAsia="zh-CN"/>
                    </w:rPr>
                    <w:t>反冲洗水</w:t>
                  </w:r>
                </w:p>
              </w:tc>
              <w:tc>
                <w:tcPr>
                  <w:tcW w:w="739" w:type="pct"/>
                  <w:vMerge w:val="continue"/>
                  <w:tcBorders>
                    <w:tl2br w:val="nil"/>
                    <w:tr2bl w:val="nil"/>
                  </w:tcBorders>
                  <w:noWrap w:val="0"/>
                  <w:vAlign w:val="center"/>
                </w:tcPr>
                <w:p w14:paraId="2D3DBC71">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22" w:type="pct"/>
                  <w:tcBorders>
                    <w:tl2br w:val="nil"/>
                    <w:tr2bl w:val="nil"/>
                  </w:tcBorders>
                  <w:noWrap w:val="0"/>
                  <w:vAlign w:val="center"/>
                </w:tcPr>
                <w:p w14:paraId="2A433DA9">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净水设施</w:t>
                  </w:r>
                </w:p>
              </w:tc>
              <w:tc>
                <w:tcPr>
                  <w:tcW w:w="571" w:type="pct"/>
                  <w:tcBorders>
                    <w:tl2br w:val="nil"/>
                    <w:tr2bl w:val="nil"/>
                  </w:tcBorders>
                  <w:noWrap w:val="0"/>
                  <w:vAlign w:val="center"/>
                </w:tcPr>
                <w:p w14:paraId="46262328">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2000</w:t>
                  </w:r>
                </w:p>
              </w:tc>
              <w:tc>
                <w:tcPr>
                  <w:tcW w:w="751" w:type="pct"/>
                  <w:tcBorders>
                    <w:tl2br w:val="nil"/>
                    <w:tr2bl w:val="nil"/>
                  </w:tcBorders>
                  <w:noWrap w:val="0"/>
                  <w:vAlign w:val="center"/>
                </w:tcPr>
                <w:p w14:paraId="40B2CE5B">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絮凝+沉淀+气浮+过滤</w:t>
                  </w:r>
                </w:p>
              </w:tc>
              <w:tc>
                <w:tcPr>
                  <w:tcW w:w="576" w:type="pct"/>
                  <w:tcBorders>
                    <w:tl2br w:val="nil"/>
                    <w:tr2bl w:val="nil"/>
                  </w:tcBorders>
                  <w:shd w:val="clear" w:color="auto" w:fill="auto"/>
                  <w:noWrap w:val="0"/>
                  <w:vAlign w:val="center"/>
                </w:tcPr>
                <w:p w14:paraId="5C604DA5">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451" w:type="pct"/>
                  <w:tcBorders>
                    <w:tl2br w:val="nil"/>
                    <w:tr2bl w:val="nil"/>
                  </w:tcBorders>
                  <w:shd w:val="clear" w:color="auto" w:fill="auto"/>
                  <w:noWrap w:val="0"/>
                  <w:vAlign w:val="center"/>
                </w:tcPr>
                <w:p w14:paraId="3C98FA5D">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不外排</w:t>
                  </w:r>
                </w:p>
              </w:tc>
              <w:tc>
                <w:tcPr>
                  <w:tcW w:w="402" w:type="pct"/>
                  <w:tcBorders>
                    <w:tl2br w:val="nil"/>
                    <w:tr2bl w:val="nil"/>
                  </w:tcBorders>
                  <w:shd w:val="clear" w:color="auto" w:fill="auto"/>
                  <w:noWrap w:val="0"/>
                  <w:vAlign w:val="center"/>
                </w:tcPr>
                <w:p w14:paraId="2963BC5F">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回用</w:t>
                  </w:r>
                </w:p>
              </w:tc>
            </w:tr>
          </w:tbl>
          <w:p w14:paraId="133919F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highlight w:val="none"/>
                <w:lang w:val="en-US" w:eastAsia="zh-CN"/>
              </w:rPr>
              <w:t>废水治理措施可行性分析</w:t>
            </w:r>
          </w:p>
          <w:p w14:paraId="2755796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①</w:t>
            </w:r>
            <w:r>
              <w:rPr>
                <w:rFonts w:hint="default" w:ascii="Times New Roman" w:hAnsi="Times New Roman" w:cs="Times New Roman"/>
                <w:b/>
                <w:bCs/>
                <w:color w:val="auto"/>
                <w:sz w:val="24"/>
                <w:szCs w:val="24"/>
                <w:highlight w:val="none"/>
                <w:lang w:val="en-US" w:eastAsia="zh-CN"/>
              </w:rPr>
              <w:t>化粪池可行性分析</w:t>
            </w:r>
          </w:p>
          <w:p w14:paraId="0D27213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项目拟建设1个容积为</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val="en-US" w:eastAsia="zh-CN"/>
              </w:rPr>
              <w:t>的化粪池。</w:t>
            </w:r>
            <w:r>
              <w:rPr>
                <w:rFonts w:hint="default" w:ascii="Times New Roman" w:hAnsi="Times New Roman" w:cs="Times New Roman"/>
                <w:bCs/>
                <w:color w:val="auto"/>
                <w:sz w:val="24"/>
                <w:highlight w:val="none"/>
              </w:rPr>
              <w:t>废水在</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中停留时间按12h计，则</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最大接纳污水量为</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项目生活污</w:t>
            </w:r>
            <w:r>
              <w:rPr>
                <w:rFonts w:hint="default" w:ascii="Times New Roman" w:hAnsi="Times New Roman" w:cs="Times New Roman"/>
                <w:bCs/>
                <w:color w:val="auto"/>
                <w:sz w:val="24"/>
                <w:highlight w:val="none"/>
              </w:rPr>
              <w:t>水产生量为</w:t>
            </w: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204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远</w:t>
            </w:r>
            <w:r>
              <w:rPr>
                <w:rFonts w:hint="default" w:ascii="Times New Roman" w:hAnsi="Times New Roman" w:cs="Times New Roman"/>
                <w:bCs/>
                <w:color w:val="auto"/>
                <w:sz w:val="24"/>
                <w:highlight w:val="none"/>
              </w:rPr>
              <w:t>低于</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最大处理能力</w:t>
            </w:r>
            <w:r>
              <w:rPr>
                <w:rFonts w:hint="default" w:ascii="Times New Roman" w:hAnsi="Times New Roman" w:cs="Times New Roman"/>
                <w:color w:val="auto"/>
                <w:sz w:val="24"/>
                <w:szCs w:val="24"/>
                <w:highlight w:val="none"/>
                <w:lang w:val="en-US" w:eastAsia="zh-CN"/>
              </w:rPr>
              <w:t>，满足环境可行性要求。</w:t>
            </w:r>
          </w:p>
          <w:p w14:paraId="73BCF19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现场调查，本项目周边有耕地和农田，项目周边交通便利，且日产生废水量较小，按每7天清理一次计算，生活污水化粪池能够满足施肥间隙的贮存要求。环评要求：建设单位后续与农民签订《粪水使用协议》，确保能够消纳本项目的废水。</w:t>
            </w:r>
          </w:p>
          <w:p w14:paraId="06DFC13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②</w:t>
            </w:r>
            <w:r>
              <w:rPr>
                <w:rFonts w:hint="default" w:ascii="Times New Roman" w:hAnsi="Times New Roman" w:cs="Times New Roman"/>
                <w:b/>
                <w:bCs/>
                <w:color w:val="auto"/>
                <w:sz w:val="24"/>
                <w:szCs w:val="24"/>
                <w:highlight w:val="none"/>
                <w:lang w:val="en-US" w:eastAsia="zh-CN"/>
              </w:rPr>
              <w:t>废水消纳可行性分析</w:t>
            </w:r>
          </w:p>
          <w:p w14:paraId="75909DC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周边多为菜地、耕地和农田等，周边农户主要种植玉米、青菜、小麦等农作物，产生的生活污水进入化粪池处理后，用于周边农作物施肥，是农作物有利的肥料，同时对周边环境不造成影响，充分利用污染物不外排的原则。本项目产生的污水量为</w:t>
            </w:r>
            <w:r>
              <w:rPr>
                <w:rFonts w:hint="eastAsia" w:ascii="Times New Roman" w:hAnsi="Times New Roman" w:cs="Times New Roman"/>
                <w:color w:val="auto"/>
                <w:sz w:val="24"/>
                <w:szCs w:val="24"/>
                <w:highlight w:val="none"/>
                <w:vertAlign w:val="baseline"/>
                <w:lang w:val="en-US" w:eastAsia="zh-CN"/>
              </w:rPr>
              <w:t>74.46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-N浓度以</w:t>
            </w:r>
            <w:r>
              <w:rPr>
                <w:rFonts w:hint="default" w:ascii="Times New Roman" w:hAnsi="Times New Roman" w:eastAsia="宋体" w:cs="Times New Roman"/>
                <w:color w:val="auto"/>
                <w:sz w:val="24"/>
                <w:szCs w:val="24"/>
                <w:highlight w:val="none"/>
                <w:lang w:val="en-US" w:eastAsia="zh-CN"/>
              </w:rPr>
              <w:t>37.7</w:t>
            </w:r>
            <w:r>
              <w:rPr>
                <w:rFonts w:hint="default" w:ascii="Times New Roman" w:hAnsi="Times New Roman" w:cs="Times New Roman"/>
                <w:color w:val="auto"/>
                <w:sz w:val="24"/>
                <w:szCs w:val="24"/>
                <w:highlight w:val="none"/>
                <w:lang w:val="en-US" w:eastAsia="zh-CN"/>
              </w:rPr>
              <w:t>mg/L计，用于施肥的氮肥（N）量</w:t>
            </w:r>
            <w:r>
              <w:rPr>
                <w:rFonts w:hint="eastAsia" w:ascii="Times New Roman" w:hAnsi="Times New Roman" w:cs="Times New Roman"/>
                <w:color w:val="auto"/>
                <w:sz w:val="24"/>
                <w:szCs w:val="24"/>
                <w:highlight w:val="none"/>
                <w:lang w:val="en-US" w:eastAsia="zh-CN"/>
              </w:rPr>
              <w:t>2.807</w:t>
            </w:r>
            <w:r>
              <w:rPr>
                <w:rFonts w:hint="default" w:ascii="Times New Roman" w:hAnsi="Times New Roman" w:cs="Times New Roman"/>
                <w:color w:val="auto"/>
                <w:sz w:val="24"/>
                <w:szCs w:val="24"/>
                <w:highlight w:val="none"/>
                <w:lang w:val="en-US" w:eastAsia="zh-CN"/>
              </w:rPr>
              <w:t>kg。周边农户主要种植蔬菜、粮食，根据《农业农村部发布2016年春季主要农作物科学施肥技术指导意见》可知，施肥建议氮肥（N）用量10—12公斤/亩，经计算得出，本项目至少需要</w:t>
            </w:r>
            <w:r>
              <w:rPr>
                <w:rFonts w:hint="eastAsia" w:ascii="Times New Roman" w:hAnsi="Times New Roman" w:cs="Times New Roman"/>
                <w:color w:val="auto"/>
                <w:sz w:val="24"/>
                <w:szCs w:val="24"/>
                <w:highlight w:val="none"/>
                <w:lang w:val="en-US" w:eastAsia="zh-CN"/>
              </w:rPr>
              <w:t>0.28</w:t>
            </w:r>
            <w:r>
              <w:rPr>
                <w:rFonts w:hint="default" w:ascii="Times New Roman" w:hAnsi="Times New Roman" w:cs="Times New Roman"/>
                <w:color w:val="auto"/>
                <w:sz w:val="24"/>
                <w:szCs w:val="24"/>
                <w:highlight w:val="none"/>
                <w:lang w:val="en-US" w:eastAsia="zh-CN"/>
              </w:rPr>
              <w:t>亩土地完全消纳。周边可农肥土地面积高于2亩，厂区产生的生活污水作为菜地、耕地和农田的农肥使用，不外</w:t>
            </w:r>
            <w:r>
              <w:rPr>
                <w:rFonts w:hint="default" w:ascii="Times New Roman" w:hAnsi="Times New Roman" w:cs="Times New Roman"/>
                <w:b w:val="0"/>
                <w:bCs w:val="0"/>
                <w:color w:val="auto"/>
                <w:sz w:val="24"/>
                <w:szCs w:val="24"/>
                <w:highlight w:val="none"/>
                <w:lang w:val="en-US" w:eastAsia="zh-CN"/>
              </w:rPr>
              <w:t>排，满足农肥要求。</w:t>
            </w:r>
          </w:p>
          <w:p w14:paraId="5B268A6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（4）监测要求</w:t>
            </w:r>
          </w:p>
          <w:p w14:paraId="45EC0D6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b w:val="0"/>
                <w:bCs w:val="0"/>
                <w:color w:val="auto"/>
                <w:sz w:val="24"/>
                <w:szCs w:val="24"/>
                <w:highlight w:val="none"/>
                <w:lang w:val="en-US" w:eastAsia="zh-CN"/>
              </w:rPr>
              <w:t>本项目办</w:t>
            </w:r>
            <w:r>
              <w:rPr>
                <w:rFonts w:hint="default" w:ascii="Times New Roman" w:hAnsi="Times New Roman" w:cs="Times New Roman"/>
                <w:color w:val="auto"/>
                <w:sz w:val="24"/>
                <w:szCs w:val="24"/>
                <w:lang w:val="en-US" w:eastAsia="zh-CN"/>
              </w:rPr>
              <w:t>公生活污水、生产废水均不外排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故本项目不设置</w:t>
            </w:r>
            <w:r>
              <w:rPr>
                <w:rFonts w:hint="default" w:ascii="Times New Roman" w:hAnsi="Times New Roman" w:cs="Times New Roman"/>
                <w:color w:val="auto"/>
                <w:sz w:val="24"/>
                <w:szCs w:val="24"/>
              </w:rPr>
              <w:t>运行阶段的</w:t>
            </w:r>
            <w:r>
              <w:rPr>
                <w:rFonts w:hint="default" w:ascii="Times New Roman" w:hAnsi="Times New Roman" w:cs="Times New Roman"/>
                <w:color w:val="auto"/>
                <w:sz w:val="24"/>
                <w:szCs w:val="24"/>
                <w:lang w:val="en-US" w:eastAsia="zh-CN"/>
              </w:rPr>
              <w:t>水</w:t>
            </w:r>
            <w:r>
              <w:rPr>
                <w:rFonts w:hint="default" w:ascii="Times New Roman" w:hAnsi="Times New Roman" w:cs="Times New Roman"/>
                <w:color w:val="auto"/>
                <w:sz w:val="24"/>
                <w:szCs w:val="24"/>
              </w:rPr>
              <w:t>污染源监测计划</w:t>
            </w:r>
            <w:r>
              <w:rPr>
                <w:rFonts w:hint="default" w:ascii="Times New Roman" w:hAnsi="Times New Roman" w:cs="Times New Roman"/>
                <w:color w:val="auto"/>
                <w:sz w:val="24"/>
                <w:szCs w:val="24"/>
                <w:lang w:eastAsia="zh-CN"/>
              </w:rPr>
              <w:t>。</w:t>
            </w:r>
          </w:p>
          <w:p w14:paraId="48CE4ED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（5）</w:t>
            </w:r>
            <w:r>
              <w:rPr>
                <w:rFonts w:hint="default" w:ascii="Times New Roman" w:hAnsi="Times New Roman" w:cs="Times New Roman"/>
                <w:b/>
                <w:bCs/>
                <w:color w:val="auto"/>
                <w:sz w:val="24"/>
                <w:szCs w:val="24"/>
                <w:highlight w:val="none"/>
              </w:rPr>
              <w:t>环境影响</w:t>
            </w:r>
            <w:r>
              <w:rPr>
                <w:rFonts w:hint="default" w:ascii="Times New Roman" w:hAnsi="Times New Roman" w:cs="Times New Roman"/>
                <w:b/>
                <w:bCs/>
                <w:color w:val="auto"/>
                <w:sz w:val="24"/>
                <w:szCs w:val="24"/>
                <w:highlight w:val="none"/>
                <w:lang w:val="en-US" w:eastAsia="zh-CN"/>
              </w:rPr>
              <w:t>结论</w:t>
            </w:r>
          </w:p>
          <w:p w14:paraId="473015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本项目废水采取报告提出的治理措施后，能够做到</w:t>
            </w:r>
            <w:r>
              <w:rPr>
                <w:rFonts w:hint="default" w:ascii="Times New Roman" w:hAnsi="Times New Roman" w:cs="Times New Roman"/>
                <w:color w:val="auto"/>
                <w:sz w:val="24"/>
                <w:szCs w:val="24"/>
                <w:lang w:val="en-US" w:eastAsia="zh-CN"/>
              </w:rPr>
              <w:t>合理回用、处置</w:t>
            </w:r>
            <w:r>
              <w:rPr>
                <w:rFonts w:hint="default" w:ascii="Times New Roman" w:hAnsi="Times New Roman" w:cs="Times New Roman"/>
                <w:color w:val="auto"/>
                <w:sz w:val="24"/>
                <w:szCs w:val="24"/>
              </w:rPr>
              <w:t>，不会对区域地表水体造成不良影响。</w:t>
            </w:r>
          </w:p>
          <w:p w14:paraId="2D17AB0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2、马渡关水厂</w:t>
            </w:r>
          </w:p>
          <w:p w14:paraId="3A72845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b/>
                <w:bCs/>
                <w:color w:val="auto"/>
                <w:sz w:val="24"/>
                <w:szCs w:val="24"/>
                <w:highlight w:val="none"/>
                <w:lang w:eastAsia="zh-CN"/>
              </w:rPr>
              <w:t>（1）产排污环节、类别、污染物种类、产生量核算</w:t>
            </w:r>
          </w:p>
          <w:p w14:paraId="2C6D836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w:t>
            </w:r>
            <w:r>
              <w:rPr>
                <w:rFonts w:hint="eastAsia" w:ascii="Times New Roman" w:hAnsi="Times New Roman" w:cs="Times New Roman"/>
                <w:b/>
                <w:bCs/>
                <w:color w:val="auto"/>
                <w:sz w:val="24"/>
                <w:szCs w:val="24"/>
                <w:highlight w:val="none"/>
                <w:lang w:val="en-US" w:eastAsia="zh-CN"/>
              </w:rPr>
              <w:t>办公</w:t>
            </w:r>
            <w:r>
              <w:rPr>
                <w:rFonts w:hint="default" w:ascii="Times New Roman" w:hAnsi="Times New Roman" w:cs="Times New Roman"/>
                <w:b/>
                <w:bCs/>
                <w:color w:val="auto"/>
                <w:sz w:val="24"/>
                <w:szCs w:val="24"/>
                <w:highlight w:val="none"/>
                <w:lang w:val="en-US" w:eastAsia="zh-CN"/>
              </w:rPr>
              <w:t>生活污水</w:t>
            </w:r>
          </w:p>
          <w:p w14:paraId="0F59624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eastAsia" w:ascii="Times New Roman" w:hAnsi="Times New Roman" w:cs="Times New Roman"/>
                <w:b w:val="0"/>
                <w:bCs w:val="0"/>
                <w:color w:val="auto"/>
                <w:sz w:val="24"/>
                <w:szCs w:val="24"/>
                <w:highlight w:val="none"/>
                <w:lang w:val="en-US" w:eastAsia="zh-CN"/>
              </w:rPr>
              <w:t>马渡关水厂</w:t>
            </w:r>
            <w:r>
              <w:rPr>
                <w:rFonts w:hint="default" w:ascii="Times New Roman" w:hAnsi="Times New Roman" w:cs="Times New Roman"/>
                <w:color w:val="auto"/>
                <w:sz w:val="24"/>
                <w:szCs w:val="24"/>
                <w:highlight w:val="none"/>
                <w:vertAlign w:val="baseline"/>
                <w:lang w:val="en-US" w:eastAsia="zh-CN"/>
              </w:rPr>
              <w:t>员工人数为</w:t>
            </w:r>
            <w:r>
              <w:rPr>
                <w:rFonts w:hint="eastAsia" w:ascii="Times New Roman" w:hAnsi="Times New Roman" w:cs="Times New Roman"/>
                <w:color w:val="auto"/>
                <w:sz w:val="24"/>
                <w:szCs w:val="24"/>
                <w:highlight w:val="none"/>
                <w:vertAlign w:val="baseline"/>
                <w:lang w:val="en-US" w:eastAsia="zh-CN"/>
              </w:rPr>
              <w:t>4</w:t>
            </w:r>
            <w:r>
              <w:rPr>
                <w:rFonts w:hint="default" w:ascii="Times New Roman" w:hAnsi="Times New Roman" w:cs="Times New Roman"/>
                <w:color w:val="auto"/>
                <w:sz w:val="24"/>
                <w:szCs w:val="24"/>
                <w:highlight w:val="none"/>
                <w:vertAlign w:val="baseline"/>
                <w:lang w:val="en-US" w:eastAsia="zh-CN"/>
              </w:rPr>
              <w:t>人，根据《四川省用水定额》（川府函〔2021〕8号）中表5农村居民生活用水定额表，用水量按60L/人·d计，则办公生活用水量为0.</w:t>
            </w:r>
            <w:r>
              <w:rPr>
                <w:rFonts w:hint="eastAsia" w:ascii="Times New Roman" w:hAnsi="Times New Roman" w:cs="Times New Roman"/>
                <w:color w:val="auto"/>
                <w:sz w:val="24"/>
                <w:szCs w:val="24"/>
                <w:highlight w:val="none"/>
                <w:vertAlign w:val="baseline"/>
                <w:lang w:val="en-US" w:eastAsia="zh-CN"/>
              </w:rPr>
              <w:t>24</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产</w:t>
            </w:r>
            <w:r>
              <w:rPr>
                <w:rFonts w:hint="eastAsia" w:ascii="Times New Roman" w:hAnsi="Times New Roman" w:cs="Times New Roman"/>
                <w:color w:val="auto"/>
                <w:sz w:val="24"/>
                <w:szCs w:val="24"/>
                <w:highlight w:val="none"/>
                <w:lang w:val="en-US" w:eastAsia="zh-CN"/>
              </w:rPr>
              <w:t>污</w:t>
            </w:r>
            <w:r>
              <w:rPr>
                <w:rFonts w:hint="default" w:ascii="Times New Roman" w:hAnsi="Times New Roman" w:cs="Times New Roman"/>
                <w:color w:val="auto"/>
                <w:sz w:val="24"/>
                <w:szCs w:val="24"/>
                <w:highlight w:val="none"/>
              </w:rPr>
              <w:t>系数取0.85，</w:t>
            </w:r>
            <w:r>
              <w:rPr>
                <w:rFonts w:hint="default" w:ascii="Times New Roman" w:hAnsi="Times New Roman" w:cs="Times New Roman"/>
                <w:color w:val="auto"/>
                <w:kern w:val="24"/>
                <w:sz w:val="24"/>
                <w:szCs w:val="24"/>
                <w:highlight w:val="none"/>
              </w:rPr>
              <w:t>则</w:t>
            </w:r>
            <w:r>
              <w:rPr>
                <w:rFonts w:hint="eastAsia" w:ascii="Times New Roman" w:hAnsi="Times New Roman" w:cs="Times New Roman"/>
                <w:color w:val="auto"/>
                <w:kern w:val="24"/>
                <w:sz w:val="24"/>
                <w:szCs w:val="24"/>
                <w:highlight w:val="none"/>
                <w:lang w:val="en-US" w:eastAsia="zh-CN"/>
              </w:rPr>
              <w:t>办公</w:t>
            </w:r>
            <w:r>
              <w:rPr>
                <w:rFonts w:hint="default" w:ascii="Times New Roman" w:hAnsi="Times New Roman" w:cs="Times New Roman"/>
                <w:color w:val="auto"/>
                <w:kern w:val="24"/>
                <w:sz w:val="24"/>
                <w:szCs w:val="24"/>
                <w:highlight w:val="none"/>
              </w:rPr>
              <w:t>生活污水产生量约</w:t>
            </w:r>
            <w:r>
              <w:rPr>
                <w:rFonts w:hint="eastAsia" w:ascii="Times New Roman" w:hAnsi="Times New Roman" w:cs="Times New Roman"/>
                <w:color w:val="auto"/>
                <w:kern w:val="24"/>
                <w:sz w:val="24"/>
                <w:szCs w:val="24"/>
                <w:highlight w:val="none"/>
                <w:lang w:val="en-US" w:eastAsia="zh-CN"/>
              </w:rPr>
              <w:t>0.204</w:t>
            </w:r>
            <w:r>
              <w:rPr>
                <w:rFonts w:hint="default" w:ascii="Times New Roman" w:hAnsi="Times New Roman" w:cs="Times New Roman"/>
                <w:color w:val="auto"/>
                <w:kern w:val="24"/>
                <w:sz w:val="24"/>
                <w:szCs w:val="24"/>
                <w:highlight w:val="none"/>
              </w:rPr>
              <w:t>m</w:t>
            </w:r>
            <w:r>
              <w:rPr>
                <w:rFonts w:hint="default" w:ascii="Times New Roman" w:hAnsi="Times New Roman" w:cs="Times New Roman"/>
                <w:color w:val="auto"/>
                <w:kern w:val="24"/>
                <w:sz w:val="24"/>
                <w:szCs w:val="24"/>
                <w:highlight w:val="none"/>
                <w:vertAlign w:val="superscript"/>
              </w:rPr>
              <w:t>3</w:t>
            </w:r>
            <w:r>
              <w:rPr>
                <w:rFonts w:hint="default" w:ascii="Times New Roman" w:hAnsi="Times New Roman" w:cs="Times New Roman"/>
                <w:color w:val="auto"/>
                <w:kern w:val="24"/>
                <w:sz w:val="24"/>
                <w:szCs w:val="24"/>
                <w:highlight w:val="none"/>
              </w:rPr>
              <w:t>/d</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vertAlign w:val="baseline"/>
                <w:lang w:val="en-US" w:eastAsia="zh-CN"/>
              </w:rPr>
              <w:t>74.46</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lang w:eastAsia="zh-CN"/>
              </w:rPr>
              <w:t>根据《排放源统计调查产排污核算方法和系数手册》（公告2021年第24号）中“生活源产排污核算方法和系数手册”，主要污染物浓度COD：325mg/L、BOD</w:t>
            </w:r>
            <w:r>
              <w:rPr>
                <w:rFonts w:hint="default" w:ascii="Times New Roman" w:hAnsi="Times New Roman" w:cs="Times New Roman"/>
                <w:color w:val="auto"/>
                <w:sz w:val="24"/>
                <w:szCs w:val="24"/>
                <w:highlight w:val="none"/>
                <w:vertAlign w:val="subscript"/>
                <w:lang w:eastAsia="zh-CN"/>
              </w:rPr>
              <w:t>5</w:t>
            </w:r>
            <w:r>
              <w:rPr>
                <w:rFonts w:hint="default" w:ascii="Times New Roman" w:hAnsi="Times New Roman" w:cs="Times New Roman"/>
                <w:color w:val="auto"/>
                <w:sz w:val="24"/>
                <w:szCs w:val="24"/>
                <w:highlight w:val="none"/>
                <w:lang w:eastAsia="zh-CN"/>
              </w:rPr>
              <w:t>：140mg/L、SS：200mg/L、NH</w:t>
            </w:r>
            <w:r>
              <w:rPr>
                <w:rFonts w:hint="default" w:ascii="Times New Roman" w:hAnsi="Times New Roman" w:cs="Times New Roman"/>
                <w:color w:val="auto"/>
                <w:sz w:val="24"/>
                <w:szCs w:val="24"/>
                <w:highlight w:val="none"/>
                <w:vertAlign w:val="subscript"/>
                <w:lang w:eastAsia="zh-CN"/>
              </w:rPr>
              <w:t>3</w:t>
            </w:r>
            <w:r>
              <w:rPr>
                <w:rFonts w:hint="default" w:ascii="Times New Roman" w:hAnsi="Times New Roman" w:cs="Times New Roman"/>
                <w:color w:val="auto"/>
                <w:sz w:val="24"/>
                <w:szCs w:val="24"/>
                <w:highlight w:val="none"/>
                <w:lang w:eastAsia="zh-CN"/>
              </w:rPr>
              <w:t>-N：37.7mg/L、TP：4.28mg/L，则</w:t>
            </w:r>
            <w:r>
              <w:rPr>
                <w:rFonts w:hint="eastAsia" w:ascii="Times New Roman" w:hAnsi="Times New Roman" w:cs="Times New Roman"/>
                <w:color w:val="auto"/>
                <w:sz w:val="24"/>
                <w:szCs w:val="24"/>
                <w:highlight w:val="none"/>
                <w:lang w:val="en-US" w:eastAsia="zh-CN"/>
              </w:rPr>
              <w:t>办公</w:t>
            </w:r>
            <w:r>
              <w:rPr>
                <w:rFonts w:hint="default" w:ascii="Times New Roman" w:hAnsi="Times New Roman" w:cs="Times New Roman"/>
                <w:color w:val="auto"/>
                <w:sz w:val="24"/>
                <w:szCs w:val="24"/>
                <w:highlight w:val="none"/>
                <w:lang w:eastAsia="zh-CN"/>
              </w:rPr>
              <w:t>生活污水产生源强见下表：</w:t>
            </w:r>
          </w:p>
          <w:p w14:paraId="63D2CC19">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6 办公</w:t>
            </w:r>
            <w:r>
              <w:rPr>
                <w:rFonts w:hint="default" w:ascii="Times New Roman" w:hAnsi="Times New Roman" w:eastAsia="黑体" w:cs="Times New Roman"/>
                <w:b w:val="0"/>
                <w:bCs/>
                <w:color w:val="auto"/>
                <w:kern w:val="2"/>
                <w:sz w:val="21"/>
                <w:szCs w:val="21"/>
                <w:highlight w:val="none"/>
                <w:lang w:val="en-US" w:eastAsia="zh-CN" w:bidi="ar-SA"/>
              </w:rPr>
              <w:t>生活污水产排污环节、类别、污染物种类、产生量</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709"/>
              <w:gridCol w:w="1273"/>
              <w:gridCol w:w="1597"/>
              <w:gridCol w:w="1760"/>
              <w:gridCol w:w="1760"/>
            </w:tblGrid>
            <w:tr w14:paraId="3DB4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restart"/>
                  <w:vAlign w:val="center"/>
                </w:tcPr>
                <w:p w14:paraId="676B729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废水产污环节</w:t>
                  </w:r>
                </w:p>
              </w:tc>
              <w:tc>
                <w:tcPr>
                  <w:tcW w:w="921" w:type="pct"/>
                  <w:vMerge w:val="restart"/>
                  <w:vAlign w:val="center"/>
                </w:tcPr>
                <w:p w14:paraId="6A3D1A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废水类别</w:t>
                  </w:r>
                </w:p>
              </w:tc>
              <w:tc>
                <w:tcPr>
                  <w:tcW w:w="686" w:type="pct"/>
                  <w:vMerge w:val="restart"/>
                  <w:vAlign w:val="center"/>
                </w:tcPr>
                <w:p w14:paraId="51D8203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废水量（m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a</w:t>
                  </w:r>
                  <w:r>
                    <w:rPr>
                      <w:rFonts w:hint="default" w:ascii="Times New Roman" w:hAnsi="Times New Roman" w:eastAsia="宋体" w:cs="Times New Roman"/>
                      <w:b/>
                      <w:bCs/>
                      <w:color w:val="auto"/>
                      <w:sz w:val="21"/>
                      <w:szCs w:val="21"/>
                      <w:highlight w:val="none"/>
                      <w:lang w:val="en-US" w:eastAsia="zh-CN"/>
                    </w:rPr>
                    <w:t>）</w:t>
                  </w:r>
                </w:p>
              </w:tc>
              <w:tc>
                <w:tcPr>
                  <w:tcW w:w="860" w:type="pct"/>
                  <w:vMerge w:val="restart"/>
                  <w:vAlign w:val="center"/>
                </w:tcPr>
                <w:p w14:paraId="5C7F940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污染物种类</w:t>
                  </w:r>
                </w:p>
              </w:tc>
              <w:tc>
                <w:tcPr>
                  <w:tcW w:w="1897" w:type="pct"/>
                  <w:gridSpan w:val="2"/>
                  <w:vAlign w:val="center"/>
                </w:tcPr>
                <w:p w14:paraId="793B5C4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污染物产生量</w:t>
                  </w:r>
                </w:p>
              </w:tc>
            </w:tr>
            <w:tr w14:paraId="1F21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0AF8D6A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921" w:type="pct"/>
                  <w:vMerge w:val="continue"/>
                  <w:vAlign w:val="center"/>
                </w:tcPr>
                <w:p w14:paraId="5E25A70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686" w:type="pct"/>
                  <w:vMerge w:val="continue"/>
                  <w:vAlign w:val="center"/>
                </w:tcPr>
                <w:p w14:paraId="4367CB4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860" w:type="pct"/>
                  <w:vMerge w:val="continue"/>
                  <w:vAlign w:val="center"/>
                </w:tcPr>
                <w:p w14:paraId="767E4FF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p>
              </w:tc>
              <w:tc>
                <w:tcPr>
                  <w:tcW w:w="948" w:type="pct"/>
                  <w:vAlign w:val="center"/>
                </w:tcPr>
                <w:p w14:paraId="56D1689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浓度（mg/L）</w:t>
                  </w:r>
                </w:p>
              </w:tc>
              <w:tc>
                <w:tcPr>
                  <w:tcW w:w="948" w:type="pct"/>
                  <w:vAlign w:val="center"/>
                </w:tcPr>
                <w:p w14:paraId="34A704F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产生量（t/a）</w:t>
                  </w:r>
                </w:p>
              </w:tc>
            </w:tr>
            <w:tr w14:paraId="22CD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restart"/>
                  <w:vAlign w:val="center"/>
                </w:tcPr>
                <w:p w14:paraId="1170595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值班人员</w:t>
                  </w:r>
                </w:p>
              </w:tc>
              <w:tc>
                <w:tcPr>
                  <w:tcW w:w="921" w:type="pct"/>
                  <w:vMerge w:val="restart"/>
                  <w:vAlign w:val="center"/>
                </w:tcPr>
                <w:p w14:paraId="566C4BB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办公生活污水</w:t>
                  </w:r>
                </w:p>
              </w:tc>
              <w:tc>
                <w:tcPr>
                  <w:tcW w:w="686" w:type="pct"/>
                  <w:vMerge w:val="restart"/>
                  <w:vAlign w:val="center"/>
                </w:tcPr>
                <w:p w14:paraId="2D0BC85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74.46</w:t>
                  </w:r>
                </w:p>
              </w:tc>
              <w:tc>
                <w:tcPr>
                  <w:tcW w:w="860" w:type="pct"/>
                  <w:vAlign w:val="center"/>
                </w:tcPr>
                <w:p w14:paraId="64233A3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948" w:type="pct"/>
                  <w:vAlign w:val="center"/>
                </w:tcPr>
                <w:p w14:paraId="61D7A50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325</w:t>
                  </w:r>
                </w:p>
              </w:tc>
              <w:tc>
                <w:tcPr>
                  <w:tcW w:w="948" w:type="pct"/>
                  <w:vAlign w:val="center"/>
                </w:tcPr>
                <w:p w14:paraId="2DDB78E4">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0.02</w:t>
                  </w:r>
                  <w:r>
                    <w:rPr>
                      <w:rFonts w:hint="eastAsia" w:ascii="Times New Roman" w:hAnsi="Times New Roman" w:eastAsia="宋体" w:cs="Times New Roman"/>
                      <w:i w:val="0"/>
                      <w:iCs w:val="0"/>
                      <w:color w:val="000000"/>
                      <w:kern w:val="0"/>
                      <w:sz w:val="21"/>
                      <w:szCs w:val="21"/>
                      <w:u w:val="none"/>
                      <w:lang w:val="en-US" w:eastAsia="zh-CN" w:bidi="ar"/>
                    </w:rPr>
                    <w:t>4</w:t>
                  </w:r>
                </w:p>
              </w:tc>
            </w:tr>
            <w:tr w14:paraId="6709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2B1446C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67A216D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2816D20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04A5D6F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948" w:type="pct"/>
                  <w:vAlign w:val="center"/>
                </w:tcPr>
                <w:p w14:paraId="2C9B58F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w:t>
                  </w:r>
                </w:p>
              </w:tc>
              <w:tc>
                <w:tcPr>
                  <w:tcW w:w="948" w:type="pct"/>
                  <w:vAlign w:val="center"/>
                </w:tcPr>
                <w:p w14:paraId="21878E37">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ascii="Times New Roman" w:hAnsi="Times New Roman" w:eastAsia="宋体" w:cs="Times New Roman"/>
                      <w:i w:val="0"/>
                      <w:iCs w:val="0"/>
                      <w:color w:val="000000"/>
                      <w:kern w:val="0"/>
                      <w:sz w:val="21"/>
                      <w:szCs w:val="21"/>
                      <w:u w:val="none"/>
                      <w:lang w:val="en-US" w:eastAsia="zh-CN" w:bidi="ar"/>
                    </w:rPr>
                    <w:t>0</w:t>
                  </w:r>
                </w:p>
              </w:tc>
            </w:tr>
            <w:tr w14:paraId="6830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3A9DD75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282FDA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665538DB">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354045C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948" w:type="pct"/>
                  <w:vAlign w:val="center"/>
                </w:tcPr>
                <w:p w14:paraId="545AD2C8">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948" w:type="pct"/>
                  <w:vAlign w:val="center"/>
                </w:tcPr>
                <w:p w14:paraId="7C1B235E">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w:t>
                  </w:r>
                  <w:r>
                    <w:rPr>
                      <w:rFonts w:hint="eastAsia" w:ascii="Times New Roman" w:hAnsi="Times New Roman" w:eastAsia="宋体" w:cs="Times New Roman"/>
                      <w:i w:val="0"/>
                      <w:iCs w:val="0"/>
                      <w:color w:val="000000"/>
                      <w:kern w:val="0"/>
                      <w:sz w:val="21"/>
                      <w:szCs w:val="21"/>
                      <w:u w:val="none"/>
                      <w:lang w:val="en-US" w:eastAsia="zh-CN" w:bidi="ar"/>
                    </w:rPr>
                    <w:t>5</w:t>
                  </w:r>
                </w:p>
              </w:tc>
            </w:tr>
            <w:tr w14:paraId="68C9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2E6A948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7F7BF865">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5B6450C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768496E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NH</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w:t>
                  </w:r>
                </w:p>
              </w:tc>
              <w:tc>
                <w:tcPr>
                  <w:tcW w:w="948" w:type="pct"/>
                  <w:vAlign w:val="center"/>
                </w:tcPr>
                <w:p w14:paraId="3FD5CCAA">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37.7</w:t>
                  </w:r>
                </w:p>
              </w:tc>
              <w:tc>
                <w:tcPr>
                  <w:tcW w:w="948" w:type="pct"/>
                  <w:vAlign w:val="center"/>
                </w:tcPr>
                <w:p w14:paraId="07FBBB83">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0.003</w:t>
                  </w:r>
                </w:p>
              </w:tc>
            </w:tr>
            <w:tr w14:paraId="0F700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4" w:type="pct"/>
                  <w:vMerge w:val="continue"/>
                  <w:vAlign w:val="center"/>
                </w:tcPr>
                <w:p w14:paraId="1259519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921" w:type="pct"/>
                  <w:vMerge w:val="continue"/>
                  <w:vAlign w:val="center"/>
                </w:tcPr>
                <w:p w14:paraId="1112F35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686" w:type="pct"/>
                  <w:vMerge w:val="continue"/>
                  <w:vAlign w:val="center"/>
                </w:tcPr>
                <w:p w14:paraId="7CF2983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p>
              </w:tc>
              <w:tc>
                <w:tcPr>
                  <w:tcW w:w="860" w:type="pct"/>
                  <w:vAlign w:val="center"/>
                </w:tcPr>
                <w:p w14:paraId="085672D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w:t>
                  </w:r>
                </w:p>
              </w:tc>
              <w:tc>
                <w:tcPr>
                  <w:tcW w:w="948" w:type="pct"/>
                  <w:vAlign w:val="center"/>
                </w:tcPr>
                <w:p w14:paraId="05DBF22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4.28</w:t>
                  </w:r>
                </w:p>
              </w:tc>
              <w:tc>
                <w:tcPr>
                  <w:tcW w:w="948" w:type="pct"/>
                  <w:vAlign w:val="center"/>
                </w:tcPr>
                <w:p w14:paraId="680771A2">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3</w:t>
                  </w:r>
                </w:p>
              </w:tc>
            </w:tr>
          </w:tbl>
          <w:p w14:paraId="278F106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w:t>
            </w:r>
            <w:r>
              <w:rPr>
                <w:rFonts w:hint="default" w:ascii="Times New Roman" w:hAnsi="Times New Roman" w:cs="Times New Roman"/>
                <w:b/>
                <w:bCs/>
                <w:color w:val="auto"/>
                <w:sz w:val="24"/>
                <w:szCs w:val="24"/>
                <w:highlight w:val="none"/>
                <w:vertAlign w:val="baseline"/>
                <w:lang w:val="en-US" w:eastAsia="zh-CN"/>
              </w:rPr>
              <w:t>排泥水</w:t>
            </w:r>
            <w:r>
              <w:rPr>
                <w:rFonts w:hint="eastAsia" w:ascii="Times New Roman" w:hAnsi="Times New Roman" w:cs="Times New Roman"/>
                <w:b/>
                <w:bCs/>
                <w:color w:val="auto"/>
                <w:sz w:val="24"/>
                <w:szCs w:val="24"/>
                <w:highlight w:val="none"/>
                <w:vertAlign w:val="baseline"/>
                <w:lang w:val="en-US" w:eastAsia="zh-CN"/>
              </w:rPr>
              <w:t>、</w:t>
            </w:r>
            <w:r>
              <w:rPr>
                <w:rFonts w:hint="default" w:ascii="Times New Roman" w:hAnsi="Times New Roman" w:cs="Times New Roman"/>
                <w:b/>
                <w:bCs/>
                <w:color w:val="auto"/>
                <w:sz w:val="24"/>
                <w:szCs w:val="24"/>
                <w:highlight w:val="none"/>
                <w:vertAlign w:val="baseline"/>
                <w:lang w:val="en-US" w:eastAsia="zh-CN"/>
              </w:rPr>
              <w:t>反冲洗水</w:t>
            </w:r>
          </w:p>
          <w:p w14:paraId="5CCBB78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项目</w:t>
            </w:r>
            <w:r>
              <w:rPr>
                <w:rFonts w:hint="eastAsia" w:ascii="Times New Roman" w:hAnsi="Times New Roman" w:cs="Times New Roman"/>
                <w:color w:val="auto"/>
                <w:sz w:val="24"/>
                <w:szCs w:val="24"/>
                <w:highlight w:val="none"/>
                <w:vertAlign w:val="baseline"/>
                <w:lang w:val="en-US" w:eastAsia="zh-CN"/>
              </w:rPr>
              <w:t>生产</w:t>
            </w:r>
            <w:r>
              <w:rPr>
                <w:rFonts w:hint="default" w:ascii="Times New Roman" w:hAnsi="Times New Roman" w:cs="Times New Roman"/>
                <w:color w:val="auto"/>
                <w:sz w:val="24"/>
                <w:szCs w:val="24"/>
                <w:highlight w:val="none"/>
                <w:vertAlign w:val="baseline"/>
                <w:lang w:val="en-US" w:eastAsia="zh-CN"/>
              </w:rPr>
              <w:t>废水包含</w:t>
            </w:r>
            <w:r>
              <w:rPr>
                <w:rFonts w:hint="eastAsia" w:ascii="Times New Roman" w:hAnsi="Times New Roman" w:cs="Times New Roman"/>
                <w:color w:val="auto"/>
                <w:sz w:val="24"/>
                <w:szCs w:val="24"/>
                <w:highlight w:val="none"/>
                <w:vertAlign w:val="baseline"/>
                <w:lang w:val="en-US" w:eastAsia="zh-CN"/>
              </w:rPr>
              <w:t>预沉池、</w:t>
            </w:r>
            <w:r>
              <w:rPr>
                <w:rFonts w:hint="default" w:ascii="Times New Roman" w:hAnsi="Times New Roman" w:cs="Times New Roman"/>
                <w:color w:val="auto"/>
                <w:sz w:val="24"/>
                <w:szCs w:val="24"/>
                <w:highlight w:val="none"/>
                <w:vertAlign w:val="baseline"/>
                <w:lang w:val="en-US" w:eastAsia="zh-CN"/>
              </w:rPr>
              <w:t>絮凝</w:t>
            </w:r>
            <w:r>
              <w:rPr>
                <w:rFonts w:hint="eastAsia" w:ascii="Times New Roman" w:hAnsi="Times New Roman" w:cs="Times New Roman"/>
                <w:color w:val="auto"/>
                <w:sz w:val="24"/>
                <w:szCs w:val="24"/>
                <w:highlight w:val="none"/>
                <w:vertAlign w:val="baseline"/>
                <w:lang w:val="en-US" w:eastAsia="zh-CN"/>
              </w:rPr>
              <w:t>池、斜管</w:t>
            </w:r>
            <w:r>
              <w:rPr>
                <w:rFonts w:hint="default" w:ascii="Times New Roman" w:hAnsi="Times New Roman" w:cs="Times New Roman"/>
                <w:color w:val="auto"/>
                <w:sz w:val="24"/>
                <w:szCs w:val="24"/>
                <w:highlight w:val="none"/>
                <w:vertAlign w:val="baseline"/>
                <w:lang w:val="en-US" w:eastAsia="zh-CN"/>
              </w:rPr>
              <w:t>沉淀</w:t>
            </w:r>
            <w:r>
              <w:rPr>
                <w:rFonts w:hint="eastAsia" w:ascii="Times New Roman" w:hAnsi="Times New Roman" w:cs="Times New Roman"/>
                <w:color w:val="auto"/>
                <w:sz w:val="24"/>
                <w:szCs w:val="24"/>
                <w:highlight w:val="none"/>
                <w:vertAlign w:val="baseline"/>
                <w:lang w:val="en-US" w:eastAsia="zh-CN"/>
              </w:rPr>
              <w:t>池</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和滤池</w:t>
            </w:r>
            <w:r>
              <w:rPr>
                <w:rFonts w:hint="default" w:ascii="Times New Roman" w:hAnsi="Times New Roman" w:cs="Times New Roman"/>
                <w:color w:val="auto"/>
                <w:sz w:val="24"/>
                <w:szCs w:val="24"/>
                <w:highlight w:val="none"/>
                <w:vertAlign w:val="baseline"/>
                <w:lang w:val="en-US" w:eastAsia="zh-CN"/>
              </w:rPr>
              <w:t>反冲洗水等，根据《排放源统计调查产排污核算方法和系数手册》（公告2021年第24号）中“4610自来水生产和供应行业系数手册”中混凝沉淀（或澄清）过滤消毒工艺（≤5万吨/日）废水量产污系数6.16×10</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t/t-产品计，</w:t>
            </w:r>
            <w:r>
              <w:rPr>
                <w:rFonts w:hint="eastAsia" w:ascii="Times New Roman" w:hAnsi="Times New Roman" w:cs="Times New Roman"/>
                <w:color w:val="auto"/>
                <w:sz w:val="24"/>
                <w:szCs w:val="24"/>
                <w:highlight w:val="none"/>
                <w:vertAlign w:val="baseline"/>
                <w:lang w:val="en-US" w:eastAsia="zh-CN"/>
              </w:rPr>
              <w:t>马渡关水厂</w:t>
            </w:r>
            <w:r>
              <w:rPr>
                <w:rFonts w:hint="eastAsia" w:ascii="Times New Roman" w:hAnsi="Times New Roman" w:cs="Times New Roman"/>
                <w:color w:val="auto"/>
                <w:sz w:val="24"/>
                <w:szCs w:val="32"/>
                <w:highlight w:val="none"/>
                <w:vertAlign w:val="baseline"/>
                <w:lang w:val="en-US" w:eastAsia="zh-CN"/>
              </w:rPr>
              <w:t>供水</w:t>
            </w:r>
            <w:r>
              <w:rPr>
                <w:rFonts w:hint="default" w:ascii="Times New Roman" w:hAnsi="Times New Roman" w:cs="Times New Roman"/>
                <w:color w:val="auto"/>
                <w:sz w:val="24"/>
                <w:szCs w:val="32"/>
                <w:highlight w:val="none"/>
                <w:vertAlign w:val="baseline"/>
                <w:lang w:val="en-US" w:eastAsia="zh-CN"/>
              </w:rPr>
              <w:t>规模</w:t>
            </w:r>
            <w:r>
              <w:rPr>
                <w:rFonts w:hint="eastAsia" w:ascii="Times New Roman" w:hAnsi="Times New Roman" w:cs="Times New Roman"/>
                <w:color w:val="auto"/>
                <w:sz w:val="24"/>
                <w:szCs w:val="32"/>
                <w:highlight w:val="none"/>
                <w:vertAlign w:val="baseline"/>
                <w:lang w:val="en-US" w:eastAsia="zh-CN"/>
              </w:rPr>
              <w:t>为30</w:t>
            </w:r>
            <w:r>
              <w:rPr>
                <w:rFonts w:hint="default" w:ascii="Times New Roman" w:hAnsi="Times New Roman" w:cs="Times New Roman"/>
                <w:color w:val="auto"/>
                <w:sz w:val="24"/>
                <w:szCs w:val="32"/>
                <w:highlight w:val="none"/>
                <w:vertAlign w:val="baseline"/>
                <w:lang w:val="en-US" w:eastAsia="zh-CN"/>
              </w:rPr>
              <w:t>00m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/d</w:t>
            </w:r>
            <w:r>
              <w:rPr>
                <w:rFonts w:hint="eastAsia" w:ascii="Times New Roman" w:hAnsi="Times New Roman" w:cs="Times New Roman"/>
                <w:color w:val="auto"/>
                <w:sz w:val="24"/>
                <w:szCs w:val="32"/>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则排泥水</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反冲洗水产生量为</w:t>
            </w:r>
            <w:r>
              <w:rPr>
                <w:rFonts w:hint="eastAsia" w:ascii="Times New Roman" w:hAnsi="Times New Roman" w:cs="Times New Roman"/>
                <w:color w:val="auto"/>
                <w:sz w:val="24"/>
                <w:szCs w:val="24"/>
                <w:highlight w:val="none"/>
                <w:vertAlign w:val="baseline"/>
                <w:lang w:val="en-US" w:eastAsia="zh-CN"/>
              </w:rPr>
              <w:t>184.8</w:t>
            </w:r>
            <w:r>
              <w:rPr>
                <w:rFonts w:hint="default" w:ascii="Times New Roman" w:hAnsi="Times New Roman" w:cs="Times New Roman"/>
                <w:color w:val="auto"/>
                <w:sz w:val="24"/>
                <w:szCs w:val="24"/>
                <w:highlight w:val="none"/>
                <w:vertAlign w:val="baseli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（67452</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w:t>
            </w:r>
            <w:r>
              <w:rPr>
                <w:rFonts w:hint="eastAsia" w:ascii="Times New Roman" w:hAnsi="Times New Roman" w:cs="Times New Roman"/>
                <w:color w:val="auto"/>
                <w:sz w:val="24"/>
                <w:szCs w:val="32"/>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u w:val="none"/>
                <w:vertAlign w:val="baseline"/>
                <w:lang w:val="en-US" w:eastAsia="zh-CN"/>
              </w:rPr>
              <w:t>根据工艺设计</w:t>
            </w:r>
            <w:r>
              <w:rPr>
                <w:rFonts w:hint="eastAsia" w:ascii="Times New Roman" w:hAnsi="Times New Roman" w:cs="Times New Roman"/>
                <w:color w:val="auto"/>
                <w:sz w:val="24"/>
                <w:szCs w:val="32"/>
                <w:highlight w:val="none"/>
                <w:u w:val="none"/>
                <w:vertAlign w:val="baseline"/>
                <w:lang w:val="en-US" w:eastAsia="zh-CN"/>
              </w:rPr>
              <w:t>净水设备</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eastAsia="宋体" w:cs="Times New Roman"/>
                <w:sz w:val="24"/>
                <w:szCs w:val="24"/>
                <w:highlight w:val="none"/>
                <w:u w:val="none"/>
              </w:rPr>
              <w:t>每次排泥水量约</w:t>
            </w:r>
            <w:r>
              <w:rPr>
                <w:rFonts w:hint="eastAsia" w:ascii="Times New Roman" w:hAnsi="Times New Roman" w:eastAsia="宋体" w:cs="Times New Roman"/>
                <w:sz w:val="24"/>
                <w:szCs w:val="24"/>
                <w:highlight w:val="none"/>
                <w:u w:val="none"/>
                <w:lang w:val="en-US" w:eastAsia="zh-CN"/>
              </w:rPr>
              <w:t>40</w:t>
            </w:r>
            <w:r>
              <w:rPr>
                <w:rFonts w:hint="default" w:ascii="Times New Roman" w:hAnsi="Times New Roman" w:eastAsia="宋体" w:cs="Times New Roman"/>
                <w:sz w:val="24"/>
                <w:szCs w:val="24"/>
                <w:highlight w:val="none"/>
                <w:u w:val="none"/>
              </w:rPr>
              <w:t>m</w:t>
            </w:r>
            <w:r>
              <w:rPr>
                <w:rFonts w:hint="default" w:ascii="Times New Roman" w:hAnsi="Times New Roman" w:eastAsia="宋体" w:cs="Times New Roman"/>
                <w:sz w:val="24"/>
                <w:szCs w:val="24"/>
                <w:highlight w:val="none"/>
                <w:u w:val="none"/>
                <w:vertAlign w:val="superscript"/>
                <w:lang w:val="en-US" w:eastAsia="zh-CN"/>
              </w:rPr>
              <w:t>3</w:t>
            </w:r>
            <w:r>
              <w:rPr>
                <w:rFonts w:hint="default" w:ascii="Times New Roman" w:hAnsi="Times New Roman" w:eastAsia="宋体" w:cs="Times New Roman"/>
                <w:sz w:val="24"/>
                <w:szCs w:val="24"/>
                <w:highlight w:val="none"/>
                <w:u w:val="none"/>
                <w:vertAlign w:val="baseline"/>
                <w:lang w:val="en-US" w:eastAsia="zh-CN"/>
              </w:rPr>
              <w:t>，</w:t>
            </w:r>
            <w:r>
              <w:rPr>
                <w:rFonts w:hint="eastAsia" w:ascii="Times New Roman" w:hAnsi="Times New Roman" w:eastAsia="宋体" w:cs="Times New Roman"/>
                <w:sz w:val="24"/>
                <w:szCs w:val="24"/>
                <w:highlight w:val="none"/>
                <w:u w:val="none"/>
                <w:vertAlign w:val="baseline"/>
                <w:lang w:val="en-US" w:eastAsia="zh-CN"/>
              </w:rPr>
              <w:t>每天排一次，则</w:t>
            </w:r>
            <w:r>
              <w:rPr>
                <w:rFonts w:hint="default" w:ascii="Times New Roman" w:hAnsi="Times New Roman" w:cs="Times New Roman"/>
                <w:color w:val="auto"/>
                <w:sz w:val="24"/>
                <w:szCs w:val="24"/>
                <w:highlight w:val="none"/>
                <w:u w:val="none"/>
                <w:vertAlign w:val="baseline"/>
                <w:lang w:val="en-US" w:eastAsia="zh-CN"/>
              </w:rPr>
              <w:t>排泥水</w:t>
            </w:r>
            <w:r>
              <w:rPr>
                <w:rFonts w:hint="eastAsia" w:ascii="Times New Roman" w:hAnsi="Times New Roman" w:cs="Times New Roman"/>
                <w:color w:val="auto"/>
                <w:sz w:val="24"/>
                <w:szCs w:val="24"/>
                <w:highlight w:val="none"/>
                <w:u w:val="none"/>
                <w:vertAlign w:val="baseline"/>
                <w:lang w:val="en-US" w:eastAsia="zh-CN"/>
              </w:rPr>
              <w:t>产生量为</w:t>
            </w:r>
            <w:r>
              <w:rPr>
                <w:rFonts w:hint="eastAsia" w:ascii="Times New Roman" w:hAnsi="Times New Roman" w:eastAsia="宋体" w:cs="Times New Roman"/>
                <w:sz w:val="24"/>
                <w:szCs w:val="24"/>
                <w:highlight w:val="none"/>
                <w:u w:val="none"/>
                <w:lang w:val="en-US" w:eastAsia="zh-CN"/>
              </w:rPr>
              <w:t>40</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（14600</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w:t>
            </w:r>
            <w:r>
              <w:rPr>
                <w:rFonts w:hint="eastAsia" w:ascii="Times New Roman" w:hAnsi="Times New Roman" w:cs="Times New Roman"/>
                <w:color w:val="auto"/>
                <w:sz w:val="24"/>
                <w:szCs w:val="32"/>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u w:val="none"/>
                <w:vertAlign w:val="baseline"/>
                <w:lang w:val="en-US" w:eastAsia="zh-CN"/>
              </w:rPr>
              <w:t>，</w:t>
            </w:r>
            <w:r>
              <w:rPr>
                <w:rFonts w:hint="default" w:ascii="Times New Roman" w:hAnsi="Times New Roman" w:cs="Times New Roman"/>
                <w:color w:val="auto"/>
                <w:sz w:val="24"/>
                <w:szCs w:val="24"/>
                <w:highlight w:val="none"/>
                <w:u w:val="none"/>
                <w:vertAlign w:val="baseline"/>
                <w:lang w:val="en-US" w:eastAsia="zh-CN"/>
              </w:rPr>
              <w:t>反冲洗水</w:t>
            </w:r>
            <w:r>
              <w:rPr>
                <w:rFonts w:hint="eastAsia" w:ascii="Times New Roman" w:hAnsi="Times New Roman" w:cs="Times New Roman"/>
                <w:color w:val="auto"/>
                <w:sz w:val="24"/>
                <w:szCs w:val="24"/>
                <w:highlight w:val="none"/>
                <w:u w:val="none"/>
                <w:vertAlign w:val="baseline"/>
                <w:lang w:val="en-US" w:eastAsia="zh-CN"/>
              </w:rPr>
              <w:t>产生量为</w:t>
            </w:r>
            <w:r>
              <w:rPr>
                <w:rFonts w:hint="eastAsia" w:ascii="Times New Roman" w:hAnsi="Times New Roman" w:eastAsia="宋体" w:cs="Times New Roman"/>
                <w:sz w:val="24"/>
                <w:szCs w:val="24"/>
                <w:highlight w:val="none"/>
                <w:u w:val="none"/>
                <w:lang w:val="en-US" w:eastAsia="zh-CN"/>
              </w:rPr>
              <w:t>144.8</w:t>
            </w:r>
            <w:r>
              <w:rPr>
                <w:rFonts w:hint="default" w:ascii="Times New Roman" w:hAnsi="Times New Roman" w:cs="Times New Roman"/>
                <w:color w:val="auto"/>
                <w:sz w:val="24"/>
                <w:szCs w:val="24"/>
                <w:highlight w:val="none"/>
                <w:u w:val="none"/>
                <w:vertAlign w:val="baseline"/>
                <w:lang w:val="en-US" w:eastAsia="zh-CN"/>
              </w:rPr>
              <w:t>m</w:t>
            </w:r>
            <w:r>
              <w:rPr>
                <w:rFonts w:hint="default" w:ascii="Times New Roman" w:hAnsi="Times New Roman" w:cs="Times New Roman"/>
                <w:color w:val="auto"/>
                <w:sz w:val="24"/>
                <w:szCs w:val="24"/>
                <w:highlight w:val="none"/>
                <w:u w:val="none"/>
                <w:vertAlign w:val="superscript"/>
                <w:lang w:val="en-US" w:eastAsia="zh-CN"/>
              </w:rPr>
              <w:t>3</w:t>
            </w:r>
            <w:r>
              <w:rPr>
                <w:rFonts w:hint="default" w:ascii="Times New Roman" w:hAnsi="Times New Roman" w:cs="Times New Roman"/>
                <w:color w:val="auto"/>
                <w:sz w:val="24"/>
                <w:szCs w:val="24"/>
                <w:highlight w:val="none"/>
                <w:u w:val="none"/>
                <w:vertAlign w:val="baseline"/>
                <w:lang w:val="en-US" w:eastAsia="zh-CN"/>
              </w:rPr>
              <w:t>/d</w:t>
            </w:r>
            <w:r>
              <w:rPr>
                <w:rFonts w:hint="eastAsia" w:ascii="Times New Roman" w:hAnsi="Times New Roman" w:cs="Times New Roman"/>
                <w:color w:val="auto"/>
                <w:sz w:val="24"/>
                <w:szCs w:val="24"/>
                <w:highlight w:val="none"/>
                <w:vertAlign w:val="baseline"/>
                <w:lang w:val="en-US" w:eastAsia="zh-CN"/>
              </w:rPr>
              <w:t>（52852</w:t>
            </w:r>
            <w:r>
              <w:rPr>
                <w:rFonts w:hint="default" w:ascii="Times New Roman" w:hAnsi="Times New Roman" w:cs="Times New Roman"/>
                <w:color w:val="auto"/>
                <w:sz w:val="24"/>
                <w:szCs w:val="32"/>
                <w:highlight w:val="none"/>
                <w:vertAlign w:val="baseline"/>
                <w:lang w:val="en-US" w:eastAsia="zh-CN"/>
              </w:rPr>
              <w:t>m</w:t>
            </w:r>
            <w:r>
              <w:rPr>
                <w:rFonts w:hint="default" w:ascii="Times New Roman" w:hAnsi="Times New Roman" w:cs="Times New Roman"/>
                <w:color w:val="auto"/>
                <w:sz w:val="24"/>
                <w:szCs w:val="32"/>
                <w:highlight w:val="none"/>
                <w:vertAlign w:val="superscript"/>
                <w:lang w:val="en-US" w:eastAsia="zh-CN"/>
              </w:rPr>
              <w:t>3</w:t>
            </w:r>
            <w:r>
              <w:rPr>
                <w:rFonts w:hint="default" w:ascii="Times New Roman" w:hAnsi="Times New Roman" w:cs="Times New Roman"/>
                <w:color w:val="auto"/>
                <w:sz w:val="24"/>
                <w:szCs w:val="32"/>
                <w:highlight w:val="none"/>
                <w:vertAlign w:val="baseline"/>
                <w:lang w:val="en-US" w:eastAsia="zh-CN"/>
              </w:rPr>
              <w:t>/</w:t>
            </w:r>
            <w:r>
              <w:rPr>
                <w:rFonts w:hint="eastAsia" w:ascii="Times New Roman" w:hAnsi="Times New Roman" w:cs="Times New Roman"/>
                <w:color w:val="auto"/>
                <w:sz w:val="24"/>
                <w:szCs w:val="32"/>
                <w:highlight w:val="none"/>
                <w:vertAlign w:val="baseline"/>
                <w:lang w:val="en-US" w:eastAsia="zh-CN"/>
              </w:rPr>
              <w:t>a</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color w:val="auto"/>
                <w:sz w:val="24"/>
                <w:szCs w:val="24"/>
                <w:highlight w:val="none"/>
                <w:u w:val="none"/>
                <w:vertAlign w:val="baseline"/>
                <w:lang w:val="en-US" w:eastAsia="zh-CN"/>
              </w:rPr>
              <w:t>。</w:t>
            </w:r>
          </w:p>
          <w:p w14:paraId="32D1373F">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7 排泥水、反冲洗水</w:t>
            </w:r>
            <w:r>
              <w:rPr>
                <w:rFonts w:hint="default" w:ascii="Times New Roman" w:hAnsi="Times New Roman" w:eastAsia="黑体" w:cs="Times New Roman"/>
                <w:b w:val="0"/>
                <w:bCs/>
                <w:color w:val="auto"/>
                <w:kern w:val="2"/>
                <w:sz w:val="21"/>
                <w:szCs w:val="21"/>
                <w:highlight w:val="none"/>
                <w:lang w:val="en-US" w:eastAsia="zh-CN" w:bidi="ar-SA"/>
              </w:rPr>
              <w:t>产排污环节、类别、污染物种类、产生量</w:t>
            </w:r>
          </w:p>
          <w:tbl>
            <w:tblPr>
              <w:tblStyle w:val="2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37"/>
              <w:gridCol w:w="1095"/>
              <w:gridCol w:w="2187"/>
              <w:gridCol w:w="1710"/>
              <w:gridCol w:w="2222"/>
            </w:tblGrid>
            <w:tr w14:paraId="2B2F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51" w:type="pct"/>
                  <w:tcBorders>
                    <w:tl2br w:val="nil"/>
                    <w:tr2bl w:val="nil"/>
                  </w:tcBorders>
                  <w:vAlign w:val="center"/>
                </w:tcPr>
                <w:p w14:paraId="001E1B78">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废水产污环节</w:t>
                  </w:r>
                </w:p>
              </w:tc>
              <w:tc>
                <w:tcPr>
                  <w:tcW w:w="559" w:type="pct"/>
                  <w:tcBorders>
                    <w:tl2br w:val="nil"/>
                    <w:tr2bl w:val="nil"/>
                  </w:tcBorders>
                  <w:vAlign w:val="center"/>
                </w:tcPr>
                <w:p w14:paraId="1520EF6F">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废水类别</w:t>
                  </w:r>
                </w:p>
              </w:tc>
              <w:tc>
                <w:tcPr>
                  <w:tcW w:w="590" w:type="pct"/>
                  <w:tcBorders>
                    <w:tl2br w:val="nil"/>
                    <w:tr2bl w:val="nil"/>
                  </w:tcBorders>
                  <w:vAlign w:val="center"/>
                </w:tcPr>
                <w:p w14:paraId="0BCE7038">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w:t>
                  </w:r>
                  <w:r>
                    <w:rPr>
                      <w:rFonts w:hint="default" w:ascii="Times New Roman" w:hAnsi="Times New Roman" w:cs="Times New Roman"/>
                      <w:b/>
                      <w:bCs/>
                      <w:color w:val="auto"/>
                      <w:sz w:val="21"/>
                      <w:szCs w:val="21"/>
                      <w:highlight w:val="none"/>
                      <w:lang w:val="en-US" w:eastAsia="zh-CN"/>
                    </w:rPr>
                    <w:t>a</w:t>
                  </w:r>
                  <w:r>
                    <w:rPr>
                      <w:rFonts w:hint="default" w:ascii="Times New Roman" w:hAnsi="Times New Roman" w:cs="Times New Roman"/>
                      <w:b/>
                      <w:bCs/>
                      <w:color w:val="auto"/>
                      <w:sz w:val="21"/>
                      <w:szCs w:val="21"/>
                      <w:highlight w:val="none"/>
                    </w:rPr>
                    <w:t>）</w:t>
                  </w:r>
                </w:p>
              </w:tc>
              <w:tc>
                <w:tcPr>
                  <w:tcW w:w="1179" w:type="pct"/>
                  <w:tcBorders>
                    <w:tl2br w:val="nil"/>
                    <w:tr2bl w:val="nil"/>
                  </w:tcBorders>
                  <w:vAlign w:val="center"/>
                </w:tcPr>
                <w:p w14:paraId="6198E305">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产污系数</w:t>
                  </w:r>
                </w:p>
              </w:tc>
              <w:tc>
                <w:tcPr>
                  <w:tcW w:w="922" w:type="pct"/>
                  <w:tcBorders>
                    <w:tl2br w:val="nil"/>
                    <w:tr2bl w:val="nil"/>
                  </w:tcBorders>
                  <w:vAlign w:val="center"/>
                </w:tcPr>
                <w:p w14:paraId="4010143F">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1198" w:type="pct"/>
                  <w:tcBorders>
                    <w:tl2br w:val="nil"/>
                    <w:tr2bl w:val="nil"/>
                  </w:tcBorders>
                  <w:vAlign w:val="center"/>
                </w:tcPr>
                <w:p w14:paraId="3CCFD569">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污染物产生量（t/a）</w:t>
                  </w:r>
                </w:p>
              </w:tc>
            </w:tr>
            <w:tr w14:paraId="16BE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restart"/>
                  <w:tcBorders>
                    <w:tl2br w:val="nil"/>
                    <w:tr2bl w:val="nil"/>
                  </w:tcBorders>
                  <w:vAlign w:val="center"/>
                </w:tcPr>
                <w:p w14:paraId="08938DB6">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预沉淀、絮凝</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沉淀</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过滤</w:t>
                  </w:r>
                </w:p>
              </w:tc>
              <w:tc>
                <w:tcPr>
                  <w:tcW w:w="559" w:type="pct"/>
                  <w:vMerge w:val="restart"/>
                  <w:tcBorders>
                    <w:tl2br w:val="nil"/>
                    <w:tr2bl w:val="nil"/>
                  </w:tcBorders>
                  <w:vAlign w:val="center"/>
                </w:tcPr>
                <w:p w14:paraId="54F4CD33">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排泥水、反冲洗水</w:t>
                  </w:r>
                </w:p>
              </w:tc>
              <w:tc>
                <w:tcPr>
                  <w:tcW w:w="590" w:type="pct"/>
                  <w:vMerge w:val="restart"/>
                  <w:tcBorders>
                    <w:tl2br w:val="nil"/>
                    <w:tr2bl w:val="nil"/>
                  </w:tcBorders>
                  <w:vAlign w:val="center"/>
                </w:tcPr>
                <w:p w14:paraId="214A26DC">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67452</w:t>
                  </w:r>
                </w:p>
              </w:tc>
              <w:tc>
                <w:tcPr>
                  <w:tcW w:w="1179" w:type="pct"/>
                  <w:tcBorders>
                    <w:tl2br w:val="nil"/>
                    <w:tr2bl w:val="nil"/>
                  </w:tcBorders>
                  <w:vAlign w:val="center"/>
                </w:tcPr>
                <w:p w14:paraId="44749789">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1.13g/t-产品</w:t>
                  </w:r>
                </w:p>
              </w:tc>
              <w:tc>
                <w:tcPr>
                  <w:tcW w:w="922" w:type="pct"/>
                  <w:tcBorders>
                    <w:tl2br w:val="nil"/>
                    <w:tr2bl w:val="nil"/>
                  </w:tcBorders>
                  <w:vAlign w:val="center"/>
                </w:tcPr>
                <w:p w14:paraId="096C6AD9">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198" w:type="pct"/>
                  <w:tcBorders>
                    <w:tl2br w:val="nil"/>
                    <w:tr2bl w:val="nil"/>
                  </w:tcBorders>
                  <w:vAlign w:val="center"/>
                </w:tcPr>
                <w:p w14:paraId="1DBE03D3">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1.237</w:t>
                  </w:r>
                </w:p>
              </w:tc>
            </w:tr>
            <w:tr w14:paraId="0172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14:paraId="47E71F47">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59" w:type="pct"/>
                  <w:vMerge w:val="continue"/>
                  <w:tcBorders>
                    <w:tl2br w:val="nil"/>
                    <w:tr2bl w:val="nil"/>
                  </w:tcBorders>
                  <w:vAlign w:val="center"/>
                </w:tcPr>
                <w:p w14:paraId="695E91B2">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14:paraId="1170CC3A">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1179" w:type="pct"/>
                  <w:tcBorders>
                    <w:tl2br w:val="nil"/>
                    <w:tr2bl w:val="nil"/>
                  </w:tcBorders>
                  <w:vAlign w:val="center"/>
                </w:tcPr>
                <w:p w14:paraId="27274B56">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0.0291g/t-产品</w:t>
                  </w:r>
                </w:p>
              </w:tc>
              <w:tc>
                <w:tcPr>
                  <w:tcW w:w="922" w:type="pct"/>
                  <w:tcBorders>
                    <w:tl2br w:val="nil"/>
                    <w:tr2bl w:val="nil"/>
                  </w:tcBorders>
                  <w:vAlign w:val="center"/>
                </w:tcPr>
                <w:p w14:paraId="5B2DBB0E">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198" w:type="pct"/>
                  <w:tcBorders>
                    <w:tl2br w:val="nil"/>
                    <w:tr2bl w:val="nil"/>
                  </w:tcBorders>
                  <w:vAlign w:val="center"/>
                </w:tcPr>
                <w:p w14:paraId="6AC4CAED">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0.032</w:t>
                  </w:r>
                </w:p>
              </w:tc>
            </w:tr>
            <w:tr w14:paraId="20D9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14:paraId="58FFFD6B">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59" w:type="pct"/>
                  <w:vMerge w:val="continue"/>
                  <w:tcBorders>
                    <w:tl2br w:val="nil"/>
                    <w:tr2bl w:val="nil"/>
                  </w:tcBorders>
                  <w:vAlign w:val="center"/>
                </w:tcPr>
                <w:p w14:paraId="7E7853DC">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14:paraId="6F89E7CE">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1179" w:type="pct"/>
                  <w:tcBorders>
                    <w:tl2br w:val="nil"/>
                    <w:tr2bl w:val="nil"/>
                  </w:tcBorders>
                  <w:vAlign w:val="center"/>
                </w:tcPr>
                <w:p w14:paraId="45D53933">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0.383g/t-产品</w:t>
                  </w:r>
                </w:p>
              </w:tc>
              <w:tc>
                <w:tcPr>
                  <w:tcW w:w="922" w:type="pct"/>
                  <w:tcBorders>
                    <w:tl2br w:val="nil"/>
                    <w:tr2bl w:val="nil"/>
                  </w:tcBorders>
                  <w:vAlign w:val="center"/>
                </w:tcPr>
                <w:p w14:paraId="3E68A0CA">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TN</w:t>
                  </w:r>
                </w:p>
              </w:tc>
              <w:tc>
                <w:tcPr>
                  <w:tcW w:w="1198" w:type="pct"/>
                  <w:tcBorders>
                    <w:tl2br w:val="nil"/>
                    <w:tr2bl w:val="nil"/>
                  </w:tcBorders>
                  <w:vAlign w:val="center"/>
                </w:tcPr>
                <w:p w14:paraId="0CA7A9CE">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0.419</w:t>
                  </w:r>
                </w:p>
              </w:tc>
            </w:tr>
            <w:tr w14:paraId="772F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Merge w:val="continue"/>
                  <w:tcBorders>
                    <w:tl2br w:val="nil"/>
                    <w:tr2bl w:val="nil"/>
                  </w:tcBorders>
                  <w:vAlign w:val="center"/>
                </w:tcPr>
                <w:p w14:paraId="22CD1C6E">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59" w:type="pct"/>
                  <w:vMerge w:val="continue"/>
                  <w:tcBorders>
                    <w:tl2br w:val="nil"/>
                    <w:tr2bl w:val="nil"/>
                  </w:tcBorders>
                  <w:vAlign w:val="center"/>
                </w:tcPr>
                <w:p w14:paraId="44B54509">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590" w:type="pct"/>
                  <w:vMerge w:val="continue"/>
                  <w:tcBorders>
                    <w:tl2br w:val="nil"/>
                    <w:tr2bl w:val="nil"/>
                  </w:tcBorders>
                  <w:vAlign w:val="center"/>
                </w:tcPr>
                <w:p w14:paraId="33F018B1">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1179" w:type="pct"/>
                  <w:tcBorders>
                    <w:tl2br w:val="nil"/>
                    <w:tr2bl w:val="nil"/>
                  </w:tcBorders>
                  <w:vAlign w:val="center"/>
                </w:tcPr>
                <w:p w14:paraId="6815DF66">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0.0225g/t-产品</w:t>
                  </w:r>
                </w:p>
              </w:tc>
              <w:tc>
                <w:tcPr>
                  <w:tcW w:w="922" w:type="pct"/>
                  <w:tcBorders>
                    <w:tl2br w:val="nil"/>
                    <w:tr2bl w:val="nil"/>
                  </w:tcBorders>
                  <w:vAlign w:val="center"/>
                </w:tcPr>
                <w:p w14:paraId="006FEA37">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1198" w:type="pct"/>
                  <w:tcBorders>
                    <w:tl2br w:val="nil"/>
                    <w:tr2bl w:val="nil"/>
                  </w:tcBorders>
                  <w:vAlign w:val="center"/>
                </w:tcPr>
                <w:p w14:paraId="16F60B4F">
                  <w:pPr>
                    <w:keepNext w:val="0"/>
                    <w:keepLines w:val="0"/>
                    <w:pageBreakBefore w:val="0"/>
                    <w:widowControl/>
                    <w:suppressLineNumbers w:val="0"/>
                    <w:kinsoku/>
                    <w:wordWrap/>
                    <w:topLinePunct w:val="0"/>
                    <w:bidi w:val="0"/>
                    <w:spacing w:line="240" w:lineRule="auto"/>
                    <w:ind w:left="0" w:left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0.025</w:t>
                  </w:r>
                </w:p>
              </w:tc>
            </w:tr>
          </w:tbl>
          <w:p w14:paraId="21F99F9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eastAsia="zh-CN"/>
              </w:rPr>
              <w:t>（2）治理设施、排放方式、排放口基本信息</w:t>
            </w:r>
          </w:p>
          <w:p w14:paraId="5C39B3B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①治理措施</w:t>
            </w:r>
          </w:p>
          <w:p w14:paraId="3045938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eastAsia="zh-CN"/>
              </w:rPr>
              <w:t>生活污水：</w:t>
            </w:r>
            <w:r>
              <w:rPr>
                <w:rFonts w:hint="default" w:ascii="Times New Roman" w:hAnsi="Times New Roman" w:eastAsia="宋体" w:cs="Times New Roman"/>
                <w:color w:val="auto"/>
                <w:sz w:val="24"/>
                <w:szCs w:val="24"/>
                <w:highlight w:val="none"/>
                <w:lang w:val="en-US" w:eastAsia="zh-CN"/>
              </w:rPr>
              <w:t>经</w:t>
            </w:r>
            <w:r>
              <w:rPr>
                <w:rFonts w:hint="eastAsia" w:ascii="Times New Roman" w:hAnsi="Times New Roman" w:eastAsia="宋体" w:cs="Times New Roman"/>
                <w:color w:val="auto"/>
                <w:sz w:val="24"/>
                <w:szCs w:val="24"/>
                <w:highlight w:val="none"/>
                <w:lang w:val="en-US" w:eastAsia="zh-CN"/>
              </w:rPr>
              <w:t>一个4m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化粪池处理后用于农肥，不外排。</w:t>
            </w:r>
          </w:p>
          <w:p w14:paraId="119382A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eastAsia"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t>排泥水</w:t>
            </w:r>
            <w:r>
              <w:rPr>
                <w:rFonts w:hint="eastAsia" w:ascii="Times New Roman" w:hAnsi="Times New Roman" w:cs="Times New Roman"/>
                <w:b/>
                <w:bCs/>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vertAlign w:val="baseline"/>
                <w:lang w:val="en-US" w:eastAsia="zh-CN"/>
              </w:rPr>
              <w:t>排泥水</w:t>
            </w:r>
            <w:r>
              <w:rPr>
                <w:rFonts w:hint="eastAsia" w:ascii="Times New Roman" w:hAnsi="Times New Roman" w:cs="Times New Roman"/>
                <w:color w:val="auto"/>
                <w:sz w:val="24"/>
                <w:szCs w:val="24"/>
                <w:highlight w:val="none"/>
                <w:vertAlign w:val="baseline"/>
                <w:lang w:val="en-US" w:eastAsia="zh-CN"/>
              </w:rPr>
              <w:t>经沉淀后回用于厂区绿化。</w:t>
            </w:r>
          </w:p>
          <w:p w14:paraId="7B7A034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b/>
                <w:bCs/>
                <w:color w:val="auto"/>
                <w:sz w:val="24"/>
                <w:szCs w:val="24"/>
                <w:highlight w:val="none"/>
                <w:vertAlign w:val="baseline"/>
                <w:lang w:val="en-US" w:eastAsia="zh-CN"/>
              </w:rPr>
              <w:t>膜</w:t>
            </w:r>
            <w:r>
              <w:rPr>
                <w:rFonts w:hint="default" w:ascii="Times New Roman" w:hAnsi="Times New Roman" w:cs="Times New Roman"/>
                <w:b/>
                <w:bCs/>
                <w:color w:val="auto"/>
                <w:sz w:val="24"/>
                <w:szCs w:val="24"/>
                <w:highlight w:val="none"/>
                <w:vertAlign w:val="baseline"/>
                <w:lang w:val="en-US" w:eastAsia="zh-CN"/>
              </w:rPr>
              <w:t>反冲洗水</w:t>
            </w:r>
            <w:r>
              <w:rPr>
                <w:rFonts w:hint="default" w:ascii="Times New Roman" w:hAnsi="Times New Roman" w:cs="Times New Roman"/>
                <w:b/>
                <w:bCs/>
                <w:color w:val="auto"/>
                <w:sz w:val="24"/>
                <w:szCs w:val="24"/>
                <w:highlight w:val="none"/>
                <w:lang w:eastAsia="zh-CN"/>
              </w:rPr>
              <w:t>：</w:t>
            </w:r>
            <w:r>
              <w:rPr>
                <w:rFonts w:hint="eastAsia" w:ascii="Times New Roman" w:hAnsi="Times New Roman" w:cs="Times New Roman"/>
                <w:color w:val="auto"/>
                <w:sz w:val="24"/>
                <w:szCs w:val="24"/>
                <w:highlight w:val="none"/>
                <w:vertAlign w:val="baseline"/>
                <w:lang w:val="en-US" w:eastAsia="zh-CN"/>
              </w:rPr>
              <w:t>膜</w:t>
            </w:r>
            <w:r>
              <w:rPr>
                <w:rFonts w:hint="default" w:ascii="Times New Roman" w:hAnsi="Times New Roman" w:cs="Times New Roman"/>
                <w:color w:val="auto"/>
                <w:sz w:val="24"/>
                <w:szCs w:val="24"/>
                <w:highlight w:val="none"/>
                <w:vertAlign w:val="baseline"/>
                <w:lang w:val="en-US" w:eastAsia="zh-CN"/>
              </w:rPr>
              <w:t>反冲洗水</w:t>
            </w:r>
            <w:r>
              <w:rPr>
                <w:rFonts w:hint="eastAsia" w:ascii="Times New Roman" w:hAnsi="Times New Roman" w:cs="Times New Roman"/>
                <w:color w:val="auto"/>
                <w:sz w:val="24"/>
                <w:szCs w:val="24"/>
                <w:highlight w:val="none"/>
                <w:vertAlign w:val="baseline"/>
                <w:lang w:val="en-US" w:eastAsia="zh-CN"/>
              </w:rPr>
              <w:t>经排水池收集后全部返回供水厂净水设施处理。</w:t>
            </w:r>
          </w:p>
          <w:p w14:paraId="4F534E8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②废水治理设施、排放口基本信息表</w:t>
            </w:r>
          </w:p>
          <w:p w14:paraId="53C4138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cs="Times New Roman"/>
                <w:color w:val="auto"/>
                <w:sz w:val="24"/>
                <w:szCs w:val="24"/>
                <w:highlight w:val="none"/>
                <w:lang w:val="en-US" w:eastAsia="zh-CN"/>
              </w:rPr>
              <w:t>本项目废水治理设施、排放口基本信息见下表：</w:t>
            </w:r>
          </w:p>
          <w:p w14:paraId="5ACD6A63">
            <w:pPr>
              <w:keepNext w:val="0"/>
              <w:keepLines w:val="0"/>
              <w:pageBreakBefore w:val="0"/>
              <w:kinsoku/>
              <w:wordWrap/>
              <w:topLinePunct w:val="0"/>
              <w:bidi w:val="0"/>
              <w:spacing w:line="360"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 xml:space="preserve">8 </w:t>
            </w:r>
            <w:r>
              <w:rPr>
                <w:rFonts w:hint="default" w:ascii="Times New Roman" w:hAnsi="Times New Roman" w:eastAsia="黑体" w:cs="Times New Roman"/>
                <w:b w:val="0"/>
                <w:bCs/>
                <w:color w:val="auto"/>
                <w:kern w:val="2"/>
                <w:sz w:val="21"/>
                <w:szCs w:val="21"/>
                <w:highlight w:val="none"/>
                <w:lang w:val="en-US" w:eastAsia="zh-CN" w:bidi="ar-SA"/>
              </w:rPr>
              <w:t>废水治理设施信息表</w:t>
            </w:r>
          </w:p>
          <w:tbl>
            <w:tblPr>
              <w:tblStyle w:val="25"/>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83"/>
              <w:gridCol w:w="1369"/>
              <w:gridCol w:w="1708"/>
              <w:gridCol w:w="1058"/>
              <w:gridCol w:w="1391"/>
              <w:gridCol w:w="1067"/>
              <w:gridCol w:w="836"/>
              <w:gridCol w:w="745"/>
            </w:tblGrid>
            <w:tr w14:paraId="2CED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vMerge w:val="restart"/>
                  <w:tcBorders>
                    <w:tl2br w:val="nil"/>
                    <w:tr2bl w:val="nil"/>
                  </w:tcBorders>
                  <w:shd w:val="clear" w:color="000000" w:fill="auto"/>
                  <w:noWrap w:val="0"/>
                  <w:vAlign w:val="center"/>
                </w:tcPr>
                <w:p w14:paraId="29960DE4">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废水类别</w:t>
                  </w:r>
                </w:p>
              </w:tc>
              <w:tc>
                <w:tcPr>
                  <w:tcW w:w="739" w:type="pct"/>
                  <w:vMerge w:val="restart"/>
                  <w:tcBorders>
                    <w:tl2br w:val="nil"/>
                    <w:tr2bl w:val="nil"/>
                  </w:tcBorders>
                  <w:shd w:val="clear" w:color="000000" w:fill="auto"/>
                  <w:noWrap w:val="0"/>
                  <w:vAlign w:val="center"/>
                </w:tcPr>
                <w:p w14:paraId="5B6FDBF4">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2821" w:type="pct"/>
                  <w:gridSpan w:val="4"/>
                  <w:tcBorders>
                    <w:tl2br w:val="nil"/>
                    <w:tr2bl w:val="nil"/>
                  </w:tcBorders>
                  <w:shd w:val="clear" w:color="000000" w:fill="auto"/>
                  <w:noWrap w:val="0"/>
                  <w:vAlign w:val="center"/>
                </w:tcPr>
                <w:p w14:paraId="61523463">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污染治理设施</w:t>
                  </w:r>
                </w:p>
              </w:tc>
              <w:tc>
                <w:tcPr>
                  <w:tcW w:w="451" w:type="pct"/>
                  <w:vMerge w:val="restart"/>
                  <w:tcBorders>
                    <w:tl2br w:val="nil"/>
                    <w:tr2bl w:val="nil"/>
                  </w:tcBorders>
                  <w:shd w:val="clear" w:color="000000" w:fill="auto"/>
                  <w:noWrap w:val="0"/>
                  <w:vAlign w:val="center"/>
                </w:tcPr>
                <w:p w14:paraId="59CEA065">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1554CA21">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方式</w:t>
                  </w:r>
                </w:p>
              </w:tc>
              <w:tc>
                <w:tcPr>
                  <w:tcW w:w="402" w:type="pct"/>
                  <w:vMerge w:val="restart"/>
                  <w:tcBorders>
                    <w:tl2br w:val="nil"/>
                    <w:tr2bl w:val="nil"/>
                  </w:tcBorders>
                  <w:shd w:val="clear" w:color="000000" w:fill="auto"/>
                  <w:noWrap w:val="0"/>
                  <w:vAlign w:val="center"/>
                </w:tcPr>
                <w:p w14:paraId="0FE12FC6">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14:paraId="6B732CC2">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去向</w:t>
                  </w:r>
                </w:p>
              </w:tc>
            </w:tr>
            <w:tr w14:paraId="0384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vMerge w:val="continue"/>
                  <w:tcBorders>
                    <w:tl2br w:val="nil"/>
                    <w:tr2bl w:val="nil"/>
                  </w:tcBorders>
                  <w:shd w:val="clear" w:color="auto" w:fill="auto"/>
                  <w:noWrap w:val="0"/>
                  <w:vAlign w:val="center"/>
                </w:tcPr>
                <w:p w14:paraId="54691063">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739" w:type="pct"/>
                  <w:vMerge w:val="continue"/>
                  <w:tcBorders>
                    <w:tl2br w:val="nil"/>
                    <w:tr2bl w:val="nil"/>
                  </w:tcBorders>
                  <w:shd w:val="clear" w:color="auto" w:fill="auto"/>
                  <w:noWrap w:val="0"/>
                  <w:vAlign w:val="center"/>
                </w:tcPr>
                <w:p w14:paraId="2B70E702">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22" w:type="pct"/>
                  <w:tcBorders>
                    <w:tl2br w:val="nil"/>
                    <w:tr2bl w:val="nil"/>
                  </w:tcBorders>
                  <w:shd w:val="clear" w:color="000000" w:fill="auto"/>
                  <w:noWrap w:val="0"/>
                  <w:vAlign w:val="center"/>
                </w:tcPr>
                <w:p w14:paraId="0E03FA66">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571" w:type="pct"/>
                  <w:tcBorders>
                    <w:tl2br w:val="nil"/>
                    <w:tr2bl w:val="nil"/>
                  </w:tcBorders>
                  <w:shd w:val="clear" w:color="000000" w:fill="auto"/>
                  <w:noWrap w:val="0"/>
                  <w:vAlign w:val="center"/>
                </w:tcPr>
                <w:p w14:paraId="4D352971">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rPr>
                    <w:t>处理能力</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t/d</w:t>
                  </w:r>
                  <w:r>
                    <w:rPr>
                      <w:rFonts w:hint="default" w:ascii="Times New Roman" w:hAnsi="Times New Roman" w:cs="Times New Roman"/>
                      <w:b/>
                      <w:bCs/>
                      <w:color w:val="auto"/>
                      <w:sz w:val="21"/>
                      <w:szCs w:val="21"/>
                      <w:highlight w:val="none"/>
                      <w:lang w:eastAsia="zh-CN"/>
                    </w:rPr>
                    <w:t>）</w:t>
                  </w:r>
                </w:p>
              </w:tc>
              <w:tc>
                <w:tcPr>
                  <w:tcW w:w="751" w:type="pct"/>
                  <w:tcBorders>
                    <w:tl2br w:val="nil"/>
                    <w:tr2bl w:val="nil"/>
                  </w:tcBorders>
                  <w:shd w:val="clear" w:color="000000" w:fill="auto"/>
                  <w:noWrap w:val="0"/>
                  <w:vAlign w:val="center"/>
                </w:tcPr>
                <w:p w14:paraId="6F0167E1">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w:t>
                  </w:r>
                </w:p>
                <w:p w14:paraId="6BF85CB0">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576" w:type="pct"/>
                  <w:tcBorders>
                    <w:tl2br w:val="nil"/>
                    <w:tr2bl w:val="nil"/>
                  </w:tcBorders>
                  <w:shd w:val="clear" w:color="000000" w:fill="auto"/>
                  <w:noWrap w:val="0"/>
                  <w:vAlign w:val="center"/>
                </w:tcPr>
                <w:p w14:paraId="28D81A20">
                  <w:pPr>
                    <w:keepNext w:val="0"/>
                    <w:keepLines w:val="0"/>
                    <w:pageBreakBefore w:val="0"/>
                    <w:kinsoku/>
                    <w:wordWrap/>
                    <w:topLinePunct w:val="0"/>
                    <w:bidi w:val="0"/>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是否为可行性技术</w:t>
                  </w:r>
                </w:p>
              </w:tc>
              <w:tc>
                <w:tcPr>
                  <w:tcW w:w="451" w:type="pct"/>
                  <w:vMerge w:val="continue"/>
                  <w:tcBorders>
                    <w:tl2br w:val="nil"/>
                    <w:tr2bl w:val="nil"/>
                  </w:tcBorders>
                  <w:noWrap w:val="0"/>
                  <w:vAlign w:val="center"/>
                </w:tcPr>
                <w:p w14:paraId="7702AA57">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402" w:type="pct"/>
                  <w:vMerge w:val="continue"/>
                  <w:tcBorders>
                    <w:tl2br w:val="nil"/>
                    <w:tr2bl w:val="nil"/>
                  </w:tcBorders>
                  <w:noWrap w:val="0"/>
                  <w:vAlign w:val="center"/>
                </w:tcPr>
                <w:p w14:paraId="0F6ACD19">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r>
            <w:tr w14:paraId="015C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tcBorders>
                    <w:tl2br w:val="nil"/>
                    <w:tr2bl w:val="nil"/>
                  </w:tcBorders>
                  <w:noWrap w:val="0"/>
                  <w:vAlign w:val="center"/>
                </w:tcPr>
                <w:p w14:paraId="530EB380">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tc>
              <w:tc>
                <w:tcPr>
                  <w:tcW w:w="739" w:type="pct"/>
                  <w:tcBorders>
                    <w:tl2br w:val="nil"/>
                    <w:tr2bl w:val="nil"/>
                  </w:tcBorders>
                  <w:noWrap w:val="0"/>
                  <w:vAlign w:val="center"/>
                </w:tcPr>
                <w:p w14:paraId="731D1FBF">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w:t>
                  </w:r>
                </w:p>
              </w:tc>
              <w:tc>
                <w:tcPr>
                  <w:tcW w:w="922" w:type="pct"/>
                  <w:tcBorders>
                    <w:tl2br w:val="nil"/>
                    <w:tr2bl w:val="nil"/>
                  </w:tcBorders>
                  <w:noWrap w:val="0"/>
                  <w:vAlign w:val="center"/>
                </w:tcPr>
                <w:p w14:paraId="71957359">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化粪池</w:t>
                  </w:r>
                </w:p>
              </w:tc>
              <w:tc>
                <w:tcPr>
                  <w:tcW w:w="571" w:type="pct"/>
                  <w:tcBorders>
                    <w:tl2br w:val="nil"/>
                    <w:tr2bl w:val="nil"/>
                  </w:tcBorders>
                  <w:noWrap w:val="0"/>
                  <w:vAlign w:val="center"/>
                </w:tcPr>
                <w:p w14:paraId="261040CF">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751" w:type="pct"/>
                  <w:tcBorders>
                    <w:tl2br w:val="nil"/>
                    <w:tr2bl w:val="nil"/>
                  </w:tcBorders>
                  <w:noWrap w:val="0"/>
                  <w:vAlign w:val="center"/>
                </w:tcPr>
                <w:p w14:paraId="2B32934F">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厌氧处理</w:t>
                  </w:r>
                </w:p>
              </w:tc>
              <w:tc>
                <w:tcPr>
                  <w:tcW w:w="576" w:type="pct"/>
                  <w:tcBorders>
                    <w:tl2br w:val="nil"/>
                    <w:tr2bl w:val="nil"/>
                  </w:tcBorders>
                  <w:noWrap w:val="0"/>
                  <w:vAlign w:val="center"/>
                </w:tcPr>
                <w:p w14:paraId="4E78FA75">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51" w:type="pct"/>
                  <w:tcBorders>
                    <w:tl2br w:val="nil"/>
                    <w:tr2bl w:val="nil"/>
                  </w:tcBorders>
                  <w:noWrap w:val="0"/>
                  <w:vAlign w:val="center"/>
                </w:tcPr>
                <w:p w14:paraId="08467DC3">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不排放</w:t>
                  </w:r>
                </w:p>
              </w:tc>
              <w:tc>
                <w:tcPr>
                  <w:tcW w:w="402" w:type="pct"/>
                  <w:tcBorders>
                    <w:tl2br w:val="nil"/>
                    <w:tr2bl w:val="nil"/>
                  </w:tcBorders>
                  <w:noWrap w:val="0"/>
                  <w:vAlign w:val="center"/>
                </w:tcPr>
                <w:p w14:paraId="3003EC48">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农肥</w:t>
                  </w:r>
                </w:p>
              </w:tc>
            </w:tr>
            <w:tr w14:paraId="48BD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tcBorders>
                    <w:tl2br w:val="nil"/>
                    <w:tr2bl w:val="nil"/>
                  </w:tcBorders>
                  <w:noWrap w:val="0"/>
                  <w:vAlign w:val="center"/>
                </w:tcPr>
                <w:p w14:paraId="3ED2FE87">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排泥水</w:t>
                  </w:r>
                </w:p>
              </w:tc>
              <w:tc>
                <w:tcPr>
                  <w:tcW w:w="739" w:type="pct"/>
                  <w:vMerge w:val="restart"/>
                  <w:tcBorders>
                    <w:tl2br w:val="nil"/>
                    <w:tr2bl w:val="nil"/>
                  </w:tcBorders>
                  <w:noWrap w:val="0"/>
                  <w:vAlign w:val="center"/>
                </w:tcPr>
                <w:p w14:paraId="645274DD">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、SS、NH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-N、TP</w:t>
                  </w:r>
                </w:p>
              </w:tc>
              <w:tc>
                <w:tcPr>
                  <w:tcW w:w="922" w:type="pct"/>
                  <w:tcBorders>
                    <w:tl2br w:val="nil"/>
                    <w:tr2bl w:val="nil"/>
                  </w:tcBorders>
                  <w:noWrap w:val="0"/>
                  <w:vAlign w:val="center"/>
                </w:tcPr>
                <w:p w14:paraId="50EB02B2">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vertAlign w:val="baseline"/>
                      <w:lang w:val="en-US" w:eastAsia="zh-CN"/>
                    </w:rPr>
                    <w:t>排泥水</w:t>
                  </w:r>
                  <w:r>
                    <w:rPr>
                      <w:rFonts w:hint="eastAsia" w:ascii="Times New Roman" w:hAnsi="Times New Roman" w:cs="Times New Roman"/>
                      <w:color w:val="auto"/>
                      <w:sz w:val="21"/>
                      <w:szCs w:val="21"/>
                      <w:highlight w:val="none"/>
                      <w:vertAlign w:val="baseline"/>
                      <w:lang w:val="en-US" w:eastAsia="zh-CN"/>
                    </w:rPr>
                    <w:t>经沉淀后回用于厂区绿化</w:t>
                  </w:r>
                </w:p>
              </w:tc>
              <w:tc>
                <w:tcPr>
                  <w:tcW w:w="571" w:type="pct"/>
                  <w:tcBorders>
                    <w:tl2br w:val="nil"/>
                    <w:tr2bl w:val="nil"/>
                  </w:tcBorders>
                  <w:noWrap w:val="0"/>
                  <w:vAlign w:val="center"/>
                </w:tcPr>
                <w:p w14:paraId="09D0D1A0">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751" w:type="pct"/>
                  <w:tcBorders>
                    <w:tl2br w:val="nil"/>
                    <w:tr2bl w:val="nil"/>
                  </w:tcBorders>
                  <w:noWrap w:val="0"/>
                  <w:vAlign w:val="center"/>
                </w:tcPr>
                <w:p w14:paraId="165EF87B">
                  <w:pPr>
                    <w:keepNext w:val="0"/>
                    <w:keepLines w:val="0"/>
                    <w:pageBreakBefore w:val="0"/>
                    <w:kinsoku/>
                    <w:wordWrap/>
                    <w:topLinePunct w:val="0"/>
                    <w:bidi w:val="0"/>
                    <w:spacing w:line="240" w:lineRule="auto"/>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沉淀</w:t>
                  </w:r>
                </w:p>
              </w:tc>
              <w:tc>
                <w:tcPr>
                  <w:tcW w:w="576" w:type="pct"/>
                  <w:tcBorders>
                    <w:tl2br w:val="nil"/>
                    <w:tr2bl w:val="nil"/>
                  </w:tcBorders>
                  <w:noWrap w:val="0"/>
                  <w:vAlign w:val="center"/>
                </w:tcPr>
                <w:p w14:paraId="08E78F0B">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451" w:type="pct"/>
                  <w:tcBorders>
                    <w:tl2br w:val="nil"/>
                    <w:tr2bl w:val="nil"/>
                  </w:tcBorders>
                  <w:shd w:val="clear" w:color="auto" w:fill="auto"/>
                  <w:noWrap w:val="0"/>
                  <w:vAlign w:val="center"/>
                </w:tcPr>
                <w:p w14:paraId="2ED653FE">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不外排</w:t>
                  </w:r>
                </w:p>
              </w:tc>
              <w:tc>
                <w:tcPr>
                  <w:tcW w:w="402" w:type="pct"/>
                  <w:tcBorders>
                    <w:tl2br w:val="nil"/>
                    <w:tr2bl w:val="nil"/>
                  </w:tcBorders>
                  <w:shd w:val="clear" w:color="auto" w:fill="auto"/>
                  <w:noWrap w:val="0"/>
                  <w:vAlign w:val="center"/>
                </w:tcPr>
                <w:p w14:paraId="029CC5BD">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回用</w:t>
                  </w:r>
                </w:p>
              </w:tc>
            </w:tr>
            <w:tr w14:paraId="606C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 w:hRule="atLeast"/>
                <w:jc w:val="center"/>
              </w:trPr>
              <w:tc>
                <w:tcPr>
                  <w:tcW w:w="584" w:type="pct"/>
                  <w:tcBorders>
                    <w:tl2br w:val="nil"/>
                    <w:tr2bl w:val="nil"/>
                  </w:tcBorders>
                  <w:noWrap w:val="0"/>
                  <w:vAlign w:val="center"/>
                </w:tcPr>
                <w:p w14:paraId="4C822558">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反冲洗水</w:t>
                  </w:r>
                </w:p>
              </w:tc>
              <w:tc>
                <w:tcPr>
                  <w:tcW w:w="739" w:type="pct"/>
                  <w:vMerge w:val="continue"/>
                  <w:tcBorders>
                    <w:tl2br w:val="nil"/>
                    <w:tr2bl w:val="nil"/>
                  </w:tcBorders>
                  <w:noWrap w:val="0"/>
                  <w:vAlign w:val="center"/>
                </w:tcPr>
                <w:p w14:paraId="5A9FF7F4">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922" w:type="pct"/>
                  <w:tcBorders>
                    <w:tl2br w:val="nil"/>
                    <w:tr2bl w:val="nil"/>
                  </w:tcBorders>
                  <w:noWrap w:val="0"/>
                  <w:vAlign w:val="center"/>
                </w:tcPr>
                <w:p w14:paraId="266CD386">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vertAlign w:val="baseline"/>
                      <w:lang w:val="en-US" w:eastAsia="zh-CN"/>
                    </w:rPr>
                    <w:t>净水设施</w:t>
                  </w:r>
                </w:p>
              </w:tc>
              <w:tc>
                <w:tcPr>
                  <w:tcW w:w="571" w:type="pct"/>
                  <w:tcBorders>
                    <w:tl2br w:val="nil"/>
                    <w:tr2bl w:val="nil"/>
                  </w:tcBorders>
                  <w:noWrap w:val="0"/>
                  <w:vAlign w:val="center"/>
                </w:tcPr>
                <w:p w14:paraId="363EC9D8">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3000</w:t>
                  </w:r>
                </w:p>
              </w:tc>
              <w:tc>
                <w:tcPr>
                  <w:tcW w:w="751" w:type="pct"/>
                  <w:tcBorders>
                    <w:tl2br w:val="nil"/>
                    <w:tr2bl w:val="nil"/>
                  </w:tcBorders>
                  <w:noWrap w:val="0"/>
                  <w:vAlign w:val="center"/>
                </w:tcPr>
                <w:p w14:paraId="6180756B">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vertAlign w:val="baseline"/>
                      <w:lang w:val="en-US" w:eastAsia="zh-CN"/>
                    </w:rPr>
                    <w:t>预沉淀+絮凝+沉淀+过滤</w:t>
                  </w:r>
                </w:p>
              </w:tc>
              <w:tc>
                <w:tcPr>
                  <w:tcW w:w="576" w:type="pct"/>
                  <w:tcBorders>
                    <w:tl2br w:val="nil"/>
                    <w:tr2bl w:val="nil"/>
                  </w:tcBorders>
                  <w:shd w:val="clear" w:color="auto" w:fill="auto"/>
                  <w:noWrap w:val="0"/>
                  <w:vAlign w:val="center"/>
                </w:tcPr>
                <w:p w14:paraId="7D18D5C5">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是</w:t>
                  </w:r>
                </w:p>
              </w:tc>
              <w:tc>
                <w:tcPr>
                  <w:tcW w:w="451" w:type="pct"/>
                  <w:tcBorders>
                    <w:tl2br w:val="nil"/>
                    <w:tr2bl w:val="nil"/>
                  </w:tcBorders>
                  <w:shd w:val="clear" w:color="auto" w:fill="auto"/>
                  <w:noWrap w:val="0"/>
                  <w:vAlign w:val="center"/>
                </w:tcPr>
                <w:p w14:paraId="4B485364">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不外排</w:t>
                  </w:r>
                </w:p>
              </w:tc>
              <w:tc>
                <w:tcPr>
                  <w:tcW w:w="402" w:type="pct"/>
                  <w:tcBorders>
                    <w:tl2br w:val="nil"/>
                    <w:tr2bl w:val="nil"/>
                  </w:tcBorders>
                  <w:shd w:val="clear" w:color="auto" w:fill="auto"/>
                  <w:noWrap w:val="0"/>
                  <w:vAlign w:val="center"/>
                </w:tcPr>
                <w:p w14:paraId="783A742F">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回用</w:t>
                  </w:r>
                </w:p>
              </w:tc>
            </w:tr>
          </w:tbl>
          <w:p w14:paraId="782EAF5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highlight w:val="none"/>
                <w:lang w:val="en-US" w:eastAsia="zh-CN"/>
              </w:rPr>
              <w:t>废水治理措施可行性分析</w:t>
            </w:r>
          </w:p>
          <w:p w14:paraId="7AE83F0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①</w:t>
            </w:r>
            <w:r>
              <w:rPr>
                <w:rFonts w:hint="default" w:ascii="Times New Roman" w:hAnsi="Times New Roman" w:cs="Times New Roman"/>
                <w:b/>
                <w:bCs/>
                <w:color w:val="auto"/>
                <w:sz w:val="24"/>
                <w:szCs w:val="24"/>
                <w:highlight w:val="none"/>
                <w:lang w:val="en-US" w:eastAsia="zh-CN"/>
              </w:rPr>
              <w:t>化粪池可行性分析</w:t>
            </w:r>
          </w:p>
          <w:p w14:paraId="279BD7D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项目拟建设1个容积为</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eastAsia="zh-CN"/>
              </w:rPr>
              <w:t>3</w:t>
            </w:r>
            <w:r>
              <w:rPr>
                <w:rFonts w:hint="default" w:ascii="Times New Roman" w:hAnsi="Times New Roman" w:cs="Times New Roman"/>
                <w:color w:val="auto"/>
                <w:sz w:val="24"/>
                <w:szCs w:val="24"/>
                <w:highlight w:val="none"/>
                <w:lang w:val="en-US" w:eastAsia="zh-CN"/>
              </w:rPr>
              <w:t>的化粪池。</w:t>
            </w:r>
            <w:r>
              <w:rPr>
                <w:rFonts w:hint="default" w:ascii="Times New Roman" w:hAnsi="Times New Roman" w:cs="Times New Roman"/>
                <w:bCs/>
                <w:color w:val="auto"/>
                <w:sz w:val="24"/>
                <w:highlight w:val="none"/>
              </w:rPr>
              <w:t>废水在</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中停留时间按12h计，则</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最大接纳污水量为</w:t>
            </w:r>
            <w:r>
              <w:rPr>
                <w:rFonts w:hint="eastAsia" w:ascii="Times New Roman" w:hAnsi="Times New Roman" w:cs="Times New Roman"/>
                <w:color w:val="auto"/>
                <w:sz w:val="24"/>
                <w:highlight w:val="none"/>
                <w:lang w:val="en-US" w:eastAsia="zh-CN"/>
              </w:rPr>
              <w:t>8</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项目生活污</w:t>
            </w:r>
            <w:r>
              <w:rPr>
                <w:rFonts w:hint="default" w:ascii="Times New Roman" w:hAnsi="Times New Roman" w:cs="Times New Roman"/>
                <w:bCs/>
                <w:color w:val="auto"/>
                <w:sz w:val="24"/>
                <w:highlight w:val="none"/>
              </w:rPr>
              <w:t>水产生量为</w:t>
            </w:r>
            <w:r>
              <w:rPr>
                <w:rFonts w:hint="default" w:ascii="Times New Roman" w:hAnsi="Times New Roman" w:cs="Times New Roman"/>
                <w:color w:val="auto"/>
                <w:sz w:val="24"/>
                <w:szCs w:val="24"/>
                <w:highlight w:val="none"/>
                <w:vertAlign w:val="baseline"/>
                <w:lang w:val="en-US" w:eastAsia="zh-CN"/>
              </w:rPr>
              <w:t>0.</w:t>
            </w:r>
            <w:r>
              <w:rPr>
                <w:rFonts w:hint="eastAsia" w:ascii="Times New Roman" w:hAnsi="Times New Roman" w:cs="Times New Roman"/>
                <w:color w:val="auto"/>
                <w:sz w:val="24"/>
                <w:szCs w:val="24"/>
                <w:highlight w:val="none"/>
                <w:vertAlign w:val="baseline"/>
                <w:lang w:val="en-US" w:eastAsia="zh-CN"/>
              </w:rPr>
              <w:t>204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default" w:ascii="Times New Roman" w:hAnsi="Times New Roman" w:cs="Times New Roman"/>
                <w:bCs/>
                <w:color w:val="auto"/>
                <w:sz w:val="24"/>
                <w:highlight w:val="none"/>
              </w:rPr>
              <w:t>，</w:t>
            </w:r>
            <w:r>
              <w:rPr>
                <w:rFonts w:hint="default" w:ascii="Times New Roman" w:hAnsi="Times New Roman" w:cs="Times New Roman"/>
                <w:bCs/>
                <w:color w:val="auto"/>
                <w:sz w:val="24"/>
                <w:highlight w:val="none"/>
                <w:lang w:val="en-US" w:eastAsia="zh-CN"/>
              </w:rPr>
              <w:t>远</w:t>
            </w:r>
            <w:r>
              <w:rPr>
                <w:rFonts w:hint="default" w:ascii="Times New Roman" w:hAnsi="Times New Roman" w:cs="Times New Roman"/>
                <w:bCs/>
                <w:color w:val="auto"/>
                <w:sz w:val="24"/>
                <w:highlight w:val="none"/>
              </w:rPr>
              <w:t>低于</w:t>
            </w:r>
            <w:r>
              <w:rPr>
                <w:rFonts w:hint="default" w:ascii="Times New Roman" w:hAnsi="Times New Roman" w:cs="Times New Roman"/>
                <w:bCs/>
                <w:color w:val="auto"/>
                <w:sz w:val="24"/>
                <w:highlight w:val="none"/>
                <w:lang w:eastAsia="zh-CN"/>
              </w:rPr>
              <w:t>化粪池</w:t>
            </w:r>
            <w:r>
              <w:rPr>
                <w:rFonts w:hint="default" w:ascii="Times New Roman" w:hAnsi="Times New Roman" w:cs="Times New Roman"/>
                <w:bCs/>
                <w:color w:val="auto"/>
                <w:sz w:val="24"/>
                <w:highlight w:val="none"/>
              </w:rPr>
              <w:t>最大处理能力</w:t>
            </w:r>
            <w:r>
              <w:rPr>
                <w:rFonts w:hint="default" w:ascii="Times New Roman" w:hAnsi="Times New Roman" w:cs="Times New Roman"/>
                <w:color w:val="auto"/>
                <w:sz w:val="24"/>
                <w:szCs w:val="24"/>
                <w:highlight w:val="none"/>
                <w:lang w:val="en-US" w:eastAsia="zh-CN"/>
              </w:rPr>
              <w:t>，满足环境可行性要求。</w:t>
            </w:r>
          </w:p>
          <w:p w14:paraId="0FD9545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现场调查，本项目周边有耕地和农田，项目周边交通便利，且日产生废水量较小，按每7天清理一次计算，生活污水化粪池能够满足施肥间隙的贮存要求。环评要求：建设单位后续与农民签订《粪水使用协议》，确保能够消纳本项目的废水。</w:t>
            </w:r>
          </w:p>
          <w:p w14:paraId="6D1C0A6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②</w:t>
            </w:r>
            <w:r>
              <w:rPr>
                <w:rFonts w:hint="default" w:ascii="Times New Roman" w:hAnsi="Times New Roman" w:cs="Times New Roman"/>
                <w:b/>
                <w:bCs/>
                <w:color w:val="auto"/>
                <w:sz w:val="24"/>
                <w:szCs w:val="24"/>
                <w:highlight w:val="none"/>
                <w:lang w:val="en-US" w:eastAsia="zh-CN"/>
              </w:rPr>
              <w:t>废水消纳可行性分析</w:t>
            </w:r>
          </w:p>
          <w:p w14:paraId="1073E5E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周边多为菜地、耕地和农田等，周边农户主要种植玉米、青菜、小麦等农作物，产生的生活污水进入化粪池处理后，用于周边农作物施肥，是农作物有利的肥料，同时对周边环境不造成影响，充分利用污染物不外排的原则。本项目产生的污水量为</w:t>
            </w:r>
            <w:r>
              <w:rPr>
                <w:rFonts w:hint="eastAsia" w:ascii="Times New Roman" w:hAnsi="Times New Roman" w:cs="Times New Roman"/>
                <w:color w:val="auto"/>
                <w:sz w:val="24"/>
                <w:szCs w:val="24"/>
                <w:highlight w:val="none"/>
                <w:vertAlign w:val="baseline"/>
                <w:lang w:val="en-US" w:eastAsia="zh-CN"/>
              </w:rPr>
              <w:t>74.46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/a，NH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cs="Times New Roman"/>
                <w:color w:val="auto"/>
                <w:sz w:val="24"/>
                <w:szCs w:val="24"/>
                <w:highlight w:val="none"/>
                <w:lang w:val="en-US" w:eastAsia="zh-CN"/>
              </w:rPr>
              <w:t>-N浓度以</w:t>
            </w:r>
            <w:r>
              <w:rPr>
                <w:rFonts w:hint="default" w:ascii="Times New Roman" w:hAnsi="Times New Roman" w:eastAsia="宋体" w:cs="Times New Roman"/>
                <w:color w:val="auto"/>
                <w:sz w:val="24"/>
                <w:szCs w:val="24"/>
                <w:highlight w:val="none"/>
                <w:lang w:val="en-US" w:eastAsia="zh-CN"/>
              </w:rPr>
              <w:t>37.7</w:t>
            </w:r>
            <w:r>
              <w:rPr>
                <w:rFonts w:hint="default" w:ascii="Times New Roman" w:hAnsi="Times New Roman" w:cs="Times New Roman"/>
                <w:color w:val="auto"/>
                <w:sz w:val="24"/>
                <w:szCs w:val="24"/>
                <w:highlight w:val="none"/>
                <w:lang w:val="en-US" w:eastAsia="zh-CN"/>
              </w:rPr>
              <w:t>mg/L计，用于施肥的氮肥（N）量</w:t>
            </w:r>
            <w:r>
              <w:rPr>
                <w:rFonts w:hint="eastAsia" w:ascii="Times New Roman" w:hAnsi="Times New Roman" w:cs="Times New Roman"/>
                <w:color w:val="auto"/>
                <w:sz w:val="24"/>
                <w:szCs w:val="24"/>
                <w:highlight w:val="none"/>
                <w:lang w:val="en-US" w:eastAsia="zh-CN"/>
              </w:rPr>
              <w:t>2.807</w:t>
            </w:r>
            <w:r>
              <w:rPr>
                <w:rFonts w:hint="default" w:ascii="Times New Roman" w:hAnsi="Times New Roman" w:cs="Times New Roman"/>
                <w:color w:val="auto"/>
                <w:sz w:val="24"/>
                <w:szCs w:val="24"/>
                <w:highlight w:val="none"/>
                <w:lang w:val="en-US" w:eastAsia="zh-CN"/>
              </w:rPr>
              <w:t>kg。周边农户主要种植蔬菜、粮食，根据《农业农村部发布2016年春季主要农作物科学施肥技术指导意见》可知，施肥建议氮肥（N）用量10—12公斤/亩，经计算得出，本项目至少需要</w:t>
            </w:r>
            <w:r>
              <w:rPr>
                <w:rFonts w:hint="eastAsia" w:ascii="Times New Roman" w:hAnsi="Times New Roman" w:cs="Times New Roman"/>
                <w:color w:val="auto"/>
                <w:sz w:val="24"/>
                <w:szCs w:val="24"/>
                <w:highlight w:val="none"/>
                <w:lang w:val="en-US" w:eastAsia="zh-CN"/>
              </w:rPr>
              <w:t>0.28</w:t>
            </w:r>
            <w:r>
              <w:rPr>
                <w:rFonts w:hint="default" w:ascii="Times New Roman" w:hAnsi="Times New Roman" w:cs="Times New Roman"/>
                <w:color w:val="auto"/>
                <w:sz w:val="24"/>
                <w:szCs w:val="24"/>
                <w:highlight w:val="none"/>
                <w:lang w:val="en-US" w:eastAsia="zh-CN"/>
              </w:rPr>
              <w:t>亩土地完全消纳。周边可农肥土地面积高于2亩，厂区产生的生活污水作为菜地、耕地和农田的农肥使用，不外</w:t>
            </w:r>
            <w:r>
              <w:rPr>
                <w:rFonts w:hint="default" w:ascii="Times New Roman" w:hAnsi="Times New Roman" w:cs="Times New Roman"/>
                <w:b w:val="0"/>
                <w:bCs w:val="0"/>
                <w:color w:val="auto"/>
                <w:sz w:val="24"/>
                <w:szCs w:val="24"/>
                <w:highlight w:val="none"/>
                <w:lang w:val="en-US" w:eastAsia="zh-CN"/>
              </w:rPr>
              <w:t>排，满足农肥要求。</w:t>
            </w:r>
          </w:p>
          <w:p w14:paraId="3E5C749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val="en-US" w:eastAsia="zh-CN" w:bidi="ar"/>
              </w:rPr>
              <w:t>监测要求</w:t>
            </w:r>
          </w:p>
          <w:p w14:paraId="3DB5BB7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本项</w:t>
            </w:r>
            <w:r>
              <w:rPr>
                <w:rFonts w:hint="default" w:ascii="Times New Roman" w:hAnsi="Times New Roman" w:cs="Times New Roman"/>
                <w:b w:val="0"/>
                <w:bCs w:val="0"/>
                <w:color w:val="auto"/>
                <w:sz w:val="24"/>
                <w:szCs w:val="24"/>
                <w:lang w:val="en-US" w:eastAsia="zh-CN"/>
              </w:rPr>
              <w:t>目</w:t>
            </w:r>
            <w:r>
              <w:rPr>
                <w:rFonts w:hint="eastAsia" w:ascii="Times New Roman" w:hAnsi="Times New Roman" w:cs="Times New Roman"/>
                <w:color w:val="auto"/>
                <w:sz w:val="24"/>
                <w:szCs w:val="24"/>
                <w:lang w:val="en-US" w:eastAsia="zh-CN"/>
              </w:rPr>
              <w:t>办公</w:t>
            </w:r>
            <w:r>
              <w:rPr>
                <w:rFonts w:hint="default" w:ascii="Times New Roman" w:hAnsi="Times New Roman" w:cs="Times New Roman"/>
                <w:color w:val="auto"/>
                <w:sz w:val="24"/>
                <w:szCs w:val="24"/>
                <w:lang w:val="en-US" w:eastAsia="zh-CN"/>
              </w:rPr>
              <w:t>生活污水、生产废水均不外排</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val="en-US" w:eastAsia="zh-CN" w:bidi="ar"/>
              </w:rPr>
              <w:t>故本项目不设置</w:t>
            </w:r>
            <w:r>
              <w:rPr>
                <w:rFonts w:hint="default" w:ascii="Times New Roman" w:hAnsi="Times New Roman" w:cs="Times New Roman"/>
                <w:color w:val="auto"/>
                <w:sz w:val="24"/>
                <w:szCs w:val="24"/>
              </w:rPr>
              <w:t>运行阶段的</w:t>
            </w:r>
            <w:r>
              <w:rPr>
                <w:rFonts w:hint="default" w:ascii="Times New Roman" w:hAnsi="Times New Roman" w:cs="Times New Roman"/>
                <w:color w:val="auto"/>
                <w:sz w:val="24"/>
                <w:szCs w:val="24"/>
                <w:lang w:val="en-US" w:eastAsia="zh-CN"/>
              </w:rPr>
              <w:t>水</w:t>
            </w:r>
            <w:r>
              <w:rPr>
                <w:rFonts w:hint="default" w:ascii="Times New Roman" w:hAnsi="Times New Roman" w:cs="Times New Roman"/>
                <w:color w:val="auto"/>
                <w:sz w:val="24"/>
                <w:szCs w:val="24"/>
              </w:rPr>
              <w:t>污染源监测计划</w:t>
            </w:r>
            <w:r>
              <w:rPr>
                <w:rFonts w:hint="default" w:ascii="Times New Roman" w:hAnsi="Times New Roman" w:cs="Times New Roman"/>
                <w:color w:val="auto"/>
                <w:sz w:val="24"/>
                <w:szCs w:val="24"/>
                <w:lang w:eastAsia="zh-CN"/>
              </w:rPr>
              <w:t>。</w:t>
            </w:r>
          </w:p>
          <w:p w14:paraId="3D13E06F">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（5）</w:t>
            </w:r>
            <w:r>
              <w:rPr>
                <w:rFonts w:hint="default" w:ascii="Times New Roman" w:hAnsi="Times New Roman" w:cs="Times New Roman"/>
                <w:b/>
                <w:bCs/>
                <w:color w:val="auto"/>
                <w:sz w:val="24"/>
                <w:szCs w:val="24"/>
                <w:highlight w:val="none"/>
              </w:rPr>
              <w:t>环境影响</w:t>
            </w:r>
            <w:r>
              <w:rPr>
                <w:rFonts w:hint="default" w:ascii="Times New Roman" w:hAnsi="Times New Roman" w:cs="Times New Roman"/>
                <w:b/>
                <w:bCs/>
                <w:color w:val="auto"/>
                <w:sz w:val="24"/>
                <w:szCs w:val="24"/>
                <w:highlight w:val="none"/>
                <w:lang w:val="en-US" w:eastAsia="zh-CN"/>
              </w:rPr>
              <w:t>结论</w:t>
            </w:r>
          </w:p>
          <w:p w14:paraId="148BA6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本项目废水采取报告提出的治理措施后，能够做到</w:t>
            </w:r>
            <w:r>
              <w:rPr>
                <w:rFonts w:hint="eastAsia" w:ascii="Times New Roman" w:hAnsi="Times New Roman" w:cs="Times New Roman"/>
                <w:color w:val="auto"/>
                <w:sz w:val="24"/>
                <w:szCs w:val="24"/>
                <w:lang w:val="en-US" w:eastAsia="zh-CN"/>
              </w:rPr>
              <w:t>合理</w:t>
            </w:r>
            <w:r>
              <w:rPr>
                <w:rFonts w:hint="default" w:ascii="Times New Roman" w:hAnsi="Times New Roman" w:cs="Times New Roman"/>
                <w:color w:val="auto"/>
                <w:sz w:val="24"/>
                <w:szCs w:val="24"/>
                <w:lang w:val="en-US" w:eastAsia="zh-CN"/>
              </w:rPr>
              <w:t>回用</w:t>
            </w:r>
            <w:r>
              <w:rPr>
                <w:rFonts w:hint="eastAsia" w:ascii="Times New Roman" w:hAnsi="Times New Roman" w:cs="Times New Roman"/>
                <w:color w:val="auto"/>
                <w:sz w:val="24"/>
                <w:szCs w:val="24"/>
                <w:lang w:val="en-US" w:eastAsia="zh-CN"/>
              </w:rPr>
              <w:t>、处置</w:t>
            </w:r>
            <w:r>
              <w:rPr>
                <w:rFonts w:hint="default" w:ascii="Times New Roman" w:hAnsi="Times New Roman" w:cs="Times New Roman"/>
                <w:color w:val="auto"/>
                <w:sz w:val="24"/>
                <w:szCs w:val="24"/>
              </w:rPr>
              <w:t>，不会对区域地表水体造成不良影响。</w:t>
            </w:r>
          </w:p>
          <w:p w14:paraId="320FFEE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二、废气</w:t>
            </w:r>
          </w:p>
          <w:p w14:paraId="73EF4F7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本项目营运期无废气污染物排放。</w:t>
            </w:r>
          </w:p>
          <w:p w14:paraId="5A8D34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三</w:t>
            </w:r>
            <w:r>
              <w:rPr>
                <w:rFonts w:hint="default" w:ascii="Times New Roman" w:hAnsi="Times New Roman" w:cs="Times New Roman"/>
                <w:b/>
                <w:bCs/>
                <w:color w:val="auto"/>
                <w:sz w:val="24"/>
                <w:szCs w:val="24"/>
                <w:highlight w:val="none"/>
                <w:lang w:val="en-US" w:eastAsia="zh-CN"/>
              </w:rPr>
              <w:t>、噪声</w:t>
            </w:r>
          </w:p>
          <w:p w14:paraId="4AD7A0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1、预测范围</w:t>
            </w:r>
          </w:p>
          <w:p w14:paraId="0E6947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sz w:val="24"/>
                <w:highlight w:val="none"/>
              </w:rPr>
              <w:t>根据《环境影响评价技术导则 声环境》（HJ2.4-2021）中有关要求，本次声环境影响预测范围与评价范围相同，即自厂界向外延伸</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0m范围。</w:t>
            </w:r>
          </w:p>
          <w:p w14:paraId="4ADE38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预测点和评价点</w:t>
            </w:r>
          </w:p>
          <w:p w14:paraId="40601C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项目评价范围内涉及声环境保护目标为</w:t>
            </w:r>
            <w:r>
              <w:rPr>
                <w:rFonts w:hint="eastAsia" w:ascii="Times New Roman" w:hAnsi="Times New Roman" w:eastAsia="宋体" w:cs="Times New Roman"/>
                <w:color w:val="auto"/>
                <w:sz w:val="24"/>
                <w:szCs w:val="24"/>
                <w:highlight w:val="none"/>
                <w:lang w:val="en-US" w:eastAsia="zh-CN"/>
              </w:rPr>
              <w:t>马渡关水厂北侧2户居民、东南侧2户居民、西</w:t>
            </w:r>
            <w:r>
              <w:rPr>
                <w:rFonts w:hint="default" w:ascii="Times New Roman" w:hAnsi="Times New Roman" w:eastAsia="宋体" w:cs="Times New Roman"/>
                <w:b w:val="0"/>
                <w:bCs w:val="0"/>
                <w:color w:val="auto"/>
                <w:sz w:val="24"/>
                <w:szCs w:val="24"/>
                <w:highlight w:val="none"/>
                <w:lang w:val="en-US" w:eastAsia="zh-CN"/>
              </w:rPr>
              <w:t>侧</w:t>
            </w:r>
            <w:r>
              <w:rPr>
                <w:rFonts w:hint="eastAsia" w:ascii="Times New Roman" w:hAnsi="Times New Roman" w:eastAsia="宋体" w:cs="Times New Roman"/>
                <w:b w:val="0"/>
                <w:bCs w:val="0"/>
                <w:color w:val="auto"/>
                <w:sz w:val="24"/>
                <w:szCs w:val="24"/>
                <w:highlight w:val="none"/>
                <w:lang w:val="en-US" w:eastAsia="zh-CN"/>
              </w:rPr>
              <w:t>1户</w:t>
            </w:r>
            <w:r>
              <w:rPr>
                <w:rFonts w:hint="default" w:ascii="Times New Roman" w:hAnsi="Times New Roman" w:eastAsia="宋体" w:cs="Times New Roman"/>
                <w:b w:val="0"/>
                <w:bCs w:val="0"/>
                <w:color w:val="auto"/>
                <w:sz w:val="24"/>
                <w:szCs w:val="24"/>
                <w:highlight w:val="none"/>
                <w:lang w:val="en-US" w:eastAsia="zh-CN"/>
              </w:rPr>
              <w:t>居民</w:t>
            </w:r>
            <w:r>
              <w:rPr>
                <w:rFonts w:hint="eastAsia" w:ascii="Times New Roman" w:hAnsi="Times New Roman" w:eastAsia="宋体" w:cs="Times New Roman"/>
                <w:b w:val="0"/>
                <w:bCs w:val="0"/>
                <w:color w:val="auto"/>
                <w:sz w:val="24"/>
                <w:szCs w:val="24"/>
                <w:highlight w:val="none"/>
                <w:lang w:val="en-US" w:eastAsia="zh-CN"/>
              </w:rPr>
              <w:t>，隘口水厂</w:t>
            </w:r>
            <w:r>
              <w:rPr>
                <w:rFonts w:hint="default" w:ascii="Times New Roman" w:hAnsi="Times New Roman" w:cs="Times New Roman"/>
                <w:color w:val="auto"/>
                <w:sz w:val="24"/>
                <w:szCs w:val="24"/>
                <w:highlight w:val="none"/>
              </w:rPr>
              <w:t>厂界外50m范围内</w:t>
            </w:r>
            <w:r>
              <w:rPr>
                <w:rFonts w:hint="eastAsia" w:ascii="Times New Roman" w:hAnsi="Times New Roman" w:cs="Times New Roman"/>
                <w:color w:val="auto"/>
                <w:sz w:val="24"/>
                <w:szCs w:val="24"/>
                <w:highlight w:val="none"/>
                <w:lang w:val="en-US" w:eastAsia="zh-CN"/>
              </w:rPr>
              <w:t>无</w:t>
            </w:r>
            <w:r>
              <w:rPr>
                <w:rFonts w:hint="default" w:ascii="Times New Roman" w:hAnsi="Times New Roman" w:cs="Times New Roman"/>
                <w:color w:val="auto"/>
                <w:sz w:val="24"/>
                <w:szCs w:val="24"/>
                <w:highlight w:val="none"/>
              </w:rPr>
              <w:t>声环境保护目标</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本次预测以</w:t>
            </w:r>
            <w:r>
              <w:rPr>
                <w:rFonts w:hint="eastAsia" w:ascii="Times New Roman" w:hAnsi="Times New Roman" w:eastAsia="宋体" w:cs="Times New Roman"/>
                <w:color w:val="auto"/>
                <w:sz w:val="24"/>
                <w:szCs w:val="24"/>
                <w:highlight w:val="none"/>
                <w:lang w:val="en-US" w:eastAsia="zh-CN"/>
              </w:rPr>
              <w:t>水厂</w:t>
            </w:r>
            <w:r>
              <w:rPr>
                <w:rFonts w:hint="default" w:ascii="Times New Roman" w:hAnsi="Times New Roman" w:eastAsia="宋体" w:cs="Times New Roman"/>
                <w:color w:val="auto"/>
                <w:sz w:val="24"/>
                <w:szCs w:val="24"/>
                <w:highlight w:val="none"/>
                <w:lang w:val="en-US" w:eastAsia="zh-CN"/>
              </w:rPr>
              <w:t>厂界、声环境保护目标作为预测点和评价点。</w:t>
            </w:r>
          </w:p>
          <w:p w14:paraId="7408DD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val="0"/>
                <w:color w:val="auto"/>
                <w:sz w:val="24"/>
                <w:szCs w:val="24"/>
                <w:highlight w:val="none"/>
                <w:lang w:val="en-US" w:eastAsia="zh-CN"/>
              </w:rPr>
              <w:t>预测基础数据</w:t>
            </w:r>
          </w:p>
          <w:p w14:paraId="776028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（1）声源数据</w:t>
            </w:r>
          </w:p>
          <w:p w14:paraId="4C22440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本项目主要噪声源来自各类水泵、风机、供水设备等生产设施设备运行时产生的噪声，各设备噪声源强值在75~80dB（A）间。根据声源类型及源强，项目拟采取的噪声治理措施如下：</w:t>
            </w:r>
          </w:p>
          <w:p w14:paraId="56DBA21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①选用符合国家标准的低噪声设备，定期进行设备检修，保证设备正常运行。</w:t>
            </w:r>
          </w:p>
          <w:p w14:paraId="6943A1F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②合理布局，提升泵等高噪声设备设置在场地中部；各类污水泵采用潜水泵，噪声源位于液面以下；充分利用距离衰减，减轻噪声对周围环境的影响。</w:t>
            </w:r>
          </w:p>
          <w:p w14:paraId="1193203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本项目噪声污染源源强核算结果及相关参数见下表：</w:t>
            </w:r>
          </w:p>
          <w:p w14:paraId="2FB38D6D">
            <w:pPr>
              <w:pStyle w:val="21"/>
              <w:rPr>
                <w:rFonts w:hint="default" w:ascii="Times New Roman" w:hAnsi="Times New Roman" w:cs="Times New Roman"/>
                <w:color w:val="auto"/>
                <w:sz w:val="24"/>
                <w:szCs w:val="24"/>
                <w:highlight w:val="none"/>
                <w:lang w:val="en-US" w:eastAsia="zh-CN"/>
              </w:rPr>
            </w:pPr>
          </w:p>
          <w:p w14:paraId="57C398FD">
            <w:pPr>
              <w:rPr>
                <w:rFonts w:hint="default" w:ascii="Times New Roman" w:hAnsi="Times New Roman" w:cs="Times New Roman"/>
                <w:color w:val="auto"/>
                <w:sz w:val="24"/>
                <w:szCs w:val="24"/>
                <w:highlight w:val="none"/>
                <w:lang w:val="en-US" w:eastAsia="zh-CN"/>
              </w:rPr>
            </w:pPr>
          </w:p>
          <w:p w14:paraId="12495247">
            <w:pPr>
              <w:pStyle w:val="21"/>
              <w:rPr>
                <w:rFonts w:hint="default" w:ascii="Times New Roman" w:hAnsi="Times New Roman" w:cs="Times New Roman"/>
                <w:color w:val="auto"/>
                <w:sz w:val="24"/>
                <w:szCs w:val="24"/>
                <w:highlight w:val="none"/>
                <w:lang w:val="en-US" w:eastAsia="zh-CN"/>
              </w:rPr>
            </w:pPr>
          </w:p>
          <w:p w14:paraId="7A181917">
            <w:pPr>
              <w:rPr>
                <w:rFonts w:hint="default" w:ascii="Times New Roman" w:hAnsi="Times New Roman" w:cs="Times New Roman"/>
                <w:color w:val="auto"/>
                <w:sz w:val="24"/>
                <w:szCs w:val="24"/>
                <w:highlight w:val="none"/>
                <w:lang w:val="en-US" w:eastAsia="zh-CN"/>
              </w:rPr>
            </w:pPr>
          </w:p>
          <w:p w14:paraId="0B0B93B3">
            <w:pPr>
              <w:pStyle w:val="21"/>
              <w:rPr>
                <w:rFonts w:hint="default" w:ascii="Times New Roman" w:hAnsi="Times New Roman" w:cs="Times New Roman"/>
                <w:color w:val="auto"/>
                <w:sz w:val="24"/>
                <w:szCs w:val="24"/>
                <w:highlight w:val="none"/>
                <w:lang w:val="en-US" w:eastAsia="zh-CN"/>
              </w:rPr>
            </w:pPr>
          </w:p>
          <w:p w14:paraId="5260A896">
            <w:pPr>
              <w:rPr>
                <w:rFonts w:hint="default" w:ascii="Times New Roman" w:hAnsi="Times New Roman" w:cs="Times New Roman"/>
                <w:color w:val="auto"/>
                <w:sz w:val="24"/>
                <w:szCs w:val="24"/>
                <w:highlight w:val="none"/>
                <w:lang w:val="en-US" w:eastAsia="zh-CN"/>
              </w:rPr>
            </w:pPr>
          </w:p>
          <w:p w14:paraId="77668F77">
            <w:pPr>
              <w:pStyle w:val="21"/>
              <w:rPr>
                <w:rFonts w:hint="default" w:ascii="Times New Roman" w:hAnsi="Times New Roman" w:cs="Times New Roman"/>
                <w:color w:val="auto"/>
                <w:sz w:val="24"/>
                <w:szCs w:val="24"/>
                <w:highlight w:val="none"/>
                <w:lang w:val="en-US" w:eastAsia="zh-CN"/>
              </w:rPr>
            </w:pPr>
          </w:p>
          <w:p w14:paraId="6C9DB74D">
            <w:pPr>
              <w:rPr>
                <w:rFonts w:hint="default" w:ascii="Times New Roman" w:hAnsi="Times New Roman" w:cs="Times New Roman"/>
                <w:color w:val="auto"/>
                <w:sz w:val="24"/>
                <w:szCs w:val="24"/>
                <w:highlight w:val="none"/>
                <w:lang w:val="en-US" w:eastAsia="zh-CN"/>
              </w:rPr>
            </w:pPr>
          </w:p>
          <w:p w14:paraId="19494731">
            <w:pPr>
              <w:pStyle w:val="21"/>
              <w:rPr>
                <w:rFonts w:hint="default" w:ascii="Times New Roman" w:hAnsi="Times New Roman" w:cs="Times New Roman"/>
                <w:color w:val="auto"/>
                <w:sz w:val="24"/>
                <w:szCs w:val="24"/>
                <w:highlight w:val="none"/>
                <w:lang w:val="en-US" w:eastAsia="zh-CN"/>
              </w:rPr>
            </w:pPr>
          </w:p>
          <w:p w14:paraId="1D4255D1">
            <w:pPr>
              <w:rPr>
                <w:rFonts w:hint="default" w:ascii="Times New Roman" w:hAnsi="Times New Roman" w:cs="Times New Roman"/>
                <w:color w:val="auto"/>
                <w:sz w:val="24"/>
                <w:szCs w:val="24"/>
                <w:highlight w:val="none"/>
                <w:lang w:val="en-US" w:eastAsia="zh-CN"/>
              </w:rPr>
            </w:pPr>
          </w:p>
          <w:p w14:paraId="1E691B4B">
            <w:pPr>
              <w:pStyle w:val="21"/>
              <w:rPr>
                <w:rFonts w:hint="default" w:ascii="Times New Roman" w:hAnsi="Times New Roman" w:cs="Times New Roman"/>
                <w:color w:val="auto"/>
                <w:sz w:val="24"/>
                <w:szCs w:val="24"/>
                <w:highlight w:val="none"/>
                <w:lang w:val="en-US" w:eastAsia="zh-CN"/>
              </w:rPr>
            </w:pPr>
          </w:p>
          <w:p w14:paraId="19DC91CD">
            <w:pPr>
              <w:rPr>
                <w:rFonts w:hint="default" w:ascii="Times New Roman" w:hAnsi="Times New Roman" w:cs="Times New Roman"/>
                <w:color w:val="auto"/>
                <w:sz w:val="24"/>
                <w:szCs w:val="24"/>
                <w:highlight w:val="none"/>
                <w:lang w:val="en-US" w:eastAsia="zh-CN"/>
              </w:rPr>
            </w:pPr>
          </w:p>
          <w:p w14:paraId="03E9FD05">
            <w:pPr>
              <w:pStyle w:val="21"/>
              <w:rPr>
                <w:rFonts w:hint="default" w:ascii="Times New Roman" w:hAnsi="Times New Roman" w:cs="Times New Roman"/>
                <w:color w:val="auto"/>
                <w:sz w:val="24"/>
                <w:szCs w:val="24"/>
                <w:highlight w:val="none"/>
                <w:lang w:val="en-US" w:eastAsia="zh-CN"/>
              </w:rPr>
            </w:pPr>
          </w:p>
          <w:p w14:paraId="0A4D4502">
            <w:pPr>
              <w:rPr>
                <w:rFonts w:hint="default" w:ascii="Times New Roman" w:hAnsi="Times New Roman" w:cs="Times New Roman"/>
                <w:color w:val="auto"/>
                <w:sz w:val="24"/>
                <w:szCs w:val="24"/>
                <w:highlight w:val="none"/>
                <w:lang w:val="en-US" w:eastAsia="zh-CN"/>
              </w:rPr>
            </w:pPr>
          </w:p>
          <w:p w14:paraId="15DF6DD3">
            <w:pPr>
              <w:pStyle w:val="21"/>
              <w:rPr>
                <w:rFonts w:hint="default" w:ascii="Times New Roman" w:hAnsi="Times New Roman" w:cs="Times New Roman"/>
                <w:color w:val="auto"/>
                <w:sz w:val="24"/>
                <w:szCs w:val="24"/>
                <w:highlight w:val="none"/>
                <w:lang w:val="en-US" w:eastAsia="zh-CN"/>
              </w:rPr>
            </w:pPr>
          </w:p>
          <w:p w14:paraId="71989522">
            <w:pPr>
              <w:rPr>
                <w:rFonts w:hint="default" w:ascii="Times New Roman" w:hAnsi="Times New Roman" w:cs="Times New Roman"/>
                <w:color w:val="auto"/>
                <w:sz w:val="24"/>
                <w:szCs w:val="24"/>
                <w:highlight w:val="none"/>
                <w:lang w:val="en-US" w:eastAsia="zh-CN"/>
              </w:rPr>
            </w:pPr>
          </w:p>
          <w:p w14:paraId="00B3E582">
            <w:pPr>
              <w:pStyle w:val="21"/>
              <w:rPr>
                <w:rFonts w:hint="default" w:ascii="Times New Roman" w:hAnsi="Times New Roman" w:cs="Times New Roman"/>
                <w:color w:val="auto"/>
                <w:sz w:val="24"/>
                <w:szCs w:val="24"/>
                <w:highlight w:val="none"/>
                <w:lang w:val="en-US" w:eastAsia="zh-CN"/>
              </w:rPr>
            </w:pPr>
          </w:p>
          <w:p w14:paraId="33A92124">
            <w:pPr>
              <w:rPr>
                <w:rFonts w:hint="default" w:ascii="Times New Roman" w:hAnsi="Times New Roman" w:cs="Times New Roman"/>
                <w:color w:val="auto"/>
                <w:sz w:val="24"/>
                <w:szCs w:val="24"/>
                <w:highlight w:val="none"/>
                <w:lang w:val="en-US" w:eastAsia="zh-CN"/>
              </w:rPr>
            </w:pPr>
          </w:p>
          <w:p w14:paraId="38DCB694">
            <w:pPr>
              <w:pStyle w:val="21"/>
              <w:rPr>
                <w:rFonts w:hint="default" w:ascii="Times New Roman" w:hAnsi="Times New Roman" w:cs="Times New Roman"/>
                <w:color w:val="auto"/>
                <w:sz w:val="24"/>
                <w:szCs w:val="24"/>
                <w:highlight w:val="none"/>
                <w:lang w:val="en-US" w:eastAsia="zh-CN"/>
              </w:rPr>
            </w:pPr>
          </w:p>
          <w:p w14:paraId="61A270D9">
            <w:pPr>
              <w:rPr>
                <w:rFonts w:hint="default" w:ascii="Times New Roman" w:hAnsi="Times New Roman" w:cs="Times New Roman"/>
                <w:color w:val="auto"/>
                <w:sz w:val="24"/>
                <w:szCs w:val="24"/>
                <w:highlight w:val="none"/>
                <w:lang w:val="en-US" w:eastAsia="zh-CN"/>
              </w:rPr>
            </w:pPr>
          </w:p>
          <w:p w14:paraId="022F894B">
            <w:pPr>
              <w:pStyle w:val="21"/>
              <w:rPr>
                <w:rFonts w:hint="default"/>
                <w:lang w:eastAsia="zh-CN"/>
              </w:rPr>
            </w:pPr>
          </w:p>
        </w:tc>
      </w:tr>
    </w:tbl>
    <w:p w14:paraId="07320852">
      <w:pPr>
        <w:pStyle w:val="20"/>
        <w:keepNext w:val="0"/>
        <w:keepLines w:val="0"/>
        <w:pageBreakBefore w:val="0"/>
        <w:kinsoku/>
        <w:wordWrap/>
        <w:topLinePunct w:val="0"/>
        <w:bidi w:val="0"/>
        <w:spacing w:after="0"/>
        <w:ind w:left="0" w:leftChars="0"/>
        <w:rPr>
          <w:rFonts w:hint="default" w:ascii="Times New Roman" w:hAnsi="Times New Roman" w:cs="Times New Roman"/>
          <w:color w:val="auto"/>
          <w:highlight w:val="none"/>
          <w:lang w:eastAsia="zh-CN"/>
        </w:rPr>
      </w:pPr>
    </w:p>
    <w:p w14:paraId="514EF91F">
      <w:pPr>
        <w:pStyle w:val="24"/>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6"/>
          <w:highlight w:val="none"/>
          <w:lang w:eastAsia="zh-CN"/>
        </w:rPr>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3768"/>
      </w:tblGrid>
      <w:tr w14:paraId="789A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vAlign w:val="center"/>
          </w:tcPr>
          <w:p w14:paraId="6F67E835">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运营</w:t>
            </w:r>
          </w:p>
          <w:p w14:paraId="4A87F355">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14:paraId="6E0B019C">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境影</w:t>
            </w:r>
          </w:p>
          <w:p w14:paraId="6E9332B1">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响和</w:t>
            </w:r>
          </w:p>
          <w:p w14:paraId="42185145">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保护</w:t>
            </w:r>
          </w:p>
          <w:p w14:paraId="5C14B37D">
            <w:pPr>
              <w:keepNext w:val="0"/>
              <w:keepLines w:val="0"/>
              <w:pageBreakBefore w:val="0"/>
              <w:suppressLineNumbers w:val="0"/>
              <w:kinsoku/>
              <w:wordWrap/>
              <w:topLinePunct w:val="0"/>
              <w:bidi w:val="0"/>
              <w:spacing w:beforeAutospacing="0" w:afterAutospacing="0" w:line="360" w:lineRule="auto"/>
              <w:ind w:left="0" w:leftChars="0" w:right="0" w:rightChars="0"/>
              <w:jc w:val="center"/>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措施</w:t>
            </w:r>
          </w:p>
        </w:tc>
        <w:tc>
          <w:tcPr>
            <w:tcW w:w="13768" w:type="dxa"/>
          </w:tcPr>
          <w:p w14:paraId="7A776FDC">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 xml:space="preserve">9 </w:t>
            </w:r>
            <w:r>
              <w:rPr>
                <w:rFonts w:hint="default" w:ascii="Times New Roman" w:hAnsi="Times New Roman" w:eastAsia="黑体" w:cs="Times New Roman"/>
                <w:b w:val="0"/>
                <w:bCs/>
                <w:color w:val="auto"/>
                <w:kern w:val="2"/>
                <w:sz w:val="21"/>
                <w:szCs w:val="21"/>
                <w:highlight w:val="none"/>
                <w:lang w:val="en-US" w:eastAsia="zh-CN" w:bidi="ar-SA"/>
              </w:rPr>
              <w:t>工业企业噪声源强调查清单</w:t>
            </w:r>
          </w:p>
          <w:tbl>
            <w:tblPr>
              <w:tblStyle w:val="25"/>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80"/>
              <w:gridCol w:w="1365"/>
              <w:gridCol w:w="1882"/>
              <w:gridCol w:w="690"/>
              <w:gridCol w:w="915"/>
              <w:gridCol w:w="855"/>
              <w:gridCol w:w="886"/>
              <w:gridCol w:w="2026"/>
              <w:gridCol w:w="1902"/>
              <w:gridCol w:w="1064"/>
              <w:gridCol w:w="941"/>
            </w:tblGrid>
            <w:tr w14:paraId="040F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restart"/>
                  <w:tcBorders>
                    <w:tl2br w:val="nil"/>
                    <w:tr2bl w:val="nil"/>
                  </w:tcBorders>
                  <w:noWrap/>
                  <w:vAlign w:val="center"/>
                </w:tcPr>
                <w:p w14:paraId="41D829D1">
                  <w:pPr>
                    <w:widowControl/>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项目</w:t>
                  </w:r>
                </w:p>
              </w:tc>
              <w:tc>
                <w:tcPr>
                  <w:tcW w:w="178" w:type="pct"/>
                  <w:vMerge w:val="restart"/>
                  <w:tcBorders>
                    <w:tl2br w:val="nil"/>
                    <w:tr2bl w:val="nil"/>
                  </w:tcBorders>
                  <w:noWrap/>
                  <w:vAlign w:val="center"/>
                </w:tcPr>
                <w:p w14:paraId="06A1DC8F">
                  <w:pPr>
                    <w:widowControl/>
                    <w:jc w:val="center"/>
                    <w:rPr>
                      <w:rFonts w:hint="default" w:ascii="Times New Roman" w:hAnsi="Times New Roman" w:eastAsia="宋体" w:cs="Times New Roman"/>
                      <w:b/>
                      <w:bCs/>
                      <w:color w:val="auto"/>
                      <w:kern w:val="0"/>
                      <w:sz w:val="21"/>
                      <w:szCs w:val="21"/>
                      <w:lang w:val="en-US" w:eastAsia="zh-TW" w:bidi="ar-SA"/>
                    </w:rPr>
                  </w:pPr>
                  <w:r>
                    <w:rPr>
                      <w:rFonts w:hint="default" w:ascii="Times New Roman" w:hAnsi="Times New Roman" w:eastAsia="宋体" w:cs="Times New Roman"/>
                      <w:b/>
                      <w:bCs/>
                      <w:color w:val="auto"/>
                      <w:kern w:val="0"/>
                      <w:sz w:val="21"/>
                      <w:szCs w:val="21"/>
                    </w:rPr>
                    <w:t>序号</w:t>
                  </w:r>
                </w:p>
              </w:tc>
              <w:tc>
                <w:tcPr>
                  <w:tcW w:w="1208" w:type="pct"/>
                  <w:gridSpan w:val="2"/>
                  <w:vMerge w:val="restart"/>
                  <w:tcBorders>
                    <w:tl2br w:val="nil"/>
                    <w:tr2bl w:val="nil"/>
                  </w:tcBorders>
                  <w:noWrap/>
                  <w:vAlign w:val="center"/>
                </w:tcPr>
                <w:p w14:paraId="577BA619">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声源名称</w:t>
                  </w:r>
                </w:p>
              </w:tc>
              <w:tc>
                <w:tcPr>
                  <w:tcW w:w="256" w:type="pct"/>
                  <w:vMerge w:val="restart"/>
                  <w:tcBorders>
                    <w:tl2br w:val="nil"/>
                    <w:tr2bl w:val="nil"/>
                  </w:tcBorders>
                  <w:noWrap/>
                  <w:vAlign w:val="center"/>
                </w:tcPr>
                <w:p w14:paraId="0B7D8ED5">
                  <w:pPr>
                    <w:widowControl/>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val="en-US" w:eastAsia="zh-CN"/>
                    </w:rPr>
                    <w:t>数量</w:t>
                  </w:r>
                </w:p>
              </w:tc>
              <w:tc>
                <w:tcPr>
                  <w:tcW w:w="988" w:type="pct"/>
                  <w:gridSpan w:val="3"/>
                  <w:tcBorders>
                    <w:tl2br w:val="nil"/>
                    <w:tr2bl w:val="nil"/>
                  </w:tcBorders>
                  <w:noWrap/>
                  <w:vAlign w:val="center"/>
                </w:tcPr>
                <w:p w14:paraId="155EDCEC">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空间相对位置/m</w:t>
                  </w:r>
                </w:p>
              </w:tc>
              <w:tc>
                <w:tcPr>
                  <w:tcW w:w="754" w:type="pct"/>
                  <w:tcBorders>
                    <w:tl2br w:val="nil"/>
                    <w:tr2bl w:val="nil"/>
                  </w:tcBorders>
                  <w:noWrap/>
                  <w:vAlign w:val="center"/>
                </w:tcPr>
                <w:p w14:paraId="66D6A3EC">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声源源强</w:t>
                  </w:r>
                </w:p>
              </w:tc>
              <w:tc>
                <w:tcPr>
                  <w:tcW w:w="707" w:type="pct"/>
                  <w:vMerge w:val="restart"/>
                  <w:tcBorders>
                    <w:tl2br w:val="nil"/>
                    <w:tr2bl w:val="nil"/>
                  </w:tcBorders>
                  <w:noWrap/>
                  <w:vAlign w:val="center"/>
                </w:tcPr>
                <w:p w14:paraId="26779886">
                  <w:pPr>
                    <w:widowControl/>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声源控制措施</w:t>
                  </w:r>
                </w:p>
              </w:tc>
              <w:tc>
                <w:tcPr>
                  <w:tcW w:w="396" w:type="pct"/>
                  <w:vMerge w:val="restart"/>
                  <w:tcBorders>
                    <w:tl2br w:val="nil"/>
                    <w:tr2bl w:val="nil"/>
                  </w:tcBorders>
                  <w:noWrap/>
                  <w:vAlign w:val="center"/>
                </w:tcPr>
                <w:p w14:paraId="0F97F5DD">
                  <w:pPr>
                    <w:widowControl/>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val="en-US" w:eastAsia="zh-CN"/>
                    </w:rPr>
                    <w:t>降噪后</w:t>
                  </w:r>
                  <w:r>
                    <w:rPr>
                      <w:rFonts w:hint="default" w:ascii="Times New Roman" w:hAnsi="Times New Roman" w:eastAsia="宋体" w:cs="Times New Roman"/>
                      <w:b/>
                      <w:bCs/>
                      <w:color w:val="auto"/>
                      <w:kern w:val="0"/>
                      <w:sz w:val="21"/>
                      <w:szCs w:val="21"/>
                    </w:rPr>
                    <w:t>声级/dB</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A</w:t>
                  </w:r>
                  <w:r>
                    <w:rPr>
                      <w:rFonts w:hint="default" w:ascii="Times New Roman" w:hAnsi="Times New Roman" w:eastAsia="宋体" w:cs="Times New Roman"/>
                      <w:b/>
                      <w:bCs/>
                      <w:color w:val="auto"/>
                      <w:kern w:val="0"/>
                      <w:sz w:val="21"/>
                      <w:szCs w:val="21"/>
                      <w:lang w:eastAsia="zh-CN"/>
                    </w:rPr>
                    <w:t>）</w:t>
                  </w:r>
                </w:p>
              </w:tc>
              <w:tc>
                <w:tcPr>
                  <w:tcW w:w="350" w:type="pct"/>
                  <w:vMerge w:val="restart"/>
                  <w:tcBorders>
                    <w:tl2br w:val="nil"/>
                    <w:tr2bl w:val="nil"/>
                  </w:tcBorders>
                  <w:noWrap/>
                  <w:vAlign w:val="center"/>
                </w:tcPr>
                <w:p w14:paraId="051AB500">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运行时段</w:t>
                  </w:r>
                </w:p>
              </w:tc>
            </w:tr>
            <w:tr w14:paraId="58D1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099F6D82">
                  <w:pPr>
                    <w:widowControl/>
                    <w:jc w:val="center"/>
                    <w:rPr>
                      <w:rFonts w:hint="default" w:ascii="Times New Roman" w:hAnsi="Times New Roman" w:eastAsia="宋体" w:cs="Times New Roman"/>
                      <w:b/>
                      <w:bCs/>
                      <w:color w:val="auto"/>
                      <w:kern w:val="0"/>
                      <w:sz w:val="21"/>
                      <w:szCs w:val="21"/>
                    </w:rPr>
                  </w:pPr>
                </w:p>
              </w:tc>
              <w:tc>
                <w:tcPr>
                  <w:tcW w:w="178" w:type="pct"/>
                  <w:vMerge w:val="continue"/>
                  <w:tcBorders>
                    <w:tl2br w:val="nil"/>
                    <w:tr2bl w:val="nil"/>
                  </w:tcBorders>
                  <w:noWrap w:val="0"/>
                  <w:vAlign w:val="center"/>
                </w:tcPr>
                <w:p w14:paraId="1FB499E0">
                  <w:pPr>
                    <w:widowControl/>
                    <w:jc w:val="center"/>
                    <w:rPr>
                      <w:rFonts w:hint="default" w:ascii="Times New Roman" w:hAnsi="Times New Roman" w:eastAsia="宋体" w:cs="Times New Roman"/>
                      <w:b/>
                      <w:bCs/>
                      <w:color w:val="auto"/>
                      <w:kern w:val="0"/>
                      <w:sz w:val="21"/>
                      <w:szCs w:val="21"/>
                      <w:lang w:val="en-US" w:eastAsia="zh-TW" w:bidi="ar-SA"/>
                    </w:rPr>
                  </w:pPr>
                </w:p>
              </w:tc>
              <w:tc>
                <w:tcPr>
                  <w:tcW w:w="1208" w:type="pct"/>
                  <w:gridSpan w:val="2"/>
                  <w:vMerge w:val="continue"/>
                  <w:tcBorders>
                    <w:tl2br w:val="nil"/>
                    <w:tr2bl w:val="nil"/>
                  </w:tcBorders>
                  <w:noWrap w:val="0"/>
                  <w:vAlign w:val="center"/>
                </w:tcPr>
                <w:p w14:paraId="419A1D2B">
                  <w:pPr>
                    <w:widowControl/>
                    <w:jc w:val="center"/>
                    <w:rPr>
                      <w:rFonts w:hint="default" w:ascii="Times New Roman" w:hAnsi="Times New Roman" w:eastAsia="宋体" w:cs="Times New Roman"/>
                      <w:b/>
                      <w:bCs/>
                      <w:color w:val="auto"/>
                      <w:kern w:val="0"/>
                      <w:sz w:val="21"/>
                      <w:szCs w:val="21"/>
                    </w:rPr>
                  </w:pPr>
                </w:p>
              </w:tc>
              <w:tc>
                <w:tcPr>
                  <w:tcW w:w="256" w:type="pct"/>
                  <w:vMerge w:val="continue"/>
                  <w:tcBorders>
                    <w:tl2br w:val="nil"/>
                    <w:tr2bl w:val="nil"/>
                  </w:tcBorders>
                  <w:noWrap w:val="0"/>
                  <w:vAlign w:val="center"/>
                </w:tcPr>
                <w:p w14:paraId="505B1659">
                  <w:pPr>
                    <w:widowControl/>
                    <w:jc w:val="center"/>
                    <w:rPr>
                      <w:rFonts w:hint="default" w:ascii="Times New Roman" w:hAnsi="Times New Roman" w:eastAsia="宋体" w:cs="Times New Roman"/>
                      <w:b/>
                      <w:bCs/>
                      <w:color w:val="auto"/>
                      <w:kern w:val="0"/>
                      <w:sz w:val="21"/>
                      <w:szCs w:val="21"/>
                    </w:rPr>
                  </w:pPr>
                </w:p>
              </w:tc>
              <w:tc>
                <w:tcPr>
                  <w:tcW w:w="340" w:type="pct"/>
                  <w:tcBorders>
                    <w:tl2br w:val="nil"/>
                    <w:tr2bl w:val="nil"/>
                  </w:tcBorders>
                  <w:noWrap/>
                  <w:vAlign w:val="center"/>
                </w:tcPr>
                <w:p w14:paraId="783377C8">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X</w:t>
                  </w:r>
                </w:p>
              </w:tc>
              <w:tc>
                <w:tcPr>
                  <w:tcW w:w="318" w:type="pct"/>
                  <w:tcBorders>
                    <w:tl2br w:val="nil"/>
                    <w:tr2bl w:val="nil"/>
                  </w:tcBorders>
                  <w:noWrap/>
                  <w:vAlign w:val="center"/>
                </w:tcPr>
                <w:p w14:paraId="7CE5F8D2">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Y</w:t>
                  </w:r>
                </w:p>
              </w:tc>
              <w:tc>
                <w:tcPr>
                  <w:tcW w:w="329" w:type="pct"/>
                  <w:tcBorders>
                    <w:tl2br w:val="nil"/>
                    <w:tr2bl w:val="nil"/>
                  </w:tcBorders>
                  <w:noWrap/>
                  <w:vAlign w:val="center"/>
                </w:tcPr>
                <w:p w14:paraId="7B883ACD">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Z</w:t>
                  </w:r>
                </w:p>
              </w:tc>
              <w:tc>
                <w:tcPr>
                  <w:tcW w:w="754" w:type="pct"/>
                  <w:tcBorders>
                    <w:tl2br w:val="nil"/>
                    <w:tr2bl w:val="nil"/>
                  </w:tcBorders>
                  <w:noWrap w:val="0"/>
                  <w:vAlign w:val="center"/>
                </w:tcPr>
                <w:p w14:paraId="33396E2C">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（声压级/距声源距离）/（dB</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A</w:t>
                  </w:r>
                  <w:r>
                    <w:rPr>
                      <w:rFonts w:hint="default" w:ascii="Times New Roman" w:hAnsi="Times New Roman" w:eastAsia="宋体" w:cs="Times New Roman"/>
                      <w:b/>
                      <w:bCs/>
                      <w:color w:val="auto"/>
                      <w:kern w:val="0"/>
                      <w:sz w:val="21"/>
                      <w:szCs w:val="21"/>
                      <w:lang w:eastAsia="zh-CN"/>
                    </w:rPr>
                    <w:t>）</w:t>
                  </w:r>
                  <w:r>
                    <w:rPr>
                      <w:rFonts w:hint="default" w:ascii="Times New Roman" w:hAnsi="Times New Roman" w:eastAsia="宋体" w:cs="Times New Roman"/>
                      <w:b/>
                      <w:bCs/>
                      <w:color w:val="auto"/>
                      <w:kern w:val="0"/>
                      <w:sz w:val="21"/>
                      <w:szCs w:val="21"/>
                    </w:rPr>
                    <w:t>/m）</w:t>
                  </w:r>
                </w:p>
              </w:tc>
              <w:tc>
                <w:tcPr>
                  <w:tcW w:w="707" w:type="pct"/>
                  <w:vMerge w:val="continue"/>
                  <w:tcBorders>
                    <w:tl2br w:val="nil"/>
                    <w:tr2bl w:val="nil"/>
                  </w:tcBorders>
                  <w:noWrap w:val="0"/>
                  <w:vAlign w:val="center"/>
                </w:tcPr>
                <w:p w14:paraId="58EF7CC9">
                  <w:pPr>
                    <w:widowControl/>
                    <w:jc w:val="center"/>
                    <w:rPr>
                      <w:rFonts w:hint="default" w:ascii="Times New Roman" w:hAnsi="Times New Roman" w:eastAsia="宋体" w:cs="Times New Roman"/>
                      <w:b/>
                      <w:bCs/>
                      <w:color w:val="auto"/>
                      <w:kern w:val="0"/>
                      <w:sz w:val="21"/>
                      <w:szCs w:val="21"/>
                    </w:rPr>
                  </w:pPr>
                </w:p>
              </w:tc>
              <w:tc>
                <w:tcPr>
                  <w:tcW w:w="396" w:type="pct"/>
                  <w:vMerge w:val="continue"/>
                  <w:tcBorders>
                    <w:tl2br w:val="nil"/>
                    <w:tr2bl w:val="nil"/>
                  </w:tcBorders>
                  <w:noWrap w:val="0"/>
                  <w:vAlign w:val="center"/>
                </w:tcPr>
                <w:p w14:paraId="1B282503">
                  <w:pPr>
                    <w:widowControl/>
                    <w:jc w:val="center"/>
                    <w:rPr>
                      <w:rFonts w:hint="default" w:ascii="Times New Roman" w:hAnsi="Times New Roman" w:eastAsia="宋体" w:cs="Times New Roman"/>
                      <w:b/>
                      <w:bCs/>
                      <w:color w:val="auto"/>
                      <w:kern w:val="0"/>
                      <w:sz w:val="21"/>
                      <w:szCs w:val="21"/>
                    </w:rPr>
                  </w:pPr>
                </w:p>
              </w:tc>
              <w:tc>
                <w:tcPr>
                  <w:tcW w:w="350" w:type="pct"/>
                  <w:vMerge w:val="continue"/>
                  <w:tcBorders>
                    <w:tl2br w:val="nil"/>
                    <w:tr2bl w:val="nil"/>
                  </w:tcBorders>
                  <w:noWrap w:val="0"/>
                  <w:vAlign w:val="center"/>
                </w:tcPr>
                <w:p w14:paraId="26675958">
                  <w:pPr>
                    <w:widowControl/>
                    <w:jc w:val="center"/>
                    <w:rPr>
                      <w:rFonts w:hint="default" w:ascii="Times New Roman" w:hAnsi="Times New Roman" w:eastAsia="宋体" w:cs="Times New Roman"/>
                      <w:b/>
                      <w:bCs/>
                      <w:color w:val="auto"/>
                      <w:kern w:val="0"/>
                      <w:sz w:val="21"/>
                      <w:szCs w:val="21"/>
                    </w:rPr>
                  </w:pPr>
                </w:p>
              </w:tc>
            </w:tr>
            <w:tr w14:paraId="2D30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restart"/>
                  <w:tcBorders>
                    <w:tl2br w:val="nil"/>
                    <w:tr2bl w:val="nil"/>
                  </w:tcBorders>
                  <w:noWrap w:val="0"/>
                  <w:vAlign w:val="center"/>
                </w:tcPr>
                <w:p w14:paraId="0CB6FF28">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隘口水厂</w:t>
                  </w:r>
                </w:p>
              </w:tc>
              <w:tc>
                <w:tcPr>
                  <w:tcW w:w="178" w:type="pct"/>
                  <w:tcBorders>
                    <w:tl2br w:val="nil"/>
                    <w:tr2bl w:val="nil"/>
                  </w:tcBorders>
                  <w:noWrap w:val="0"/>
                  <w:vAlign w:val="center"/>
                </w:tcPr>
                <w:p w14:paraId="044174EF">
                  <w:pPr>
                    <w:widowControl/>
                    <w:jc w:val="center"/>
                    <w:rPr>
                      <w:rFonts w:hint="default" w:ascii="Times New Roman" w:hAnsi="Times New Roman" w:eastAsia="宋体" w:cs="Times New Roman"/>
                      <w:color w:val="auto"/>
                      <w:kern w:val="0"/>
                      <w:sz w:val="21"/>
                      <w:szCs w:val="21"/>
                      <w:lang w:val="en-US" w:eastAsia="zh-TW" w:bidi="ar-SA"/>
                    </w:rPr>
                  </w:pPr>
                  <w:r>
                    <w:rPr>
                      <w:rFonts w:hint="default" w:ascii="Times New Roman" w:hAnsi="Times New Roman" w:eastAsia="宋体" w:cs="Times New Roman"/>
                      <w:color w:val="auto"/>
                      <w:kern w:val="0"/>
                      <w:sz w:val="21"/>
                      <w:szCs w:val="21"/>
                    </w:rPr>
                    <w:t>1</w:t>
                  </w:r>
                </w:p>
              </w:tc>
              <w:tc>
                <w:tcPr>
                  <w:tcW w:w="1208" w:type="pct"/>
                  <w:gridSpan w:val="2"/>
                  <w:tcBorders>
                    <w:tl2br w:val="nil"/>
                    <w:tr2bl w:val="nil"/>
                  </w:tcBorders>
                  <w:noWrap w:val="0"/>
                  <w:vAlign w:val="center"/>
                </w:tcPr>
                <w:p w14:paraId="0F32FEE3">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一体化净水设备</w:t>
                  </w:r>
                </w:p>
              </w:tc>
              <w:tc>
                <w:tcPr>
                  <w:tcW w:w="256" w:type="pct"/>
                  <w:tcBorders>
                    <w:tl2br w:val="nil"/>
                    <w:tr2bl w:val="nil"/>
                  </w:tcBorders>
                  <w:noWrap w:val="0"/>
                  <w:vAlign w:val="center"/>
                </w:tcPr>
                <w:p w14:paraId="775FEDA3">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340" w:type="pct"/>
                  <w:tcBorders>
                    <w:tl2br w:val="nil"/>
                    <w:tr2bl w:val="nil"/>
                  </w:tcBorders>
                  <w:shd w:val="clear" w:color="auto" w:fill="auto"/>
                  <w:noWrap/>
                  <w:vAlign w:val="center"/>
                </w:tcPr>
                <w:p w14:paraId="06B3A6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w:t>
                  </w:r>
                </w:p>
              </w:tc>
              <w:tc>
                <w:tcPr>
                  <w:tcW w:w="318" w:type="pct"/>
                  <w:tcBorders>
                    <w:tl2br w:val="nil"/>
                    <w:tr2bl w:val="nil"/>
                  </w:tcBorders>
                  <w:shd w:val="clear" w:color="auto" w:fill="auto"/>
                  <w:noWrap/>
                  <w:vAlign w:val="center"/>
                </w:tcPr>
                <w:p w14:paraId="7930E10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-6.89</w:t>
                  </w:r>
                </w:p>
              </w:tc>
              <w:tc>
                <w:tcPr>
                  <w:tcW w:w="329" w:type="pct"/>
                  <w:tcBorders>
                    <w:tl2br w:val="nil"/>
                    <w:tr2bl w:val="nil"/>
                  </w:tcBorders>
                  <w:shd w:val="clear" w:color="auto" w:fill="auto"/>
                  <w:noWrap/>
                  <w:vAlign w:val="center"/>
                </w:tcPr>
                <w:p w14:paraId="02954B03">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w:t>
                  </w:r>
                </w:p>
              </w:tc>
              <w:tc>
                <w:tcPr>
                  <w:tcW w:w="754" w:type="pct"/>
                  <w:tcBorders>
                    <w:tl2br w:val="nil"/>
                    <w:tr2bl w:val="nil"/>
                  </w:tcBorders>
                  <w:noWrap w:val="0"/>
                  <w:vAlign w:val="center"/>
                </w:tcPr>
                <w:p w14:paraId="77C72097">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41293C7F">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highlight w:val="none"/>
                    </w:rPr>
                    <w:t>选用低噪声设备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各类污水泵位于液面以下</w:t>
                  </w:r>
                </w:p>
              </w:tc>
              <w:tc>
                <w:tcPr>
                  <w:tcW w:w="396" w:type="pct"/>
                  <w:tcBorders>
                    <w:tl2br w:val="nil"/>
                    <w:tr2bl w:val="nil"/>
                  </w:tcBorders>
                  <w:noWrap w:val="0"/>
                  <w:vAlign w:val="center"/>
                </w:tcPr>
                <w:p w14:paraId="1F207541">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350" w:type="pct"/>
                  <w:tcBorders>
                    <w:tl2br w:val="nil"/>
                    <w:tr2bl w:val="nil"/>
                  </w:tcBorders>
                  <w:noWrap w:val="0"/>
                  <w:vAlign w:val="center"/>
                </w:tcPr>
                <w:p w14:paraId="2CE7E3C1">
                  <w:pPr>
                    <w:widowControl/>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val="en-US" w:eastAsia="zh-CN"/>
                    </w:rPr>
                    <w:t>夜</w:t>
                  </w:r>
                </w:p>
              </w:tc>
            </w:tr>
            <w:tr w14:paraId="1960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522285FE">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5D8BE402">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508" w:type="pct"/>
                  <w:vMerge w:val="restart"/>
                  <w:tcBorders>
                    <w:tl2br w:val="nil"/>
                    <w:tr2bl w:val="nil"/>
                  </w:tcBorders>
                  <w:noWrap w:val="0"/>
                  <w:vAlign w:val="center"/>
                </w:tcPr>
                <w:p w14:paraId="4108A2A2">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 </w:t>
                  </w:r>
                  <w:r>
                    <w:rPr>
                      <w:rFonts w:hint="default" w:ascii="Times New Roman" w:hAnsi="Times New Roman" w:eastAsia="宋体" w:cs="Times New Roman"/>
                      <w:b w:val="0"/>
                      <w:bCs w:val="0"/>
                      <w:i w:val="0"/>
                      <w:iCs w:val="0"/>
                      <w:color w:val="auto"/>
                      <w:kern w:val="0"/>
                      <w:sz w:val="21"/>
                      <w:szCs w:val="21"/>
                      <w:u w:val="none"/>
                      <w:lang w:val="en-US" w:eastAsia="zh-CN" w:bidi="ar"/>
                    </w:rPr>
                    <w:t>清水池及送水泵房</w:t>
                  </w:r>
                </w:p>
              </w:tc>
              <w:tc>
                <w:tcPr>
                  <w:tcW w:w="700" w:type="pct"/>
                  <w:tcBorders>
                    <w:tl2br w:val="nil"/>
                    <w:tr2bl w:val="nil"/>
                  </w:tcBorders>
                  <w:noWrap w:val="0"/>
                  <w:vAlign w:val="center"/>
                </w:tcPr>
                <w:p w14:paraId="357A11B2">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 卧式多级离心泵</w:t>
                  </w:r>
                </w:p>
              </w:tc>
              <w:tc>
                <w:tcPr>
                  <w:tcW w:w="256" w:type="pct"/>
                  <w:tcBorders>
                    <w:tl2br w:val="nil"/>
                    <w:tr2bl w:val="nil"/>
                  </w:tcBorders>
                  <w:noWrap w:val="0"/>
                  <w:vAlign w:val="center"/>
                </w:tcPr>
                <w:p w14:paraId="0071CDB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w:t>
                  </w:r>
                </w:p>
              </w:tc>
              <w:tc>
                <w:tcPr>
                  <w:tcW w:w="340" w:type="pct"/>
                  <w:tcBorders>
                    <w:tl2br w:val="nil"/>
                    <w:tr2bl w:val="nil"/>
                  </w:tcBorders>
                  <w:shd w:val="clear" w:color="auto" w:fill="auto"/>
                  <w:noWrap w:val="0"/>
                  <w:vAlign w:val="center"/>
                </w:tcPr>
                <w:p w14:paraId="6CF535A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318" w:type="pct"/>
                  <w:tcBorders>
                    <w:tl2br w:val="nil"/>
                    <w:tr2bl w:val="nil"/>
                  </w:tcBorders>
                  <w:shd w:val="clear" w:color="auto" w:fill="auto"/>
                  <w:noWrap w:val="0"/>
                  <w:vAlign w:val="center"/>
                </w:tcPr>
                <w:p w14:paraId="7047492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-9.78</w:t>
                  </w:r>
                </w:p>
              </w:tc>
              <w:tc>
                <w:tcPr>
                  <w:tcW w:w="329" w:type="pct"/>
                  <w:tcBorders>
                    <w:tl2br w:val="nil"/>
                    <w:tr2bl w:val="nil"/>
                  </w:tcBorders>
                  <w:shd w:val="clear" w:color="auto" w:fill="auto"/>
                  <w:noWrap w:val="0"/>
                  <w:vAlign w:val="center"/>
                </w:tcPr>
                <w:p w14:paraId="78D24941">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c>
                <w:tcPr>
                  <w:tcW w:w="754" w:type="pct"/>
                  <w:tcBorders>
                    <w:tl2br w:val="nil"/>
                    <w:tr2bl w:val="nil"/>
                  </w:tcBorders>
                  <w:noWrap w:val="0"/>
                  <w:vAlign w:val="center"/>
                </w:tcPr>
                <w:p w14:paraId="29808BDD">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75</w:t>
                  </w:r>
                </w:p>
              </w:tc>
              <w:tc>
                <w:tcPr>
                  <w:tcW w:w="707" w:type="pct"/>
                  <w:tcBorders>
                    <w:tl2br w:val="nil"/>
                    <w:tr2bl w:val="nil"/>
                  </w:tcBorders>
                  <w:noWrap w:val="0"/>
                  <w:vAlign w:val="center"/>
                </w:tcPr>
                <w:p w14:paraId="202F1A5D">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7A1E5ECC">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w:t>
                  </w:r>
                </w:p>
              </w:tc>
              <w:tc>
                <w:tcPr>
                  <w:tcW w:w="350" w:type="pct"/>
                  <w:tcBorders>
                    <w:tl2br w:val="nil"/>
                    <w:tr2bl w:val="nil"/>
                  </w:tcBorders>
                  <w:noWrap w:val="0"/>
                  <w:vAlign w:val="center"/>
                </w:tcPr>
                <w:p w14:paraId="33CBC01F">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3665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71171C1A">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3FFE04DC">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508" w:type="pct"/>
                  <w:vMerge w:val="continue"/>
                  <w:tcBorders>
                    <w:tl2br w:val="nil"/>
                    <w:tr2bl w:val="nil"/>
                  </w:tcBorders>
                  <w:noWrap w:val="0"/>
                  <w:vAlign w:val="center"/>
                </w:tcPr>
                <w:p w14:paraId="2E444550">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700" w:type="pct"/>
                  <w:tcBorders>
                    <w:tl2br w:val="nil"/>
                    <w:tr2bl w:val="nil"/>
                  </w:tcBorders>
                  <w:noWrap w:val="0"/>
                  <w:vAlign w:val="center"/>
                </w:tcPr>
                <w:p w14:paraId="1D7AF4A5">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潜污泵</w:t>
                  </w:r>
                </w:p>
              </w:tc>
              <w:tc>
                <w:tcPr>
                  <w:tcW w:w="256" w:type="pct"/>
                  <w:tcBorders>
                    <w:tl2br w:val="nil"/>
                    <w:tr2bl w:val="nil"/>
                  </w:tcBorders>
                  <w:noWrap w:val="0"/>
                  <w:vAlign w:val="center"/>
                </w:tcPr>
                <w:p w14:paraId="5CFC4CCA">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340" w:type="pct"/>
                  <w:tcBorders>
                    <w:tl2br w:val="nil"/>
                    <w:tr2bl w:val="nil"/>
                  </w:tcBorders>
                  <w:shd w:val="clear" w:color="auto" w:fill="auto"/>
                  <w:noWrap w:val="0"/>
                  <w:vAlign w:val="center"/>
                </w:tcPr>
                <w:p w14:paraId="005D810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6.92</w:t>
                  </w:r>
                </w:p>
              </w:tc>
              <w:tc>
                <w:tcPr>
                  <w:tcW w:w="318" w:type="pct"/>
                  <w:tcBorders>
                    <w:tl2br w:val="nil"/>
                    <w:tr2bl w:val="nil"/>
                  </w:tcBorders>
                  <w:shd w:val="clear" w:color="auto" w:fill="auto"/>
                  <w:noWrap w:val="0"/>
                  <w:vAlign w:val="center"/>
                </w:tcPr>
                <w:p w14:paraId="7E4FB0A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-12.58</w:t>
                  </w:r>
                </w:p>
              </w:tc>
              <w:tc>
                <w:tcPr>
                  <w:tcW w:w="329" w:type="pct"/>
                  <w:tcBorders>
                    <w:tl2br w:val="nil"/>
                    <w:tr2bl w:val="nil"/>
                  </w:tcBorders>
                  <w:shd w:val="clear" w:color="auto" w:fill="auto"/>
                  <w:noWrap w:val="0"/>
                  <w:vAlign w:val="center"/>
                </w:tcPr>
                <w:p w14:paraId="140D3097">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0.5</w:t>
                  </w:r>
                </w:p>
              </w:tc>
              <w:tc>
                <w:tcPr>
                  <w:tcW w:w="754" w:type="pct"/>
                  <w:tcBorders>
                    <w:tl2br w:val="nil"/>
                    <w:tr2bl w:val="nil"/>
                  </w:tcBorders>
                  <w:noWrap w:val="0"/>
                  <w:vAlign w:val="center"/>
                </w:tcPr>
                <w:p w14:paraId="5A4581F7">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75</w:t>
                  </w:r>
                </w:p>
              </w:tc>
              <w:tc>
                <w:tcPr>
                  <w:tcW w:w="707" w:type="pct"/>
                  <w:tcBorders>
                    <w:tl2br w:val="nil"/>
                    <w:tr2bl w:val="nil"/>
                  </w:tcBorders>
                  <w:noWrap w:val="0"/>
                  <w:vAlign w:val="center"/>
                </w:tcPr>
                <w:p w14:paraId="743BD4F8">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7B0B9D7E">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w:t>
                  </w:r>
                </w:p>
              </w:tc>
              <w:tc>
                <w:tcPr>
                  <w:tcW w:w="350" w:type="pct"/>
                  <w:tcBorders>
                    <w:tl2br w:val="nil"/>
                    <w:tr2bl w:val="nil"/>
                  </w:tcBorders>
                  <w:shd w:val="clear" w:color="auto" w:fill="auto"/>
                  <w:noWrap w:val="0"/>
                  <w:vAlign w:val="center"/>
                </w:tcPr>
                <w:p w14:paraId="2EDC14B8">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val="en-US" w:eastAsia="zh-CN"/>
                    </w:rPr>
                    <w:t>夜</w:t>
                  </w:r>
                </w:p>
              </w:tc>
            </w:tr>
            <w:tr w14:paraId="5432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27612325">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6210CA57">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508" w:type="pct"/>
                  <w:vMerge w:val="restart"/>
                  <w:tcBorders>
                    <w:tl2br w:val="nil"/>
                    <w:tr2bl w:val="nil"/>
                  </w:tcBorders>
                  <w:noWrap w:val="0"/>
                  <w:vAlign w:val="center"/>
                </w:tcPr>
                <w:p w14:paraId="11F25853">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 </w:t>
                  </w:r>
                  <w:r>
                    <w:rPr>
                      <w:rFonts w:hint="default" w:ascii="Times New Roman" w:hAnsi="Times New Roman" w:eastAsia="宋体" w:cs="Times New Roman"/>
                      <w:b w:val="0"/>
                      <w:bCs w:val="0"/>
                      <w:i w:val="0"/>
                      <w:iCs w:val="0"/>
                      <w:color w:val="auto"/>
                      <w:kern w:val="0"/>
                      <w:sz w:val="21"/>
                      <w:szCs w:val="21"/>
                      <w:u w:val="none"/>
                      <w:lang w:val="en-US" w:eastAsia="zh-CN" w:bidi="ar"/>
                    </w:rPr>
                    <w:t>排水池、排泥池</w:t>
                  </w:r>
                </w:p>
              </w:tc>
              <w:tc>
                <w:tcPr>
                  <w:tcW w:w="700" w:type="pct"/>
                  <w:tcBorders>
                    <w:tl2br w:val="nil"/>
                    <w:tr2bl w:val="nil"/>
                  </w:tcBorders>
                  <w:noWrap w:val="0"/>
                  <w:vAlign w:val="center"/>
                </w:tcPr>
                <w:p w14:paraId="60642AFF">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潜水搅拌机</w:t>
                  </w:r>
                </w:p>
              </w:tc>
              <w:tc>
                <w:tcPr>
                  <w:tcW w:w="256" w:type="pct"/>
                  <w:tcBorders>
                    <w:tl2br w:val="nil"/>
                    <w:tr2bl w:val="nil"/>
                  </w:tcBorders>
                  <w:noWrap w:val="0"/>
                  <w:vAlign w:val="center"/>
                </w:tcPr>
                <w:p w14:paraId="0D451179">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7C21E82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8.87</w:t>
                  </w:r>
                </w:p>
              </w:tc>
              <w:tc>
                <w:tcPr>
                  <w:tcW w:w="318" w:type="pct"/>
                  <w:tcBorders>
                    <w:tl2br w:val="nil"/>
                    <w:tr2bl w:val="nil"/>
                  </w:tcBorders>
                  <w:shd w:val="clear" w:color="auto" w:fill="auto"/>
                  <w:noWrap w:val="0"/>
                  <w:vAlign w:val="center"/>
                </w:tcPr>
                <w:p w14:paraId="076537A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-8.81</w:t>
                  </w:r>
                </w:p>
              </w:tc>
              <w:tc>
                <w:tcPr>
                  <w:tcW w:w="329" w:type="pct"/>
                  <w:tcBorders>
                    <w:tl2br w:val="nil"/>
                    <w:tr2bl w:val="nil"/>
                  </w:tcBorders>
                  <w:shd w:val="clear" w:color="auto" w:fill="auto"/>
                  <w:noWrap w:val="0"/>
                  <w:vAlign w:val="center"/>
                </w:tcPr>
                <w:p w14:paraId="45FE4CCE">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0.5</w:t>
                  </w:r>
                </w:p>
              </w:tc>
              <w:tc>
                <w:tcPr>
                  <w:tcW w:w="754" w:type="pct"/>
                  <w:tcBorders>
                    <w:tl2br w:val="nil"/>
                    <w:tr2bl w:val="nil"/>
                  </w:tcBorders>
                  <w:noWrap w:val="0"/>
                  <w:vAlign w:val="center"/>
                </w:tcPr>
                <w:p w14:paraId="76FB0768">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422A64E7">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65710C20">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350" w:type="pct"/>
                  <w:tcBorders>
                    <w:tl2br w:val="nil"/>
                    <w:tr2bl w:val="nil"/>
                  </w:tcBorders>
                  <w:shd w:val="clear" w:color="auto" w:fill="auto"/>
                  <w:noWrap w:val="0"/>
                  <w:vAlign w:val="center"/>
                </w:tcPr>
                <w:p w14:paraId="19349A33">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62E9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371FCC5F">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2139F764">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5</w:t>
                  </w:r>
                </w:p>
              </w:tc>
              <w:tc>
                <w:tcPr>
                  <w:tcW w:w="508" w:type="pct"/>
                  <w:vMerge w:val="continue"/>
                  <w:tcBorders>
                    <w:tl2br w:val="nil"/>
                    <w:tr2bl w:val="nil"/>
                  </w:tcBorders>
                  <w:noWrap w:val="0"/>
                  <w:vAlign w:val="center"/>
                </w:tcPr>
                <w:p w14:paraId="6930F436">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0"/>
                      <w:w w:val="100"/>
                      <w:position w:val="0"/>
                      <w:sz w:val="21"/>
                      <w:szCs w:val="21"/>
                      <w:lang w:val="en-US" w:eastAsia="zh-CN"/>
                    </w:rPr>
                  </w:pPr>
                </w:p>
              </w:tc>
              <w:tc>
                <w:tcPr>
                  <w:tcW w:w="700" w:type="pct"/>
                  <w:tcBorders>
                    <w:tl2br w:val="nil"/>
                    <w:tr2bl w:val="nil"/>
                  </w:tcBorders>
                  <w:noWrap w:val="0"/>
                  <w:vAlign w:val="center"/>
                </w:tcPr>
                <w:p w14:paraId="7E94DEE2">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回收水泵</w:t>
                  </w:r>
                </w:p>
              </w:tc>
              <w:tc>
                <w:tcPr>
                  <w:tcW w:w="256" w:type="pct"/>
                  <w:tcBorders>
                    <w:tl2br w:val="nil"/>
                    <w:tr2bl w:val="nil"/>
                  </w:tcBorders>
                  <w:noWrap w:val="0"/>
                  <w:vAlign w:val="center"/>
                </w:tcPr>
                <w:p w14:paraId="42EE6642">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6E8C14D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5.35</w:t>
                  </w:r>
                </w:p>
              </w:tc>
              <w:tc>
                <w:tcPr>
                  <w:tcW w:w="318" w:type="pct"/>
                  <w:tcBorders>
                    <w:tl2br w:val="nil"/>
                    <w:tr2bl w:val="nil"/>
                  </w:tcBorders>
                  <w:shd w:val="clear" w:color="auto" w:fill="auto"/>
                  <w:noWrap w:val="0"/>
                  <w:vAlign w:val="center"/>
                </w:tcPr>
                <w:p w14:paraId="74D92A8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-7.05</w:t>
                  </w:r>
                </w:p>
              </w:tc>
              <w:tc>
                <w:tcPr>
                  <w:tcW w:w="329" w:type="pct"/>
                  <w:tcBorders>
                    <w:tl2br w:val="nil"/>
                    <w:tr2bl w:val="nil"/>
                  </w:tcBorders>
                  <w:shd w:val="clear" w:color="auto" w:fill="auto"/>
                  <w:noWrap w:val="0"/>
                  <w:vAlign w:val="center"/>
                </w:tcPr>
                <w:p w14:paraId="37B95E55">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c>
                <w:tcPr>
                  <w:tcW w:w="754" w:type="pct"/>
                  <w:tcBorders>
                    <w:tl2br w:val="nil"/>
                    <w:tr2bl w:val="nil"/>
                  </w:tcBorders>
                  <w:noWrap w:val="0"/>
                  <w:vAlign w:val="center"/>
                </w:tcPr>
                <w:p w14:paraId="2614380C">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w:t>
                  </w:r>
                </w:p>
              </w:tc>
              <w:tc>
                <w:tcPr>
                  <w:tcW w:w="707" w:type="pct"/>
                  <w:tcBorders>
                    <w:tl2br w:val="nil"/>
                    <w:tr2bl w:val="nil"/>
                  </w:tcBorders>
                  <w:noWrap w:val="0"/>
                  <w:vAlign w:val="center"/>
                </w:tcPr>
                <w:p w14:paraId="57B28CA6">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07A6424C">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350" w:type="pct"/>
                  <w:tcBorders>
                    <w:tl2br w:val="nil"/>
                    <w:tr2bl w:val="nil"/>
                  </w:tcBorders>
                  <w:noWrap w:val="0"/>
                  <w:vAlign w:val="center"/>
                </w:tcPr>
                <w:p w14:paraId="5899C35E">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5508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368300B9">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1CD214D6">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6</w:t>
                  </w:r>
                </w:p>
              </w:tc>
              <w:tc>
                <w:tcPr>
                  <w:tcW w:w="508" w:type="pct"/>
                  <w:vMerge w:val="continue"/>
                  <w:tcBorders>
                    <w:tl2br w:val="nil"/>
                    <w:tr2bl w:val="nil"/>
                  </w:tcBorders>
                  <w:noWrap w:val="0"/>
                  <w:vAlign w:val="center"/>
                </w:tcPr>
                <w:p w14:paraId="37489563">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0"/>
                      <w:w w:val="100"/>
                      <w:position w:val="0"/>
                      <w:sz w:val="21"/>
                      <w:szCs w:val="21"/>
                      <w:lang w:val="en-US" w:eastAsia="zh-CN"/>
                    </w:rPr>
                  </w:pPr>
                </w:p>
              </w:tc>
              <w:tc>
                <w:tcPr>
                  <w:tcW w:w="700" w:type="pct"/>
                  <w:tcBorders>
                    <w:tl2br w:val="nil"/>
                    <w:tr2bl w:val="nil"/>
                  </w:tcBorders>
                  <w:noWrap w:val="0"/>
                  <w:vAlign w:val="center"/>
                </w:tcPr>
                <w:p w14:paraId="73D915F0">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排泥泵</w:t>
                  </w:r>
                </w:p>
              </w:tc>
              <w:tc>
                <w:tcPr>
                  <w:tcW w:w="256" w:type="pct"/>
                  <w:tcBorders>
                    <w:tl2br w:val="nil"/>
                    <w:tr2bl w:val="nil"/>
                  </w:tcBorders>
                  <w:noWrap w:val="0"/>
                  <w:vAlign w:val="center"/>
                </w:tcPr>
                <w:p w14:paraId="596D4EDF">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5413CC8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1.64</w:t>
                  </w:r>
                </w:p>
              </w:tc>
              <w:tc>
                <w:tcPr>
                  <w:tcW w:w="318" w:type="pct"/>
                  <w:tcBorders>
                    <w:tl2br w:val="nil"/>
                    <w:tr2bl w:val="nil"/>
                  </w:tcBorders>
                  <w:shd w:val="clear" w:color="auto" w:fill="auto"/>
                  <w:noWrap w:val="0"/>
                  <w:vAlign w:val="center"/>
                </w:tcPr>
                <w:p w14:paraId="27CA881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-4.28</w:t>
                  </w:r>
                </w:p>
              </w:tc>
              <w:tc>
                <w:tcPr>
                  <w:tcW w:w="329" w:type="pct"/>
                  <w:tcBorders>
                    <w:tl2br w:val="nil"/>
                    <w:tr2bl w:val="nil"/>
                  </w:tcBorders>
                  <w:shd w:val="clear" w:color="auto" w:fill="auto"/>
                  <w:noWrap w:val="0"/>
                  <w:vAlign w:val="center"/>
                </w:tcPr>
                <w:p w14:paraId="15A12D8D">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c>
                <w:tcPr>
                  <w:tcW w:w="754" w:type="pct"/>
                  <w:tcBorders>
                    <w:tl2br w:val="nil"/>
                    <w:tr2bl w:val="nil"/>
                  </w:tcBorders>
                  <w:noWrap w:val="0"/>
                  <w:vAlign w:val="center"/>
                </w:tcPr>
                <w:p w14:paraId="13ED37F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w:t>
                  </w:r>
                </w:p>
              </w:tc>
              <w:tc>
                <w:tcPr>
                  <w:tcW w:w="707" w:type="pct"/>
                  <w:tcBorders>
                    <w:tl2br w:val="nil"/>
                    <w:tr2bl w:val="nil"/>
                  </w:tcBorders>
                  <w:noWrap w:val="0"/>
                  <w:vAlign w:val="center"/>
                </w:tcPr>
                <w:p w14:paraId="6FD5D5FE">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3D1D7754">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350" w:type="pct"/>
                  <w:tcBorders>
                    <w:tl2br w:val="nil"/>
                    <w:tr2bl w:val="nil"/>
                  </w:tcBorders>
                  <w:noWrap w:val="0"/>
                  <w:vAlign w:val="center"/>
                </w:tcPr>
                <w:p w14:paraId="3584430E">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11B4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580B488C">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5995EB22">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508" w:type="pct"/>
                  <w:vMerge w:val="restart"/>
                  <w:tcBorders>
                    <w:tl2br w:val="nil"/>
                    <w:tr2bl w:val="nil"/>
                  </w:tcBorders>
                  <w:noWrap w:val="0"/>
                  <w:vAlign w:val="center"/>
                </w:tcPr>
                <w:p w14:paraId="70D91140">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0"/>
                      <w:w w:val="100"/>
                      <w:kern w:val="2"/>
                      <w:position w:val="0"/>
                      <w:sz w:val="21"/>
                      <w:szCs w:val="21"/>
                      <w:lang w:val="en-US" w:eastAsia="zh-CN" w:bidi="ar-SA"/>
                    </w:rPr>
                  </w:pPr>
                  <w:r>
                    <w:rPr>
                      <w:rFonts w:hint="default" w:ascii="Times New Roman" w:hAnsi="Times New Roman" w:eastAsia="宋体" w:cs="Times New Roman"/>
                      <w:color w:val="auto"/>
                      <w:spacing w:val="0"/>
                      <w:w w:val="100"/>
                      <w:kern w:val="2"/>
                      <w:position w:val="0"/>
                      <w:sz w:val="21"/>
                      <w:szCs w:val="21"/>
                      <w:lang w:val="en-US" w:eastAsia="zh-CN" w:bidi="ar-SA"/>
                    </w:rPr>
                    <w:t>其他</w:t>
                  </w:r>
                </w:p>
              </w:tc>
              <w:tc>
                <w:tcPr>
                  <w:tcW w:w="700" w:type="pct"/>
                  <w:tcBorders>
                    <w:tl2br w:val="nil"/>
                    <w:tr2bl w:val="nil"/>
                  </w:tcBorders>
                  <w:noWrap w:val="0"/>
                  <w:vAlign w:val="center"/>
                </w:tcPr>
                <w:p w14:paraId="2E745373">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管道风机</w:t>
                  </w:r>
                </w:p>
              </w:tc>
              <w:tc>
                <w:tcPr>
                  <w:tcW w:w="256" w:type="pct"/>
                  <w:tcBorders>
                    <w:tl2br w:val="nil"/>
                    <w:tr2bl w:val="nil"/>
                  </w:tcBorders>
                  <w:noWrap w:val="0"/>
                  <w:vAlign w:val="center"/>
                </w:tcPr>
                <w:p w14:paraId="197B217A">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340" w:type="pct"/>
                  <w:tcBorders>
                    <w:tl2br w:val="nil"/>
                    <w:tr2bl w:val="nil"/>
                  </w:tcBorders>
                  <w:shd w:val="clear" w:color="auto" w:fill="auto"/>
                  <w:noWrap w:val="0"/>
                  <w:vAlign w:val="center"/>
                </w:tcPr>
                <w:p w14:paraId="00AF0B6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-4.62</w:t>
                  </w:r>
                </w:p>
              </w:tc>
              <w:tc>
                <w:tcPr>
                  <w:tcW w:w="318" w:type="pct"/>
                  <w:tcBorders>
                    <w:tl2br w:val="nil"/>
                    <w:tr2bl w:val="nil"/>
                  </w:tcBorders>
                  <w:shd w:val="clear" w:color="auto" w:fill="auto"/>
                  <w:noWrap w:val="0"/>
                  <w:vAlign w:val="center"/>
                </w:tcPr>
                <w:p w14:paraId="186226F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-5.04</w:t>
                  </w:r>
                </w:p>
              </w:tc>
              <w:tc>
                <w:tcPr>
                  <w:tcW w:w="329" w:type="pct"/>
                  <w:tcBorders>
                    <w:tl2br w:val="nil"/>
                    <w:tr2bl w:val="nil"/>
                  </w:tcBorders>
                  <w:shd w:val="clear" w:color="auto" w:fill="auto"/>
                  <w:noWrap w:val="0"/>
                  <w:vAlign w:val="center"/>
                </w:tcPr>
                <w:p w14:paraId="5A6F59B8">
                  <w:pPr>
                    <w:widowControl/>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1.0</w:t>
                  </w:r>
                </w:p>
              </w:tc>
              <w:tc>
                <w:tcPr>
                  <w:tcW w:w="754" w:type="pct"/>
                  <w:tcBorders>
                    <w:tl2br w:val="nil"/>
                    <w:tr2bl w:val="nil"/>
                  </w:tcBorders>
                  <w:noWrap w:val="0"/>
                  <w:vAlign w:val="center"/>
                </w:tcPr>
                <w:p w14:paraId="04EC3510">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65F34E45">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基础减振，隔声</w:t>
                  </w:r>
                </w:p>
              </w:tc>
              <w:tc>
                <w:tcPr>
                  <w:tcW w:w="396" w:type="pct"/>
                  <w:tcBorders>
                    <w:tl2br w:val="nil"/>
                    <w:tr2bl w:val="nil"/>
                  </w:tcBorders>
                  <w:noWrap w:val="0"/>
                  <w:vAlign w:val="center"/>
                </w:tcPr>
                <w:p w14:paraId="4306ABED">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350" w:type="pct"/>
                  <w:tcBorders>
                    <w:tl2br w:val="nil"/>
                    <w:tr2bl w:val="nil"/>
                  </w:tcBorders>
                  <w:shd w:val="clear" w:color="auto" w:fill="auto"/>
                  <w:noWrap w:val="0"/>
                  <w:vAlign w:val="center"/>
                </w:tcPr>
                <w:p w14:paraId="3A62FC7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val="en-US" w:eastAsia="zh-CN"/>
                    </w:rPr>
                    <w:t>夜</w:t>
                  </w:r>
                </w:p>
              </w:tc>
            </w:tr>
            <w:tr w14:paraId="4FBE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042347F2">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6BA5DAE4">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w:t>
                  </w:r>
                </w:p>
              </w:tc>
              <w:tc>
                <w:tcPr>
                  <w:tcW w:w="508" w:type="pct"/>
                  <w:vMerge w:val="continue"/>
                  <w:tcBorders>
                    <w:tl2br w:val="nil"/>
                    <w:tr2bl w:val="nil"/>
                  </w:tcBorders>
                  <w:shd w:val="clear" w:color="auto" w:fill="auto"/>
                  <w:noWrap w:val="0"/>
                  <w:vAlign w:val="center"/>
                </w:tcPr>
                <w:p w14:paraId="1F366212">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0"/>
                      <w:w w:val="100"/>
                      <w:kern w:val="2"/>
                      <w:position w:val="0"/>
                      <w:sz w:val="21"/>
                      <w:szCs w:val="21"/>
                      <w:lang w:val="en-US" w:eastAsia="zh-CN" w:bidi="ar-SA"/>
                    </w:rPr>
                  </w:pPr>
                </w:p>
              </w:tc>
              <w:tc>
                <w:tcPr>
                  <w:tcW w:w="700" w:type="pct"/>
                  <w:tcBorders>
                    <w:tl2br w:val="nil"/>
                    <w:tr2bl w:val="nil"/>
                  </w:tcBorders>
                  <w:shd w:val="clear" w:color="auto" w:fill="auto"/>
                  <w:noWrap w:val="0"/>
                  <w:vAlign w:val="center"/>
                </w:tcPr>
                <w:p w14:paraId="7E7DE93C">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轴流风机</w:t>
                  </w:r>
                </w:p>
              </w:tc>
              <w:tc>
                <w:tcPr>
                  <w:tcW w:w="256" w:type="pct"/>
                  <w:tcBorders>
                    <w:tl2br w:val="nil"/>
                    <w:tr2bl w:val="nil"/>
                  </w:tcBorders>
                  <w:noWrap w:val="0"/>
                  <w:vAlign w:val="center"/>
                </w:tcPr>
                <w:p w14:paraId="39373591">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340" w:type="pct"/>
                  <w:tcBorders>
                    <w:tl2br w:val="nil"/>
                    <w:tr2bl w:val="nil"/>
                  </w:tcBorders>
                  <w:shd w:val="clear" w:color="auto" w:fill="auto"/>
                  <w:noWrap w:val="0"/>
                  <w:vAlign w:val="center"/>
                </w:tcPr>
                <w:p w14:paraId="25F4BF0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-2.48</w:t>
                  </w:r>
                </w:p>
              </w:tc>
              <w:tc>
                <w:tcPr>
                  <w:tcW w:w="318" w:type="pct"/>
                  <w:tcBorders>
                    <w:tl2br w:val="nil"/>
                    <w:tr2bl w:val="nil"/>
                  </w:tcBorders>
                  <w:shd w:val="clear" w:color="auto" w:fill="auto"/>
                  <w:noWrap w:val="0"/>
                  <w:vAlign w:val="center"/>
                </w:tcPr>
                <w:p w14:paraId="0610720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329" w:type="pct"/>
                  <w:tcBorders>
                    <w:tl2br w:val="nil"/>
                    <w:tr2bl w:val="nil"/>
                  </w:tcBorders>
                  <w:shd w:val="clear" w:color="auto" w:fill="auto"/>
                  <w:noWrap w:val="0"/>
                  <w:vAlign w:val="center"/>
                </w:tcPr>
                <w:p w14:paraId="09E793ED">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1.0</w:t>
                  </w:r>
                </w:p>
              </w:tc>
              <w:tc>
                <w:tcPr>
                  <w:tcW w:w="754" w:type="pct"/>
                  <w:tcBorders>
                    <w:tl2br w:val="nil"/>
                    <w:tr2bl w:val="nil"/>
                  </w:tcBorders>
                  <w:noWrap w:val="0"/>
                  <w:vAlign w:val="center"/>
                </w:tcPr>
                <w:p w14:paraId="19831E66">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6943695C">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rPr>
                    <w:t>基础减振，隔声</w:t>
                  </w:r>
                </w:p>
              </w:tc>
              <w:tc>
                <w:tcPr>
                  <w:tcW w:w="396" w:type="pct"/>
                  <w:tcBorders>
                    <w:tl2br w:val="nil"/>
                    <w:tr2bl w:val="nil"/>
                  </w:tcBorders>
                  <w:noWrap w:val="0"/>
                  <w:vAlign w:val="center"/>
                </w:tcPr>
                <w:p w14:paraId="064E5A98">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w:t>
                  </w:r>
                </w:p>
              </w:tc>
              <w:tc>
                <w:tcPr>
                  <w:tcW w:w="350" w:type="pct"/>
                  <w:tcBorders>
                    <w:tl2br w:val="nil"/>
                    <w:tr2bl w:val="nil"/>
                  </w:tcBorders>
                  <w:shd w:val="clear" w:color="auto" w:fill="auto"/>
                  <w:noWrap w:val="0"/>
                  <w:vAlign w:val="center"/>
                </w:tcPr>
                <w:p w14:paraId="28012E38">
                  <w:pPr>
                    <w:widowControl/>
                    <w:jc w:val="center"/>
                    <w:rPr>
                      <w:rFonts w:hint="default" w:ascii="Times New Roman" w:hAnsi="Times New Roman" w:eastAsia="宋体" w:cs="Times New Roman"/>
                      <w:color w:val="auto"/>
                      <w:kern w:val="0"/>
                      <w:sz w:val="21"/>
                      <w:szCs w:val="21"/>
                      <w:lang w:val="en-US" w:eastAsia="zh-TW"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2108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restart"/>
                  <w:tcBorders>
                    <w:tl2br w:val="nil"/>
                    <w:tr2bl w:val="nil"/>
                  </w:tcBorders>
                  <w:noWrap w:val="0"/>
                  <w:vAlign w:val="center"/>
                </w:tcPr>
                <w:p w14:paraId="1A82804A">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马渡关水厂</w:t>
                  </w:r>
                </w:p>
              </w:tc>
              <w:tc>
                <w:tcPr>
                  <w:tcW w:w="178" w:type="pct"/>
                  <w:tcBorders>
                    <w:tl2br w:val="nil"/>
                    <w:tr2bl w:val="nil"/>
                  </w:tcBorders>
                  <w:noWrap w:val="0"/>
                  <w:vAlign w:val="center"/>
                </w:tcPr>
                <w:p w14:paraId="20E91EFB">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208" w:type="pct"/>
                  <w:gridSpan w:val="2"/>
                  <w:tcBorders>
                    <w:tl2br w:val="nil"/>
                    <w:tr2bl w:val="nil"/>
                  </w:tcBorders>
                  <w:shd w:val="clear" w:color="auto" w:fill="auto"/>
                  <w:noWrap w:val="0"/>
                  <w:vAlign w:val="center"/>
                </w:tcPr>
                <w:p w14:paraId="65BB2CEA">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一体化净水设备</w:t>
                  </w:r>
                </w:p>
              </w:tc>
              <w:tc>
                <w:tcPr>
                  <w:tcW w:w="256" w:type="pct"/>
                  <w:tcBorders>
                    <w:tl2br w:val="nil"/>
                    <w:tr2bl w:val="nil"/>
                  </w:tcBorders>
                  <w:noWrap w:val="0"/>
                  <w:vAlign w:val="center"/>
                </w:tcPr>
                <w:p w14:paraId="1CA9A6C1">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340" w:type="pct"/>
                  <w:tcBorders>
                    <w:tl2br w:val="nil"/>
                    <w:tr2bl w:val="nil"/>
                  </w:tcBorders>
                  <w:shd w:val="clear" w:color="auto" w:fill="auto"/>
                  <w:noWrap w:val="0"/>
                  <w:vAlign w:val="center"/>
                </w:tcPr>
                <w:p w14:paraId="6EE02E0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-8.66</w:t>
                  </w:r>
                </w:p>
              </w:tc>
              <w:tc>
                <w:tcPr>
                  <w:tcW w:w="318" w:type="pct"/>
                  <w:tcBorders>
                    <w:tl2br w:val="nil"/>
                    <w:tr2bl w:val="nil"/>
                  </w:tcBorders>
                  <w:shd w:val="clear" w:color="auto" w:fill="auto"/>
                  <w:noWrap w:val="0"/>
                  <w:vAlign w:val="center"/>
                </w:tcPr>
                <w:p w14:paraId="1CE0EB6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-4.78</w:t>
                  </w:r>
                </w:p>
              </w:tc>
              <w:tc>
                <w:tcPr>
                  <w:tcW w:w="329" w:type="pct"/>
                  <w:tcBorders>
                    <w:tl2br w:val="nil"/>
                    <w:tr2bl w:val="nil"/>
                  </w:tcBorders>
                  <w:shd w:val="clear" w:color="auto" w:fill="auto"/>
                  <w:noWrap w:val="0"/>
                  <w:vAlign w:val="center"/>
                </w:tcPr>
                <w:p w14:paraId="24911BB4">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w:t>
                  </w:r>
                </w:p>
              </w:tc>
              <w:tc>
                <w:tcPr>
                  <w:tcW w:w="754" w:type="pct"/>
                  <w:tcBorders>
                    <w:tl2br w:val="nil"/>
                    <w:tr2bl w:val="nil"/>
                  </w:tcBorders>
                  <w:shd w:val="clear" w:color="auto" w:fill="auto"/>
                  <w:noWrap w:val="0"/>
                  <w:vAlign w:val="center"/>
                </w:tcPr>
                <w:p w14:paraId="19674A87">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5EE3DDF7">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highlight w:val="none"/>
                    </w:rPr>
                    <w:t>选用低噪声设备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各类污水泵位于液面以下</w:t>
                  </w:r>
                </w:p>
              </w:tc>
              <w:tc>
                <w:tcPr>
                  <w:tcW w:w="396" w:type="pct"/>
                  <w:tcBorders>
                    <w:tl2br w:val="nil"/>
                    <w:tr2bl w:val="nil"/>
                  </w:tcBorders>
                  <w:noWrap w:val="0"/>
                  <w:vAlign w:val="center"/>
                </w:tcPr>
                <w:p w14:paraId="307EBBA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c>
                <w:tcPr>
                  <w:tcW w:w="350" w:type="pct"/>
                  <w:tcBorders>
                    <w:tl2br w:val="nil"/>
                    <w:tr2bl w:val="nil"/>
                  </w:tcBorders>
                  <w:noWrap w:val="0"/>
                  <w:vAlign w:val="center"/>
                </w:tcPr>
                <w:p w14:paraId="27127864">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3392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371D478A">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shd w:val="clear" w:color="auto" w:fill="auto"/>
                  <w:noWrap w:val="0"/>
                  <w:vAlign w:val="center"/>
                </w:tcPr>
                <w:p w14:paraId="36E30C3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508" w:type="pct"/>
                  <w:vMerge w:val="restart"/>
                  <w:tcBorders>
                    <w:tl2br w:val="nil"/>
                    <w:tr2bl w:val="nil"/>
                  </w:tcBorders>
                  <w:shd w:val="clear" w:color="auto" w:fill="auto"/>
                  <w:noWrap w:val="0"/>
                  <w:vAlign w:val="center"/>
                </w:tcPr>
                <w:p w14:paraId="378BE3F8">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 </w:t>
                  </w:r>
                  <w:r>
                    <w:rPr>
                      <w:rFonts w:hint="default" w:ascii="Times New Roman" w:hAnsi="Times New Roman" w:eastAsia="宋体" w:cs="Times New Roman"/>
                      <w:b w:val="0"/>
                      <w:bCs w:val="0"/>
                      <w:i w:val="0"/>
                      <w:iCs w:val="0"/>
                      <w:color w:val="auto"/>
                      <w:kern w:val="0"/>
                      <w:sz w:val="21"/>
                      <w:szCs w:val="21"/>
                      <w:u w:val="none"/>
                      <w:lang w:val="en-US" w:eastAsia="zh-CN" w:bidi="ar"/>
                    </w:rPr>
                    <w:t>清水池及送水泵房</w:t>
                  </w:r>
                </w:p>
              </w:tc>
              <w:tc>
                <w:tcPr>
                  <w:tcW w:w="700" w:type="pct"/>
                  <w:tcBorders>
                    <w:tl2br w:val="nil"/>
                    <w:tr2bl w:val="nil"/>
                  </w:tcBorders>
                  <w:shd w:val="clear" w:color="auto" w:fill="auto"/>
                  <w:noWrap w:val="0"/>
                  <w:vAlign w:val="center"/>
                </w:tcPr>
                <w:p w14:paraId="4342D4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 卧式多级离心泵</w:t>
                  </w:r>
                </w:p>
              </w:tc>
              <w:tc>
                <w:tcPr>
                  <w:tcW w:w="256" w:type="pct"/>
                  <w:tcBorders>
                    <w:tl2br w:val="nil"/>
                    <w:tr2bl w:val="nil"/>
                  </w:tcBorders>
                  <w:noWrap w:val="0"/>
                  <w:vAlign w:val="center"/>
                </w:tcPr>
                <w:p w14:paraId="7A5CC92B">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340" w:type="pct"/>
                  <w:tcBorders>
                    <w:tl2br w:val="nil"/>
                    <w:tr2bl w:val="nil"/>
                  </w:tcBorders>
                  <w:shd w:val="clear" w:color="auto" w:fill="auto"/>
                  <w:noWrap w:val="0"/>
                  <w:vAlign w:val="center"/>
                </w:tcPr>
                <w:p w14:paraId="17363A1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-2.17</w:t>
                  </w:r>
                </w:p>
              </w:tc>
              <w:tc>
                <w:tcPr>
                  <w:tcW w:w="318" w:type="pct"/>
                  <w:tcBorders>
                    <w:tl2br w:val="nil"/>
                    <w:tr2bl w:val="nil"/>
                  </w:tcBorders>
                  <w:shd w:val="clear" w:color="auto" w:fill="auto"/>
                  <w:noWrap w:val="0"/>
                  <w:vAlign w:val="center"/>
                </w:tcPr>
                <w:p w14:paraId="465DFF5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w:t>
                  </w:r>
                </w:p>
              </w:tc>
              <w:tc>
                <w:tcPr>
                  <w:tcW w:w="329" w:type="pct"/>
                  <w:tcBorders>
                    <w:tl2br w:val="nil"/>
                    <w:tr2bl w:val="nil"/>
                  </w:tcBorders>
                  <w:shd w:val="clear" w:color="auto" w:fill="auto"/>
                  <w:noWrap w:val="0"/>
                  <w:vAlign w:val="center"/>
                </w:tcPr>
                <w:p w14:paraId="7FBC417B">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c>
                <w:tcPr>
                  <w:tcW w:w="754" w:type="pct"/>
                  <w:tcBorders>
                    <w:tl2br w:val="nil"/>
                    <w:tr2bl w:val="nil"/>
                  </w:tcBorders>
                  <w:shd w:val="clear" w:color="auto" w:fill="auto"/>
                  <w:noWrap w:val="0"/>
                  <w:vAlign w:val="center"/>
                </w:tcPr>
                <w:p w14:paraId="558B046B">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75</w:t>
                  </w:r>
                </w:p>
              </w:tc>
              <w:tc>
                <w:tcPr>
                  <w:tcW w:w="707" w:type="pct"/>
                  <w:tcBorders>
                    <w:tl2br w:val="nil"/>
                    <w:tr2bl w:val="nil"/>
                  </w:tcBorders>
                  <w:noWrap w:val="0"/>
                  <w:vAlign w:val="center"/>
                </w:tcPr>
                <w:p w14:paraId="12F1441B">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70AF09D2">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350" w:type="pct"/>
                  <w:tcBorders>
                    <w:tl2br w:val="nil"/>
                    <w:tr2bl w:val="nil"/>
                  </w:tcBorders>
                  <w:shd w:val="clear" w:color="auto" w:fill="auto"/>
                  <w:noWrap w:val="0"/>
                  <w:vAlign w:val="center"/>
                </w:tcPr>
                <w:p w14:paraId="77A01EF9">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val="en-US" w:eastAsia="zh-CN"/>
                    </w:rPr>
                    <w:t>夜</w:t>
                  </w:r>
                </w:p>
              </w:tc>
            </w:tr>
            <w:tr w14:paraId="0FE4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00479AC0">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shd w:val="clear" w:color="auto" w:fill="auto"/>
                  <w:noWrap w:val="0"/>
                  <w:vAlign w:val="center"/>
                </w:tcPr>
                <w:p w14:paraId="0ED19C53">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w:t>
                  </w:r>
                </w:p>
              </w:tc>
              <w:tc>
                <w:tcPr>
                  <w:tcW w:w="508" w:type="pct"/>
                  <w:vMerge w:val="continue"/>
                  <w:tcBorders>
                    <w:tl2br w:val="nil"/>
                    <w:tr2bl w:val="nil"/>
                  </w:tcBorders>
                  <w:shd w:val="clear" w:color="auto" w:fill="auto"/>
                  <w:noWrap w:val="0"/>
                  <w:vAlign w:val="center"/>
                </w:tcPr>
                <w:p w14:paraId="5C660498">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bCs/>
                      <w:i w:val="0"/>
                      <w:iCs w:val="0"/>
                      <w:color w:val="auto"/>
                      <w:kern w:val="0"/>
                      <w:sz w:val="21"/>
                      <w:szCs w:val="21"/>
                      <w:u w:val="none"/>
                      <w:lang w:val="en-US" w:eastAsia="zh-CN" w:bidi="ar"/>
                    </w:rPr>
                  </w:pPr>
                </w:p>
              </w:tc>
              <w:tc>
                <w:tcPr>
                  <w:tcW w:w="700" w:type="pct"/>
                  <w:tcBorders>
                    <w:tl2br w:val="nil"/>
                    <w:tr2bl w:val="nil"/>
                  </w:tcBorders>
                  <w:shd w:val="clear" w:color="auto" w:fill="auto"/>
                  <w:noWrap w:val="0"/>
                  <w:vAlign w:val="center"/>
                </w:tcPr>
                <w:p w14:paraId="33430B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 潜污泵</w:t>
                  </w:r>
                </w:p>
              </w:tc>
              <w:tc>
                <w:tcPr>
                  <w:tcW w:w="256" w:type="pct"/>
                  <w:tcBorders>
                    <w:tl2br w:val="nil"/>
                    <w:tr2bl w:val="nil"/>
                  </w:tcBorders>
                  <w:noWrap w:val="0"/>
                  <w:vAlign w:val="center"/>
                </w:tcPr>
                <w:p w14:paraId="180362DE">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4097362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w:t>
                  </w:r>
                </w:p>
              </w:tc>
              <w:tc>
                <w:tcPr>
                  <w:tcW w:w="318" w:type="pct"/>
                  <w:tcBorders>
                    <w:tl2br w:val="nil"/>
                    <w:tr2bl w:val="nil"/>
                  </w:tcBorders>
                  <w:shd w:val="clear" w:color="auto" w:fill="auto"/>
                  <w:noWrap w:val="0"/>
                  <w:vAlign w:val="center"/>
                </w:tcPr>
                <w:p w14:paraId="182D701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-9.82</w:t>
                  </w:r>
                </w:p>
              </w:tc>
              <w:tc>
                <w:tcPr>
                  <w:tcW w:w="329" w:type="pct"/>
                  <w:tcBorders>
                    <w:tl2br w:val="nil"/>
                    <w:tr2bl w:val="nil"/>
                  </w:tcBorders>
                  <w:shd w:val="clear" w:color="auto" w:fill="auto"/>
                  <w:noWrap w:val="0"/>
                  <w:vAlign w:val="center"/>
                </w:tcPr>
                <w:p w14:paraId="1469095B">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0.5</w:t>
                  </w:r>
                </w:p>
              </w:tc>
              <w:tc>
                <w:tcPr>
                  <w:tcW w:w="754" w:type="pct"/>
                  <w:tcBorders>
                    <w:tl2br w:val="nil"/>
                    <w:tr2bl w:val="nil"/>
                  </w:tcBorders>
                  <w:shd w:val="clear" w:color="auto" w:fill="auto"/>
                  <w:noWrap w:val="0"/>
                  <w:vAlign w:val="center"/>
                </w:tcPr>
                <w:p w14:paraId="1E860541">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75</w:t>
                  </w:r>
                </w:p>
              </w:tc>
              <w:tc>
                <w:tcPr>
                  <w:tcW w:w="707" w:type="pct"/>
                  <w:tcBorders>
                    <w:tl2br w:val="nil"/>
                    <w:tr2bl w:val="nil"/>
                  </w:tcBorders>
                  <w:noWrap w:val="0"/>
                  <w:vAlign w:val="center"/>
                </w:tcPr>
                <w:p w14:paraId="1CF28A61">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41F19072">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350" w:type="pct"/>
                  <w:tcBorders>
                    <w:tl2br w:val="nil"/>
                    <w:tr2bl w:val="nil"/>
                  </w:tcBorders>
                  <w:shd w:val="clear" w:color="auto" w:fill="auto"/>
                  <w:noWrap w:val="0"/>
                  <w:vAlign w:val="center"/>
                </w:tcPr>
                <w:p w14:paraId="20B03E2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5979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145D92B6">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shd w:val="clear" w:color="auto" w:fill="auto"/>
                  <w:noWrap w:val="0"/>
                  <w:vAlign w:val="center"/>
                </w:tcPr>
                <w:p w14:paraId="21151138">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4</w:t>
                  </w:r>
                </w:p>
              </w:tc>
              <w:tc>
                <w:tcPr>
                  <w:tcW w:w="508" w:type="pct"/>
                  <w:vMerge w:val="restart"/>
                  <w:tcBorders>
                    <w:tl2br w:val="nil"/>
                    <w:tr2bl w:val="nil"/>
                  </w:tcBorders>
                  <w:shd w:val="clear" w:color="auto" w:fill="auto"/>
                  <w:noWrap w:val="0"/>
                  <w:vAlign w:val="center"/>
                </w:tcPr>
                <w:p w14:paraId="40BB2B5B">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kern w:val="0"/>
                      <w:sz w:val="21"/>
                      <w:szCs w:val="21"/>
                      <w:u w:val="none"/>
                      <w:lang w:val="en-US" w:eastAsia="zh-CN" w:bidi="ar"/>
                    </w:rPr>
                    <w:t>排水池、排泥池</w:t>
                  </w:r>
                </w:p>
              </w:tc>
              <w:tc>
                <w:tcPr>
                  <w:tcW w:w="700" w:type="pct"/>
                  <w:tcBorders>
                    <w:tl2br w:val="nil"/>
                    <w:tr2bl w:val="nil"/>
                  </w:tcBorders>
                  <w:shd w:val="clear" w:color="auto" w:fill="auto"/>
                  <w:noWrap w:val="0"/>
                  <w:vAlign w:val="center"/>
                </w:tcPr>
                <w:p w14:paraId="1F4EA64D">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潜水搅拌机</w:t>
                  </w:r>
                </w:p>
              </w:tc>
              <w:tc>
                <w:tcPr>
                  <w:tcW w:w="256" w:type="pct"/>
                  <w:tcBorders>
                    <w:tl2br w:val="nil"/>
                    <w:tr2bl w:val="nil"/>
                  </w:tcBorders>
                  <w:shd w:val="clear" w:color="auto" w:fill="auto"/>
                  <w:noWrap w:val="0"/>
                  <w:vAlign w:val="center"/>
                </w:tcPr>
                <w:p w14:paraId="6B5F485B">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3F2DC2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318" w:type="pct"/>
                  <w:tcBorders>
                    <w:tl2br w:val="nil"/>
                    <w:tr2bl w:val="nil"/>
                  </w:tcBorders>
                  <w:shd w:val="clear" w:color="auto" w:fill="auto"/>
                  <w:noWrap w:val="0"/>
                  <w:vAlign w:val="center"/>
                </w:tcPr>
                <w:p w14:paraId="0BAE4BE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-2.62</w:t>
                  </w:r>
                </w:p>
              </w:tc>
              <w:tc>
                <w:tcPr>
                  <w:tcW w:w="329" w:type="pct"/>
                  <w:tcBorders>
                    <w:tl2br w:val="nil"/>
                    <w:tr2bl w:val="nil"/>
                  </w:tcBorders>
                  <w:shd w:val="clear" w:color="auto" w:fill="auto"/>
                  <w:noWrap w:val="0"/>
                  <w:vAlign w:val="center"/>
                </w:tcPr>
                <w:p w14:paraId="5874C6AB">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0.5</w:t>
                  </w:r>
                </w:p>
              </w:tc>
              <w:tc>
                <w:tcPr>
                  <w:tcW w:w="754" w:type="pct"/>
                  <w:tcBorders>
                    <w:tl2br w:val="nil"/>
                    <w:tr2bl w:val="nil"/>
                  </w:tcBorders>
                  <w:shd w:val="clear" w:color="auto" w:fill="auto"/>
                  <w:noWrap w:val="0"/>
                  <w:vAlign w:val="center"/>
                </w:tcPr>
                <w:p w14:paraId="731569E9">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1C983CE5">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10086F61">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c>
                <w:tcPr>
                  <w:tcW w:w="350" w:type="pct"/>
                  <w:tcBorders>
                    <w:tl2br w:val="nil"/>
                    <w:tr2bl w:val="nil"/>
                  </w:tcBorders>
                  <w:noWrap w:val="0"/>
                  <w:vAlign w:val="center"/>
                </w:tcPr>
                <w:p w14:paraId="2BC7A2E1">
                  <w:pPr>
                    <w:widowControl/>
                    <w:jc w:val="center"/>
                    <w:rPr>
                      <w:rFonts w:hint="default" w:ascii="Times New Roman" w:hAnsi="Times New Roman" w:eastAsia="宋体" w:cs="Times New Roman"/>
                      <w:color w:val="auto"/>
                      <w:kern w:val="0"/>
                      <w:sz w:val="21"/>
                      <w:szCs w:val="21"/>
                      <w:lang w:val="en-US" w:eastAsia="zh-TW" w:bidi="ar-SA"/>
                    </w:rPr>
                  </w:pP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val="en-US" w:eastAsia="zh-CN"/>
                    </w:rPr>
                    <w:t>夜</w:t>
                  </w:r>
                </w:p>
              </w:tc>
            </w:tr>
            <w:tr w14:paraId="451DB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3F74430B">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shd w:val="clear" w:color="auto" w:fill="auto"/>
                  <w:noWrap w:val="0"/>
                  <w:vAlign w:val="center"/>
                </w:tcPr>
                <w:p w14:paraId="6576A012">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5</w:t>
                  </w:r>
                </w:p>
              </w:tc>
              <w:tc>
                <w:tcPr>
                  <w:tcW w:w="508" w:type="pct"/>
                  <w:vMerge w:val="continue"/>
                  <w:tcBorders>
                    <w:tl2br w:val="nil"/>
                    <w:tr2bl w:val="nil"/>
                  </w:tcBorders>
                  <w:shd w:val="clear" w:color="auto" w:fill="auto"/>
                  <w:noWrap w:val="0"/>
                  <w:vAlign w:val="center"/>
                </w:tcPr>
                <w:p w14:paraId="51B6F1AB">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0"/>
                      <w:w w:val="100"/>
                      <w:kern w:val="2"/>
                      <w:position w:val="0"/>
                      <w:sz w:val="21"/>
                      <w:szCs w:val="21"/>
                      <w:lang w:val="en-US" w:eastAsia="zh-CN" w:bidi="ar-SA"/>
                    </w:rPr>
                  </w:pPr>
                </w:p>
              </w:tc>
              <w:tc>
                <w:tcPr>
                  <w:tcW w:w="700" w:type="pct"/>
                  <w:tcBorders>
                    <w:tl2br w:val="nil"/>
                    <w:tr2bl w:val="nil"/>
                  </w:tcBorders>
                  <w:shd w:val="clear" w:color="auto" w:fill="auto"/>
                  <w:noWrap w:val="0"/>
                  <w:vAlign w:val="center"/>
                </w:tcPr>
                <w:p w14:paraId="67B42472">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回收水泵</w:t>
                  </w:r>
                </w:p>
              </w:tc>
              <w:tc>
                <w:tcPr>
                  <w:tcW w:w="256" w:type="pct"/>
                  <w:tcBorders>
                    <w:tl2br w:val="nil"/>
                    <w:tr2bl w:val="nil"/>
                  </w:tcBorders>
                  <w:shd w:val="clear" w:color="auto" w:fill="auto"/>
                  <w:noWrap w:val="0"/>
                  <w:vAlign w:val="center"/>
                </w:tcPr>
                <w:p w14:paraId="1EFB5DBD">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541EE37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-15.14</w:t>
                  </w:r>
                </w:p>
              </w:tc>
              <w:tc>
                <w:tcPr>
                  <w:tcW w:w="318" w:type="pct"/>
                  <w:tcBorders>
                    <w:tl2br w:val="nil"/>
                    <w:tr2bl w:val="nil"/>
                  </w:tcBorders>
                  <w:shd w:val="clear" w:color="auto" w:fill="auto"/>
                  <w:noWrap w:val="0"/>
                  <w:vAlign w:val="center"/>
                </w:tcPr>
                <w:p w14:paraId="1B76470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-7.66</w:t>
                  </w:r>
                </w:p>
              </w:tc>
              <w:tc>
                <w:tcPr>
                  <w:tcW w:w="329" w:type="pct"/>
                  <w:tcBorders>
                    <w:tl2br w:val="nil"/>
                    <w:tr2bl w:val="nil"/>
                  </w:tcBorders>
                  <w:shd w:val="clear" w:color="auto" w:fill="auto"/>
                  <w:noWrap w:val="0"/>
                  <w:vAlign w:val="center"/>
                </w:tcPr>
                <w:p w14:paraId="4B78662D">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c>
                <w:tcPr>
                  <w:tcW w:w="754" w:type="pct"/>
                  <w:tcBorders>
                    <w:tl2br w:val="nil"/>
                    <w:tr2bl w:val="nil"/>
                  </w:tcBorders>
                  <w:shd w:val="clear" w:color="auto" w:fill="auto"/>
                  <w:noWrap w:val="0"/>
                  <w:vAlign w:val="center"/>
                </w:tcPr>
                <w:p w14:paraId="7174789C">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w:t>
                  </w:r>
                </w:p>
              </w:tc>
              <w:tc>
                <w:tcPr>
                  <w:tcW w:w="707" w:type="pct"/>
                  <w:tcBorders>
                    <w:tl2br w:val="nil"/>
                    <w:tr2bl w:val="nil"/>
                  </w:tcBorders>
                  <w:noWrap w:val="0"/>
                  <w:vAlign w:val="center"/>
                </w:tcPr>
                <w:p w14:paraId="6E863AAF">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6DAC7372">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350" w:type="pct"/>
                  <w:tcBorders>
                    <w:tl2br w:val="nil"/>
                    <w:tr2bl w:val="nil"/>
                  </w:tcBorders>
                  <w:noWrap w:val="0"/>
                  <w:vAlign w:val="center"/>
                </w:tcPr>
                <w:p w14:paraId="51AEB43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r w14:paraId="0725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1BF30D82">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shd w:val="clear" w:color="auto" w:fill="auto"/>
                  <w:noWrap w:val="0"/>
                  <w:vAlign w:val="center"/>
                </w:tcPr>
                <w:p w14:paraId="1705ADB1">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6</w:t>
                  </w:r>
                </w:p>
              </w:tc>
              <w:tc>
                <w:tcPr>
                  <w:tcW w:w="508" w:type="pct"/>
                  <w:vMerge w:val="continue"/>
                  <w:tcBorders>
                    <w:tl2br w:val="nil"/>
                    <w:tr2bl w:val="nil"/>
                  </w:tcBorders>
                  <w:shd w:val="clear" w:color="auto" w:fill="auto"/>
                  <w:noWrap w:val="0"/>
                  <w:vAlign w:val="center"/>
                </w:tcPr>
                <w:p w14:paraId="7153D487">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0"/>
                      <w:w w:val="100"/>
                      <w:kern w:val="2"/>
                      <w:position w:val="0"/>
                      <w:sz w:val="21"/>
                      <w:szCs w:val="21"/>
                      <w:lang w:val="en-US" w:eastAsia="zh-CN" w:bidi="ar-SA"/>
                    </w:rPr>
                  </w:pPr>
                </w:p>
              </w:tc>
              <w:tc>
                <w:tcPr>
                  <w:tcW w:w="700" w:type="pct"/>
                  <w:tcBorders>
                    <w:tl2br w:val="nil"/>
                    <w:tr2bl w:val="nil"/>
                  </w:tcBorders>
                  <w:shd w:val="clear" w:color="auto" w:fill="auto"/>
                  <w:noWrap w:val="0"/>
                  <w:vAlign w:val="center"/>
                </w:tcPr>
                <w:p w14:paraId="5040F640">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 排泥泵</w:t>
                  </w:r>
                </w:p>
              </w:tc>
              <w:tc>
                <w:tcPr>
                  <w:tcW w:w="256" w:type="pct"/>
                  <w:tcBorders>
                    <w:tl2br w:val="nil"/>
                    <w:tr2bl w:val="nil"/>
                  </w:tcBorders>
                  <w:shd w:val="clear" w:color="auto" w:fill="auto"/>
                  <w:noWrap w:val="0"/>
                  <w:vAlign w:val="center"/>
                </w:tcPr>
                <w:p w14:paraId="4F2A7E1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1529C44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-9.38</w:t>
                  </w:r>
                </w:p>
              </w:tc>
              <w:tc>
                <w:tcPr>
                  <w:tcW w:w="318" w:type="pct"/>
                  <w:tcBorders>
                    <w:tl2br w:val="nil"/>
                    <w:tr2bl w:val="nil"/>
                  </w:tcBorders>
                  <w:shd w:val="clear" w:color="auto" w:fill="auto"/>
                  <w:noWrap w:val="0"/>
                  <w:vAlign w:val="center"/>
                </w:tcPr>
                <w:p w14:paraId="2BA6F28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-9.82</w:t>
                  </w:r>
                </w:p>
              </w:tc>
              <w:tc>
                <w:tcPr>
                  <w:tcW w:w="329" w:type="pct"/>
                  <w:tcBorders>
                    <w:tl2br w:val="nil"/>
                    <w:tr2bl w:val="nil"/>
                  </w:tcBorders>
                  <w:shd w:val="clear" w:color="auto" w:fill="auto"/>
                  <w:noWrap w:val="0"/>
                  <w:vAlign w:val="center"/>
                </w:tcPr>
                <w:p w14:paraId="4DDEB05D">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c>
                <w:tcPr>
                  <w:tcW w:w="754" w:type="pct"/>
                  <w:tcBorders>
                    <w:tl2br w:val="nil"/>
                    <w:tr2bl w:val="nil"/>
                  </w:tcBorders>
                  <w:shd w:val="clear" w:color="auto" w:fill="auto"/>
                  <w:noWrap w:val="0"/>
                  <w:vAlign w:val="center"/>
                </w:tcPr>
                <w:p w14:paraId="6B9A0A86">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w:t>
                  </w:r>
                </w:p>
              </w:tc>
              <w:tc>
                <w:tcPr>
                  <w:tcW w:w="707" w:type="pct"/>
                  <w:tcBorders>
                    <w:tl2br w:val="nil"/>
                    <w:tr2bl w:val="nil"/>
                  </w:tcBorders>
                  <w:noWrap w:val="0"/>
                  <w:vAlign w:val="center"/>
                </w:tcPr>
                <w:p w14:paraId="04F9EE41">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基础减振，隔声，置于池底</w:t>
                  </w:r>
                </w:p>
              </w:tc>
              <w:tc>
                <w:tcPr>
                  <w:tcW w:w="396" w:type="pct"/>
                  <w:tcBorders>
                    <w:tl2br w:val="nil"/>
                    <w:tr2bl w:val="nil"/>
                  </w:tcBorders>
                  <w:noWrap w:val="0"/>
                  <w:vAlign w:val="center"/>
                </w:tcPr>
                <w:p w14:paraId="733EED63">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w:t>
                  </w:r>
                </w:p>
              </w:tc>
              <w:tc>
                <w:tcPr>
                  <w:tcW w:w="350" w:type="pct"/>
                  <w:tcBorders>
                    <w:tl2br w:val="nil"/>
                    <w:tr2bl w:val="nil"/>
                  </w:tcBorders>
                  <w:noWrap w:val="0"/>
                  <w:vAlign w:val="center"/>
                </w:tcPr>
                <w:p w14:paraId="0113D882">
                  <w:pPr>
                    <w:widowControl/>
                    <w:jc w:val="center"/>
                    <w:rPr>
                      <w:rFonts w:hint="default" w:ascii="Times New Roman" w:hAnsi="Times New Roman" w:eastAsia="宋体" w:cs="Times New Roman"/>
                      <w:color w:val="auto"/>
                      <w:kern w:val="0"/>
                      <w:sz w:val="21"/>
                      <w:szCs w:val="21"/>
                      <w:lang w:val="en-US" w:eastAsia="zh-TW" w:bidi="ar-SA"/>
                    </w:rPr>
                  </w:pP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val="en-US" w:eastAsia="zh-CN"/>
                    </w:rPr>
                    <w:t>夜</w:t>
                  </w:r>
                </w:p>
              </w:tc>
            </w:tr>
            <w:tr w14:paraId="6742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2898B497">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63C1CA70">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w:t>
                  </w:r>
                </w:p>
              </w:tc>
              <w:tc>
                <w:tcPr>
                  <w:tcW w:w="508" w:type="pct"/>
                  <w:vMerge w:val="restart"/>
                  <w:tcBorders>
                    <w:tl2br w:val="nil"/>
                    <w:tr2bl w:val="nil"/>
                  </w:tcBorders>
                  <w:noWrap w:val="0"/>
                  <w:vAlign w:val="center"/>
                </w:tcPr>
                <w:p w14:paraId="7AE36C52">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4"/>
                      <w:sz w:val="21"/>
                      <w:szCs w:val="21"/>
                      <w:lang w:val="en-US" w:eastAsia="zh-CN"/>
                    </w:rPr>
                  </w:pPr>
                  <w:r>
                    <w:rPr>
                      <w:rFonts w:hint="default" w:ascii="Times New Roman" w:hAnsi="Times New Roman" w:eastAsia="宋体" w:cs="Times New Roman"/>
                      <w:color w:val="auto"/>
                      <w:spacing w:val="-4"/>
                      <w:sz w:val="21"/>
                      <w:szCs w:val="21"/>
                      <w:lang w:val="en-US" w:eastAsia="zh-CN"/>
                    </w:rPr>
                    <w:t>其他</w:t>
                  </w:r>
                </w:p>
              </w:tc>
              <w:tc>
                <w:tcPr>
                  <w:tcW w:w="700" w:type="pct"/>
                  <w:tcBorders>
                    <w:tl2br w:val="nil"/>
                    <w:tr2bl w:val="nil"/>
                  </w:tcBorders>
                  <w:shd w:val="clear" w:color="auto" w:fill="auto"/>
                  <w:noWrap w:val="0"/>
                  <w:vAlign w:val="center"/>
                </w:tcPr>
                <w:p w14:paraId="365735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 管道风机</w:t>
                  </w:r>
                </w:p>
              </w:tc>
              <w:tc>
                <w:tcPr>
                  <w:tcW w:w="256" w:type="pct"/>
                  <w:tcBorders>
                    <w:tl2br w:val="nil"/>
                    <w:tr2bl w:val="nil"/>
                  </w:tcBorders>
                  <w:noWrap w:val="0"/>
                  <w:vAlign w:val="center"/>
                </w:tcPr>
                <w:p w14:paraId="6F638763">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340" w:type="pct"/>
                  <w:tcBorders>
                    <w:tl2br w:val="nil"/>
                    <w:tr2bl w:val="nil"/>
                  </w:tcBorders>
                  <w:shd w:val="clear" w:color="auto" w:fill="auto"/>
                  <w:noWrap w:val="0"/>
                  <w:vAlign w:val="center"/>
                </w:tcPr>
                <w:p w14:paraId="659654A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-3.53</w:t>
                  </w:r>
                </w:p>
              </w:tc>
              <w:tc>
                <w:tcPr>
                  <w:tcW w:w="318" w:type="pct"/>
                  <w:tcBorders>
                    <w:tl2br w:val="nil"/>
                    <w:tr2bl w:val="nil"/>
                  </w:tcBorders>
                  <w:shd w:val="clear" w:color="auto" w:fill="auto"/>
                  <w:noWrap w:val="0"/>
                  <w:vAlign w:val="center"/>
                </w:tcPr>
                <w:p w14:paraId="3EF5F5A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-12.78</w:t>
                  </w:r>
                </w:p>
              </w:tc>
              <w:tc>
                <w:tcPr>
                  <w:tcW w:w="329" w:type="pct"/>
                  <w:tcBorders>
                    <w:tl2br w:val="nil"/>
                    <w:tr2bl w:val="nil"/>
                  </w:tcBorders>
                  <w:shd w:val="clear" w:color="auto" w:fill="auto"/>
                  <w:noWrap w:val="0"/>
                  <w:vAlign w:val="center"/>
                </w:tcPr>
                <w:p w14:paraId="18C8D4AC">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1.0</w:t>
                  </w:r>
                </w:p>
              </w:tc>
              <w:tc>
                <w:tcPr>
                  <w:tcW w:w="754" w:type="pct"/>
                  <w:tcBorders>
                    <w:tl2br w:val="nil"/>
                    <w:tr2bl w:val="nil"/>
                  </w:tcBorders>
                  <w:shd w:val="clear" w:color="auto" w:fill="auto"/>
                  <w:noWrap w:val="0"/>
                  <w:vAlign w:val="center"/>
                </w:tcPr>
                <w:p w14:paraId="13022F42">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4DD648C8">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rPr>
                    <w:t>基础减振，隔声</w:t>
                  </w:r>
                </w:p>
              </w:tc>
              <w:tc>
                <w:tcPr>
                  <w:tcW w:w="396" w:type="pct"/>
                  <w:tcBorders>
                    <w:tl2br w:val="nil"/>
                    <w:tr2bl w:val="nil"/>
                  </w:tcBorders>
                  <w:noWrap w:val="0"/>
                  <w:vAlign w:val="center"/>
                </w:tcPr>
                <w:p w14:paraId="25B3CDCE">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c>
                <w:tcPr>
                  <w:tcW w:w="350" w:type="pct"/>
                  <w:tcBorders>
                    <w:tl2br w:val="nil"/>
                    <w:tr2bl w:val="nil"/>
                  </w:tcBorders>
                  <w:shd w:val="clear" w:color="auto" w:fill="auto"/>
                  <w:noWrap w:val="0"/>
                  <w:vAlign w:val="center"/>
                </w:tcPr>
                <w:p w14:paraId="48BE893E">
                  <w:pPr>
                    <w:widowControl/>
                    <w:jc w:val="center"/>
                    <w:rPr>
                      <w:rFonts w:hint="default" w:ascii="Times New Roman" w:hAnsi="Times New Roman" w:eastAsia="宋体" w:cs="Times New Roman"/>
                      <w:color w:val="auto"/>
                      <w:kern w:val="0"/>
                      <w:sz w:val="21"/>
                      <w:szCs w:val="21"/>
                      <w:lang w:val="en-US" w:eastAsia="zh-TW" w:bidi="ar-SA"/>
                    </w:rPr>
                  </w:pPr>
                  <w:r>
                    <w:rPr>
                      <w:rFonts w:hint="default" w:ascii="Times New Roman" w:hAnsi="Times New Roman" w:eastAsia="宋体" w:cs="Times New Roman"/>
                      <w:color w:val="auto"/>
                      <w:kern w:val="0"/>
                      <w:sz w:val="21"/>
                      <w:szCs w:val="21"/>
                    </w:rPr>
                    <w:t>昼</w:t>
                  </w:r>
                  <w:r>
                    <w:rPr>
                      <w:rFonts w:hint="default" w:ascii="Times New Roman" w:hAnsi="Times New Roman" w:eastAsia="宋体" w:cs="Times New Roman"/>
                      <w:color w:val="auto"/>
                      <w:kern w:val="0"/>
                      <w:sz w:val="21"/>
                      <w:szCs w:val="21"/>
                      <w:lang w:val="en-US" w:eastAsia="zh-CN"/>
                    </w:rPr>
                    <w:t>夜</w:t>
                  </w:r>
                </w:p>
              </w:tc>
            </w:tr>
            <w:tr w14:paraId="45BC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 w:type="pct"/>
                  <w:vMerge w:val="continue"/>
                  <w:tcBorders>
                    <w:tl2br w:val="nil"/>
                    <w:tr2bl w:val="nil"/>
                  </w:tcBorders>
                  <w:noWrap w:val="0"/>
                  <w:vAlign w:val="center"/>
                </w:tcPr>
                <w:p w14:paraId="4C3DB2F3">
                  <w:pPr>
                    <w:widowControl/>
                    <w:jc w:val="center"/>
                    <w:rPr>
                      <w:rFonts w:hint="default" w:ascii="Times New Roman" w:hAnsi="Times New Roman" w:eastAsia="宋体" w:cs="Times New Roman"/>
                      <w:color w:val="auto"/>
                      <w:kern w:val="0"/>
                      <w:sz w:val="21"/>
                      <w:szCs w:val="21"/>
                      <w:lang w:val="en-US" w:eastAsia="zh-CN"/>
                    </w:rPr>
                  </w:pPr>
                </w:p>
              </w:tc>
              <w:tc>
                <w:tcPr>
                  <w:tcW w:w="178" w:type="pct"/>
                  <w:tcBorders>
                    <w:tl2br w:val="nil"/>
                    <w:tr2bl w:val="nil"/>
                  </w:tcBorders>
                  <w:noWrap w:val="0"/>
                  <w:vAlign w:val="center"/>
                </w:tcPr>
                <w:p w14:paraId="2CE8FCC2">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w:t>
                  </w:r>
                </w:p>
              </w:tc>
              <w:tc>
                <w:tcPr>
                  <w:tcW w:w="508" w:type="pct"/>
                  <w:vMerge w:val="continue"/>
                  <w:tcBorders>
                    <w:tl2br w:val="nil"/>
                    <w:tr2bl w:val="nil"/>
                  </w:tcBorders>
                  <w:noWrap w:val="0"/>
                  <w:vAlign w:val="center"/>
                </w:tcPr>
                <w:p w14:paraId="0473EBC7">
                  <w:pPr>
                    <w:pStyle w:val="51"/>
                    <w:pageBreakBefore w:val="0"/>
                    <w:topLinePunct w:val="0"/>
                    <w:bidi w:val="0"/>
                    <w:spacing w:beforeAutospacing="0" w:afterAutospacing="0" w:line="240" w:lineRule="auto"/>
                    <w:ind w:left="0" w:leftChars="0"/>
                    <w:jc w:val="center"/>
                    <w:rPr>
                      <w:rFonts w:hint="default" w:ascii="Times New Roman" w:hAnsi="Times New Roman" w:eastAsia="宋体" w:cs="Times New Roman"/>
                      <w:color w:val="auto"/>
                      <w:spacing w:val="-4"/>
                      <w:sz w:val="21"/>
                      <w:szCs w:val="21"/>
                      <w:lang w:val="en-US" w:eastAsia="zh-CN"/>
                    </w:rPr>
                  </w:pPr>
                </w:p>
              </w:tc>
              <w:tc>
                <w:tcPr>
                  <w:tcW w:w="700" w:type="pct"/>
                  <w:tcBorders>
                    <w:tl2br w:val="nil"/>
                    <w:tr2bl w:val="nil"/>
                  </w:tcBorders>
                  <w:shd w:val="clear" w:color="auto" w:fill="auto"/>
                  <w:noWrap w:val="0"/>
                  <w:vAlign w:val="center"/>
                </w:tcPr>
                <w:p w14:paraId="07DC22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 轴流风机</w:t>
                  </w:r>
                </w:p>
              </w:tc>
              <w:tc>
                <w:tcPr>
                  <w:tcW w:w="256" w:type="pct"/>
                  <w:tcBorders>
                    <w:tl2br w:val="nil"/>
                    <w:tr2bl w:val="nil"/>
                  </w:tcBorders>
                  <w:noWrap w:val="0"/>
                  <w:vAlign w:val="center"/>
                </w:tcPr>
                <w:p w14:paraId="2BDEE95D">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340" w:type="pct"/>
                  <w:tcBorders>
                    <w:tl2br w:val="nil"/>
                    <w:tr2bl w:val="nil"/>
                  </w:tcBorders>
                  <w:shd w:val="clear" w:color="auto" w:fill="auto"/>
                  <w:noWrap w:val="0"/>
                  <w:vAlign w:val="center"/>
                </w:tcPr>
                <w:p w14:paraId="57C453F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2.27</w:t>
                  </w:r>
                </w:p>
              </w:tc>
              <w:tc>
                <w:tcPr>
                  <w:tcW w:w="318" w:type="pct"/>
                  <w:tcBorders>
                    <w:tl2br w:val="nil"/>
                    <w:tr2bl w:val="nil"/>
                  </w:tcBorders>
                  <w:shd w:val="clear" w:color="auto" w:fill="auto"/>
                  <w:noWrap w:val="0"/>
                  <w:vAlign w:val="center"/>
                </w:tcPr>
                <w:p w14:paraId="1A46D8D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w:t>
                  </w:r>
                </w:p>
              </w:tc>
              <w:tc>
                <w:tcPr>
                  <w:tcW w:w="329" w:type="pct"/>
                  <w:tcBorders>
                    <w:tl2br w:val="nil"/>
                    <w:tr2bl w:val="nil"/>
                  </w:tcBorders>
                  <w:shd w:val="clear" w:color="auto" w:fill="auto"/>
                  <w:noWrap w:val="0"/>
                  <w:vAlign w:val="center"/>
                </w:tcPr>
                <w:p w14:paraId="2AE76D43">
                  <w:pPr>
                    <w:widowControl/>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1.0</w:t>
                  </w:r>
                </w:p>
              </w:tc>
              <w:tc>
                <w:tcPr>
                  <w:tcW w:w="754" w:type="pct"/>
                  <w:tcBorders>
                    <w:tl2br w:val="nil"/>
                    <w:tr2bl w:val="nil"/>
                  </w:tcBorders>
                  <w:shd w:val="clear" w:color="auto" w:fill="auto"/>
                  <w:noWrap w:val="0"/>
                  <w:vAlign w:val="center"/>
                </w:tcPr>
                <w:p w14:paraId="70F27337">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80</w:t>
                  </w:r>
                </w:p>
              </w:tc>
              <w:tc>
                <w:tcPr>
                  <w:tcW w:w="707" w:type="pct"/>
                  <w:tcBorders>
                    <w:tl2br w:val="nil"/>
                    <w:tr2bl w:val="nil"/>
                  </w:tcBorders>
                  <w:noWrap w:val="0"/>
                  <w:vAlign w:val="center"/>
                </w:tcPr>
                <w:p w14:paraId="38F90746">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基础减振，隔声</w:t>
                  </w:r>
                </w:p>
              </w:tc>
              <w:tc>
                <w:tcPr>
                  <w:tcW w:w="396" w:type="pct"/>
                  <w:tcBorders>
                    <w:tl2br w:val="nil"/>
                    <w:tr2bl w:val="nil"/>
                  </w:tcBorders>
                  <w:noWrap w:val="0"/>
                  <w:vAlign w:val="center"/>
                </w:tcPr>
                <w:p w14:paraId="3D7C5EB5">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65</w:t>
                  </w:r>
                </w:p>
              </w:tc>
              <w:tc>
                <w:tcPr>
                  <w:tcW w:w="350" w:type="pct"/>
                  <w:tcBorders>
                    <w:tl2br w:val="nil"/>
                    <w:tr2bl w:val="nil"/>
                  </w:tcBorders>
                  <w:shd w:val="clear" w:color="auto" w:fill="auto"/>
                  <w:noWrap w:val="0"/>
                  <w:vAlign w:val="center"/>
                </w:tcPr>
                <w:p w14:paraId="13E4698B">
                  <w:pPr>
                    <w:widowControl/>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昼</w:t>
                  </w:r>
                  <w:r>
                    <w:rPr>
                      <w:rFonts w:hint="default" w:ascii="Times New Roman" w:hAnsi="Times New Roman" w:eastAsia="宋体" w:cs="Times New Roman"/>
                      <w:color w:val="auto"/>
                      <w:sz w:val="21"/>
                      <w:szCs w:val="21"/>
                      <w:lang w:val="en-US" w:eastAsia="zh-CN"/>
                    </w:rPr>
                    <w:t>夜</w:t>
                  </w:r>
                </w:p>
              </w:tc>
            </w:tr>
          </w:tbl>
          <w:p w14:paraId="70A77F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声环境保护目标数据</w:t>
            </w:r>
          </w:p>
          <w:p w14:paraId="270961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根据调查，本项目声环境保护目标调查情况见下表：</w:t>
            </w:r>
          </w:p>
          <w:p w14:paraId="393782A8">
            <w:pPr>
              <w:jc w:val="center"/>
              <w:rPr>
                <w:rFonts w:hint="default" w:eastAsia="宋体"/>
                <w:lang w:val="en-US" w:eastAsia="zh-CN"/>
              </w:rPr>
            </w:pPr>
            <w:r>
              <w:rPr>
                <w:rFonts w:hint="default" w:ascii="Times New Roman" w:hAnsi="Times New Roman" w:eastAsia="黑体" w:cs="Times New Roman"/>
                <w:b w:val="0"/>
                <w:bCs/>
                <w:color w:val="auto"/>
                <w:sz w:val="21"/>
                <w:szCs w:val="16"/>
                <w:highlight w:val="none"/>
              </w:rPr>
              <w:t>表</w:t>
            </w:r>
            <w:r>
              <w:rPr>
                <w:rFonts w:hint="default" w:ascii="Times New Roman" w:hAnsi="Times New Roman" w:eastAsia="黑体" w:cs="Times New Roman"/>
                <w:b w:val="0"/>
                <w:bCs/>
                <w:color w:val="auto"/>
                <w:sz w:val="21"/>
                <w:szCs w:val="16"/>
                <w:highlight w:val="none"/>
                <w:lang w:val="en-US" w:eastAsia="zh-CN"/>
              </w:rPr>
              <w:t>4-1</w:t>
            </w:r>
            <w:r>
              <w:rPr>
                <w:rFonts w:hint="eastAsia" w:ascii="Times New Roman" w:hAnsi="Times New Roman" w:eastAsia="黑体" w:cs="Times New Roman"/>
                <w:b w:val="0"/>
                <w:bCs/>
                <w:color w:val="auto"/>
                <w:sz w:val="21"/>
                <w:szCs w:val="16"/>
                <w:highlight w:val="none"/>
                <w:lang w:val="en-US" w:eastAsia="zh-CN"/>
              </w:rPr>
              <w:t>0</w:t>
            </w:r>
            <w:r>
              <w:rPr>
                <w:rFonts w:hint="default" w:ascii="Times New Roman" w:hAnsi="Times New Roman" w:eastAsia="黑体" w:cs="Times New Roman"/>
                <w:b w:val="0"/>
                <w:bCs/>
                <w:color w:val="auto"/>
                <w:sz w:val="21"/>
                <w:szCs w:val="16"/>
                <w:highlight w:val="none"/>
              </w:rPr>
              <w:t xml:space="preserve">  声环境保护目标调查表</w:t>
            </w:r>
          </w:p>
          <w:tbl>
            <w:tblPr>
              <w:tblStyle w:val="25"/>
              <w:tblW w:w="13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705"/>
              <w:gridCol w:w="2235"/>
              <w:gridCol w:w="1245"/>
              <w:gridCol w:w="1290"/>
              <w:gridCol w:w="1365"/>
              <w:gridCol w:w="1425"/>
              <w:gridCol w:w="876"/>
              <w:gridCol w:w="1305"/>
              <w:gridCol w:w="1481"/>
            </w:tblGrid>
            <w:tr w14:paraId="14A2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restart"/>
                  <w:tcBorders>
                    <w:tl2br w:val="nil"/>
                    <w:tr2bl w:val="nil"/>
                  </w:tcBorders>
                  <w:noWrap/>
                  <w:vAlign w:val="center"/>
                </w:tcPr>
                <w:p w14:paraId="01DCCD79">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705" w:type="dxa"/>
                  <w:vMerge w:val="restart"/>
                  <w:tcBorders>
                    <w:tl2br w:val="nil"/>
                    <w:tr2bl w:val="nil"/>
                  </w:tcBorders>
                  <w:noWrap/>
                  <w:vAlign w:val="center"/>
                </w:tcPr>
                <w:p w14:paraId="4D01C25B">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235" w:type="dxa"/>
                  <w:vMerge w:val="restart"/>
                  <w:tcBorders>
                    <w:tl2br w:val="nil"/>
                    <w:tr2bl w:val="nil"/>
                  </w:tcBorders>
                  <w:noWrap/>
                  <w:vAlign w:val="center"/>
                </w:tcPr>
                <w:p w14:paraId="4C78CC7D">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声环境保护目标名称</w:t>
                  </w:r>
                </w:p>
              </w:tc>
              <w:tc>
                <w:tcPr>
                  <w:tcW w:w="3900" w:type="dxa"/>
                  <w:gridSpan w:val="3"/>
                  <w:tcBorders>
                    <w:tl2br w:val="nil"/>
                    <w:tr2bl w:val="nil"/>
                  </w:tcBorders>
                  <w:noWrap/>
                  <w:vAlign w:val="center"/>
                </w:tcPr>
                <w:p w14:paraId="628F0210">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空间相对位置/m</w:t>
                  </w:r>
                </w:p>
              </w:tc>
              <w:tc>
                <w:tcPr>
                  <w:tcW w:w="1425" w:type="dxa"/>
                  <w:vMerge w:val="restart"/>
                  <w:tcBorders>
                    <w:tl2br w:val="nil"/>
                    <w:tr2bl w:val="nil"/>
                  </w:tcBorders>
                  <w:noWrap/>
                  <w:vAlign w:val="center"/>
                </w:tcPr>
                <w:p w14:paraId="3C63F41C">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距厂界最近距离/m</w:t>
                  </w:r>
                </w:p>
              </w:tc>
              <w:tc>
                <w:tcPr>
                  <w:tcW w:w="876" w:type="dxa"/>
                  <w:vMerge w:val="restart"/>
                  <w:tcBorders>
                    <w:tl2br w:val="nil"/>
                    <w:tr2bl w:val="nil"/>
                  </w:tcBorders>
                  <w:noWrap w:val="0"/>
                  <w:vAlign w:val="center"/>
                </w:tcPr>
                <w:p w14:paraId="0B18F265">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1305" w:type="dxa"/>
                  <w:vMerge w:val="restart"/>
                  <w:tcBorders>
                    <w:tl2br w:val="nil"/>
                    <w:tr2bl w:val="nil"/>
                  </w:tcBorders>
                  <w:noWrap/>
                  <w:vAlign w:val="center"/>
                </w:tcPr>
                <w:p w14:paraId="2E450402">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执行标准/功能区类别</w:t>
                  </w:r>
                </w:p>
              </w:tc>
              <w:tc>
                <w:tcPr>
                  <w:tcW w:w="1481" w:type="dxa"/>
                  <w:vMerge w:val="restart"/>
                  <w:tcBorders>
                    <w:tl2br w:val="nil"/>
                    <w:tr2bl w:val="nil"/>
                  </w:tcBorders>
                  <w:noWrap/>
                  <w:vAlign w:val="center"/>
                </w:tcPr>
                <w:p w14:paraId="70C9EF1F">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声环境保护目标情况说明 </w:t>
                  </w:r>
                </w:p>
              </w:tc>
            </w:tr>
            <w:tr w14:paraId="6A0A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continue"/>
                  <w:tcBorders>
                    <w:tl2br w:val="nil"/>
                    <w:tr2bl w:val="nil"/>
                  </w:tcBorders>
                  <w:noWrap w:val="0"/>
                  <w:vAlign w:val="center"/>
                </w:tcPr>
                <w:p w14:paraId="43FB4B00">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p>
              </w:tc>
              <w:tc>
                <w:tcPr>
                  <w:tcW w:w="705" w:type="dxa"/>
                  <w:vMerge w:val="continue"/>
                  <w:tcBorders>
                    <w:tl2br w:val="nil"/>
                    <w:tr2bl w:val="nil"/>
                  </w:tcBorders>
                  <w:noWrap w:val="0"/>
                  <w:vAlign w:val="center"/>
                </w:tcPr>
                <w:p w14:paraId="33458781">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p>
              </w:tc>
              <w:tc>
                <w:tcPr>
                  <w:tcW w:w="2235" w:type="dxa"/>
                  <w:vMerge w:val="continue"/>
                  <w:tcBorders>
                    <w:tl2br w:val="nil"/>
                    <w:tr2bl w:val="nil"/>
                  </w:tcBorders>
                  <w:noWrap w:val="0"/>
                  <w:vAlign w:val="center"/>
                </w:tcPr>
                <w:p w14:paraId="18A9D9B3">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p>
              </w:tc>
              <w:tc>
                <w:tcPr>
                  <w:tcW w:w="1245" w:type="dxa"/>
                  <w:tcBorders>
                    <w:tl2br w:val="nil"/>
                    <w:tr2bl w:val="nil"/>
                  </w:tcBorders>
                  <w:noWrap w:val="0"/>
                  <w:vAlign w:val="center"/>
                </w:tcPr>
                <w:p w14:paraId="4163A195">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1290" w:type="dxa"/>
                  <w:tcBorders>
                    <w:tl2br w:val="nil"/>
                    <w:tr2bl w:val="nil"/>
                  </w:tcBorders>
                  <w:noWrap w:val="0"/>
                  <w:vAlign w:val="center"/>
                </w:tcPr>
                <w:p w14:paraId="0A06C0F1">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1365" w:type="dxa"/>
                  <w:tcBorders>
                    <w:tl2br w:val="nil"/>
                    <w:tr2bl w:val="nil"/>
                  </w:tcBorders>
                  <w:noWrap w:val="0"/>
                  <w:vAlign w:val="center"/>
                </w:tcPr>
                <w:p w14:paraId="66C5F72D">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Z</w:t>
                  </w:r>
                </w:p>
              </w:tc>
              <w:tc>
                <w:tcPr>
                  <w:tcW w:w="1425" w:type="dxa"/>
                  <w:vMerge w:val="continue"/>
                  <w:tcBorders>
                    <w:tl2br w:val="nil"/>
                    <w:tr2bl w:val="nil"/>
                  </w:tcBorders>
                  <w:noWrap/>
                  <w:vAlign w:val="center"/>
                </w:tcPr>
                <w:p w14:paraId="6BB43586">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p>
              </w:tc>
              <w:tc>
                <w:tcPr>
                  <w:tcW w:w="876" w:type="dxa"/>
                  <w:vMerge w:val="continue"/>
                  <w:tcBorders>
                    <w:tl2br w:val="nil"/>
                    <w:tr2bl w:val="nil"/>
                  </w:tcBorders>
                  <w:noWrap/>
                  <w:vAlign w:val="center"/>
                </w:tcPr>
                <w:p w14:paraId="516D4B82">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p>
              </w:tc>
              <w:tc>
                <w:tcPr>
                  <w:tcW w:w="1305" w:type="dxa"/>
                  <w:vMerge w:val="continue"/>
                  <w:tcBorders>
                    <w:tl2br w:val="nil"/>
                    <w:tr2bl w:val="nil"/>
                  </w:tcBorders>
                  <w:noWrap w:val="0"/>
                  <w:vAlign w:val="center"/>
                </w:tcPr>
                <w:p w14:paraId="6722EC86">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p>
              </w:tc>
              <w:tc>
                <w:tcPr>
                  <w:tcW w:w="1481" w:type="dxa"/>
                  <w:vMerge w:val="continue"/>
                  <w:tcBorders>
                    <w:tl2br w:val="nil"/>
                    <w:tr2bl w:val="nil"/>
                  </w:tcBorders>
                  <w:noWrap w:val="0"/>
                  <w:vAlign w:val="center"/>
                </w:tcPr>
                <w:p w14:paraId="0BA987DF">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p>
              </w:tc>
            </w:tr>
            <w:tr w14:paraId="168A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restart"/>
                  <w:tcBorders>
                    <w:tl2br w:val="nil"/>
                    <w:tr2bl w:val="nil"/>
                  </w:tcBorders>
                  <w:noWrap w:val="0"/>
                  <w:vAlign w:val="center"/>
                </w:tcPr>
                <w:p w14:paraId="6D4CBE67">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ascii="Times New Roman" w:hAnsi="Times New Roman" w:cs="Times New Roman"/>
                      <w:b w:val="0"/>
                      <w:bCs w:val="0"/>
                      <w:color w:val="auto"/>
                      <w:sz w:val="21"/>
                      <w:szCs w:val="21"/>
                      <w:highlight w:val="none"/>
                      <w:lang w:val="en-US" w:eastAsia="zh-CN"/>
                    </w:rPr>
                    <w:t>马渡关</w:t>
                  </w:r>
                  <w:r>
                    <w:rPr>
                      <w:rFonts w:hint="default" w:ascii="Times New Roman" w:hAnsi="Times New Roman" w:cs="Times New Roman"/>
                      <w:b w:val="0"/>
                      <w:bCs w:val="0"/>
                      <w:color w:val="auto"/>
                      <w:sz w:val="21"/>
                      <w:szCs w:val="21"/>
                      <w:highlight w:val="none"/>
                      <w:lang w:val="en-US" w:eastAsia="zh-CN"/>
                    </w:rPr>
                    <w:t>水厂</w:t>
                  </w:r>
                </w:p>
              </w:tc>
              <w:tc>
                <w:tcPr>
                  <w:tcW w:w="705" w:type="dxa"/>
                  <w:tcBorders>
                    <w:tl2br w:val="nil"/>
                    <w:tr2bl w:val="nil"/>
                  </w:tcBorders>
                  <w:noWrap w:val="0"/>
                  <w:vAlign w:val="center"/>
                </w:tcPr>
                <w:p w14:paraId="760E52AF">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w:t>
                  </w:r>
                </w:p>
              </w:tc>
              <w:tc>
                <w:tcPr>
                  <w:tcW w:w="2235" w:type="dxa"/>
                  <w:tcBorders>
                    <w:tl2br w:val="nil"/>
                    <w:tr2bl w:val="nil"/>
                  </w:tcBorders>
                  <w:shd w:val="clear" w:color="auto" w:fill="auto"/>
                  <w:noWrap w:val="0"/>
                  <w:vAlign w:val="center"/>
                </w:tcPr>
                <w:p w14:paraId="111539F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245" w:type="dxa"/>
                  <w:tcBorders>
                    <w:tl2br w:val="nil"/>
                    <w:tr2bl w:val="nil"/>
                  </w:tcBorders>
                  <w:shd w:val="clear" w:color="auto" w:fill="auto"/>
                  <w:noWrap w:val="0"/>
                  <w:vAlign w:val="center"/>
                </w:tcPr>
                <w:p w14:paraId="7E7BB8A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24.74</w:t>
                  </w:r>
                </w:p>
              </w:tc>
              <w:tc>
                <w:tcPr>
                  <w:tcW w:w="1290" w:type="dxa"/>
                  <w:tcBorders>
                    <w:tl2br w:val="nil"/>
                    <w:tr2bl w:val="nil"/>
                  </w:tcBorders>
                  <w:shd w:val="clear" w:color="auto" w:fill="auto"/>
                  <w:noWrap w:val="0"/>
                  <w:vAlign w:val="center"/>
                </w:tcPr>
                <w:p w14:paraId="0BF5C4B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28.89</w:t>
                  </w:r>
                </w:p>
              </w:tc>
              <w:tc>
                <w:tcPr>
                  <w:tcW w:w="1365" w:type="dxa"/>
                  <w:tcBorders>
                    <w:tl2br w:val="nil"/>
                    <w:tr2bl w:val="nil"/>
                  </w:tcBorders>
                  <w:noWrap w:val="0"/>
                  <w:vAlign w:val="center"/>
                </w:tcPr>
                <w:p w14:paraId="74B3FCFE">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1425" w:type="dxa"/>
                  <w:tcBorders>
                    <w:tl2br w:val="nil"/>
                    <w:tr2bl w:val="nil"/>
                  </w:tcBorders>
                  <w:shd w:val="clear" w:color="auto" w:fill="auto"/>
                  <w:noWrap/>
                  <w:vAlign w:val="center"/>
                </w:tcPr>
                <w:p w14:paraId="0ADAE7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zh-CN" w:bidi="ar"/>
                    </w:rPr>
                    <w:t>17</w:t>
                  </w:r>
                </w:p>
              </w:tc>
              <w:tc>
                <w:tcPr>
                  <w:tcW w:w="876" w:type="dxa"/>
                  <w:tcBorders>
                    <w:tl2br w:val="nil"/>
                    <w:tr2bl w:val="nil"/>
                  </w:tcBorders>
                  <w:shd w:val="clear" w:color="auto" w:fill="auto"/>
                  <w:noWrap/>
                  <w:vAlign w:val="center"/>
                </w:tcPr>
                <w:p w14:paraId="224B1F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北侧</w:t>
                  </w:r>
                </w:p>
              </w:tc>
              <w:tc>
                <w:tcPr>
                  <w:tcW w:w="1305" w:type="dxa"/>
                  <w:tcBorders>
                    <w:tl2br w:val="nil"/>
                    <w:tr2bl w:val="nil"/>
                  </w:tcBorders>
                  <w:noWrap w:val="0"/>
                  <w:vAlign w:val="center"/>
                </w:tcPr>
                <w:p w14:paraId="148DA2B0">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2类</w:t>
                  </w:r>
                </w:p>
              </w:tc>
              <w:tc>
                <w:tcPr>
                  <w:tcW w:w="1481" w:type="dxa"/>
                  <w:tcBorders>
                    <w:tl2br w:val="nil"/>
                    <w:tr2bl w:val="nil"/>
                  </w:tcBorders>
                  <w:noWrap w:val="0"/>
                  <w:vAlign w:val="center"/>
                </w:tcPr>
                <w:p w14:paraId="76D9BD11">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砖混结构</w:t>
                  </w:r>
                </w:p>
              </w:tc>
            </w:tr>
            <w:tr w14:paraId="1273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continue"/>
                  <w:tcBorders>
                    <w:tl2br w:val="nil"/>
                    <w:tr2bl w:val="nil"/>
                  </w:tcBorders>
                  <w:noWrap w:val="0"/>
                  <w:vAlign w:val="center"/>
                </w:tcPr>
                <w:p w14:paraId="7848CE12">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05" w:type="dxa"/>
                  <w:tcBorders>
                    <w:tl2br w:val="nil"/>
                    <w:tr2bl w:val="nil"/>
                  </w:tcBorders>
                  <w:noWrap w:val="0"/>
                  <w:vAlign w:val="center"/>
                </w:tcPr>
                <w:p w14:paraId="0650CF2A">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2235" w:type="dxa"/>
                  <w:tcBorders>
                    <w:tl2br w:val="nil"/>
                    <w:tr2bl w:val="nil"/>
                  </w:tcBorders>
                  <w:shd w:val="clear" w:color="auto" w:fill="auto"/>
                  <w:noWrap w:val="0"/>
                  <w:vAlign w:val="center"/>
                </w:tcPr>
                <w:p w14:paraId="2A8A05E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农户</w:t>
                  </w:r>
                </w:p>
              </w:tc>
              <w:tc>
                <w:tcPr>
                  <w:tcW w:w="1245" w:type="dxa"/>
                  <w:tcBorders>
                    <w:tl2br w:val="nil"/>
                    <w:tr2bl w:val="nil"/>
                  </w:tcBorders>
                  <w:shd w:val="clear" w:color="auto" w:fill="auto"/>
                  <w:noWrap w:val="0"/>
                  <w:vAlign w:val="center"/>
                </w:tcPr>
                <w:p w14:paraId="299970E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38.51</w:t>
                  </w:r>
                </w:p>
              </w:tc>
              <w:tc>
                <w:tcPr>
                  <w:tcW w:w="1290" w:type="dxa"/>
                  <w:tcBorders>
                    <w:tl2br w:val="nil"/>
                    <w:tr2bl w:val="nil"/>
                  </w:tcBorders>
                  <w:shd w:val="clear" w:color="auto" w:fill="auto"/>
                  <w:noWrap w:val="0"/>
                  <w:vAlign w:val="center"/>
                </w:tcPr>
                <w:p w14:paraId="25C5F70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-17.86</w:t>
                  </w:r>
                </w:p>
              </w:tc>
              <w:tc>
                <w:tcPr>
                  <w:tcW w:w="1365" w:type="dxa"/>
                  <w:tcBorders>
                    <w:tl2br w:val="nil"/>
                    <w:tr2bl w:val="nil"/>
                  </w:tcBorders>
                  <w:noWrap w:val="0"/>
                  <w:vAlign w:val="center"/>
                </w:tcPr>
                <w:p w14:paraId="35B83A80">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1425" w:type="dxa"/>
                  <w:tcBorders>
                    <w:tl2br w:val="nil"/>
                    <w:tr2bl w:val="nil"/>
                  </w:tcBorders>
                  <w:shd w:val="clear" w:color="auto" w:fill="auto"/>
                  <w:noWrap/>
                  <w:vAlign w:val="center"/>
                </w:tcPr>
                <w:p w14:paraId="539A9E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8</w:t>
                  </w:r>
                </w:p>
              </w:tc>
              <w:tc>
                <w:tcPr>
                  <w:tcW w:w="876" w:type="dxa"/>
                  <w:tcBorders>
                    <w:tl2br w:val="nil"/>
                    <w:tr2bl w:val="nil"/>
                  </w:tcBorders>
                  <w:shd w:val="clear" w:color="auto" w:fill="auto"/>
                  <w:noWrap/>
                  <w:vAlign w:val="center"/>
                </w:tcPr>
                <w:p w14:paraId="7D9608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东</w:t>
                  </w:r>
                  <w:r>
                    <w:rPr>
                      <w:rFonts w:hint="default" w:ascii="Times New Roman" w:hAnsi="Times New Roman" w:eastAsia="宋体" w:cs="Times New Roman"/>
                      <w:b w:val="0"/>
                      <w:bCs w:val="0"/>
                      <w:color w:val="auto"/>
                      <w:sz w:val="21"/>
                      <w:szCs w:val="21"/>
                      <w:highlight w:val="none"/>
                      <w:lang w:val="en-US" w:eastAsia="zh-CN"/>
                    </w:rPr>
                    <w:t>南侧</w:t>
                  </w:r>
                </w:p>
              </w:tc>
              <w:tc>
                <w:tcPr>
                  <w:tcW w:w="1305" w:type="dxa"/>
                  <w:tcBorders>
                    <w:tl2br w:val="nil"/>
                    <w:tr2bl w:val="nil"/>
                  </w:tcBorders>
                  <w:noWrap w:val="0"/>
                  <w:vAlign w:val="center"/>
                </w:tcPr>
                <w:p w14:paraId="4817DCF4">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2类</w:t>
                  </w:r>
                </w:p>
              </w:tc>
              <w:tc>
                <w:tcPr>
                  <w:tcW w:w="1481" w:type="dxa"/>
                  <w:tcBorders>
                    <w:tl2br w:val="nil"/>
                    <w:tr2bl w:val="nil"/>
                  </w:tcBorders>
                  <w:noWrap w:val="0"/>
                  <w:vAlign w:val="center"/>
                </w:tcPr>
                <w:p w14:paraId="29C46B1A">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砖混结构</w:t>
                  </w:r>
                </w:p>
              </w:tc>
            </w:tr>
            <w:tr w14:paraId="0BF2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Merge w:val="continue"/>
                  <w:tcBorders>
                    <w:tl2br w:val="nil"/>
                    <w:tr2bl w:val="nil"/>
                  </w:tcBorders>
                  <w:vAlign w:val="center"/>
                </w:tcPr>
                <w:p w14:paraId="53994DEC">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705" w:type="dxa"/>
                  <w:tcBorders>
                    <w:tl2br w:val="nil"/>
                    <w:tr2bl w:val="nil"/>
                  </w:tcBorders>
                  <w:vAlign w:val="center"/>
                </w:tcPr>
                <w:p w14:paraId="445244EF">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w:t>
                  </w:r>
                </w:p>
              </w:tc>
              <w:tc>
                <w:tcPr>
                  <w:tcW w:w="2235" w:type="dxa"/>
                  <w:tcBorders>
                    <w:tl2br w:val="nil"/>
                    <w:tr2bl w:val="nil"/>
                  </w:tcBorders>
                  <w:shd w:val="clear" w:color="auto" w:fill="auto"/>
                  <w:vAlign w:val="center"/>
                </w:tcPr>
                <w:p w14:paraId="7A99099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农户</w:t>
                  </w:r>
                </w:p>
              </w:tc>
              <w:tc>
                <w:tcPr>
                  <w:tcW w:w="1245" w:type="dxa"/>
                  <w:tcBorders>
                    <w:tl2br w:val="nil"/>
                    <w:tr2bl w:val="nil"/>
                  </w:tcBorders>
                  <w:shd w:val="clear" w:color="auto" w:fill="auto"/>
                  <w:vAlign w:val="center"/>
                </w:tcPr>
                <w:p w14:paraId="3E2C8E4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-76.73</w:t>
                  </w:r>
                </w:p>
              </w:tc>
              <w:tc>
                <w:tcPr>
                  <w:tcW w:w="1290" w:type="dxa"/>
                  <w:tcBorders>
                    <w:tl2br w:val="nil"/>
                    <w:tr2bl w:val="nil"/>
                  </w:tcBorders>
                  <w:shd w:val="clear" w:color="auto" w:fill="auto"/>
                  <w:vAlign w:val="center"/>
                </w:tcPr>
                <w:p w14:paraId="73C20CD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-22.93</w:t>
                  </w:r>
                </w:p>
              </w:tc>
              <w:tc>
                <w:tcPr>
                  <w:tcW w:w="1365" w:type="dxa"/>
                  <w:tcBorders>
                    <w:tl2br w:val="nil"/>
                    <w:tr2bl w:val="nil"/>
                  </w:tcBorders>
                  <w:vAlign w:val="center"/>
                </w:tcPr>
                <w:p w14:paraId="7C91E816">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1425" w:type="dxa"/>
                  <w:tcBorders>
                    <w:tl2br w:val="nil"/>
                    <w:tr2bl w:val="nil"/>
                  </w:tcBorders>
                  <w:shd w:val="clear" w:color="auto" w:fill="auto"/>
                  <w:vAlign w:val="center"/>
                </w:tcPr>
                <w:p w14:paraId="1C51DDF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kern w:val="0"/>
                      <w:sz w:val="21"/>
                      <w:szCs w:val="21"/>
                      <w:lang w:val="en-US" w:eastAsia="zh-CN" w:bidi="ar"/>
                    </w:rPr>
                    <w:t>44</w:t>
                  </w:r>
                </w:p>
              </w:tc>
              <w:tc>
                <w:tcPr>
                  <w:tcW w:w="876" w:type="dxa"/>
                  <w:tcBorders>
                    <w:tl2br w:val="nil"/>
                    <w:tr2bl w:val="nil"/>
                  </w:tcBorders>
                  <w:shd w:val="clear" w:color="auto" w:fill="auto"/>
                  <w:vAlign w:val="center"/>
                </w:tcPr>
                <w:p w14:paraId="64684C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西侧</w:t>
                  </w:r>
                </w:p>
              </w:tc>
              <w:tc>
                <w:tcPr>
                  <w:tcW w:w="1305" w:type="dxa"/>
                  <w:tcBorders>
                    <w:tl2br w:val="nil"/>
                    <w:tr2bl w:val="nil"/>
                  </w:tcBorders>
                  <w:vAlign w:val="center"/>
                </w:tcPr>
                <w:p w14:paraId="735D7AF7">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2类</w:t>
                  </w:r>
                </w:p>
              </w:tc>
              <w:tc>
                <w:tcPr>
                  <w:tcW w:w="1481" w:type="dxa"/>
                  <w:tcBorders>
                    <w:tl2br w:val="nil"/>
                    <w:tr2bl w:val="nil"/>
                  </w:tcBorders>
                  <w:vAlign w:val="center"/>
                </w:tcPr>
                <w:p w14:paraId="639826E8">
                  <w:pPr>
                    <w:pStyle w:val="51"/>
                    <w:keepNext w:val="0"/>
                    <w:keepLines w:val="0"/>
                    <w:pageBreakBefore w:val="0"/>
                    <w:kinsoku/>
                    <w:wordWrap/>
                    <w:overflowPunct/>
                    <w:topLinePunct w:val="0"/>
                    <w:autoSpaceDE/>
                    <w:autoSpaceDN/>
                    <w:bidi w:val="0"/>
                    <w:adjustRightInd/>
                    <w:snapToGrid/>
                    <w:spacing w:beforeAutospacing="0" w:afterAutospacing="0" w:line="240" w:lineRule="auto"/>
                    <w:ind w:left="0" w:left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砖混结构</w:t>
                  </w:r>
                </w:p>
              </w:tc>
            </w:tr>
          </w:tbl>
          <w:p w14:paraId="1E836219">
            <w:pPr>
              <w:pStyle w:val="53"/>
              <w:ind w:left="0" w:leftChars="0" w:firstLine="482" w:firstLineChars="200"/>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（3）环境数据</w:t>
            </w:r>
          </w:p>
          <w:p w14:paraId="7068E053">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根据调查，影响声波传播的各类数据见下表：</w:t>
            </w:r>
          </w:p>
          <w:p w14:paraId="7BF7505F">
            <w:pPr>
              <w:pStyle w:val="52"/>
              <w:keepNext w:val="0"/>
              <w:keepLines w:val="0"/>
              <w:pageBreakBefore w:val="0"/>
              <w:widowControl w:val="0"/>
              <w:tabs>
                <w:tab w:val="left" w:pos="7380"/>
              </w:tabs>
              <w:kinsoku/>
              <w:wordWrap/>
              <w:overflowPunct/>
              <w:topLinePunct w:val="0"/>
              <w:autoSpaceDE/>
              <w:autoSpaceDN/>
              <w:bidi w:val="0"/>
              <w:adjustRightInd/>
              <w:snapToGrid/>
              <w:spacing w:before="0" w:beforeLines="0" w:beforeAutospacing="0" w:after="0" w:afterAutospacing="0" w:line="360" w:lineRule="auto"/>
              <w:ind w:left="0"/>
              <w:textAlignment w:val="auto"/>
              <w:rPr>
                <w:rFonts w:hint="default" w:ascii="Times New Roman" w:hAnsi="Times New Roman" w:eastAsia="黑体" w:cs="Times New Roman"/>
                <w:b w:val="0"/>
                <w:bCs/>
                <w:color w:val="auto"/>
                <w:sz w:val="21"/>
                <w:szCs w:val="16"/>
                <w:highlight w:val="none"/>
              </w:rPr>
            </w:pPr>
            <w:r>
              <w:rPr>
                <w:rFonts w:hint="default" w:ascii="Times New Roman" w:hAnsi="Times New Roman" w:eastAsia="黑体" w:cs="Times New Roman"/>
                <w:b w:val="0"/>
                <w:bCs/>
                <w:color w:val="auto"/>
                <w:sz w:val="21"/>
                <w:szCs w:val="16"/>
                <w:highlight w:val="none"/>
              </w:rPr>
              <w:t xml:space="preserve">  </w:t>
            </w:r>
            <w:r>
              <w:rPr>
                <w:rFonts w:hint="default" w:ascii="Times New Roman" w:hAnsi="Times New Roman" w:eastAsia="黑体" w:cs="Times New Roman"/>
                <w:b w:val="0"/>
                <w:bCs/>
                <w:color w:val="auto"/>
                <w:sz w:val="21"/>
                <w:szCs w:val="16"/>
                <w:highlight w:val="none"/>
                <w:lang w:val="en-US" w:eastAsia="zh-CN"/>
              </w:rPr>
              <w:t>表</w:t>
            </w:r>
            <w:r>
              <w:rPr>
                <w:rFonts w:hint="eastAsia" w:ascii="Times New Roman" w:hAnsi="Times New Roman" w:eastAsia="黑体" w:cs="Times New Roman"/>
                <w:b w:val="0"/>
                <w:bCs/>
                <w:color w:val="auto"/>
                <w:sz w:val="21"/>
                <w:szCs w:val="16"/>
                <w:highlight w:val="none"/>
                <w:lang w:val="en-US" w:eastAsia="zh-CN"/>
              </w:rPr>
              <w:t>4-1</w:t>
            </w:r>
            <w:r>
              <w:rPr>
                <w:rFonts w:hint="eastAsia" w:ascii="Times New Roman" w:hAnsi="Times New Roman" w:cs="Times New Roman"/>
                <w:b w:val="0"/>
                <w:bCs/>
                <w:color w:val="auto"/>
                <w:sz w:val="21"/>
                <w:szCs w:val="16"/>
                <w:highlight w:val="none"/>
                <w:lang w:val="en-US" w:eastAsia="zh-CN"/>
              </w:rPr>
              <w:t>1</w:t>
            </w:r>
            <w:r>
              <w:rPr>
                <w:rFonts w:hint="default" w:ascii="Times New Roman" w:hAnsi="Times New Roman" w:eastAsia="黑体" w:cs="Times New Roman"/>
                <w:b w:val="0"/>
                <w:bCs/>
                <w:color w:val="auto"/>
                <w:sz w:val="21"/>
                <w:szCs w:val="16"/>
                <w:highlight w:val="none"/>
                <w:lang w:val="en-US" w:eastAsia="zh-CN"/>
              </w:rPr>
              <w:t xml:space="preserve">  </w:t>
            </w:r>
            <w:r>
              <w:rPr>
                <w:rFonts w:hint="default" w:ascii="Times New Roman" w:hAnsi="Times New Roman" w:eastAsia="黑体" w:cs="Times New Roman"/>
                <w:b w:val="0"/>
                <w:bCs/>
                <w:color w:val="auto"/>
                <w:sz w:val="21"/>
                <w:szCs w:val="16"/>
                <w:highlight w:val="none"/>
              </w:rPr>
              <w:t>影响声波传播的各类环境数据表</w:t>
            </w:r>
          </w:p>
          <w:tbl>
            <w:tblPr>
              <w:tblStyle w:val="26"/>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3622"/>
              <w:gridCol w:w="2385"/>
              <w:gridCol w:w="2385"/>
              <w:gridCol w:w="2381"/>
            </w:tblGrid>
            <w:tr w14:paraId="7450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343" w:type="pct"/>
                  <w:gridSpan w:val="2"/>
                  <w:tcBorders>
                    <w:tl2br w:val="nil"/>
                    <w:tr2bl w:val="nil"/>
                  </w:tcBorders>
                  <w:noWrap w:val="0"/>
                  <w:vAlign w:val="center"/>
                </w:tcPr>
                <w:p w14:paraId="2567637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参数</w:t>
                  </w:r>
                </w:p>
              </w:tc>
              <w:tc>
                <w:tcPr>
                  <w:tcW w:w="885" w:type="pct"/>
                  <w:tcBorders>
                    <w:tl2br w:val="nil"/>
                    <w:tr2bl w:val="nil"/>
                  </w:tcBorders>
                  <w:noWrap w:val="0"/>
                  <w:vAlign w:val="center"/>
                </w:tcPr>
                <w:p w14:paraId="30AEEFE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885" w:type="pct"/>
                  <w:tcBorders>
                    <w:tl2br w:val="nil"/>
                    <w:tr2bl w:val="nil"/>
                  </w:tcBorders>
                  <w:noWrap w:val="0"/>
                  <w:vAlign w:val="center"/>
                </w:tcPr>
                <w:p w14:paraId="0334F15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取值</w:t>
                  </w:r>
                </w:p>
              </w:tc>
              <w:tc>
                <w:tcPr>
                  <w:tcW w:w="884" w:type="pct"/>
                  <w:tcBorders>
                    <w:tl2br w:val="nil"/>
                    <w:tr2bl w:val="nil"/>
                  </w:tcBorders>
                  <w:noWrap w:val="0"/>
                  <w:vAlign w:val="top"/>
                </w:tcPr>
                <w:p w14:paraId="0D39A2C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358C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2"/>
                  <w:tcBorders>
                    <w:tl2br w:val="nil"/>
                    <w:tr2bl w:val="nil"/>
                  </w:tcBorders>
                  <w:noWrap w:val="0"/>
                  <w:vAlign w:val="center"/>
                </w:tcPr>
                <w:p w14:paraId="674069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年平均风速</w:t>
                  </w:r>
                </w:p>
              </w:tc>
              <w:tc>
                <w:tcPr>
                  <w:tcW w:w="885" w:type="pct"/>
                  <w:tcBorders>
                    <w:tl2br w:val="nil"/>
                    <w:tr2bl w:val="nil"/>
                  </w:tcBorders>
                  <w:noWrap w:val="0"/>
                  <w:vAlign w:val="center"/>
                </w:tcPr>
                <w:p w14:paraId="35D1CB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m/s</w:t>
                  </w:r>
                </w:p>
              </w:tc>
              <w:tc>
                <w:tcPr>
                  <w:tcW w:w="885" w:type="pct"/>
                  <w:tcBorders>
                    <w:tl2br w:val="nil"/>
                    <w:tr2bl w:val="nil"/>
                  </w:tcBorders>
                  <w:noWrap w:val="0"/>
                  <w:vAlign w:val="center"/>
                </w:tcPr>
                <w:p w14:paraId="1611541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884" w:type="pct"/>
                  <w:tcBorders>
                    <w:tl2br w:val="nil"/>
                    <w:tr2bl w:val="nil"/>
                  </w:tcBorders>
                  <w:noWrap w:val="0"/>
                  <w:vAlign w:val="top"/>
                </w:tcPr>
                <w:p w14:paraId="5B8D39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4964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2"/>
                  <w:tcBorders>
                    <w:tl2br w:val="nil"/>
                    <w:tr2bl w:val="nil"/>
                  </w:tcBorders>
                  <w:noWrap w:val="0"/>
                  <w:vAlign w:val="center"/>
                </w:tcPr>
                <w:p w14:paraId="11C96B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主导风向</w:t>
                  </w:r>
                </w:p>
              </w:tc>
              <w:tc>
                <w:tcPr>
                  <w:tcW w:w="885" w:type="pct"/>
                  <w:tcBorders>
                    <w:tl2br w:val="nil"/>
                    <w:tr2bl w:val="nil"/>
                  </w:tcBorders>
                  <w:noWrap w:val="0"/>
                  <w:vAlign w:val="center"/>
                </w:tcPr>
                <w:p w14:paraId="4173D0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5" w:type="pct"/>
                  <w:tcBorders>
                    <w:tl2br w:val="nil"/>
                    <w:tr2bl w:val="nil"/>
                  </w:tcBorders>
                  <w:noWrap w:val="0"/>
                  <w:vAlign w:val="center"/>
                </w:tcPr>
                <w:p w14:paraId="13B1C41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东北风</w:t>
                  </w:r>
                </w:p>
              </w:tc>
              <w:tc>
                <w:tcPr>
                  <w:tcW w:w="884" w:type="pct"/>
                  <w:tcBorders>
                    <w:tl2br w:val="nil"/>
                    <w:tr2bl w:val="nil"/>
                  </w:tcBorders>
                  <w:noWrap w:val="0"/>
                  <w:vAlign w:val="top"/>
                </w:tcPr>
                <w:p w14:paraId="255F89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BFE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2"/>
                  <w:tcBorders>
                    <w:tl2br w:val="nil"/>
                    <w:tr2bl w:val="nil"/>
                  </w:tcBorders>
                  <w:noWrap w:val="0"/>
                  <w:vAlign w:val="center"/>
                </w:tcPr>
                <w:p w14:paraId="183D99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年平均气温</w:t>
                  </w:r>
                </w:p>
              </w:tc>
              <w:tc>
                <w:tcPr>
                  <w:tcW w:w="885" w:type="pct"/>
                  <w:tcBorders>
                    <w:tl2br w:val="nil"/>
                    <w:tr2bl w:val="nil"/>
                  </w:tcBorders>
                  <w:noWrap w:val="0"/>
                  <w:vAlign w:val="center"/>
                </w:tcPr>
                <w:p w14:paraId="1902DE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5" w:type="pct"/>
                  <w:tcBorders>
                    <w:tl2br w:val="nil"/>
                    <w:tr2bl w:val="nil"/>
                  </w:tcBorders>
                  <w:noWrap w:val="0"/>
                  <w:vAlign w:val="center"/>
                </w:tcPr>
                <w:p w14:paraId="07F8535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16.8</w:t>
                  </w:r>
                </w:p>
              </w:tc>
              <w:tc>
                <w:tcPr>
                  <w:tcW w:w="884" w:type="pct"/>
                  <w:tcBorders>
                    <w:tl2br w:val="nil"/>
                    <w:tr2bl w:val="nil"/>
                  </w:tcBorders>
                  <w:noWrap w:val="0"/>
                  <w:vAlign w:val="top"/>
                </w:tcPr>
                <w:p w14:paraId="09CD6E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AFD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2"/>
                  <w:tcBorders>
                    <w:tl2br w:val="nil"/>
                    <w:tr2bl w:val="nil"/>
                  </w:tcBorders>
                  <w:noWrap w:val="0"/>
                  <w:vAlign w:val="center"/>
                </w:tcPr>
                <w:p w14:paraId="2BF54B8C">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年平均相对湿度</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2023年</w:t>
                  </w:r>
                  <w:r>
                    <w:rPr>
                      <w:rFonts w:hint="default" w:ascii="Times New Roman" w:hAnsi="Times New Roman" w:eastAsia="宋体" w:cs="Times New Roman"/>
                      <w:color w:val="auto"/>
                      <w:sz w:val="21"/>
                      <w:szCs w:val="21"/>
                      <w:lang w:eastAsia="zh-CN"/>
                    </w:rPr>
                    <w:t>）</w:t>
                  </w:r>
                </w:p>
              </w:tc>
              <w:tc>
                <w:tcPr>
                  <w:tcW w:w="885" w:type="pct"/>
                  <w:tcBorders>
                    <w:tl2br w:val="nil"/>
                    <w:tr2bl w:val="nil"/>
                  </w:tcBorders>
                  <w:noWrap w:val="0"/>
                  <w:vAlign w:val="center"/>
                </w:tcPr>
                <w:p w14:paraId="49FE76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5" w:type="pct"/>
                  <w:tcBorders>
                    <w:tl2br w:val="nil"/>
                    <w:tr2bl w:val="nil"/>
                  </w:tcBorders>
                  <w:noWrap w:val="0"/>
                  <w:vAlign w:val="center"/>
                </w:tcPr>
                <w:p w14:paraId="5943D81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884" w:type="pct"/>
                  <w:tcBorders>
                    <w:tl2br w:val="nil"/>
                    <w:tr2bl w:val="nil"/>
                  </w:tcBorders>
                  <w:noWrap w:val="0"/>
                  <w:vAlign w:val="top"/>
                </w:tcPr>
                <w:p w14:paraId="1B7085A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FA17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2"/>
                  <w:tcBorders>
                    <w:tl2br w:val="nil"/>
                    <w:tr2bl w:val="nil"/>
                  </w:tcBorders>
                  <w:noWrap w:val="0"/>
                  <w:vAlign w:val="center"/>
                </w:tcPr>
                <w:p w14:paraId="41F399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大气压强</w:t>
                  </w:r>
                </w:p>
              </w:tc>
              <w:tc>
                <w:tcPr>
                  <w:tcW w:w="885" w:type="pct"/>
                  <w:tcBorders>
                    <w:tl2br w:val="nil"/>
                    <w:tr2bl w:val="nil"/>
                  </w:tcBorders>
                  <w:noWrap w:val="0"/>
                  <w:vAlign w:val="center"/>
                </w:tcPr>
                <w:p w14:paraId="107D38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Pa</w:t>
                  </w:r>
                </w:p>
              </w:tc>
              <w:tc>
                <w:tcPr>
                  <w:tcW w:w="885" w:type="pct"/>
                  <w:tcBorders>
                    <w:tl2br w:val="nil"/>
                    <w:tr2bl w:val="nil"/>
                  </w:tcBorders>
                  <w:noWrap w:val="0"/>
                  <w:vAlign w:val="center"/>
                </w:tcPr>
                <w:p w14:paraId="7A9007A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101325</w:t>
                  </w:r>
                </w:p>
              </w:tc>
              <w:tc>
                <w:tcPr>
                  <w:tcW w:w="884" w:type="pct"/>
                  <w:tcBorders>
                    <w:tl2br w:val="nil"/>
                    <w:tr2bl w:val="nil"/>
                  </w:tcBorders>
                  <w:noWrap w:val="0"/>
                  <w:vAlign w:val="top"/>
                </w:tcPr>
                <w:p w14:paraId="3610AC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3849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vMerge w:val="restart"/>
                  <w:tcBorders>
                    <w:tl2br w:val="nil"/>
                    <w:tr2bl w:val="nil"/>
                  </w:tcBorders>
                  <w:noWrap w:val="0"/>
                  <w:vAlign w:val="center"/>
                </w:tcPr>
                <w:p w14:paraId="377394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是否考虑地形</w:t>
                  </w:r>
                </w:p>
              </w:tc>
              <w:tc>
                <w:tcPr>
                  <w:tcW w:w="1345" w:type="pct"/>
                  <w:tcBorders>
                    <w:tl2br w:val="nil"/>
                    <w:tr2bl w:val="nil"/>
                  </w:tcBorders>
                  <w:noWrap w:val="0"/>
                  <w:vAlign w:val="center"/>
                </w:tcPr>
                <w:p w14:paraId="398A39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考虑地形</w:t>
                  </w:r>
                </w:p>
              </w:tc>
              <w:tc>
                <w:tcPr>
                  <w:tcW w:w="885" w:type="pct"/>
                  <w:tcBorders>
                    <w:tl2br w:val="nil"/>
                    <w:tr2bl w:val="nil"/>
                  </w:tcBorders>
                  <w:noWrap w:val="0"/>
                  <w:vAlign w:val="center"/>
                </w:tcPr>
                <w:p w14:paraId="5369CB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5" w:type="pct"/>
                  <w:tcBorders>
                    <w:tl2br w:val="nil"/>
                    <w:tr2bl w:val="nil"/>
                  </w:tcBorders>
                  <w:noWrap w:val="0"/>
                  <w:vAlign w:val="center"/>
                </w:tcPr>
                <w:p w14:paraId="3FAEAB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884" w:type="pct"/>
                  <w:vMerge w:val="restart"/>
                  <w:tcBorders>
                    <w:tl2br w:val="nil"/>
                    <w:tr2bl w:val="nil"/>
                  </w:tcBorders>
                  <w:noWrap w:val="0"/>
                  <w:vAlign w:val="center"/>
                </w:tcPr>
                <w:p w14:paraId="445A0E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地势平坦，无地形高差</w:t>
                  </w:r>
                </w:p>
              </w:tc>
            </w:tr>
            <w:tr w14:paraId="6DC1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vMerge w:val="continue"/>
                  <w:tcBorders>
                    <w:tl2br w:val="nil"/>
                    <w:tr2bl w:val="nil"/>
                  </w:tcBorders>
                  <w:noWrap w:val="0"/>
                  <w:vAlign w:val="center"/>
                </w:tcPr>
                <w:p w14:paraId="56BCDB70">
                  <w:pPr>
                    <w:jc w:val="center"/>
                    <w:rPr>
                      <w:rFonts w:hint="default" w:ascii="Times New Roman" w:hAnsi="Times New Roman" w:eastAsia="宋体" w:cs="Times New Roman"/>
                      <w:color w:val="auto"/>
                      <w:sz w:val="21"/>
                      <w:szCs w:val="21"/>
                    </w:rPr>
                  </w:pPr>
                </w:p>
              </w:tc>
              <w:tc>
                <w:tcPr>
                  <w:tcW w:w="1345" w:type="pct"/>
                  <w:tcBorders>
                    <w:tl2br w:val="nil"/>
                    <w:tr2bl w:val="nil"/>
                  </w:tcBorders>
                  <w:noWrap w:val="0"/>
                  <w:vAlign w:val="center"/>
                </w:tcPr>
                <w:p w14:paraId="5B466D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地形数据分辨率</w:t>
                  </w:r>
                </w:p>
              </w:tc>
              <w:tc>
                <w:tcPr>
                  <w:tcW w:w="885" w:type="pct"/>
                  <w:tcBorders>
                    <w:tl2br w:val="nil"/>
                    <w:tr2bl w:val="nil"/>
                  </w:tcBorders>
                  <w:noWrap w:val="0"/>
                  <w:vAlign w:val="center"/>
                </w:tcPr>
                <w:p w14:paraId="70B6AE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p>
              </w:tc>
              <w:tc>
                <w:tcPr>
                  <w:tcW w:w="885" w:type="pct"/>
                  <w:tcBorders>
                    <w:tl2br w:val="nil"/>
                    <w:tr2bl w:val="nil"/>
                  </w:tcBorders>
                  <w:noWrap w:val="0"/>
                  <w:vAlign w:val="center"/>
                </w:tcPr>
                <w:p w14:paraId="1E912E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4" w:type="pct"/>
                  <w:vMerge w:val="continue"/>
                  <w:tcBorders>
                    <w:tl2br w:val="nil"/>
                    <w:tr2bl w:val="nil"/>
                  </w:tcBorders>
                  <w:noWrap w:val="0"/>
                  <w:vAlign w:val="top"/>
                </w:tcPr>
                <w:p w14:paraId="6119C286">
                  <w:pPr>
                    <w:jc w:val="center"/>
                    <w:rPr>
                      <w:rFonts w:hint="default" w:ascii="Times New Roman" w:hAnsi="Times New Roman" w:eastAsia="宋体" w:cs="Times New Roman"/>
                      <w:color w:val="auto"/>
                      <w:sz w:val="21"/>
                      <w:szCs w:val="21"/>
                    </w:rPr>
                  </w:pPr>
                </w:p>
              </w:tc>
            </w:tr>
            <w:tr w14:paraId="7F8C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2"/>
                  <w:tcBorders>
                    <w:tl2br w:val="nil"/>
                    <w:tr2bl w:val="nil"/>
                  </w:tcBorders>
                  <w:noWrap w:val="0"/>
                  <w:vAlign w:val="center"/>
                </w:tcPr>
                <w:p w14:paraId="0D090B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声源和预测点间树林、灌木等的分布情况</w:t>
                  </w:r>
                </w:p>
              </w:tc>
              <w:tc>
                <w:tcPr>
                  <w:tcW w:w="885" w:type="pct"/>
                  <w:tcBorders>
                    <w:tl2br w:val="nil"/>
                    <w:tr2bl w:val="nil"/>
                  </w:tcBorders>
                  <w:noWrap w:val="0"/>
                  <w:vAlign w:val="center"/>
                </w:tcPr>
                <w:p w14:paraId="3423FB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5" w:type="pct"/>
                  <w:tcBorders>
                    <w:tl2br w:val="nil"/>
                    <w:tr2bl w:val="nil"/>
                  </w:tcBorders>
                  <w:noWrap w:val="0"/>
                  <w:vAlign w:val="center"/>
                </w:tcPr>
                <w:p w14:paraId="79F461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c>
                <w:tcPr>
                  <w:tcW w:w="884" w:type="pct"/>
                  <w:tcBorders>
                    <w:tl2br w:val="nil"/>
                    <w:tr2bl w:val="nil"/>
                  </w:tcBorders>
                  <w:noWrap w:val="0"/>
                  <w:vAlign w:val="top"/>
                </w:tcPr>
                <w:p w14:paraId="7A6CAC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6A9B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43" w:type="pct"/>
                  <w:gridSpan w:val="2"/>
                  <w:tcBorders>
                    <w:tl2br w:val="nil"/>
                    <w:tr2bl w:val="nil"/>
                  </w:tcBorders>
                  <w:noWrap w:val="0"/>
                  <w:vAlign w:val="center"/>
                </w:tcPr>
                <w:p w14:paraId="7A4360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地面覆盖情况</w:t>
                  </w:r>
                </w:p>
              </w:tc>
              <w:tc>
                <w:tcPr>
                  <w:tcW w:w="885" w:type="pct"/>
                  <w:tcBorders>
                    <w:tl2br w:val="nil"/>
                    <w:tr2bl w:val="nil"/>
                  </w:tcBorders>
                  <w:noWrap w:val="0"/>
                  <w:vAlign w:val="center"/>
                </w:tcPr>
                <w:p w14:paraId="2E03B7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85" w:type="pct"/>
                  <w:tcBorders>
                    <w:tl2br w:val="nil"/>
                    <w:tr2bl w:val="nil"/>
                  </w:tcBorders>
                  <w:noWrap w:val="0"/>
                  <w:vAlign w:val="center"/>
                </w:tcPr>
                <w:p w14:paraId="143291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水泥地面</w:t>
                  </w:r>
                </w:p>
              </w:tc>
              <w:tc>
                <w:tcPr>
                  <w:tcW w:w="884" w:type="pct"/>
                  <w:tcBorders>
                    <w:tl2br w:val="nil"/>
                    <w:tr2bl w:val="nil"/>
                  </w:tcBorders>
                  <w:noWrap w:val="0"/>
                  <w:vAlign w:val="top"/>
                </w:tcPr>
                <w:p w14:paraId="015ECB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44320211">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p>
          <w:p w14:paraId="6634787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10E9509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5AEF1C9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7FA7A95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0EA2201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6CA258B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7E99201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21C6999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0D2E393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5B94E48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5AEAA0D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655D4F6A">
            <w:pPr>
              <w:pStyle w:val="24"/>
              <w:keepNext w:val="0"/>
              <w:keepLines w:val="0"/>
              <w:pageBreakBefore w:val="0"/>
              <w:kinsoku/>
              <w:wordWrap/>
              <w:topLinePunct w:val="0"/>
              <w:bidi w:val="0"/>
              <w:spacing w:after="0" w:line="360" w:lineRule="auto"/>
              <w:ind w:left="0" w:leftChars="0" w:firstLine="0" w:firstLineChars="0"/>
              <w:rPr>
                <w:rFonts w:hint="default" w:ascii="Times New Roman" w:hAnsi="Times New Roman" w:cs="Times New Roman"/>
                <w:color w:val="auto"/>
                <w:sz w:val="24"/>
                <w:szCs w:val="36"/>
                <w:highlight w:val="none"/>
                <w:vertAlign w:val="baseline"/>
                <w:lang w:eastAsia="zh-CN"/>
              </w:rPr>
            </w:pPr>
          </w:p>
        </w:tc>
      </w:tr>
    </w:tbl>
    <w:p w14:paraId="6F78F21C">
      <w:pPr>
        <w:pStyle w:val="24"/>
        <w:keepNext w:val="0"/>
        <w:keepLines w:val="0"/>
        <w:pageBreakBefore w:val="0"/>
        <w:kinsoku/>
        <w:wordWrap/>
        <w:topLinePunct w:val="0"/>
        <w:bidi w:val="0"/>
        <w:spacing w:after="0" w:line="360" w:lineRule="auto"/>
        <w:ind w:left="0" w:leftChars="0" w:firstLine="480" w:firstLineChars="200"/>
        <w:rPr>
          <w:rFonts w:hint="default" w:ascii="Times New Roman" w:hAnsi="Times New Roman" w:cs="Times New Roman"/>
          <w:color w:val="auto"/>
          <w:sz w:val="24"/>
          <w:szCs w:val="32"/>
          <w:highlight w:val="none"/>
          <w:lang w:eastAsia="zh-CN"/>
        </w:rPr>
        <w:sectPr>
          <w:pgSz w:w="16838" w:h="11906" w:orient="landscape"/>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26"/>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9608"/>
      </w:tblGrid>
      <w:tr w14:paraId="4360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 w:type="pct"/>
            <w:vAlign w:val="center"/>
          </w:tcPr>
          <w:p w14:paraId="1D238702">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运营</w:t>
            </w:r>
          </w:p>
          <w:p w14:paraId="012AA58E">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期环</w:t>
            </w:r>
          </w:p>
          <w:p w14:paraId="0A3F56DF">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境影</w:t>
            </w:r>
          </w:p>
          <w:p w14:paraId="28F19E5F">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响和</w:t>
            </w:r>
          </w:p>
          <w:p w14:paraId="62EF6900">
            <w:pPr>
              <w:keepNext w:val="0"/>
              <w:keepLines w:val="0"/>
              <w:pageBreakBefore w:val="0"/>
              <w:suppressLineNumbers w:val="0"/>
              <w:kinsoku/>
              <w:wordWrap/>
              <w:topLinePunct w:val="0"/>
              <w:bidi w:val="0"/>
              <w:spacing w:beforeAutospacing="0" w:afterAutospacing="0" w:line="360" w:lineRule="auto"/>
              <w:ind w:left="0" w:leftChars="0" w:right="0"/>
              <w:jc w:val="center"/>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保护</w:t>
            </w:r>
          </w:p>
          <w:p w14:paraId="0A7A7797">
            <w:pPr>
              <w:keepNext w:val="0"/>
              <w:keepLines w:val="0"/>
              <w:pageBreakBefore w:val="0"/>
              <w:suppressLineNumbers w:val="0"/>
              <w:kinsoku/>
              <w:wordWrap/>
              <w:topLinePunct w:val="0"/>
              <w:bidi w:val="0"/>
              <w:spacing w:beforeAutospacing="0" w:afterAutospacing="0" w:line="360" w:lineRule="auto"/>
              <w:ind w:left="0" w:leftChars="0" w:right="0" w:rightChars="0"/>
              <w:jc w:val="center"/>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color w:val="auto"/>
                <w:sz w:val="24"/>
                <w:szCs w:val="24"/>
                <w:highlight w:val="none"/>
                <w:lang w:eastAsia="zh-CN"/>
              </w:rPr>
              <w:t>措施</w:t>
            </w:r>
          </w:p>
        </w:tc>
        <w:tc>
          <w:tcPr>
            <w:tcW w:w="4762" w:type="pct"/>
          </w:tcPr>
          <w:p w14:paraId="501F277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4、预测方法</w:t>
            </w:r>
          </w:p>
          <w:p w14:paraId="0DCFFA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本次环评采用《环境影响评价技术导则 声环境》（HJ2.4-2021）中工业噪声预测计算模型，预测方法为：</w:t>
            </w:r>
          </w:p>
          <w:p w14:paraId="66B3B931">
            <w:pPr>
              <w:pageBreakBefore w:val="0"/>
              <w:topLinePunct w:val="0"/>
              <w:bidi w:val="0"/>
              <w:spacing w:beforeAutospacing="0" w:afterAutospacing="0" w:line="360" w:lineRule="auto"/>
              <w:ind w:lef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声源描述</w:t>
            </w:r>
          </w:p>
          <w:p w14:paraId="37AFBD16">
            <w:pPr>
              <w:pageBreakBefore w:val="0"/>
              <w:topLinePunct w:val="0"/>
              <w:bidi w:val="0"/>
              <w:spacing w:beforeAutospacing="0" w:afterAutospacing="0"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声环境影响预测，一般采用声源的倍频带声功率级、A声功率级或靠近声源某一位置的倍频带声压级、A声级来预测计算距声源不同距离的声级。工业声源有室外和室内两种声源，应分别计算。</w:t>
            </w:r>
          </w:p>
          <w:p w14:paraId="0DF6D9D4">
            <w:pPr>
              <w:pageBreakBefore w:val="0"/>
              <w:topLinePunct w:val="0"/>
              <w:bidi w:val="0"/>
              <w:spacing w:beforeAutospacing="0" w:afterAutospacing="0" w:line="360" w:lineRule="auto"/>
              <w:ind w:lef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室外声源在预测点产生的声级计算</w:t>
            </w:r>
          </w:p>
          <w:p w14:paraId="0C90BCB1">
            <w:pPr>
              <w:pageBreakBefore w:val="0"/>
              <w:topLinePunct w:val="0"/>
              <w:bidi w:val="0"/>
              <w:spacing w:beforeAutospacing="0" w:afterAutospacing="0"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按照无指向性点声源几何发散衰减进行计算：</w:t>
            </w:r>
          </w:p>
          <w:p w14:paraId="74D62A6F">
            <w:pPr>
              <w:pageBreakBefore w:val="0"/>
              <w:topLinePunct w:val="0"/>
              <w:bidi w:val="0"/>
              <w:spacing w:beforeAutospacing="0" w:afterAutospacing="0"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8" o:spt="75" type="#_x0000_t75" style="height:20.25pt;width:141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p>
          <w:p w14:paraId="6458FEC8">
            <w:pPr>
              <w:pageBreakBefore w:val="0"/>
              <w:topLinePunct w:val="0"/>
              <w:bidi w:val="0"/>
              <w:spacing w:beforeAutospacing="0" w:afterAutospacing="0"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式中，Lp（r）——预测点处声压级，dB；</w:t>
            </w:r>
          </w:p>
          <w:p w14:paraId="009CAD53">
            <w:pPr>
              <w:pageBreakBefore w:val="0"/>
              <w:topLinePunct w:val="0"/>
              <w:bidi w:val="0"/>
              <w:spacing w:beforeAutospacing="0" w:afterAutospacing="0" w:line="360" w:lineRule="auto"/>
              <w:ind w:lef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Lp（r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）——参考位置r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处的声压级，dB；</w:t>
            </w:r>
          </w:p>
          <w:p w14:paraId="08AFD498">
            <w:pPr>
              <w:pageBreakBefore w:val="0"/>
              <w:topLinePunct w:val="0"/>
              <w:bidi w:val="0"/>
              <w:spacing w:beforeAutospacing="0" w:afterAutospacing="0" w:line="360" w:lineRule="auto"/>
              <w:ind w:lef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r——预测点距声源的距离，m；</w:t>
            </w:r>
          </w:p>
          <w:p w14:paraId="7FDAF4DA">
            <w:pPr>
              <w:pageBreakBefore w:val="0"/>
              <w:topLinePunct w:val="0"/>
              <w:bidi w:val="0"/>
              <w:spacing w:beforeAutospacing="0" w:afterAutospacing="0" w:line="360" w:lineRule="auto"/>
              <w:ind w:left="0"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——参考位置距声源的距离，m。</w:t>
            </w:r>
          </w:p>
          <w:p w14:paraId="37D8788C">
            <w:pPr>
              <w:pageBreakBefore w:val="0"/>
              <w:topLinePunct w:val="0"/>
              <w:bidi w:val="0"/>
              <w:spacing w:beforeAutospacing="0" w:afterAutospacing="0" w:line="360" w:lineRule="auto"/>
              <w:ind w:lef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室内声源等效室外声源声功率级计算</w:t>
            </w:r>
          </w:p>
          <w:p w14:paraId="5AF57C96">
            <w:pPr>
              <w:pageBreakBefore w:val="0"/>
              <w:topLinePunct w:val="0"/>
              <w:bidi w:val="0"/>
              <w:spacing w:beforeAutospacing="0" w:afterAutospacing="0"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如</w:t>
            </w:r>
            <w:r>
              <w:rPr>
                <w:rFonts w:hint="default" w:ascii="Times New Roman" w:hAnsi="Times New Roman" w:eastAsia="宋体" w:cs="Times New Roman"/>
                <w:color w:val="auto"/>
                <w:sz w:val="24"/>
                <w:szCs w:val="24"/>
                <w:highlight w:val="none"/>
                <w:lang w:val="en-US" w:eastAsia="zh-CN"/>
              </w:rPr>
              <w:t>图</w:t>
            </w:r>
            <w:r>
              <w:rPr>
                <w:rFonts w:hint="default" w:ascii="Times New Roman" w:hAnsi="Times New Roman" w:eastAsia="宋体" w:cs="Times New Roman"/>
                <w:color w:val="auto"/>
                <w:sz w:val="24"/>
                <w:szCs w:val="24"/>
                <w:highlight w:val="none"/>
              </w:rPr>
              <w:t>所示，声源位于室内，室内声源可采用等效室外声源声功率级法进行计算。设靠近开口处（或窗户）室内、室外某倍频带的声压级分别为L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szCs w:val="24"/>
                <w:highlight w:val="none"/>
                <w:vertAlign w:val="subscript"/>
              </w:rPr>
              <w:t>p1</w:t>
            </w:r>
            <w:r>
              <w:rPr>
                <w:rFonts w:hint="default" w:ascii="Times New Roman" w:hAnsi="Times New Roman" w:eastAsia="宋体" w:cs="Times New Roman"/>
                <w:color w:val="auto"/>
                <w:sz w:val="24"/>
                <w:szCs w:val="24"/>
                <w:highlight w:val="none"/>
              </w:rPr>
              <w:t>和L</w:t>
            </w:r>
            <w:r>
              <w:rPr>
                <w:rFonts w:hint="default" w:ascii="Times New Roman" w:hAnsi="Times New Roman" w:eastAsia="宋体" w:cs="Times New Roman"/>
                <w:color w:val="auto"/>
                <w:sz w:val="24"/>
                <w:szCs w:val="24"/>
                <w:highlight w:val="none"/>
                <w:vertAlign w:val="subscript"/>
              </w:rPr>
              <w:t>p2</w:t>
            </w:r>
            <w:r>
              <w:rPr>
                <w:rFonts w:hint="default" w:ascii="Times New Roman" w:hAnsi="Times New Roman" w:eastAsia="宋体" w:cs="Times New Roman"/>
                <w:color w:val="auto"/>
                <w:sz w:val="24"/>
                <w:szCs w:val="24"/>
                <w:highlight w:val="none"/>
              </w:rPr>
              <w:t>，若声源所在室内声场为近似扩散声场，则室外倍频带声压级按下式计算：</w:t>
            </w:r>
          </w:p>
          <w:p w14:paraId="46995F01">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inline distT="0" distB="0" distL="114300" distR="114300">
                  <wp:extent cx="2753995" cy="1323975"/>
                  <wp:effectExtent l="0" t="0" r="8255" b="952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5"/>
                          <a:stretch>
                            <a:fillRect/>
                          </a:stretch>
                        </pic:blipFill>
                        <pic:spPr>
                          <a:xfrm>
                            <a:off x="0" y="0"/>
                            <a:ext cx="2753995" cy="1323975"/>
                          </a:xfrm>
                          <a:prstGeom prst="rect">
                            <a:avLst/>
                          </a:prstGeom>
                          <a:noFill/>
                          <a:ln>
                            <a:noFill/>
                          </a:ln>
                        </pic:spPr>
                      </pic:pic>
                    </a:graphicData>
                  </a:graphic>
                </wp:inline>
              </w:drawing>
            </w:r>
          </w:p>
          <w:p w14:paraId="78F4599F">
            <w:pPr>
              <w:pStyle w:val="5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default" w:ascii="Times New Roman" w:hAnsi="Times New Roman" w:eastAsia="黑体" w:cs="Times New Roman"/>
                <w:b w:val="0"/>
                <w:bCs w:val="0"/>
                <w:color w:val="auto"/>
                <w:sz w:val="21"/>
                <w:szCs w:val="21"/>
              </w:rPr>
            </w:pPr>
            <w:bookmarkStart w:id="2" w:name="_Ref110549742"/>
            <w:r>
              <w:rPr>
                <w:rFonts w:hint="default" w:ascii="Times New Roman" w:hAnsi="Times New Roman" w:eastAsia="黑体" w:cs="Times New Roman"/>
                <w:b w:val="0"/>
                <w:bCs w:val="0"/>
                <w:color w:val="auto"/>
                <w:sz w:val="21"/>
                <w:szCs w:val="21"/>
                <w:lang w:val="en-US" w:eastAsia="zh-CN"/>
              </w:rPr>
              <w:t xml:space="preserve">图4-3  </w:t>
            </w:r>
            <w:r>
              <w:rPr>
                <w:rFonts w:hint="default" w:ascii="Times New Roman" w:hAnsi="Times New Roman" w:eastAsia="黑体" w:cs="Times New Roman"/>
                <w:b w:val="0"/>
                <w:bCs w:val="0"/>
                <w:color w:val="auto"/>
                <w:sz w:val="21"/>
                <w:szCs w:val="21"/>
              </w:rPr>
              <w:t>室内声源等效为室外声源图例</w:t>
            </w:r>
            <w:bookmarkEnd w:id="2"/>
          </w:p>
          <w:p w14:paraId="342DAE1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某一室内声源靠近围护结构处产生的倍频带声压级或A声级按下式计算：</w:t>
            </w:r>
          </w:p>
          <w:p w14:paraId="77152760">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28"/>
                <w:sz w:val="24"/>
                <w:szCs w:val="24"/>
              </w:rPr>
              <w:object>
                <v:shape id="_x0000_i1029" o:spt="75" type="#_x0000_t75" style="height:33.75pt;width:135.7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p>
          <w:p w14:paraId="5CB54049">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w</w:t>
            </w:r>
            <w:r>
              <w:rPr>
                <w:rFonts w:hint="default" w:ascii="Times New Roman" w:hAnsi="Times New Roman" w:eastAsia="宋体" w:cs="Times New Roman"/>
                <w:color w:val="auto"/>
                <w:sz w:val="24"/>
                <w:szCs w:val="24"/>
              </w:rPr>
              <w:t>——点声源声功率级（A计权或倍频带），dB；</w:t>
            </w:r>
          </w:p>
          <w:p w14:paraId="4290297E">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Q</w:t>
            </w:r>
            <w:r>
              <w:rPr>
                <w:rFonts w:hint="default" w:ascii="Times New Roman" w:hAnsi="Times New Roman" w:eastAsia="宋体" w:cs="Times New Roman"/>
                <w:color w:val="auto"/>
                <w:sz w:val="24"/>
                <w:szCs w:val="24"/>
              </w:rPr>
              <w:t>——指向性因数；通常对无指向性声源，当声源放在房间中心时，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=1；当放在一面墙的中心时，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=2；当放在两面墙夹角处时，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=4；当放在三面墙夹角处时，</w:t>
            </w:r>
            <w:r>
              <w:rPr>
                <w:rFonts w:hint="default" w:ascii="Times New Roman" w:hAnsi="Times New Roman" w:eastAsia="宋体" w:cs="Times New Roman"/>
                <w:i/>
                <w:iCs/>
                <w:color w:val="auto"/>
                <w:sz w:val="24"/>
                <w:szCs w:val="24"/>
              </w:rPr>
              <w:t>Q</w:t>
            </w:r>
            <w:r>
              <w:rPr>
                <w:rFonts w:hint="default" w:ascii="Times New Roman" w:hAnsi="Times New Roman" w:eastAsia="宋体" w:cs="Times New Roman"/>
                <w:color w:val="auto"/>
                <w:sz w:val="24"/>
                <w:szCs w:val="24"/>
              </w:rPr>
              <w:t>=8；</w:t>
            </w:r>
          </w:p>
          <w:p w14:paraId="04B5C4E8">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R</w:t>
            </w:r>
            <w:r>
              <w:rPr>
                <w:rFonts w:hint="default" w:ascii="Times New Roman" w:hAnsi="Times New Roman" w:eastAsia="宋体" w:cs="Times New Roman"/>
                <w:color w:val="auto"/>
                <w:sz w:val="24"/>
                <w:szCs w:val="24"/>
              </w:rPr>
              <w:t>——房间常数；</w:t>
            </w:r>
            <w:r>
              <w:rPr>
                <w:rFonts w:hint="default" w:ascii="Times New Roman" w:hAnsi="Times New Roman" w:eastAsia="宋体" w:cs="Times New Roman"/>
                <w:i/>
                <w:iCs/>
                <w:color w:val="auto"/>
                <w:sz w:val="24"/>
                <w:szCs w:val="24"/>
              </w:rPr>
              <w:t>R</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Sα</w:t>
            </w:r>
            <w:r>
              <w:rPr>
                <w:rFonts w:hint="default" w:ascii="Times New Roman" w:hAnsi="Times New Roman" w:eastAsia="宋体" w:cs="Times New Roman"/>
                <w:color w:val="auto"/>
                <w:sz w:val="24"/>
                <w:szCs w:val="24"/>
              </w:rPr>
              <w:t>/（1-</w:t>
            </w:r>
            <w:r>
              <w:rPr>
                <w:rFonts w:hint="default" w:ascii="Times New Roman" w:hAnsi="Times New Roman" w:eastAsia="宋体" w:cs="Times New Roman"/>
                <w:i/>
                <w:iCs/>
                <w:color w:val="auto"/>
                <w:sz w:val="24"/>
                <w:szCs w:val="24"/>
              </w:rPr>
              <w:t>α</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S</w:t>
            </w:r>
            <w:r>
              <w:rPr>
                <w:rFonts w:hint="default" w:ascii="Times New Roman" w:hAnsi="Times New Roman" w:eastAsia="宋体" w:cs="Times New Roman"/>
                <w:color w:val="auto"/>
                <w:sz w:val="24"/>
                <w:szCs w:val="24"/>
              </w:rPr>
              <w:t>为房间内表面面积，m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i/>
                <w:iCs/>
                <w:color w:val="auto"/>
                <w:sz w:val="24"/>
                <w:szCs w:val="24"/>
              </w:rPr>
              <w:t>α</w:t>
            </w:r>
            <w:r>
              <w:rPr>
                <w:rFonts w:hint="default" w:ascii="Times New Roman" w:hAnsi="Times New Roman" w:eastAsia="宋体" w:cs="Times New Roman"/>
                <w:color w:val="auto"/>
                <w:sz w:val="24"/>
                <w:szCs w:val="24"/>
              </w:rPr>
              <w:t>为平均吸声系数；</w:t>
            </w:r>
          </w:p>
          <w:p w14:paraId="4B898C92">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r</w:t>
            </w:r>
            <w:r>
              <w:rPr>
                <w:rFonts w:hint="default" w:ascii="Times New Roman" w:hAnsi="Times New Roman" w:eastAsia="宋体" w:cs="Times New Roman"/>
                <w:color w:val="auto"/>
                <w:sz w:val="24"/>
                <w:szCs w:val="24"/>
              </w:rPr>
              <w:t>——声源到靠近围护结构某点处的距离，m。</w:t>
            </w:r>
          </w:p>
          <w:p w14:paraId="408B3092">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然后按下式计算出所有室内声源在围护结构处产生的</w:t>
            </w:r>
            <w:r>
              <w:rPr>
                <w:rFonts w:hint="default" w:ascii="Times New Roman" w:hAnsi="Times New Roman" w:eastAsia="宋体" w:cs="Times New Roman"/>
                <w:i/>
                <w:iCs/>
                <w:color w:val="auto"/>
                <w:sz w:val="24"/>
                <w:szCs w:val="24"/>
              </w:rPr>
              <w:t xml:space="preserve">i </w:t>
            </w:r>
            <w:r>
              <w:rPr>
                <w:rFonts w:hint="default" w:ascii="Times New Roman" w:hAnsi="Times New Roman" w:eastAsia="宋体" w:cs="Times New Roman"/>
                <w:color w:val="auto"/>
                <w:sz w:val="24"/>
                <w:szCs w:val="24"/>
              </w:rPr>
              <w:t>倍频带叠加声压级：</w:t>
            </w:r>
          </w:p>
          <w:p w14:paraId="78A43878">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32"/>
                <w:sz w:val="24"/>
                <w:szCs w:val="24"/>
              </w:rPr>
              <w:object>
                <v:shape id="_x0000_i1030" o:spt="75" type="#_x0000_t75" style="height:38.25pt;width:13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p>
          <w:p w14:paraId="1CF7F5F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p1i</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——靠近围护结构处室内N个声源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倍频带的叠加声压级，dB；</w:t>
            </w:r>
          </w:p>
          <w:p w14:paraId="7A17E4FF">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i/>
                <w:iCs/>
                <w:color w:val="auto"/>
                <w:sz w:val="24"/>
                <w:szCs w:val="24"/>
                <w:vertAlign w:val="subscript"/>
              </w:rPr>
              <w:t>p1ij</w:t>
            </w:r>
            <w:r>
              <w:rPr>
                <w:rFonts w:hint="default" w:ascii="Times New Roman" w:hAnsi="Times New Roman" w:eastAsia="宋体" w:cs="Times New Roman"/>
                <w:color w:val="auto"/>
                <w:sz w:val="24"/>
                <w:szCs w:val="24"/>
              </w:rPr>
              <w:t>——室内</w:t>
            </w:r>
            <w:r>
              <w:rPr>
                <w:rFonts w:hint="default" w:ascii="Times New Roman" w:hAnsi="Times New Roman" w:eastAsia="宋体" w:cs="Times New Roman"/>
                <w:i/>
                <w:iCs/>
                <w:color w:val="auto"/>
                <w:sz w:val="24"/>
                <w:szCs w:val="24"/>
              </w:rPr>
              <w:t>j</w:t>
            </w:r>
            <w:r>
              <w:rPr>
                <w:rFonts w:hint="default" w:ascii="Times New Roman" w:hAnsi="Times New Roman" w:eastAsia="宋体" w:cs="Times New Roman"/>
                <w:color w:val="auto"/>
                <w:sz w:val="24"/>
                <w:szCs w:val="24"/>
              </w:rPr>
              <w:t>声源</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倍频带的声压级，dB；</w:t>
            </w:r>
          </w:p>
          <w:p w14:paraId="31B38724">
            <w:pPr>
              <w:spacing w:line="360" w:lineRule="auto"/>
              <w:ind w:firstLine="1200" w:firstLineChars="5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i/>
                <w:iCs/>
                <w:color w:val="auto"/>
                <w:sz w:val="24"/>
                <w:szCs w:val="24"/>
              </w:rPr>
              <w:t>N</w:t>
            </w:r>
            <w:r>
              <w:rPr>
                <w:rFonts w:hint="default" w:ascii="Times New Roman" w:hAnsi="Times New Roman" w:eastAsia="宋体" w:cs="Times New Roman"/>
                <w:color w:val="auto"/>
                <w:sz w:val="24"/>
                <w:szCs w:val="24"/>
              </w:rPr>
              <w:t>——室内声源总数</w:t>
            </w:r>
            <w:r>
              <w:rPr>
                <w:rFonts w:hint="default" w:ascii="Times New Roman" w:hAnsi="Times New Roman" w:eastAsia="宋体" w:cs="Times New Roman"/>
                <w:color w:val="auto"/>
                <w:sz w:val="24"/>
                <w:szCs w:val="24"/>
                <w:lang w:eastAsia="zh-CN"/>
              </w:rPr>
              <w:t>。</w:t>
            </w:r>
          </w:p>
          <w:p w14:paraId="2B3BD177">
            <w:pPr>
              <w:pageBreakBefore w:val="0"/>
              <w:topLinePunct w:val="0"/>
              <w:bidi w:val="0"/>
              <w:spacing w:beforeAutospacing="0" w:afterAutospacing="0"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color w:val="auto"/>
                <w:sz w:val="24"/>
                <w:szCs w:val="24"/>
                <w:highlight w:val="none"/>
                <w:lang w:val="en-US" w:eastAsia="zh-CN"/>
              </w:rPr>
              <w:t>计算出室外靠近围护结构处的声压级：</w:t>
            </w:r>
          </w:p>
          <w:p w14:paraId="663CAAFD">
            <w:pPr>
              <w:keepNext w:val="0"/>
              <w:keepLines w:val="0"/>
              <w:pageBreakBefore w:val="0"/>
              <w:suppressLineNumbers w:val="0"/>
              <w:kinsoku/>
              <w:wordWrap/>
              <w:overflowPunct/>
              <w:topLinePunct w:val="0"/>
              <w:autoSpaceDE/>
              <w:autoSpaceDN/>
              <w:bidi w:val="0"/>
              <w:spacing w:before="0" w:beforeAutospacing="0" w:after="0" w:afterAutospacing="0" w:line="360" w:lineRule="auto"/>
              <w:ind w:right="0"/>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L</w:t>
            </w:r>
            <w:r>
              <w:rPr>
                <w:rFonts w:hint="default" w:ascii="Times New Roman" w:hAnsi="Times New Roman" w:eastAsia="宋体" w:cs="Times New Roman"/>
                <w:b w:val="0"/>
                <w:bCs/>
                <w:color w:val="auto"/>
                <w:sz w:val="24"/>
                <w:szCs w:val="24"/>
                <w:highlight w:val="none"/>
                <w:vertAlign w:val="subscript"/>
                <w:lang w:val="en-US" w:eastAsia="zh-CN"/>
              </w:rPr>
              <w:t>p2i</w:t>
            </w:r>
            <w:r>
              <w:rPr>
                <w:rFonts w:hint="default" w:ascii="Times New Roman" w:hAnsi="Times New Roman" w:eastAsia="宋体" w:cs="Times New Roman"/>
                <w:b w:val="0"/>
                <w:bCs/>
                <w:color w:val="auto"/>
                <w:sz w:val="24"/>
                <w:szCs w:val="24"/>
                <w:highlight w:val="none"/>
                <w:lang w:val="en-US" w:eastAsia="zh-CN"/>
              </w:rPr>
              <w:t>（T）=L</w:t>
            </w:r>
            <w:r>
              <w:rPr>
                <w:rFonts w:hint="default" w:ascii="Times New Roman" w:hAnsi="Times New Roman" w:eastAsia="宋体" w:cs="Times New Roman"/>
                <w:b w:val="0"/>
                <w:bCs/>
                <w:color w:val="auto"/>
                <w:sz w:val="24"/>
                <w:szCs w:val="24"/>
                <w:highlight w:val="none"/>
                <w:vertAlign w:val="subscript"/>
                <w:lang w:val="en-US" w:eastAsia="zh-CN"/>
              </w:rPr>
              <w:t>pli</w:t>
            </w:r>
            <w:r>
              <w:rPr>
                <w:rFonts w:hint="default" w:ascii="Times New Roman" w:hAnsi="Times New Roman" w:eastAsia="宋体" w:cs="Times New Roman"/>
                <w:b w:val="0"/>
                <w:bCs/>
                <w:color w:val="auto"/>
                <w:sz w:val="24"/>
                <w:szCs w:val="24"/>
                <w:highlight w:val="none"/>
                <w:lang w:val="en-US" w:eastAsia="zh-CN"/>
              </w:rPr>
              <w:t>（T）-（TL</w:t>
            </w:r>
            <w:r>
              <w:rPr>
                <w:rFonts w:hint="default" w:ascii="Times New Roman" w:hAnsi="Times New Roman" w:eastAsia="宋体" w:cs="Times New Roman"/>
                <w:b w:val="0"/>
                <w:bCs/>
                <w:color w:val="auto"/>
                <w:sz w:val="24"/>
                <w:szCs w:val="24"/>
                <w:highlight w:val="none"/>
                <w:vertAlign w:val="subscript"/>
                <w:lang w:val="en-US" w:eastAsia="zh-CN"/>
              </w:rPr>
              <w:t>i</w:t>
            </w:r>
            <w:r>
              <w:rPr>
                <w:rFonts w:hint="default" w:ascii="Times New Roman" w:hAnsi="Times New Roman" w:eastAsia="宋体" w:cs="Times New Roman"/>
                <w:b w:val="0"/>
                <w:bCs/>
                <w:color w:val="auto"/>
                <w:sz w:val="24"/>
                <w:szCs w:val="24"/>
                <w:highlight w:val="none"/>
                <w:lang w:val="en-US" w:eastAsia="zh-CN"/>
              </w:rPr>
              <w:t>+6）</w:t>
            </w:r>
          </w:p>
          <w:p w14:paraId="1CC99AC7">
            <w:pPr>
              <w:keepNext w:val="0"/>
              <w:keepLines w:val="0"/>
              <w:pageBreakBefore w:val="0"/>
              <w:suppressLineNumbers w:val="0"/>
              <w:kinsoku/>
              <w:wordWrap/>
              <w:overflowPunct/>
              <w:topLinePunct w:val="0"/>
              <w:autoSpaceDE/>
              <w:autoSpaceDN/>
              <w:bidi w:val="0"/>
              <w:spacing w:before="0" w:beforeAutospacing="0" w:after="0" w:afterAutospacing="0" w:line="360" w:lineRule="auto"/>
              <w:ind w:right="0"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式中：L</w:t>
            </w:r>
            <w:r>
              <w:rPr>
                <w:rFonts w:hint="default" w:ascii="Times New Roman" w:hAnsi="Times New Roman" w:eastAsia="宋体" w:cs="Times New Roman"/>
                <w:b w:val="0"/>
                <w:bCs/>
                <w:color w:val="auto"/>
                <w:sz w:val="24"/>
                <w:szCs w:val="24"/>
                <w:highlight w:val="none"/>
                <w:vertAlign w:val="subscript"/>
                <w:lang w:val="en-US" w:eastAsia="zh-CN"/>
              </w:rPr>
              <w:t>p2i</w:t>
            </w:r>
            <w:r>
              <w:rPr>
                <w:rFonts w:hint="default" w:ascii="Times New Roman" w:hAnsi="Times New Roman" w:eastAsia="宋体" w:cs="Times New Roman"/>
                <w:b w:val="0"/>
                <w:bCs/>
                <w:color w:val="auto"/>
                <w:sz w:val="24"/>
                <w:szCs w:val="24"/>
                <w:highlight w:val="none"/>
                <w:lang w:val="en-US" w:eastAsia="zh-CN"/>
              </w:rPr>
              <w:t>（T）——靠近围护结构处室外N个声源i倍频带的叠加声压级，dB；</w:t>
            </w:r>
          </w:p>
          <w:p w14:paraId="4BC9D888">
            <w:pPr>
              <w:keepNext w:val="0"/>
              <w:keepLines w:val="0"/>
              <w:pageBreakBefore w:val="0"/>
              <w:suppressLineNumbers w:val="0"/>
              <w:kinsoku/>
              <w:wordWrap/>
              <w:overflowPunct/>
              <w:topLinePunct w:val="0"/>
              <w:autoSpaceDE/>
              <w:autoSpaceDN/>
              <w:bidi w:val="0"/>
              <w:spacing w:before="0" w:beforeAutospacing="0" w:after="0" w:afterAutospacing="0" w:line="360" w:lineRule="auto"/>
              <w:ind w:right="0" w:firstLine="1200" w:firstLineChars="5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L</w:t>
            </w:r>
            <w:r>
              <w:rPr>
                <w:rFonts w:hint="default" w:ascii="Times New Roman" w:hAnsi="Times New Roman" w:eastAsia="宋体" w:cs="Times New Roman"/>
                <w:b w:val="0"/>
                <w:bCs/>
                <w:color w:val="auto"/>
                <w:sz w:val="24"/>
                <w:szCs w:val="24"/>
                <w:highlight w:val="none"/>
                <w:vertAlign w:val="subscript"/>
                <w:lang w:val="en-US" w:eastAsia="zh-CN"/>
              </w:rPr>
              <w:t>pli</w:t>
            </w:r>
            <w:r>
              <w:rPr>
                <w:rFonts w:hint="default" w:ascii="Times New Roman" w:hAnsi="Times New Roman" w:eastAsia="宋体" w:cs="Times New Roman"/>
                <w:b w:val="0"/>
                <w:bCs/>
                <w:color w:val="auto"/>
                <w:sz w:val="24"/>
                <w:szCs w:val="24"/>
                <w:highlight w:val="none"/>
                <w:lang w:val="en-US" w:eastAsia="zh-CN"/>
              </w:rPr>
              <w:t>（T）——靠近围护结构处室内N个声源i倍频带的叠加声压级，dB；</w:t>
            </w:r>
          </w:p>
          <w:p w14:paraId="4DF2F7B1">
            <w:pPr>
              <w:keepNext w:val="0"/>
              <w:keepLines w:val="0"/>
              <w:pageBreakBefore w:val="0"/>
              <w:suppressLineNumbers w:val="0"/>
              <w:kinsoku/>
              <w:wordWrap/>
              <w:overflowPunct/>
              <w:topLinePunct w:val="0"/>
              <w:autoSpaceDE/>
              <w:autoSpaceDN/>
              <w:bidi w:val="0"/>
              <w:spacing w:before="0" w:beforeAutospacing="0" w:after="0" w:afterAutospacing="0" w:line="360" w:lineRule="auto"/>
              <w:ind w:right="0" w:firstLine="1200" w:firstLineChars="5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TL</w:t>
            </w:r>
            <w:r>
              <w:rPr>
                <w:rFonts w:hint="default" w:ascii="Times New Roman" w:hAnsi="Times New Roman" w:eastAsia="宋体" w:cs="Times New Roman"/>
                <w:b w:val="0"/>
                <w:bCs/>
                <w:color w:val="auto"/>
                <w:sz w:val="24"/>
                <w:szCs w:val="24"/>
                <w:highlight w:val="none"/>
                <w:vertAlign w:val="subscript"/>
                <w:lang w:val="en-US" w:eastAsia="zh-CN"/>
              </w:rPr>
              <w:t>i</w:t>
            </w:r>
            <w:r>
              <w:rPr>
                <w:rFonts w:hint="default" w:ascii="Times New Roman" w:hAnsi="Times New Roman" w:eastAsia="宋体" w:cs="Times New Roman"/>
                <w:b w:val="0"/>
                <w:bCs/>
                <w:color w:val="auto"/>
                <w:sz w:val="24"/>
                <w:szCs w:val="24"/>
                <w:highlight w:val="none"/>
                <w:lang w:val="en-US" w:eastAsia="zh-CN"/>
              </w:rPr>
              <w:t>——围护结构i倍频带的隔声量，dB。</w:t>
            </w:r>
          </w:p>
          <w:p w14:paraId="0FE534F3">
            <w:pPr>
              <w:pStyle w:val="53"/>
              <w:ind w:firstLine="482"/>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靠近声源处的预测点噪声预测模型</w:t>
            </w:r>
          </w:p>
          <w:p w14:paraId="33EE17AD">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如预测点在靠近声源处，但不能满足点声源条件时，需按线声源或面声源模型计算。</w:t>
            </w:r>
          </w:p>
          <w:p w14:paraId="08A5EA17">
            <w:pPr>
              <w:pStyle w:val="53"/>
              <w:ind w:firstLine="482"/>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工业企业噪声计算</w:t>
            </w:r>
          </w:p>
          <w:p w14:paraId="36B634C4">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设第</w:t>
            </w:r>
            <w:r>
              <w:rPr>
                <w:rFonts w:hint="default" w:ascii="Times New Roman" w:hAnsi="Times New Roman" w:eastAsia="宋体" w:cs="Times New Roman"/>
                <w:i/>
                <w:color w:val="auto"/>
                <w:sz w:val="24"/>
                <w:szCs w:val="24"/>
              </w:rPr>
              <w:t>i</w:t>
            </w:r>
            <w:r>
              <w:rPr>
                <w:rFonts w:hint="default" w:ascii="Times New Roman" w:hAnsi="Times New Roman" w:eastAsia="宋体" w:cs="Times New Roman"/>
                <w:color w:val="auto"/>
                <w:sz w:val="24"/>
                <w:szCs w:val="24"/>
              </w:rPr>
              <w:t>个室外声源在预测点产生的A声级为</w:t>
            </w:r>
            <w:r>
              <w:rPr>
                <w:rFonts w:hint="default" w:ascii="Times New Roman" w:hAnsi="Times New Roman" w:eastAsia="宋体" w:cs="Times New Roman"/>
                <w:i/>
                <w:color w:val="auto"/>
                <w:sz w:val="24"/>
                <w:szCs w:val="24"/>
              </w:rPr>
              <w:t>L</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，在</w:t>
            </w:r>
            <w:r>
              <w:rPr>
                <w:rFonts w:hint="default" w:ascii="Times New Roman" w:hAnsi="Times New Roman" w:eastAsia="宋体" w:cs="Times New Roman"/>
                <w:i/>
                <w:color w:val="auto"/>
                <w:sz w:val="24"/>
                <w:szCs w:val="24"/>
              </w:rPr>
              <w:t>T</w:t>
            </w:r>
            <w:r>
              <w:rPr>
                <w:rFonts w:hint="default" w:ascii="Times New Roman" w:hAnsi="Times New Roman" w:eastAsia="宋体" w:cs="Times New Roman"/>
                <w:color w:val="auto"/>
                <w:sz w:val="24"/>
                <w:szCs w:val="24"/>
              </w:rPr>
              <w:t>时间内该声源工作时间为</w:t>
            </w:r>
            <w:r>
              <w:rPr>
                <w:rFonts w:hint="default" w:ascii="Times New Roman" w:hAnsi="Times New Roman" w:eastAsia="宋体" w:cs="Times New Roman"/>
                <w:i/>
                <w:color w:val="auto"/>
                <w:sz w:val="24"/>
                <w:szCs w:val="24"/>
              </w:rPr>
              <w:t>t</w:t>
            </w:r>
            <w:r>
              <w:rPr>
                <w:rFonts w:hint="default" w:ascii="Times New Roman" w:hAnsi="Times New Roman" w:eastAsia="宋体" w:cs="Times New Roman"/>
                <w:i/>
                <w:color w:val="auto"/>
                <w:sz w:val="24"/>
                <w:szCs w:val="24"/>
                <w:vertAlign w:val="subscript"/>
              </w:rPr>
              <w:t>i</w:t>
            </w:r>
            <w:r>
              <w:rPr>
                <w:rFonts w:hint="default" w:ascii="Times New Roman" w:hAnsi="Times New Roman" w:eastAsia="宋体" w:cs="Times New Roman"/>
                <w:color w:val="auto"/>
                <w:sz w:val="24"/>
                <w:szCs w:val="24"/>
              </w:rPr>
              <w:t>，第</w:t>
            </w:r>
            <w:r>
              <w:rPr>
                <w:rFonts w:hint="default" w:ascii="Times New Roman" w:hAnsi="Times New Roman" w:eastAsia="宋体" w:cs="Times New Roman"/>
                <w:i/>
                <w:iCs/>
                <w:color w:val="auto"/>
                <w:sz w:val="24"/>
                <w:szCs w:val="24"/>
              </w:rPr>
              <w:t>j</w:t>
            </w:r>
            <w:r>
              <w:rPr>
                <w:rFonts w:hint="default" w:ascii="Times New Roman" w:hAnsi="Times New Roman" w:eastAsia="宋体" w:cs="Times New Roman"/>
                <w:color w:val="auto"/>
                <w:sz w:val="24"/>
                <w:szCs w:val="24"/>
              </w:rPr>
              <w:t>个等效室外声源在预测点产生的A声级为</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A</w:t>
            </w:r>
            <w:r>
              <w:rPr>
                <w:rFonts w:hint="default" w:ascii="Times New Roman" w:hAnsi="Times New Roman" w:eastAsia="宋体" w:cs="Times New Roman"/>
                <w:i/>
                <w:iCs/>
                <w:color w:val="auto"/>
                <w:sz w:val="24"/>
                <w:szCs w:val="24"/>
                <w:vertAlign w:val="subscript"/>
              </w:rPr>
              <w:t>j</w:t>
            </w:r>
            <w:r>
              <w:rPr>
                <w:rFonts w:hint="default" w:ascii="Times New Roman" w:hAnsi="Times New Roman" w:eastAsia="宋体" w:cs="Times New Roman"/>
                <w:color w:val="auto"/>
                <w:sz w:val="24"/>
                <w:szCs w:val="24"/>
              </w:rPr>
              <w:t xml:space="preserve"> ，在</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时间内该声源工作时间为</w:t>
            </w:r>
            <w:r>
              <w:rPr>
                <w:rFonts w:hint="default" w:ascii="Times New Roman" w:hAnsi="Times New Roman" w:eastAsia="宋体" w:cs="Times New Roman"/>
                <w:i/>
                <w:color w:val="auto"/>
                <w:sz w:val="24"/>
                <w:szCs w:val="24"/>
              </w:rPr>
              <w:t>t</w:t>
            </w:r>
            <w:r>
              <w:rPr>
                <w:rFonts w:hint="default" w:ascii="Times New Roman" w:hAnsi="Times New Roman" w:eastAsia="宋体" w:cs="Times New Roman"/>
                <w:i/>
                <w:color w:val="auto"/>
                <w:sz w:val="24"/>
                <w:szCs w:val="24"/>
                <w:vertAlign w:val="subscript"/>
              </w:rPr>
              <w:t>j</w:t>
            </w:r>
            <w:r>
              <w:rPr>
                <w:rFonts w:hint="default" w:ascii="Times New Roman" w:hAnsi="Times New Roman" w:eastAsia="宋体" w:cs="Times New Roman"/>
                <w:color w:val="auto"/>
                <w:sz w:val="24"/>
                <w:szCs w:val="24"/>
              </w:rPr>
              <w:t>，则拟建工程声源对预测点产生的贡献值（</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）为：</w:t>
            </w:r>
          </w:p>
          <w:p w14:paraId="4C8A132C">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34"/>
                <w:sz w:val="24"/>
                <w:szCs w:val="24"/>
              </w:rPr>
              <w:object>
                <v:shape id="_x0000_i1031" o:spt="75" type="#_x0000_t75" style="height:39.75pt;width:209.25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p>
          <w:p w14:paraId="3225CEA0">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iCs/>
                <w:color w:val="auto"/>
                <w:sz w:val="24"/>
                <w:szCs w:val="24"/>
              </w:rPr>
              <w:t>L</w:t>
            </w:r>
            <w:r>
              <w:rPr>
                <w:rFonts w:hint="default" w:ascii="Times New Roman" w:hAnsi="Times New Roman" w:eastAsia="宋体" w:cs="Times New Roman"/>
                <w:color w:val="auto"/>
                <w:sz w:val="24"/>
                <w:szCs w:val="24"/>
                <w:vertAlign w:val="subscript"/>
              </w:rPr>
              <w:t>eqg</w:t>
            </w:r>
            <w:r>
              <w:rPr>
                <w:rFonts w:hint="default" w:ascii="Times New Roman" w:hAnsi="Times New Roman" w:eastAsia="宋体" w:cs="Times New Roman"/>
                <w:color w:val="auto"/>
                <w:sz w:val="24"/>
                <w:szCs w:val="24"/>
              </w:rPr>
              <w:t>——建设项目声源在预测点产生的噪声贡献值，dB；</w:t>
            </w:r>
          </w:p>
          <w:p w14:paraId="397063AF">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T</w:t>
            </w:r>
            <w:r>
              <w:rPr>
                <w:rFonts w:hint="default" w:ascii="Times New Roman" w:hAnsi="Times New Roman" w:eastAsia="宋体" w:cs="Times New Roman"/>
                <w:color w:val="auto"/>
                <w:sz w:val="24"/>
                <w:szCs w:val="24"/>
              </w:rPr>
              <w:t>——用于计算等效声级的时间，s；</w:t>
            </w:r>
          </w:p>
          <w:p w14:paraId="652802B8">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N</w:t>
            </w:r>
            <w:r>
              <w:rPr>
                <w:rFonts w:hint="default" w:ascii="Times New Roman" w:hAnsi="Times New Roman" w:eastAsia="宋体" w:cs="Times New Roman"/>
                <w:color w:val="auto"/>
                <w:sz w:val="24"/>
                <w:szCs w:val="24"/>
              </w:rPr>
              <w:t>——室外声源个数；</w:t>
            </w:r>
          </w:p>
          <w:p w14:paraId="2E51AACA">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i/>
                <w:iCs/>
                <w:color w:val="auto"/>
                <w:sz w:val="24"/>
                <w:szCs w:val="24"/>
                <w:vertAlign w:val="subscript"/>
              </w:rPr>
              <w:t>i</w:t>
            </w:r>
            <w:r>
              <w:rPr>
                <w:rFonts w:hint="default" w:ascii="Times New Roman" w:hAnsi="Times New Roman" w:eastAsia="宋体" w:cs="Times New Roman"/>
                <w:color w:val="auto"/>
                <w:sz w:val="24"/>
                <w:szCs w:val="24"/>
              </w:rPr>
              <w:t>——在</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时间内</w:t>
            </w:r>
            <w:r>
              <w:rPr>
                <w:rFonts w:hint="default" w:ascii="Times New Roman" w:hAnsi="Times New Roman" w:eastAsia="宋体" w:cs="Times New Roman"/>
                <w:i/>
                <w:iCs/>
                <w:color w:val="auto"/>
                <w:sz w:val="24"/>
                <w:szCs w:val="24"/>
              </w:rPr>
              <w:t>i</w:t>
            </w:r>
            <w:r>
              <w:rPr>
                <w:rFonts w:hint="default" w:ascii="Times New Roman" w:hAnsi="Times New Roman" w:eastAsia="宋体" w:cs="Times New Roman"/>
                <w:color w:val="auto"/>
                <w:sz w:val="24"/>
                <w:szCs w:val="24"/>
              </w:rPr>
              <w:t>声源工作时间，s；</w:t>
            </w:r>
          </w:p>
          <w:p w14:paraId="346E4672">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M</w:t>
            </w:r>
            <w:r>
              <w:rPr>
                <w:rFonts w:hint="default" w:ascii="Times New Roman" w:hAnsi="Times New Roman" w:eastAsia="宋体" w:cs="Times New Roman"/>
                <w:color w:val="auto"/>
                <w:sz w:val="24"/>
                <w:szCs w:val="24"/>
              </w:rPr>
              <w:t>——等效室外声源个数；</w:t>
            </w:r>
          </w:p>
          <w:p w14:paraId="16D65D03">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i/>
                <w:iCs/>
                <w:color w:val="auto"/>
                <w:sz w:val="24"/>
                <w:szCs w:val="24"/>
                <w:vertAlign w:val="subscript"/>
              </w:rPr>
              <w:t>j</w:t>
            </w:r>
            <w:r>
              <w:rPr>
                <w:rFonts w:hint="default" w:ascii="Times New Roman" w:hAnsi="Times New Roman" w:eastAsia="宋体" w:cs="Times New Roman"/>
                <w:color w:val="auto"/>
                <w:sz w:val="24"/>
                <w:szCs w:val="24"/>
              </w:rPr>
              <w:t>——在</w:t>
            </w:r>
            <w:r>
              <w:rPr>
                <w:rFonts w:hint="default" w:ascii="Times New Roman" w:hAnsi="Times New Roman" w:eastAsia="宋体" w:cs="Times New Roman"/>
                <w:i/>
                <w:iCs/>
                <w:color w:val="auto"/>
                <w:sz w:val="24"/>
                <w:szCs w:val="24"/>
              </w:rPr>
              <w:t>T</w:t>
            </w:r>
            <w:r>
              <w:rPr>
                <w:rFonts w:hint="default" w:ascii="Times New Roman" w:hAnsi="Times New Roman" w:eastAsia="宋体" w:cs="Times New Roman"/>
                <w:color w:val="auto"/>
                <w:sz w:val="24"/>
                <w:szCs w:val="24"/>
              </w:rPr>
              <w:t>时间内</w:t>
            </w:r>
            <w:r>
              <w:rPr>
                <w:rFonts w:hint="default" w:ascii="Times New Roman" w:hAnsi="Times New Roman" w:eastAsia="宋体" w:cs="Times New Roman"/>
                <w:i/>
                <w:iCs/>
                <w:color w:val="auto"/>
                <w:sz w:val="24"/>
                <w:szCs w:val="24"/>
              </w:rPr>
              <w:t>j</w:t>
            </w:r>
            <w:r>
              <w:rPr>
                <w:rFonts w:hint="default" w:ascii="Times New Roman" w:hAnsi="Times New Roman" w:eastAsia="宋体" w:cs="Times New Roman"/>
                <w:color w:val="auto"/>
                <w:sz w:val="24"/>
                <w:szCs w:val="24"/>
              </w:rPr>
              <w:t>声源工作时间，s。</w:t>
            </w:r>
          </w:p>
          <w:p w14:paraId="3B503813">
            <w:pPr>
              <w:pStyle w:val="53"/>
              <w:ind w:firstLine="482"/>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预测值计算</w:t>
            </w:r>
          </w:p>
          <w:p w14:paraId="3FD5F4D2">
            <w:pPr>
              <w:spacing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position w:val="-14"/>
                <w:sz w:val="24"/>
                <w:szCs w:val="24"/>
              </w:rPr>
              <w:object>
                <v:shape id="_x0000_i1032" o:spt="75" type="#_x0000_t75" style="height:21pt;width:135.75pt;" o:ole="t" filled="f" o:preferrelative="t" stroked="f" coordsize="21600,21600">
                  <v:path/>
                  <v:fill on="f" focussize="0,0"/>
                  <v:stroke on="f" joinstyle="miter"/>
                  <v:imagedata r:id="rId33" o:title=""/>
                  <o:lock v:ext="edit" aspectratio="t"/>
                  <w10:wrap type="none"/>
                  <w10:anchorlock/>
                </v:shape>
                <o:OLEObject Type="Embed" ProgID="Equation.DSMT4" ShapeID="_x0000_i1032" DrawAspect="Content" ObjectID="_1468075732" r:id="rId32">
                  <o:LockedField>false</o:LockedField>
                </o:OLEObject>
              </w:object>
            </w:r>
          </w:p>
          <w:p w14:paraId="1D6A4DF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r>
              <w:rPr>
                <w:rFonts w:hint="default" w:ascii="Times New Roman" w:hAnsi="Times New Roman" w:eastAsia="宋体" w:cs="Times New Roman"/>
                <w:i/>
                <w:color w:val="auto"/>
                <w:sz w:val="24"/>
                <w:szCs w:val="24"/>
              </w:rPr>
              <w:t>L</w:t>
            </w:r>
            <w:r>
              <w:rPr>
                <w:rFonts w:hint="default" w:ascii="Times New Roman" w:hAnsi="Times New Roman" w:eastAsia="宋体" w:cs="Times New Roman"/>
                <w:color w:val="auto"/>
                <w:sz w:val="24"/>
                <w:szCs w:val="24"/>
                <w:vertAlign w:val="subscript"/>
              </w:rPr>
              <w:t>eq</w:t>
            </w:r>
            <w:r>
              <w:rPr>
                <w:rFonts w:hint="default" w:ascii="Times New Roman" w:hAnsi="Times New Roman" w:eastAsia="宋体" w:cs="Times New Roman"/>
                <w:color w:val="auto"/>
                <w:sz w:val="24"/>
                <w:szCs w:val="24"/>
              </w:rPr>
              <w:t>——预测点的噪声预测值，dB</w:t>
            </w:r>
            <w:r>
              <w:rPr>
                <w:rFonts w:hint="default" w:ascii="Times New Roman" w:hAnsi="Times New Roman" w:eastAsia="宋体" w:cs="Times New Roman"/>
                <w:color w:val="auto"/>
                <w:sz w:val="24"/>
                <w:szCs w:val="24"/>
                <w:lang w:eastAsia="zh-CN"/>
              </w:rPr>
              <w:t>；</w:t>
            </w:r>
          </w:p>
          <w:p w14:paraId="15340DE7">
            <w:pPr>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i/>
                <w:color w:val="auto"/>
                <w:sz w:val="24"/>
                <w:szCs w:val="24"/>
              </w:rPr>
              <w:t>L</w:t>
            </w:r>
            <w:r>
              <w:rPr>
                <w:rFonts w:hint="default" w:ascii="Times New Roman" w:hAnsi="Times New Roman" w:eastAsia="宋体" w:cs="Times New Roman"/>
                <w:color w:val="auto"/>
                <w:sz w:val="24"/>
                <w:szCs w:val="24"/>
                <w:vertAlign w:val="subscript"/>
              </w:rPr>
              <w:t>eqb</w:t>
            </w:r>
            <w:r>
              <w:rPr>
                <w:rFonts w:hint="default" w:ascii="Times New Roman" w:hAnsi="Times New Roman" w:eastAsia="宋体" w:cs="Times New Roman"/>
                <w:color w:val="auto"/>
                <w:sz w:val="24"/>
                <w:szCs w:val="24"/>
              </w:rPr>
              <w:t>——预测点的背景值，dB。</w:t>
            </w:r>
          </w:p>
          <w:p w14:paraId="5367F1E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、预测结果</w:t>
            </w:r>
          </w:p>
          <w:p w14:paraId="68739C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本次评价进行保守预测，仅考虑噪声的距离衰减，不考虑地形高差、地面效应、温度梯度、植被阻隔以及受体建筑隔声等引起的噪声衰减。</w:t>
            </w:r>
          </w:p>
          <w:p w14:paraId="49B29429">
            <w:pPr>
              <w:pageBreakBefore w:val="0"/>
              <w:topLinePunct w:val="0"/>
              <w:bidi w:val="0"/>
              <w:spacing w:beforeAutospacing="0" w:afterAutospacing="0" w:line="360" w:lineRule="auto"/>
              <w:ind w:left="0"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kern w:val="0"/>
                <w:sz w:val="24"/>
                <w:szCs w:val="24"/>
                <w:lang w:val="en-US" w:eastAsia="zh-CN" w:bidi="ar"/>
              </w:rPr>
              <w:t>本项目</w:t>
            </w:r>
            <w:r>
              <w:rPr>
                <w:rFonts w:hint="eastAsia" w:ascii="Times New Roman" w:hAnsi="Times New Roman" w:eastAsia="宋体" w:cs="Times New Roman"/>
                <w:color w:val="auto"/>
                <w:kern w:val="0"/>
                <w:sz w:val="24"/>
                <w:szCs w:val="24"/>
                <w:lang w:val="en-US" w:eastAsia="zh-CN" w:bidi="ar"/>
              </w:rPr>
              <w:t>24小时运行</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本次环评厂界以昼间</w:t>
            </w:r>
            <w:r>
              <w:rPr>
                <w:rFonts w:hint="eastAsia" w:ascii="Times New Roman" w:hAnsi="Times New Roman" w:eastAsia="宋体" w:cs="Times New Roman"/>
                <w:color w:val="auto"/>
                <w:kern w:val="0"/>
                <w:sz w:val="24"/>
                <w:szCs w:val="24"/>
                <w:lang w:val="en-US" w:eastAsia="zh-CN" w:bidi="ar"/>
              </w:rPr>
              <w:t>、夜间</w:t>
            </w:r>
            <w:r>
              <w:rPr>
                <w:rFonts w:hint="default" w:ascii="Times New Roman" w:hAnsi="Times New Roman" w:eastAsia="宋体" w:cs="Times New Roman"/>
                <w:color w:val="auto"/>
                <w:kern w:val="0"/>
                <w:sz w:val="24"/>
                <w:szCs w:val="24"/>
                <w:lang w:val="en-US" w:eastAsia="zh-CN" w:bidi="ar"/>
              </w:rPr>
              <w:t>预测值作为评价量，</w:t>
            </w:r>
            <w:r>
              <w:rPr>
                <w:rFonts w:hint="default" w:ascii="Times New Roman" w:hAnsi="Times New Roman" w:eastAsia="宋体" w:cs="Times New Roman"/>
                <w:color w:val="auto"/>
                <w:sz w:val="24"/>
                <w:szCs w:val="32"/>
                <w:highlight w:val="none"/>
              </w:rPr>
              <w:t>通过预测模型计算，项目运营期厂界噪声贡献值预测结果</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声环境保护目标贡献值和预测值见下表</w:t>
            </w:r>
            <w:r>
              <w:rPr>
                <w:rFonts w:hint="default" w:ascii="Times New Roman" w:hAnsi="Times New Roman" w:eastAsia="宋体" w:cs="Times New Roman"/>
                <w:color w:val="auto"/>
                <w:sz w:val="24"/>
                <w:szCs w:val="32"/>
                <w:highlight w:val="none"/>
                <w:lang w:eastAsia="zh-CN"/>
              </w:rPr>
              <w:t>。</w:t>
            </w:r>
          </w:p>
          <w:p w14:paraId="177F1838">
            <w:pPr>
              <w:pageBreakBefore w:val="0"/>
              <w:topLinePunct w:val="0"/>
              <w:bidi w:val="0"/>
              <w:spacing w:beforeAutospacing="0" w:afterAutospacing="0" w:line="360" w:lineRule="auto"/>
              <w:ind w:left="0" w:firstLine="482" w:firstLineChars="200"/>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eastAsia="zh-CN"/>
              </w:rPr>
              <w:t>（</w:t>
            </w:r>
            <w:r>
              <w:rPr>
                <w:rFonts w:hint="default" w:ascii="Times New Roman" w:hAnsi="Times New Roman" w:eastAsia="宋体" w:cs="Times New Roman"/>
                <w:b/>
                <w:bCs/>
                <w:color w:val="auto"/>
                <w:sz w:val="24"/>
                <w:szCs w:val="32"/>
                <w:highlight w:val="none"/>
                <w:lang w:val="en-US" w:eastAsia="zh-CN"/>
              </w:rPr>
              <w:t>1）厂界预测结果</w:t>
            </w:r>
          </w:p>
          <w:p w14:paraId="039F8826">
            <w:pPr>
              <w:pStyle w:val="52"/>
              <w:keepNext w:val="0"/>
              <w:keepLines w:val="0"/>
              <w:pageBreakBefore w:val="0"/>
              <w:widowControl w:val="0"/>
              <w:tabs>
                <w:tab w:val="left" w:pos="7380"/>
              </w:tabs>
              <w:kinsoku/>
              <w:wordWrap/>
              <w:overflowPunct/>
              <w:topLinePunct w:val="0"/>
              <w:autoSpaceDE/>
              <w:autoSpaceDN/>
              <w:bidi w:val="0"/>
              <w:adjustRightInd/>
              <w:snapToGrid/>
              <w:spacing w:before="0" w:beforeAutospacing="0" w:after="0" w:afterAutospacing="0" w:line="360" w:lineRule="auto"/>
              <w:ind w:left="0" w:right="113"/>
              <w:textAlignment w:val="auto"/>
              <w:rPr>
                <w:rFonts w:hint="default" w:ascii="Times New Roman" w:hAnsi="Times New Roman" w:eastAsia="黑体" w:cs="Times New Roman"/>
                <w:b w:val="0"/>
                <w:bCs/>
                <w:color w:val="auto"/>
                <w:sz w:val="21"/>
                <w:szCs w:val="16"/>
                <w:highlight w:val="none"/>
                <w:lang w:val="en-US" w:eastAsia="zh-CN"/>
              </w:rPr>
            </w:pPr>
            <w:r>
              <w:rPr>
                <w:rFonts w:hint="default" w:ascii="Times New Roman" w:hAnsi="Times New Roman" w:cs="Times New Roman"/>
                <w:b w:val="0"/>
                <w:bCs/>
                <w:color w:val="auto"/>
                <w:sz w:val="21"/>
                <w:szCs w:val="16"/>
                <w:highlight w:val="none"/>
                <w:lang w:val="en-US" w:eastAsia="zh-CN"/>
              </w:rPr>
              <w:t>表</w:t>
            </w:r>
            <w:r>
              <w:rPr>
                <w:rFonts w:hint="default" w:ascii="Times New Roman" w:hAnsi="Times New Roman" w:eastAsia="黑体" w:cs="Times New Roman"/>
                <w:b w:val="0"/>
                <w:bCs/>
                <w:color w:val="auto"/>
                <w:sz w:val="21"/>
                <w:szCs w:val="16"/>
                <w:highlight w:val="none"/>
                <w:lang w:val="en-US" w:eastAsia="zh-CN"/>
              </w:rPr>
              <w:t>4-1</w:t>
            </w:r>
            <w:r>
              <w:rPr>
                <w:rFonts w:hint="default" w:ascii="Times New Roman" w:hAnsi="Times New Roman" w:cs="Times New Roman"/>
                <w:b w:val="0"/>
                <w:bCs/>
                <w:color w:val="auto"/>
                <w:sz w:val="21"/>
                <w:szCs w:val="16"/>
                <w:highlight w:val="none"/>
                <w:lang w:val="en-US" w:eastAsia="zh-CN"/>
              </w:rPr>
              <w:t>2</w:t>
            </w:r>
            <w:r>
              <w:rPr>
                <w:rFonts w:hint="default" w:ascii="Times New Roman" w:hAnsi="Times New Roman" w:eastAsia="黑体" w:cs="Times New Roman"/>
                <w:b w:val="0"/>
                <w:bCs/>
                <w:color w:val="auto"/>
                <w:sz w:val="21"/>
                <w:szCs w:val="16"/>
                <w:highlight w:val="none"/>
                <w:lang w:val="en-US" w:eastAsia="zh-CN"/>
              </w:rPr>
              <w:t xml:space="preserve">   </w:t>
            </w:r>
            <w:r>
              <w:rPr>
                <w:rFonts w:hint="default" w:ascii="Times New Roman" w:hAnsi="Times New Roman" w:cs="Times New Roman"/>
                <w:b w:val="0"/>
                <w:bCs/>
                <w:color w:val="auto"/>
                <w:sz w:val="21"/>
                <w:szCs w:val="16"/>
                <w:highlight w:val="none"/>
                <w:lang w:val="en-US" w:eastAsia="zh-CN"/>
              </w:rPr>
              <w:t>本项目</w:t>
            </w:r>
            <w:r>
              <w:rPr>
                <w:rFonts w:hint="default" w:ascii="Times New Roman" w:hAnsi="Times New Roman" w:eastAsia="黑体" w:cs="Times New Roman"/>
                <w:b w:val="0"/>
                <w:bCs/>
                <w:color w:val="auto"/>
                <w:sz w:val="21"/>
                <w:szCs w:val="16"/>
                <w:highlight w:val="none"/>
                <w:lang w:val="en-US" w:eastAsia="zh-CN"/>
              </w:rPr>
              <w:t>昼间噪声预测结果</w:t>
            </w:r>
            <w:r>
              <w:rPr>
                <w:rFonts w:hint="default" w:ascii="Times New Roman" w:hAnsi="Times New Roman" w:cs="Times New Roman"/>
                <w:b w:val="0"/>
                <w:bCs/>
                <w:color w:val="auto"/>
                <w:sz w:val="21"/>
                <w:szCs w:val="16"/>
                <w:highlight w:val="none"/>
                <w:lang w:val="en-US" w:eastAsia="zh-CN"/>
              </w:rPr>
              <w:t xml:space="preserve">  单位：</w:t>
            </w:r>
            <w:r>
              <w:rPr>
                <w:rFonts w:hint="default" w:ascii="Times New Roman" w:hAnsi="Times New Roman" w:eastAsia="黑体" w:cs="Times New Roman"/>
                <w:b w:val="0"/>
                <w:bCs/>
                <w:color w:val="auto"/>
                <w:sz w:val="21"/>
                <w:szCs w:val="16"/>
                <w:highlight w:val="none"/>
                <w:lang w:val="en-US" w:eastAsia="zh-CN"/>
              </w:rPr>
              <w:t>（dB（A））</w:t>
            </w:r>
          </w:p>
          <w:tbl>
            <w:tblPr>
              <w:tblStyle w:val="25"/>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2"/>
              <w:gridCol w:w="2453"/>
              <w:gridCol w:w="1003"/>
              <w:gridCol w:w="1019"/>
              <w:gridCol w:w="818"/>
              <w:gridCol w:w="1037"/>
              <w:gridCol w:w="923"/>
              <w:gridCol w:w="1210"/>
            </w:tblGrid>
            <w:tr w14:paraId="2097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tcBorders>
                    <w:tl2br w:val="nil"/>
                    <w:tr2bl w:val="nil"/>
                  </w:tcBorders>
                  <w:shd w:val="clear" w:color="auto" w:fill="auto"/>
                  <w:noWrap w:val="0"/>
                  <w:vAlign w:val="center"/>
                </w:tcPr>
                <w:p w14:paraId="72F48001">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项目</w:t>
                  </w:r>
                </w:p>
              </w:tc>
              <w:tc>
                <w:tcPr>
                  <w:tcW w:w="1323" w:type="pct"/>
                  <w:tcBorders>
                    <w:tl2br w:val="nil"/>
                    <w:tr2bl w:val="nil"/>
                  </w:tcBorders>
                  <w:shd w:val="clear" w:color="auto" w:fill="auto"/>
                  <w:noWrap w:val="0"/>
                  <w:vAlign w:val="center"/>
                </w:tcPr>
                <w:p w14:paraId="457EFF88">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1091" w:type="pct"/>
                  <w:gridSpan w:val="2"/>
                  <w:tcBorders>
                    <w:tl2br w:val="nil"/>
                    <w:tr2bl w:val="nil"/>
                  </w:tcBorders>
                  <w:shd w:val="clear" w:color="auto" w:fill="auto"/>
                  <w:noWrap w:val="0"/>
                  <w:vAlign w:val="center"/>
                </w:tcPr>
                <w:p w14:paraId="08F088CF">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相对位置</w:t>
                  </w:r>
                </w:p>
              </w:tc>
              <w:tc>
                <w:tcPr>
                  <w:tcW w:w="441" w:type="pct"/>
                  <w:tcBorders>
                    <w:tl2br w:val="nil"/>
                    <w:tr2bl w:val="nil"/>
                  </w:tcBorders>
                  <w:shd w:val="clear" w:color="auto" w:fill="auto"/>
                  <w:noWrap w:val="0"/>
                  <w:vAlign w:val="center"/>
                </w:tcPr>
                <w:p w14:paraId="7202040E">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时段</w:t>
                  </w:r>
                </w:p>
              </w:tc>
              <w:tc>
                <w:tcPr>
                  <w:tcW w:w="559" w:type="pct"/>
                  <w:tcBorders>
                    <w:tl2br w:val="nil"/>
                    <w:tr2bl w:val="nil"/>
                  </w:tcBorders>
                  <w:shd w:val="clear" w:color="auto" w:fill="auto"/>
                  <w:noWrap w:val="0"/>
                  <w:vAlign w:val="center"/>
                </w:tcPr>
                <w:p w14:paraId="2A36443E">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贡献值</w:t>
                  </w:r>
                </w:p>
              </w:tc>
              <w:tc>
                <w:tcPr>
                  <w:tcW w:w="498" w:type="pct"/>
                  <w:tcBorders>
                    <w:tl2br w:val="nil"/>
                    <w:tr2bl w:val="nil"/>
                  </w:tcBorders>
                  <w:shd w:val="clear" w:color="auto" w:fill="auto"/>
                  <w:noWrap w:val="0"/>
                  <w:vAlign w:val="center"/>
                </w:tcPr>
                <w:p w14:paraId="61CEB442">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标准值</w:t>
                  </w:r>
                </w:p>
              </w:tc>
              <w:tc>
                <w:tcPr>
                  <w:tcW w:w="652" w:type="pct"/>
                  <w:tcBorders>
                    <w:tl2br w:val="nil"/>
                    <w:tr2bl w:val="nil"/>
                  </w:tcBorders>
                  <w:shd w:val="clear" w:color="auto" w:fill="auto"/>
                  <w:noWrap w:val="0"/>
                  <w:vAlign w:val="center"/>
                </w:tcPr>
                <w:p w14:paraId="2D713006">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是否达标</w:t>
                  </w:r>
                </w:p>
              </w:tc>
            </w:tr>
            <w:tr w14:paraId="2E15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restart"/>
                  <w:tcBorders>
                    <w:tl2br w:val="nil"/>
                    <w:tr2bl w:val="nil"/>
                  </w:tcBorders>
                  <w:shd w:val="clear" w:color="auto" w:fill="auto"/>
                  <w:noWrap w:val="0"/>
                  <w:vAlign w:val="center"/>
                </w:tcPr>
                <w:p w14:paraId="48C48F09">
                  <w:pPr>
                    <w:pStyle w:val="39"/>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隘口</w:t>
                  </w:r>
                  <w:r>
                    <w:rPr>
                      <w:rFonts w:hint="default" w:ascii="Times New Roman" w:hAnsi="Times New Roman" w:eastAsia="宋体" w:cs="Times New Roman"/>
                      <w:color w:val="auto"/>
                      <w:sz w:val="21"/>
                      <w:szCs w:val="21"/>
                    </w:rPr>
                    <w:t>水厂</w:t>
                  </w:r>
                </w:p>
              </w:tc>
              <w:tc>
                <w:tcPr>
                  <w:tcW w:w="1323" w:type="pct"/>
                  <w:tcBorders>
                    <w:tl2br w:val="nil"/>
                    <w:tr2bl w:val="nil"/>
                  </w:tcBorders>
                  <w:shd w:val="clear" w:color="auto" w:fill="auto"/>
                  <w:noWrap w:val="0"/>
                  <w:vAlign w:val="center"/>
                </w:tcPr>
                <w:p w14:paraId="61DBB09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TW" w:bidi="ar-SA"/>
                    </w:rPr>
                  </w:pPr>
                  <w:r>
                    <w:rPr>
                      <w:rFonts w:hint="default" w:ascii="Times New Roman" w:hAnsi="Times New Roman" w:eastAsia="宋体" w:cs="Times New Roman"/>
                      <w:i w:val="0"/>
                      <w:iCs w:val="0"/>
                      <w:color w:val="auto"/>
                      <w:kern w:val="0"/>
                      <w:sz w:val="21"/>
                      <w:szCs w:val="21"/>
                      <w:u w:val="none"/>
                      <w:lang w:val="en-US" w:eastAsia="zh-CN" w:bidi="ar"/>
                    </w:rPr>
                    <w:t>厂区东南侧外1m处</w:t>
                  </w:r>
                </w:p>
              </w:tc>
              <w:tc>
                <w:tcPr>
                  <w:tcW w:w="541" w:type="pct"/>
                  <w:tcBorders>
                    <w:tl2br w:val="nil"/>
                    <w:tr2bl w:val="nil"/>
                  </w:tcBorders>
                  <w:shd w:val="clear" w:color="auto" w:fill="auto"/>
                  <w:noWrap w:val="0"/>
                  <w:vAlign w:val="center"/>
                </w:tcPr>
                <w:p w14:paraId="23D4420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14.96</w:t>
                  </w:r>
                </w:p>
              </w:tc>
              <w:tc>
                <w:tcPr>
                  <w:tcW w:w="549" w:type="pct"/>
                  <w:tcBorders>
                    <w:tl2br w:val="nil"/>
                    <w:tr2bl w:val="nil"/>
                  </w:tcBorders>
                  <w:shd w:val="clear" w:color="auto" w:fill="auto"/>
                  <w:noWrap w:val="0"/>
                  <w:vAlign w:val="center"/>
                </w:tcPr>
                <w:p w14:paraId="189B431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-13.22</w:t>
                  </w:r>
                </w:p>
              </w:tc>
              <w:tc>
                <w:tcPr>
                  <w:tcW w:w="441" w:type="pct"/>
                  <w:tcBorders>
                    <w:tl2br w:val="nil"/>
                    <w:tr2bl w:val="nil"/>
                  </w:tcBorders>
                  <w:shd w:val="clear" w:color="auto" w:fill="auto"/>
                  <w:noWrap w:val="0"/>
                  <w:vAlign w:val="center"/>
                </w:tcPr>
                <w:p w14:paraId="7335EC70">
                  <w:pPr>
                    <w:pStyle w:val="39"/>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3AAC85D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42.28</w:t>
                  </w:r>
                </w:p>
              </w:tc>
              <w:tc>
                <w:tcPr>
                  <w:tcW w:w="498" w:type="pct"/>
                  <w:tcBorders>
                    <w:tl2br w:val="nil"/>
                    <w:tr2bl w:val="nil"/>
                  </w:tcBorders>
                  <w:shd w:val="clear" w:color="auto" w:fill="auto"/>
                  <w:noWrap w:val="0"/>
                  <w:vAlign w:val="center"/>
                </w:tcPr>
                <w:p w14:paraId="43FD246E">
                  <w:pPr>
                    <w:pStyle w:val="39"/>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370EDB2A">
                  <w:pPr>
                    <w:pStyle w:val="39"/>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037C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continue"/>
                  <w:tcBorders>
                    <w:tl2br w:val="nil"/>
                    <w:tr2bl w:val="nil"/>
                  </w:tcBorders>
                  <w:shd w:val="clear" w:color="auto" w:fill="auto"/>
                  <w:noWrap w:val="0"/>
                  <w:vAlign w:val="center"/>
                </w:tcPr>
                <w:p w14:paraId="56DD6D07">
                  <w:pPr>
                    <w:pStyle w:val="39"/>
                    <w:spacing w:line="240" w:lineRule="auto"/>
                    <w:ind w:left="0" w:leftChars="0" w:firstLine="0" w:firstLineChars="0"/>
                    <w:jc w:val="center"/>
                    <w:rPr>
                      <w:rFonts w:hint="default" w:ascii="Times New Roman" w:hAnsi="Times New Roman" w:eastAsia="宋体" w:cs="Times New Roman"/>
                      <w:color w:val="auto"/>
                      <w:sz w:val="21"/>
                      <w:szCs w:val="21"/>
                    </w:rPr>
                  </w:pPr>
                </w:p>
              </w:tc>
              <w:tc>
                <w:tcPr>
                  <w:tcW w:w="1323" w:type="pct"/>
                  <w:tcBorders>
                    <w:tl2br w:val="nil"/>
                    <w:tr2bl w:val="nil"/>
                  </w:tcBorders>
                  <w:shd w:val="clear" w:color="auto" w:fill="auto"/>
                  <w:noWrap w:val="0"/>
                  <w:vAlign w:val="center"/>
                </w:tcPr>
                <w:p w14:paraId="21FFAA4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TW" w:bidi="ar-SA"/>
                    </w:rPr>
                  </w:pPr>
                  <w:r>
                    <w:rPr>
                      <w:rFonts w:hint="default" w:ascii="Times New Roman" w:hAnsi="Times New Roman" w:eastAsia="宋体" w:cs="Times New Roman"/>
                      <w:i w:val="0"/>
                      <w:iCs w:val="0"/>
                      <w:color w:val="auto"/>
                      <w:kern w:val="0"/>
                      <w:sz w:val="21"/>
                      <w:szCs w:val="21"/>
                      <w:u w:val="none"/>
                      <w:lang w:val="en-US" w:eastAsia="zh-CN" w:bidi="ar"/>
                    </w:rPr>
                    <w:t>厂区东北侧外1m处</w:t>
                  </w:r>
                </w:p>
              </w:tc>
              <w:tc>
                <w:tcPr>
                  <w:tcW w:w="541" w:type="pct"/>
                  <w:tcBorders>
                    <w:tl2br w:val="nil"/>
                    <w:tr2bl w:val="nil"/>
                  </w:tcBorders>
                  <w:shd w:val="clear" w:color="auto" w:fill="auto"/>
                  <w:noWrap w:val="0"/>
                  <w:vAlign w:val="center"/>
                </w:tcPr>
                <w:p w14:paraId="018FA6C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9.98</w:t>
                  </w:r>
                </w:p>
              </w:tc>
              <w:tc>
                <w:tcPr>
                  <w:tcW w:w="549" w:type="pct"/>
                  <w:tcBorders>
                    <w:tl2br w:val="nil"/>
                    <w:tr2bl w:val="nil"/>
                  </w:tcBorders>
                  <w:shd w:val="clear" w:color="auto" w:fill="auto"/>
                  <w:noWrap w:val="0"/>
                  <w:vAlign w:val="center"/>
                </w:tcPr>
                <w:p w14:paraId="315DBB0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15.97</w:t>
                  </w:r>
                </w:p>
              </w:tc>
              <w:tc>
                <w:tcPr>
                  <w:tcW w:w="441" w:type="pct"/>
                  <w:tcBorders>
                    <w:tl2br w:val="nil"/>
                    <w:tr2bl w:val="nil"/>
                  </w:tcBorders>
                  <w:shd w:val="clear" w:color="auto" w:fill="auto"/>
                  <w:noWrap w:val="0"/>
                  <w:vAlign w:val="center"/>
                </w:tcPr>
                <w:p w14:paraId="032DA854">
                  <w:pPr>
                    <w:pStyle w:val="39"/>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5E3F93D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34.39</w:t>
                  </w:r>
                </w:p>
              </w:tc>
              <w:tc>
                <w:tcPr>
                  <w:tcW w:w="498" w:type="pct"/>
                  <w:tcBorders>
                    <w:tl2br w:val="nil"/>
                    <w:tr2bl w:val="nil"/>
                  </w:tcBorders>
                  <w:shd w:val="clear" w:color="auto" w:fill="auto"/>
                  <w:noWrap w:val="0"/>
                  <w:vAlign w:val="center"/>
                </w:tcPr>
                <w:p w14:paraId="4EF4ABBF">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4DBDBC99">
                  <w:pPr>
                    <w:pStyle w:val="39"/>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21C8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continue"/>
                  <w:tcBorders>
                    <w:tl2br w:val="nil"/>
                    <w:tr2bl w:val="nil"/>
                  </w:tcBorders>
                  <w:shd w:val="clear" w:color="auto" w:fill="auto"/>
                  <w:noWrap w:val="0"/>
                  <w:vAlign w:val="center"/>
                </w:tcPr>
                <w:p w14:paraId="21FB0AA8">
                  <w:pPr>
                    <w:pStyle w:val="39"/>
                    <w:spacing w:line="240" w:lineRule="auto"/>
                    <w:ind w:left="0" w:leftChars="0" w:firstLine="0" w:firstLineChars="0"/>
                    <w:jc w:val="center"/>
                    <w:rPr>
                      <w:rFonts w:hint="default" w:ascii="Times New Roman" w:hAnsi="Times New Roman" w:eastAsia="宋体" w:cs="Times New Roman"/>
                      <w:color w:val="auto"/>
                      <w:sz w:val="21"/>
                      <w:szCs w:val="21"/>
                    </w:rPr>
                  </w:pPr>
                </w:p>
              </w:tc>
              <w:tc>
                <w:tcPr>
                  <w:tcW w:w="1323" w:type="pct"/>
                  <w:tcBorders>
                    <w:tl2br w:val="nil"/>
                    <w:tr2bl w:val="nil"/>
                  </w:tcBorders>
                  <w:shd w:val="clear" w:color="auto" w:fill="auto"/>
                  <w:noWrap w:val="0"/>
                  <w:vAlign w:val="center"/>
                </w:tcPr>
                <w:p w14:paraId="1D3C3AF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TW" w:bidi="ar-SA"/>
                    </w:rPr>
                  </w:pPr>
                  <w:r>
                    <w:rPr>
                      <w:rFonts w:hint="default" w:ascii="Times New Roman" w:hAnsi="Times New Roman" w:eastAsia="宋体" w:cs="Times New Roman"/>
                      <w:i w:val="0"/>
                      <w:iCs w:val="0"/>
                      <w:color w:val="auto"/>
                      <w:kern w:val="0"/>
                      <w:sz w:val="21"/>
                      <w:szCs w:val="21"/>
                      <w:u w:val="none"/>
                      <w:lang w:val="en-US" w:eastAsia="zh-CN" w:bidi="ar"/>
                    </w:rPr>
                    <w:t>厂区西北侧外1m处</w:t>
                  </w:r>
                </w:p>
              </w:tc>
              <w:tc>
                <w:tcPr>
                  <w:tcW w:w="541" w:type="pct"/>
                  <w:tcBorders>
                    <w:tl2br w:val="nil"/>
                    <w:tr2bl w:val="nil"/>
                  </w:tcBorders>
                  <w:shd w:val="clear" w:color="auto" w:fill="auto"/>
                  <w:noWrap w:val="0"/>
                  <w:vAlign w:val="center"/>
                </w:tcPr>
                <w:p w14:paraId="578524D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-16.01</w:t>
                  </w:r>
                </w:p>
              </w:tc>
              <w:tc>
                <w:tcPr>
                  <w:tcW w:w="549" w:type="pct"/>
                  <w:tcBorders>
                    <w:tl2br w:val="nil"/>
                    <w:tr2bl w:val="nil"/>
                  </w:tcBorders>
                  <w:shd w:val="clear" w:color="auto" w:fill="auto"/>
                  <w:noWrap w:val="0"/>
                  <w:vAlign w:val="center"/>
                </w:tcPr>
                <w:p w14:paraId="7B0289C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8.49</w:t>
                  </w:r>
                </w:p>
              </w:tc>
              <w:tc>
                <w:tcPr>
                  <w:tcW w:w="441" w:type="pct"/>
                  <w:tcBorders>
                    <w:tl2br w:val="nil"/>
                    <w:tr2bl w:val="nil"/>
                  </w:tcBorders>
                  <w:shd w:val="clear" w:color="auto" w:fill="auto"/>
                  <w:noWrap w:val="0"/>
                  <w:vAlign w:val="center"/>
                </w:tcPr>
                <w:p w14:paraId="10264BD7">
                  <w:pPr>
                    <w:pStyle w:val="39"/>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017A7E3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36.61</w:t>
                  </w:r>
                </w:p>
              </w:tc>
              <w:tc>
                <w:tcPr>
                  <w:tcW w:w="498" w:type="pct"/>
                  <w:tcBorders>
                    <w:tl2br w:val="nil"/>
                    <w:tr2bl w:val="nil"/>
                  </w:tcBorders>
                  <w:shd w:val="clear" w:color="auto" w:fill="auto"/>
                  <w:noWrap w:val="0"/>
                  <w:vAlign w:val="center"/>
                </w:tcPr>
                <w:p w14:paraId="26B60B12">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408C280C">
                  <w:pPr>
                    <w:pStyle w:val="39"/>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581A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continue"/>
                  <w:tcBorders>
                    <w:tl2br w:val="nil"/>
                    <w:tr2bl w:val="nil"/>
                  </w:tcBorders>
                  <w:shd w:val="clear" w:color="auto" w:fill="auto"/>
                  <w:noWrap w:val="0"/>
                  <w:vAlign w:val="center"/>
                </w:tcPr>
                <w:p w14:paraId="5BC9C069">
                  <w:pPr>
                    <w:pStyle w:val="39"/>
                    <w:spacing w:line="240" w:lineRule="auto"/>
                    <w:ind w:left="0" w:leftChars="0" w:firstLine="0" w:firstLineChars="0"/>
                    <w:jc w:val="center"/>
                    <w:rPr>
                      <w:rFonts w:hint="default" w:ascii="Times New Roman" w:hAnsi="Times New Roman" w:eastAsia="宋体" w:cs="Times New Roman"/>
                      <w:color w:val="auto"/>
                      <w:sz w:val="21"/>
                      <w:szCs w:val="21"/>
                    </w:rPr>
                  </w:pPr>
                </w:p>
              </w:tc>
              <w:tc>
                <w:tcPr>
                  <w:tcW w:w="1323" w:type="pct"/>
                  <w:tcBorders>
                    <w:tl2br w:val="nil"/>
                    <w:tr2bl w:val="nil"/>
                  </w:tcBorders>
                  <w:shd w:val="clear" w:color="auto" w:fill="auto"/>
                  <w:noWrap w:val="0"/>
                  <w:vAlign w:val="center"/>
                </w:tcPr>
                <w:p w14:paraId="300E17C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TW" w:bidi="ar-SA"/>
                    </w:rPr>
                  </w:pPr>
                  <w:r>
                    <w:rPr>
                      <w:rFonts w:hint="default" w:ascii="Times New Roman" w:hAnsi="Times New Roman" w:eastAsia="宋体" w:cs="Times New Roman"/>
                      <w:i w:val="0"/>
                      <w:iCs w:val="0"/>
                      <w:color w:val="auto"/>
                      <w:kern w:val="0"/>
                      <w:sz w:val="21"/>
                      <w:szCs w:val="21"/>
                      <w:u w:val="none"/>
                      <w:lang w:val="en-US" w:eastAsia="zh-CN" w:bidi="ar"/>
                    </w:rPr>
                    <w:t>厂区西南侧外1m处</w:t>
                  </w:r>
                </w:p>
              </w:tc>
              <w:tc>
                <w:tcPr>
                  <w:tcW w:w="541" w:type="pct"/>
                  <w:tcBorders>
                    <w:tl2br w:val="nil"/>
                    <w:tr2bl w:val="nil"/>
                  </w:tcBorders>
                  <w:shd w:val="clear" w:color="auto" w:fill="auto"/>
                  <w:noWrap w:val="0"/>
                  <w:vAlign w:val="center"/>
                </w:tcPr>
                <w:p w14:paraId="448136F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-9.24</w:t>
                  </w:r>
                </w:p>
              </w:tc>
              <w:tc>
                <w:tcPr>
                  <w:tcW w:w="549" w:type="pct"/>
                  <w:tcBorders>
                    <w:tl2br w:val="nil"/>
                    <w:tr2bl w:val="nil"/>
                  </w:tcBorders>
                  <w:shd w:val="clear" w:color="auto" w:fill="auto"/>
                  <w:noWrap w:val="0"/>
                  <w:vAlign w:val="center"/>
                </w:tcPr>
                <w:p w14:paraId="5E37F75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-14.65</w:t>
                  </w:r>
                </w:p>
              </w:tc>
              <w:tc>
                <w:tcPr>
                  <w:tcW w:w="441" w:type="pct"/>
                  <w:tcBorders>
                    <w:tl2br w:val="nil"/>
                    <w:tr2bl w:val="nil"/>
                  </w:tcBorders>
                  <w:shd w:val="clear" w:color="auto" w:fill="auto"/>
                  <w:noWrap w:val="0"/>
                  <w:vAlign w:val="center"/>
                </w:tcPr>
                <w:p w14:paraId="0916D4EB">
                  <w:pPr>
                    <w:pStyle w:val="39"/>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38737E9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41.46</w:t>
                  </w:r>
                </w:p>
              </w:tc>
              <w:tc>
                <w:tcPr>
                  <w:tcW w:w="498" w:type="pct"/>
                  <w:tcBorders>
                    <w:tl2br w:val="nil"/>
                    <w:tr2bl w:val="nil"/>
                  </w:tcBorders>
                  <w:shd w:val="clear" w:color="auto" w:fill="auto"/>
                  <w:noWrap w:val="0"/>
                  <w:vAlign w:val="center"/>
                </w:tcPr>
                <w:p w14:paraId="37B16E13">
                  <w:pPr>
                    <w:spacing w:line="240" w:lineRule="auto"/>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02A62F0D">
                  <w:pPr>
                    <w:pStyle w:val="39"/>
                    <w:spacing w:line="240" w:lineRule="auto"/>
                    <w:ind w:left="0" w:lef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1776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restart"/>
                  <w:tcBorders>
                    <w:tl2br w:val="nil"/>
                    <w:tr2bl w:val="nil"/>
                  </w:tcBorders>
                  <w:shd w:val="clear" w:color="auto" w:fill="auto"/>
                  <w:noWrap w:val="0"/>
                  <w:vAlign w:val="center"/>
                </w:tcPr>
                <w:p w14:paraId="0337E151">
                  <w:pPr>
                    <w:pStyle w:val="39"/>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马渡关水厂</w:t>
                  </w:r>
                </w:p>
              </w:tc>
              <w:tc>
                <w:tcPr>
                  <w:tcW w:w="1323" w:type="pct"/>
                  <w:tcBorders>
                    <w:tl2br w:val="nil"/>
                    <w:tr2bl w:val="nil"/>
                  </w:tcBorders>
                  <w:shd w:val="clear" w:color="auto" w:fill="auto"/>
                  <w:noWrap w:val="0"/>
                  <w:vAlign w:val="center"/>
                </w:tcPr>
                <w:p w14:paraId="6795272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厂区东北侧外1m处</w:t>
                  </w:r>
                </w:p>
              </w:tc>
              <w:tc>
                <w:tcPr>
                  <w:tcW w:w="541" w:type="pct"/>
                  <w:tcBorders>
                    <w:tl2br w:val="nil"/>
                    <w:tr2bl w:val="nil"/>
                  </w:tcBorders>
                  <w:shd w:val="clear" w:color="auto" w:fill="auto"/>
                  <w:noWrap w:val="0"/>
                  <w:vAlign w:val="center"/>
                </w:tcPr>
                <w:p w14:paraId="2420A3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9.88</w:t>
                  </w:r>
                </w:p>
              </w:tc>
              <w:tc>
                <w:tcPr>
                  <w:tcW w:w="549" w:type="pct"/>
                  <w:tcBorders>
                    <w:tl2br w:val="nil"/>
                    <w:tr2bl w:val="nil"/>
                  </w:tcBorders>
                  <w:shd w:val="clear" w:color="auto" w:fill="auto"/>
                  <w:noWrap w:val="0"/>
                  <w:vAlign w:val="center"/>
                </w:tcPr>
                <w:p w14:paraId="5608F1E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16.21</w:t>
                  </w:r>
                </w:p>
              </w:tc>
              <w:tc>
                <w:tcPr>
                  <w:tcW w:w="441" w:type="pct"/>
                  <w:tcBorders>
                    <w:tl2br w:val="nil"/>
                    <w:tr2bl w:val="nil"/>
                  </w:tcBorders>
                  <w:shd w:val="clear" w:color="auto" w:fill="auto"/>
                  <w:noWrap w:val="0"/>
                  <w:vAlign w:val="center"/>
                </w:tcPr>
                <w:p w14:paraId="7BFFFDBD">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27A9EAB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31.77</w:t>
                  </w:r>
                </w:p>
              </w:tc>
              <w:tc>
                <w:tcPr>
                  <w:tcW w:w="498" w:type="pct"/>
                  <w:tcBorders>
                    <w:tl2br w:val="nil"/>
                    <w:tr2bl w:val="nil"/>
                  </w:tcBorders>
                  <w:shd w:val="clear" w:color="auto" w:fill="auto"/>
                  <w:noWrap w:val="0"/>
                  <w:vAlign w:val="center"/>
                </w:tcPr>
                <w:p w14:paraId="7CD00ECF">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059EE2B8">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是</w:t>
                  </w:r>
                </w:p>
              </w:tc>
            </w:tr>
            <w:tr w14:paraId="4276A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continue"/>
                  <w:tcBorders>
                    <w:tl2br w:val="nil"/>
                    <w:tr2bl w:val="nil"/>
                  </w:tcBorders>
                  <w:shd w:val="clear" w:color="auto" w:fill="auto"/>
                  <w:noWrap w:val="0"/>
                  <w:vAlign w:val="center"/>
                </w:tcPr>
                <w:p w14:paraId="1C662D7D">
                  <w:pPr>
                    <w:pStyle w:val="39"/>
                    <w:spacing w:line="240" w:lineRule="auto"/>
                    <w:ind w:left="0" w:leftChars="0" w:firstLine="0" w:firstLineChars="0"/>
                    <w:jc w:val="center"/>
                    <w:rPr>
                      <w:rFonts w:hint="default" w:ascii="Times New Roman" w:hAnsi="Times New Roman" w:eastAsia="宋体" w:cs="Times New Roman"/>
                      <w:color w:val="auto"/>
                      <w:sz w:val="21"/>
                      <w:szCs w:val="21"/>
                    </w:rPr>
                  </w:pPr>
                </w:p>
              </w:tc>
              <w:tc>
                <w:tcPr>
                  <w:tcW w:w="1323" w:type="pct"/>
                  <w:tcBorders>
                    <w:tl2br w:val="nil"/>
                    <w:tr2bl w:val="nil"/>
                  </w:tcBorders>
                  <w:shd w:val="clear" w:color="auto" w:fill="auto"/>
                  <w:noWrap w:val="0"/>
                  <w:vAlign w:val="center"/>
                </w:tcPr>
                <w:p w14:paraId="7F33A79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厂区东南侧外1m处</w:t>
                  </w:r>
                </w:p>
              </w:tc>
              <w:tc>
                <w:tcPr>
                  <w:tcW w:w="541" w:type="pct"/>
                  <w:tcBorders>
                    <w:tl2br w:val="nil"/>
                    <w:tr2bl w:val="nil"/>
                  </w:tcBorders>
                  <w:shd w:val="clear" w:color="auto" w:fill="auto"/>
                  <w:noWrap w:val="0"/>
                  <w:vAlign w:val="center"/>
                </w:tcPr>
                <w:p w14:paraId="53B75BD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33.07</w:t>
                  </w:r>
                </w:p>
              </w:tc>
              <w:tc>
                <w:tcPr>
                  <w:tcW w:w="549" w:type="pct"/>
                  <w:tcBorders>
                    <w:tl2br w:val="nil"/>
                    <w:tr2bl w:val="nil"/>
                  </w:tcBorders>
                  <w:shd w:val="clear" w:color="auto" w:fill="auto"/>
                  <w:noWrap w:val="0"/>
                  <w:vAlign w:val="center"/>
                </w:tcPr>
                <w:p w14:paraId="107D60E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-10.97</w:t>
                  </w:r>
                </w:p>
              </w:tc>
              <w:tc>
                <w:tcPr>
                  <w:tcW w:w="441" w:type="pct"/>
                  <w:tcBorders>
                    <w:tl2br w:val="nil"/>
                    <w:tr2bl w:val="nil"/>
                  </w:tcBorders>
                  <w:shd w:val="clear" w:color="auto" w:fill="auto"/>
                  <w:noWrap w:val="0"/>
                  <w:vAlign w:val="center"/>
                </w:tcPr>
                <w:p w14:paraId="003B72DB">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03A8F7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29.40</w:t>
                  </w:r>
                </w:p>
              </w:tc>
              <w:tc>
                <w:tcPr>
                  <w:tcW w:w="498" w:type="pct"/>
                  <w:tcBorders>
                    <w:tl2br w:val="nil"/>
                    <w:tr2bl w:val="nil"/>
                  </w:tcBorders>
                  <w:shd w:val="clear" w:color="auto" w:fill="auto"/>
                  <w:noWrap w:val="0"/>
                  <w:vAlign w:val="center"/>
                </w:tcPr>
                <w:p w14:paraId="747C7C3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2E1F07B6">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是</w:t>
                  </w:r>
                </w:p>
              </w:tc>
            </w:tr>
            <w:tr w14:paraId="309F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continue"/>
                  <w:tcBorders>
                    <w:tl2br w:val="nil"/>
                    <w:tr2bl w:val="nil"/>
                  </w:tcBorders>
                  <w:shd w:val="clear" w:color="auto" w:fill="auto"/>
                  <w:noWrap w:val="0"/>
                  <w:vAlign w:val="center"/>
                </w:tcPr>
                <w:p w14:paraId="319BA3BB">
                  <w:pPr>
                    <w:pStyle w:val="39"/>
                    <w:spacing w:line="240" w:lineRule="auto"/>
                    <w:ind w:left="0" w:leftChars="0" w:firstLine="0" w:firstLineChars="0"/>
                    <w:jc w:val="center"/>
                    <w:rPr>
                      <w:rFonts w:hint="default" w:ascii="Times New Roman" w:hAnsi="Times New Roman" w:eastAsia="宋体" w:cs="Times New Roman"/>
                      <w:color w:val="auto"/>
                      <w:sz w:val="21"/>
                      <w:szCs w:val="21"/>
                    </w:rPr>
                  </w:pPr>
                </w:p>
              </w:tc>
              <w:tc>
                <w:tcPr>
                  <w:tcW w:w="1323" w:type="pct"/>
                  <w:tcBorders>
                    <w:tl2br w:val="nil"/>
                    <w:tr2bl w:val="nil"/>
                  </w:tcBorders>
                  <w:shd w:val="clear" w:color="auto" w:fill="auto"/>
                  <w:noWrap w:val="0"/>
                  <w:vAlign w:val="center"/>
                </w:tcPr>
                <w:p w14:paraId="3CF68E1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厂区西南侧外1m处</w:t>
                  </w:r>
                </w:p>
              </w:tc>
              <w:tc>
                <w:tcPr>
                  <w:tcW w:w="541" w:type="pct"/>
                  <w:tcBorders>
                    <w:tl2br w:val="nil"/>
                    <w:tr2bl w:val="nil"/>
                  </w:tcBorders>
                  <w:shd w:val="clear" w:color="auto" w:fill="auto"/>
                  <w:noWrap w:val="0"/>
                  <w:vAlign w:val="center"/>
                </w:tcPr>
                <w:p w14:paraId="792A4CF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-7.15</w:t>
                  </w:r>
                </w:p>
              </w:tc>
              <w:tc>
                <w:tcPr>
                  <w:tcW w:w="549" w:type="pct"/>
                  <w:tcBorders>
                    <w:tl2br w:val="nil"/>
                    <w:tr2bl w:val="nil"/>
                  </w:tcBorders>
                  <w:shd w:val="clear" w:color="auto" w:fill="auto"/>
                  <w:noWrap w:val="0"/>
                  <w:vAlign w:val="center"/>
                </w:tcPr>
                <w:p w14:paraId="1ABA482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-16.77</w:t>
                  </w:r>
                </w:p>
              </w:tc>
              <w:tc>
                <w:tcPr>
                  <w:tcW w:w="441" w:type="pct"/>
                  <w:tcBorders>
                    <w:tl2br w:val="nil"/>
                    <w:tr2bl w:val="nil"/>
                  </w:tcBorders>
                  <w:shd w:val="clear" w:color="auto" w:fill="auto"/>
                  <w:noWrap w:val="0"/>
                  <w:vAlign w:val="center"/>
                </w:tcPr>
                <w:p w14:paraId="2E1BDD28">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3BCEBE0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45.16</w:t>
                  </w:r>
                </w:p>
              </w:tc>
              <w:tc>
                <w:tcPr>
                  <w:tcW w:w="498" w:type="pct"/>
                  <w:tcBorders>
                    <w:tl2br w:val="nil"/>
                    <w:tr2bl w:val="nil"/>
                  </w:tcBorders>
                  <w:shd w:val="clear" w:color="auto" w:fill="auto"/>
                  <w:noWrap w:val="0"/>
                  <w:vAlign w:val="center"/>
                </w:tcPr>
                <w:p w14:paraId="28F9491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53054B14">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是</w:t>
                  </w:r>
                </w:p>
              </w:tc>
            </w:tr>
            <w:tr w14:paraId="723F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32" w:type="pct"/>
                  <w:vMerge w:val="continue"/>
                  <w:tcBorders>
                    <w:tl2br w:val="nil"/>
                    <w:tr2bl w:val="nil"/>
                  </w:tcBorders>
                  <w:shd w:val="clear" w:color="auto" w:fill="auto"/>
                  <w:noWrap w:val="0"/>
                  <w:vAlign w:val="center"/>
                </w:tcPr>
                <w:p w14:paraId="28761FED">
                  <w:pPr>
                    <w:pStyle w:val="39"/>
                    <w:spacing w:line="240" w:lineRule="auto"/>
                    <w:ind w:left="0" w:leftChars="0" w:firstLine="0" w:firstLineChars="0"/>
                    <w:jc w:val="center"/>
                    <w:rPr>
                      <w:rFonts w:hint="default" w:ascii="Times New Roman" w:hAnsi="Times New Roman" w:eastAsia="宋体" w:cs="Times New Roman"/>
                      <w:color w:val="auto"/>
                      <w:sz w:val="21"/>
                      <w:szCs w:val="21"/>
                    </w:rPr>
                  </w:pPr>
                </w:p>
              </w:tc>
              <w:tc>
                <w:tcPr>
                  <w:tcW w:w="1323" w:type="pct"/>
                  <w:tcBorders>
                    <w:tl2br w:val="nil"/>
                    <w:tr2bl w:val="nil"/>
                  </w:tcBorders>
                  <w:shd w:val="clear" w:color="auto" w:fill="auto"/>
                  <w:noWrap w:val="0"/>
                  <w:vAlign w:val="center"/>
                </w:tcPr>
                <w:p w14:paraId="602FC7E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厂区西北侧外1m处</w:t>
                  </w:r>
                </w:p>
              </w:tc>
              <w:tc>
                <w:tcPr>
                  <w:tcW w:w="541" w:type="pct"/>
                  <w:tcBorders>
                    <w:tl2br w:val="nil"/>
                    <w:tr2bl w:val="nil"/>
                  </w:tcBorders>
                  <w:shd w:val="clear" w:color="auto" w:fill="auto"/>
                  <w:noWrap w:val="0"/>
                  <w:vAlign w:val="center"/>
                </w:tcPr>
                <w:p w14:paraId="527FCAB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-23.82</w:t>
                  </w:r>
                </w:p>
              </w:tc>
              <w:tc>
                <w:tcPr>
                  <w:tcW w:w="549" w:type="pct"/>
                  <w:tcBorders>
                    <w:tl2br w:val="nil"/>
                    <w:tr2bl w:val="nil"/>
                  </w:tcBorders>
                  <w:shd w:val="clear" w:color="auto" w:fill="auto"/>
                  <w:noWrap w:val="0"/>
                  <w:vAlign w:val="center"/>
                </w:tcPr>
                <w:p w14:paraId="2123E80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11.86</w:t>
                  </w:r>
                </w:p>
              </w:tc>
              <w:tc>
                <w:tcPr>
                  <w:tcW w:w="441" w:type="pct"/>
                  <w:tcBorders>
                    <w:tl2br w:val="nil"/>
                    <w:tr2bl w:val="nil"/>
                  </w:tcBorders>
                  <w:shd w:val="clear" w:color="auto" w:fill="auto"/>
                  <w:noWrap w:val="0"/>
                  <w:vAlign w:val="center"/>
                </w:tcPr>
                <w:p w14:paraId="0B05494E">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昼夜</w:t>
                  </w:r>
                </w:p>
              </w:tc>
              <w:tc>
                <w:tcPr>
                  <w:tcW w:w="559" w:type="pct"/>
                  <w:tcBorders>
                    <w:tl2br w:val="nil"/>
                    <w:tr2bl w:val="nil"/>
                  </w:tcBorders>
                  <w:shd w:val="clear" w:color="auto" w:fill="auto"/>
                  <w:noWrap w:val="0"/>
                  <w:vAlign w:val="center"/>
                </w:tcPr>
                <w:p w14:paraId="3F7DC79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34.72</w:t>
                  </w:r>
                </w:p>
              </w:tc>
              <w:tc>
                <w:tcPr>
                  <w:tcW w:w="498" w:type="pct"/>
                  <w:tcBorders>
                    <w:tl2br w:val="nil"/>
                    <w:tr2bl w:val="nil"/>
                  </w:tcBorders>
                  <w:shd w:val="clear" w:color="auto" w:fill="auto"/>
                  <w:noWrap w:val="0"/>
                  <w:vAlign w:val="center"/>
                </w:tcPr>
                <w:p w14:paraId="5A887AD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60/50</w:t>
                  </w:r>
                </w:p>
              </w:tc>
              <w:tc>
                <w:tcPr>
                  <w:tcW w:w="652" w:type="pct"/>
                  <w:tcBorders>
                    <w:tl2br w:val="nil"/>
                    <w:tr2bl w:val="nil"/>
                  </w:tcBorders>
                  <w:shd w:val="clear" w:color="auto" w:fill="auto"/>
                  <w:noWrap w:val="0"/>
                  <w:vAlign w:val="center"/>
                </w:tcPr>
                <w:p w14:paraId="27485972">
                  <w:pPr>
                    <w:pStyle w:val="39"/>
                    <w:spacing w:line="240" w:lineRule="auto"/>
                    <w:ind w:left="0" w:leftChars="0"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rPr>
                    <w:t>是</w:t>
                  </w:r>
                </w:p>
              </w:tc>
            </w:tr>
          </w:tbl>
          <w:p w14:paraId="0E4468C9">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color w:val="auto"/>
                <w:sz w:val="24"/>
                <w:szCs w:val="24"/>
                <w:lang w:val="en-US" w:eastAsia="zh-CN"/>
              </w:rPr>
              <w:t>根据预测结果可知，经过距离衰减后对厂界的噪声贡献值较小，营运期厂界昼间</w:t>
            </w:r>
            <w:r>
              <w:rPr>
                <w:rFonts w:hint="eastAsia" w:ascii="Times New Roman" w:hAnsi="Times New Roman" w:eastAsia="宋体" w:cs="Times New Roman"/>
                <w:color w:val="auto"/>
                <w:sz w:val="24"/>
                <w:szCs w:val="24"/>
                <w:lang w:val="en-US" w:eastAsia="zh-CN"/>
              </w:rPr>
              <w:t>、夜间</w:t>
            </w:r>
            <w:r>
              <w:rPr>
                <w:rFonts w:hint="default" w:ascii="Times New Roman" w:hAnsi="Times New Roman" w:eastAsia="宋体" w:cs="Times New Roman"/>
                <w:color w:val="auto"/>
                <w:sz w:val="24"/>
                <w:szCs w:val="24"/>
                <w:lang w:val="en-US" w:eastAsia="zh-CN"/>
              </w:rPr>
              <w:t>噪声贡献值能满足《工业企业厂界环境噪声排放标准》（GB 12348-2008）2类标准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rPr>
              <w:t>项目噪声对环境影响较小</w:t>
            </w:r>
            <w:r>
              <w:rPr>
                <w:rFonts w:hint="default" w:ascii="Times New Roman" w:hAnsi="Times New Roman" w:eastAsia="宋体" w:cs="Times New Roman"/>
                <w:color w:val="auto"/>
                <w:sz w:val="24"/>
                <w:szCs w:val="24"/>
                <w:highlight w:val="none"/>
                <w:lang w:eastAsia="zh-CN"/>
              </w:rPr>
              <w:t>。</w:t>
            </w:r>
          </w:p>
          <w:p w14:paraId="320ACBB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2）敏感点预测结果</w:t>
            </w:r>
          </w:p>
          <w:p w14:paraId="65B4AA66">
            <w:pPr>
              <w:pStyle w:val="52"/>
              <w:keepNext w:val="0"/>
              <w:keepLines w:val="0"/>
              <w:pageBreakBefore w:val="0"/>
              <w:widowControl w:val="0"/>
              <w:tabs>
                <w:tab w:val="left" w:pos="7380"/>
              </w:tabs>
              <w:kinsoku/>
              <w:wordWrap/>
              <w:overflowPunct/>
              <w:topLinePunct w:val="0"/>
              <w:autoSpaceDE/>
              <w:autoSpaceDN/>
              <w:bidi w:val="0"/>
              <w:adjustRightInd/>
              <w:snapToGrid/>
              <w:spacing w:before="0" w:beforeAutospacing="0" w:after="0" w:afterAutospacing="0" w:line="360" w:lineRule="auto"/>
              <w:ind w:left="0" w:right="113"/>
              <w:textAlignment w:val="auto"/>
              <w:rPr>
                <w:rFonts w:hint="default" w:ascii="Times New Roman" w:hAnsi="Times New Roman" w:cs="Times New Roman"/>
                <w:b w:val="0"/>
                <w:bCs/>
                <w:color w:val="auto"/>
                <w:sz w:val="21"/>
                <w:szCs w:val="16"/>
                <w:highlight w:val="none"/>
                <w:lang w:val="en-US" w:eastAsia="zh-CN"/>
              </w:rPr>
            </w:pPr>
            <w:r>
              <w:rPr>
                <w:rFonts w:hint="default" w:ascii="Times New Roman" w:hAnsi="Times New Roman" w:cs="Times New Roman"/>
                <w:b w:val="0"/>
                <w:bCs/>
                <w:color w:val="auto"/>
                <w:sz w:val="21"/>
                <w:szCs w:val="16"/>
                <w:highlight w:val="none"/>
                <w:lang w:val="en-US" w:eastAsia="zh-CN"/>
              </w:rPr>
              <w:t>表4-13  本项目声环境敏感目标噪声预测结果  单位：</w:t>
            </w:r>
            <w:r>
              <w:rPr>
                <w:rFonts w:hint="default" w:ascii="Times New Roman" w:hAnsi="Times New Roman" w:eastAsia="黑体" w:cs="Times New Roman"/>
                <w:b w:val="0"/>
                <w:bCs/>
                <w:color w:val="auto"/>
                <w:sz w:val="21"/>
                <w:szCs w:val="16"/>
                <w:highlight w:val="none"/>
                <w:lang w:val="en-US" w:eastAsia="zh-CN"/>
              </w:rPr>
              <w:t>（dB（A））</w:t>
            </w:r>
          </w:p>
          <w:tbl>
            <w:tblPr>
              <w:tblStyle w:val="25"/>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0"/>
              <w:gridCol w:w="935"/>
              <w:gridCol w:w="741"/>
              <w:gridCol w:w="1419"/>
              <w:gridCol w:w="1311"/>
              <w:gridCol w:w="1363"/>
              <w:gridCol w:w="1466"/>
              <w:gridCol w:w="1465"/>
            </w:tblGrid>
            <w:tr w14:paraId="3DE8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247" w:type="pct"/>
                  <w:gridSpan w:val="3"/>
                  <w:tcBorders>
                    <w:tl2br w:val="nil"/>
                    <w:tr2bl w:val="nil"/>
                  </w:tcBorders>
                  <w:shd w:val="clear" w:color="auto" w:fill="auto"/>
                  <w:noWrap w:val="0"/>
                  <w:vAlign w:val="center"/>
                </w:tcPr>
                <w:p w14:paraId="759B3500">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声环境保护目标名称</w:t>
                  </w:r>
                </w:p>
              </w:tc>
              <w:tc>
                <w:tcPr>
                  <w:tcW w:w="758" w:type="pct"/>
                  <w:tcBorders>
                    <w:tl2br w:val="nil"/>
                    <w:tr2bl w:val="nil"/>
                  </w:tcBorders>
                  <w:shd w:val="clear" w:color="auto" w:fill="auto"/>
                  <w:noWrap w:val="0"/>
                  <w:vAlign w:val="center"/>
                </w:tcPr>
                <w:p w14:paraId="5EFB6096">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噪声背景值</w:t>
                  </w:r>
                </w:p>
              </w:tc>
              <w:tc>
                <w:tcPr>
                  <w:tcW w:w="700" w:type="pct"/>
                  <w:tcBorders>
                    <w:tl2br w:val="nil"/>
                    <w:tr2bl w:val="nil"/>
                  </w:tcBorders>
                  <w:shd w:val="clear" w:color="auto" w:fill="auto"/>
                  <w:noWrap w:val="0"/>
                  <w:vAlign w:val="center"/>
                </w:tcPr>
                <w:p w14:paraId="31BEDDA1">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噪声贡献值</w:t>
                  </w:r>
                </w:p>
              </w:tc>
              <w:tc>
                <w:tcPr>
                  <w:tcW w:w="728" w:type="pct"/>
                  <w:tcBorders>
                    <w:tl2br w:val="nil"/>
                    <w:tr2bl w:val="nil"/>
                  </w:tcBorders>
                  <w:shd w:val="clear" w:color="auto" w:fill="auto"/>
                  <w:noWrap w:val="0"/>
                  <w:vAlign w:val="center"/>
                </w:tcPr>
                <w:p w14:paraId="63355160">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噪声预测值</w:t>
                  </w:r>
                </w:p>
              </w:tc>
              <w:tc>
                <w:tcPr>
                  <w:tcW w:w="783" w:type="pct"/>
                  <w:tcBorders>
                    <w:tl2br w:val="nil"/>
                    <w:tr2bl w:val="nil"/>
                  </w:tcBorders>
                  <w:shd w:val="clear" w:color="auto" w:fill="auto"/>
                  <w:noWrap w:val="0"/>
                  <w:vAlign w:val="center"/>
                </w:tcPr>
                <w:p w14:paraId="2336AAAA">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较现状增量</w:t>
                  </w:r>
                </w:p>
              </w:tc>
              <w:tc>
                <w:tcPr>
                  <w:tcW w:w="782" w:type="pct"/>
                  <w:tcBorders>
                    <w:tl2br w:val="nil"/>
                    <w:tr2bl w:val="nil"/>
                  </w:tcBorders>
                  <w:shd w:val="clear" w:color="auto" w:fill="auto"/>
                  <w:noWrap w:val="0"/>
                  <w:vAlign w:val="center"/>
                </w:tcPr>
                <w:p w14:paraId="371CAE78">
                  <w:pPr>
                    <w:pStyle w:val="39"/>
                    <w:spacing w:line="240" w:lineRule="auto"/>
                    <w:ind w:left="0" w:leftChars="0"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达标情况</w:t>
                  </w:r>
                </w:p>
              </w:tc>
            </w:tr>
            <w:tr w14:paraId="4900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52" w:type="pct"/>
                  <w:vMerge w:val="restart"/>
                  <w:tcBorders>
                    <w:tl2br w:val="nil"/>
                    <w:tr2bl w:val="nil"/>
                  </w:tcBorders>
                  <w:shd w:val="clear" w:color="auto" w:fill="auto"/>
                  <w:noWrap w:val="0"/>
                  <w:vAlign w:val="center"/>
                </w:tcPr>
                <w:p w14:paraId="68E6537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马渡关水厂</w:t>
                  </w:r>
                </w:p>
              </w:tc>
              <w:tc>
                <w:tcPr>
                  <w:tcW w:w="499" w:type="pct"/>
                  <w:vMerge w:val="restart"/>
                  <w:tcBorders>
                    <w:tl2br w:val="nil"/>
                    <w:tr2bl w:val="nil"/>
                  </w:tcBorders>
                  <w:shd w:val="clear" w:color="auto" w:fill="auto"/>
                  <w:noWrap w:val="0"/>
                  <w:vAlign w:val="center"/>
                </w:tcPr>
                <w:p w14:paraId="40AC869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西侧农户</w:t>
                  </w:r>
                </w:p>
              </w:tc>
              <w:tc>
                <w:tcPr>
                  <w:tcW w:w="395" w:type="pct"/>
                  <w:tcBorders>
                    <w:tl2br w:val="nil"/>
                    <w:tr2bl w:val="nil"/>
                  </w:tcBorders>
                  <w:shd w:val="clear" w:color="auto" w:fill="auto"/>
                  <w:noWrap w:val="0"/>
                  <w:vAlign w:val="center"/>
                </w:tcPr>
                <w:p w14:paraId="6878428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昼间</w:t>
                  </w:r>
                </w:p>
              </w:tc>
              <w:tc>
                <w:tcPr>
                  <w:tcW w:w="758" w:type="pct"/>
                  <w:tcBorders>
                    <w:tl2br w:val="nil"/>
                    <w:tr2bl w:val="nil"/>
                  </w:tcBorders>
                  <w:shd w:val="clear" w:color="auto" w:fill="auto"/>
                  <w:noWrap w:val="0"/>
                  <w:vAlign w:val="center"/>
                </w:tcPr>
                <w:p w14:paraId="75F1DA6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55</w:t>
                  </w:r>
                </w:p>
              </w:tc>
              <w:tc>
                <w:tcPr>
                  <w:tcW w:w="700" w:type="pct"/>
                  <w:tcBorders>
                    <w:tl2br w:val="nil"/>
                    <w:tr2bl w:val="nil"/>
                  </w:tcBorders>
                  <w:shd w:val="clear" w:color="auto" w:fill="auto"/>
                  <w:noWrap w:val="0"/>
                  <w:vAlign w:val="center"/>
                </w:tcPr>
                <w:p w14:paraId="10E6E0D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22.78</w:t>
                  </w:r>
                </w:p>
              </w:tc>
              <w:tc>
                <w:tcPr>
                  <w:tcW w:w="728" w:type="pct"/>
                  <w:tcBorders>
                    <w:tl2br w:val="nil"/>
                    <w:tr2bl w:val="nil"/>
                  </w:tcBorders>
                  <w:shd w:val="clear" w:color="auto" w:fill="auto"/>
                  <w:noWrap w:val="0"/>
                  <w:vAlign w:val="center"/>
                </w:tcPr>
                <w:p w14:paraId="0A0EAF1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55</w:t>
                  </w:r>
                </w:p>
              </w:tc>
              <w:tc>
                <w:tcPr>
                  <w:tcW w:w="783" w:type="pct"/>
                  <w:tcBorders>
                    <w:tl2br w:val="nil"/>
                    <w:tr2bl w:val="nil"/>
                  </w:tcBorders>
                  <w:shd w:val="clear" w:color="auto" w:fill="auto"/>
                  <w:noWrap w:val="0"/>
                  <w:vAlign w:val="center"/>
                </w:tcPr>
                <w:p w14:paraId="0AA5A6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782" w:type="pct"/>
                  <w:tcBorders>
                    <w:tl2br w:val="nil"/>
                    <w:tr2bl w:val="nil"/>
                  </w:tcBorders>
                  <w:shd w:val="clear" w:color="auto" w:fill="auto"/>
                  <w:noWrap w:val="0"/>
                  <w:vAlign w:val="center"/>
                </w:tcPr>
                <w:p w14:paraId="105C31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C1E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52" w:type="pct"/>
                  <w:vMerge w:val="continue"/>
                  <w:tcBorders>
                    <w:tl2br w:val="nil"/>
                    <w:tr2bl w:val="nil"/>
                  </w:tcBorders>
                  <w:shd w:val="clear" w:color="auto" w:fill="auto"/>
                  <w:noWrap w:val="0"/>
                  <w:vAlign w:val="center"/>
                </w:tcPr>
                <w:p w14:paraId="027FAE7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499" w:type="pct"/>
                  <w:vMerge w:val="continue"/>
                  <w:tcBorders>
                    <w:tl2br w:val="nil"/>
                    <w:tr2bl w:val="nil"/>
                  </w:tcBorders>
                  <w:shd w:val="clear" w:color="auto" w:fill="auto"/>
                  <w:noWrap w:val="0"/>
                  <w:vAlign w:val="center"/>
                </w:tcPr>
                <w:p w14:paraId="1B121B8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395" w:type="pct"/>
                  <w:tcBorders>
                    <w:tl2br w:val="nil"/>
                    <w:tr2bl w:val="nil"/>
                  </w:tcBorders>
                  <w:shd w:val="clear" w:color="auto" w:fill="auto"/>
                  <w:noWrap w:val="0"/>
                  <w:vAlign w:val="center"/>
                </w:tcPr>
                <w:p w14:paraId="100AC7A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夜间</w:t>
                  </w:r>
                </w:p>
              </w:tc>
              <w:tc>
                <w:tcPr>
                  <w:tcW w:w="758" w:type="pct"/>
                  <w:tcBorders>
                    <w:tl2br w:val="nil"/>
                    <w:tr2bl w:val="nil"/>
                  </w:tcBorders>
                  <w:shd w:val="clear" w:color="auto" w:fill="auto"/>
                  <w:noWrap w:val="0"/>
                  <w:vAlign w:val="center"/>
                </w:tcPr>
                <w:p w14:paraId="6818EE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w:t>
                  </w:r>
                </w:p>
              </w:tc>
              <w:tc>
                <w:tcPr>
                  <w:tcW w:w="700" w:type="pct"/>
                  <w:tcBorders>
                    <w:tl2br w:val="nil"/>
                    <w:tr2bl w:val="nil"/>
                  </w:tcBorders>
                  <w:shd w:val="clear" w:color="auto" w:fill="auto"/>
                  <w:noWrap w:val="0"/>
                  <w:vAlign w:val="center"/>
                </w:tcPr>
                <w:p w14:paraId="50FD1A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22.78</w:t>
                  </w:r>
                </w:p>
              </w:tc>
              <w:tc>
                <w:tcPr>
                  <w:tcW w:w="728" w:type="pct"/>
                  <w:tcBorders>
                    <w:tl2br w:val="nil"/>
                    <w:tr2bl w:val="nil"/>
                  </w:tcBorders>
                  <w:shd w:val="clear" w:color="auto" w:fill="auto"/>
                  <w:noWrap w:val="0"/>
                  <w:vAlign w:val="center"/>
                </w:tcPr>
                <w:p w14:paraId="3597AC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46.02</w:t>
                  </w:r>
                </w:p>
              </w:tc>
              <w:tc>
                <w:tcPr>
                  <w:tcW w:w="783" w:type="pct"/>
                  <w:tcBorders>
                    <w:tl2br w:val="nil"/>
                    <w:tr2bl w:val="nil"/>
                  </w:tcBorders>
                  <w:shd w:val="clear" w:color="auto" w:fill="auto"/>
                  <w:noWrap w:val="0"/>
                  <w:vAlign w:val="center"/>
                </w:tcPr>
                <w:p w14:paraId="0214C3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782" w:type="pct"/>
                  <w:tcBorders>
                    <w:tl2br w:val="nil"/>
                    <w:tr2bl w:val="nil"/>
                  </w:tcBorders>
                  <w:shd w:val="clear" w:color="auto" w:fill="auto"/>
                  <w:noWrap w:val="0"/>
                  <w:vAlign w:val="center"/>
                </w:tcPr>
                <w:p w14:paraId="78B0A8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9DF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52" w:type="pct"/>
                  <w:vMerge w:val="continue"/>
                  <w:tcBorders>
                    <w:tl2br w:val="nil"/>
                    <w:tr2bl w:val="nil"/>
                  </w:tcBorders>
                  <w:shd w:val="clear" w:color="auto" w:fill="auto"/>
                  <w:noWrap w:val="0"/>
                  <w:vAlign w:val="center"/>
                </w:tcPr>
                <w:p w14:paraId="7923883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499" w:type="pct"/>
                  <w:vMerge w:val="restart"/>
                  <w:tcBorders>
                    <w:tl2br w:val="nil"/>
                    <w:tr2bl w:val="nil"/>
                  </w:tcBorders>
                  <w:shd w:val="clear" w:color="auto" w:fill="auto"/>
                  <w:noWrap w:val="0"/>
                  <w:vAlign w:val="center"/>
                </w:tcPr>
                <w:p w14:paraId="3D0CFE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
                    </w:rPr>
                    <w:t>北侧农户</w:t>
                  </w:r>
                </w:p>
              </w:tc>
              <w:tc>
                <w:tcPr>
                  <w:tcW w:w="395" w:type="pct"/>
                  <w:tcBorders>
                    <w:tl2br w:val="nil"/>
                    <w:tr2bl w:val="nil"/>
                  </w:tcBorders>
                  <w:shd w:val="clear" w:color="auto" w:fill="auto"/>
                  <w:noWrap w:val="0"/>
                  <w:vAlign w:val="center"/>
                </w:tcPr>
                <w:p w14:paraId="1780E2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昼间</w:t>
                  </w:r>
                </w:p>
              </w:tc>
              <w:tc>
                <w:tcPr>
                  <w:tcW w:w="758" w:type="pct"/>
                  <w:tcBorders>
                    <w:tl2br w:val="nil"/>
                    <w:tr2bl w:val="nil"/>
                  </w:tcBorders>
                  <w:shd w:val="clear" w:color="auto" w:fill="auto"/>
                  <w:noWrap w:val="0"/>
                  <w:vAlign w:val="center"/>
                </w:tcPr>
                <w:p w14:paraId="253179D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55</w:t>
                  </w:r>
                </w:p>
              </w:tc>
              <w:tc>
                <w:tcPr>
                  <w:tcW w:w="700" w:type="pct"/>
                  <w:tcBorders>
                    <w:tl2br w:val="nil"/>
                    <w:tr2bl w:val="nil"/>
                  </w:tcBorders>
                  <w:shd w:val="clear" w:color="auto" w:fill="auto"/>
                  <w:noWrap w:val="0"/>
                  <w:vAlign w:val="center"/>
                </w:tcPr>
                <w:p w14:paraId="67206C89">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26.58</w:t>
                  </w:r>
                </w:p>
              </w:tc>
              <w:tc>
                <w:tcPr>
                  <w:tcW w:w="728" w:type="pct"/>
                  <w:tcBorders>
                    <w:tl2br w:val="nil"/>
                    <w:tr2bl w:val="nil"/>
                  </w:tcBorders>
                  <w:shd w:val="clear" w:color="auto" w:fill="auto"/>
                  <w:noWrap w:val="0"/>
                  <w:vAlign w:val="center"/>
                </w:tcPr>
                <w:p w14:paraId="027E18B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55.01</w:t>
                  </w:r>
                </w:p>
              </w:tc>
              <w:tc>
                <w:tcPr>
                  <w:tcW w:w="783" w:type="pct"/>
                  <w:tcBorders>
                    <w:tl2br w:val="nil"/>
                    <w:tr2bl w:val="nil"/>
                  </w:tcBorders>
                  <w:shd w:val="clear" w:color="auto" w:fill="auto"/>
                  <w:noWrap w:val="0"/>
                  <w:vAlign w:val="center"/>
                </w:tcPr>
                <w:p w14:paraId="40DAF9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782" w:type="pct"/>
                  <w:tcBorders>
                    <w:tl2br w:val="nil"/>
                    <w:tr2bl w:val="nil"/>
                  </w:tcBorders>
                  <w:shd w:val="clear" w:color="auto" w:fill="auto"/>
                  <w:noWrap w:val="0"/>
                  <w:vAlign w:val="center"/>
                </w:tcPr>
                <w:p w14:paraId="156460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A2D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52" w:type="pct"/>
                  <w:vMerge w:val="continue"/>
                  <w:tcBorders>
                    <w:tl2br w:val="nil"/>
                    <w:tr2bl w:val="nil"/>
                  </w:tcBorders>
                  <w:shd w:val="clear" w:color="auto" w:fill="auto"/>
                  <w:noWrap w:val="0"/>
                  <w:vAlign w:val="center"/>
                </w:tcPr>
                <w:p w14:paraId="6DFF5FA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499" w:type="pct"/>
                  <w:vMerge w:val="continue"/>
                  <w:tcBorders>
                    <w:tl2br w:val="nil"/>
                    <w:tr2bl w:val="nil"/>
                  </w:tcBorders>
                  <w:shd w:val="clear" w:color="auto" w:fill="auto"/>
                  <w:noWrap w:val="0"/>
                  <w:vAlign w:val="center"/>
                </w:tcPr>
                <w:p w14:paraId="3FBB099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p>
              </w:tc>
              <w:tc>
                <w:tcPr>
                  <w:tcW w:w="395" w:type="pct"/>
                  <w:tcBorders>
                    <w:tl2br w:val="nil"/>
                    <w:tr2bl w:val="nil"/>
                  </w:tcBorders>
                  <w:shd w:val="clear" w:color="auto" w:fill="auto"/>
                  <w:noWrap w:val="0"/>
                  <w:vAlign w:val="center"/>
                </w:tcPr>
                <w:p w14:paraId="46C74CA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夜间</w:t>
                  </w:r>
                </w:p>
              </w:tc>
              <w:tc>
                <w:tcPr>
                  <w:tcW w:w="758" w:type="pct"/>
                  <w:tcBorders>
                    <w:tl2br w:val="nil"/>
                    <w:tr2bl w:val="nil"/>
                  </w:tcBorders>
                  <w:shd w:val="clear" w:color="auto" w:fill="auto"/>
                  <w:noWrap w:val="0"/>
                  <w:vAlign w:val="center"/>
                </w:tcPr>
                <w:p w14:paraId="36CD976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45</w:t>
                  </w:r>
                </w:p>
              </w:tc>
              <w:tc>
                <w:tcPr>
                  <w:tcW w:w="700" w:type="pct"/>
                  <w:tcBorders>
                    <w:tl2br w:val="nil"/>
                    <w:tr2bl w:val="nil"/>
                  </w:tcBorders>
                  <w:shd w:val="clear" w:color="auto" w:fill="auto"/>
                  <w:noWrap w:val="0"/>
                  <w:vAlign w:val="center"/>
                </w:tcPr>
                <w:p w14:paraId="041D3DD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26.58</w:t>
                  </w:r>
                </w:p>
              </w:tc>
              <w:tc>
                <w:tcPr>
                  <w:tcW w:w="728" w:type="pct"/>
                  <w:tcBorders>
                    <w:tl2br w:val="nil"/>
                    <w:tr2bl w:val="nil"/>
                  </w:tcBorders>
                  <w:shd w:val="clear" w:color="auto" w:fill="auto"/>
                  <w:noWrap w:val="0"/>
                  <w:vAlign w:val="center"/>
                </w:tcPr>
                <w:p w14:paraId="4DE7F46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45.06</w:t>
                  </w:r>
                </w:p>
              </w:tc>
              <w:tc>
                <w:tcPr>
                  <w:tcW w:w="783" w:type="pct"/>
                  <w:tcBorders>
                    <w:tl2br w:val="nil"/>
                    <w:tr2bl w:val="nil"/>
                  </w:tcBorders>
                  <w:shd w:val="clear" w:color="auto" w:fill="auto"/>
                  <w:noWrap w:val="0"/>
                  <w:vAlign w:val="center"/>
                </w:tcPr>
                <w:p w14:paraId="7121E1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782" w:type="pct"/>
                  <w:tcBorders>
                    <w:tl2br w:val="nil"/>
                    <w:tr2bl w:val="nil"/>
                  </w:tcBorders>
                  <w:shd w:val="clear" w:color="auto" w:fill="auto"/>
                  <w:noWrap w:val="0"/>
                  <w:vAlign w:val="center"/>
                </w:tcPr>
                <w:p w14:paraId="57640C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BC0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52" w:type="pct"/>
                  <w:vMerge w:val="continue"/>
                  <w:tcBorders>
                    <w:tl2br w:val="nil"/>
                    <w:tr2bl w:val="nil"/>
                  </w:tcBorders>
                  <w:shd w:val="clear" w:color="auto" w:fill="auto"/>
                  <w:noWrap w:val="0"/>
                  <w:vAlign w:val="center"/>
                </w:tcPr>
                <w:p w14:paraId="43D9B68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499" w:type="pct"/>
                  <w:vMerge w:val="restart"/>
                  <w:tcBorders>
                    <w:tl2br w:val="nil"/>
                    <w:tr2bl w:val="nil"/>
                  </w:tcBorders>
                  <w:shd w:val="clear" w:color="auto" w:fill="auto"/>
                  <w:noWrap w:val="0"/>
                  <w:vAlign w:val="center"/>
                </w:tcPr>
                <w:p w14:paraId="299E1DC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东南侧农户</w:t>
                  </w:r>
                </w:p>
              </w:tc>
              <w:tc>
                <w:tcPr>
                  <w:tcW w:w="395" w:type="pct"/>
                  <w:tcBorders>
                    <w:tl2br w:val="nil"/>
                    <w:tr2bl w:val="nil"/>
                  </w:tcBorders>
                  <w:shd w:val="clear" w:color="auto" w:fill="auto"/>
                  <w:noWrap w:val="0"/>
                  <w:vAlign w:val="center"/>
                </w:tcPr>
                <w:p w14:paraId="27083D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昼间</w:t>
                  </w:r>
                </w:p>
              </w:tc>
              <w:tc>
                <w:tcPr>
                  <w:tcW w:w="758" w:type="pct"/>
                  <w:tcBorders>
                    <w:tl2br w:val="nil"/>
                    <w:tr2bl w:val="nil"/>
                  </w:tcBorders>
                  <w:shd w:val="clear" w:color="auto" w:fill="auto"/>
                  <w:noWrap w:val="0"/>
                  <w:vAlign w:val="center"/>
                </w:tcPr>
                <w:p w14:paraId="06C66C0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w:t>
                  </w:r>
                </w:p>
              </w:tc>
              <w:tc>
                <w:tcPr>
                  <w:tcW w:w="700" w:type="pct"/>
                  <w:tcBorders>
                    <w:tl2br w:val="nil"/>
                    <w:tr2bl w:val="nil"/>
                  </w:tcBorders>
                  <w:shd w:val="clear" w:color="auto" w:fill="auto"/>
                  <w:noWrap w:val="0"/>
                  <w:vAlign w:val="center"/>
                </w:tcPr>
                <w:p w14:paraId="2AB258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27.75</w:t>
                  </w:r>
                </w:p>
              </w:tc>
              <w:tc>
                <w:tcPr>
                  <w:tcW w:w="728" w:type="pct"/>
                  <w:tcBorders>
                    <w:tl2br w:val="nil"/>
                    <w:tr2bl w:val="nil"/>
                  </w:tcBorders>
                  <w:shd w:val="clear" w:color="auto" w:fill="auto"/>
                  <w:noWrap w:val="0"/>
                  <w:vAlign w:val="center"/>
                </w:tcPr>
                <w:p w14:paraId="422255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54.01</w:t>
                  </w:r>
                </w:p>
              </w:tc>
              <w:tc>
                <w:tcPr>
                  <w:tcW w:w="783" w:type="pct"/>
                  <w:tcBorders>
                    <w:tl2br w:val="nil"/>
                    <w:tr2bl w:val="nil"/>
                  </w:tcBorders>
                  <w:shd w:val="clear" w:color="auto" w:fill="auto"/>
                  <w:noWrap w:val="0"/>
                  <w:vAlign w:val="center"/>
                </w:tcPr>
                <w:p w14:paraId="4BF811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782" w:type="pct"/>
                  <w:tcBorders>
                    <w:tl2br w:val="nil"/>
                    <w:tr2bl w:val="nil"/>
                  </w:tcBorders>
                  <w:shd w:val="clear" w:color="auto" w:fill="auto"/>
                  <w:noWrap w:val="0"/>
                  <w:vAlign w:val="center"/>
                </w:tcPr>
                <w:p w14:paraId="74BEFD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CF9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52" w:type="pct"/>
                  <w:vMerge w:val="continue"/>
                  <w:tcBorders>
                    <w:tl2br w:val="nil"/>
                    <w:tr2bl w:val="nil"/>
                  </w:tcBorders>
                  <w:shd w:val="clear" w:color="auto" w:fill="auto"/>
                  <w:noWrap w:val="0"/>
                  <w:vAlign w:val="center"/>
                </w:tcPr>
                <w:p w14:paraId="4839434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499" w:type="pct"/>
                  <w:vMerge w:val="continue"/>
                  <w:tcBorders>
                    <w:tl2br w:val="nil"/>
                    <w:tr2bl w:val="nil"/>
                  </w:tcBorders>
                  <w:shd w:val="clear" w:color="auto" w:fill="auto"/>
                  <w:noWrap w:val="0"/>
                  <w:vAlign w:val="center"/>
                </w:tcPr>
                <w:p w14:paraId="1AF6072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p>
              </w:tc>
              <w:tc>
                <w:tcPr>
                  <w:tcW w:w="395" w:type="pct"/>
                  <w:tcBorders>
                    <w:tl2br w:val="nil"/>
                    <w:tr2bl w:val="nil"/>
                  </w:tcBorders>
                  <w:shd w:val="clear" w:color="auto" w:fill="auto"/>
                  <w:noWrap w:val="0"/>
                  <w:vAlign w:val="center"/>
                </w:tcPr>
                <w:p w14:paraId="5670C7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夜间</w:t>
                  </w:r>
                </w:p>
              </w:tc>
              <w:tc>
                <w:tcPr>
                  <w:tcW w:w="758" w:type="pct"/>
                  <w:tcBorders>
                    <w:tl2br w:val="nil"/>
                    <w:tr2bl w:val="nil"/>
                  </w:tcBorders>
                  <w:shd w:val="clear" w:color="auto" w:fill="auto"/>
                  <w:noWrap w:val="0"/>
                  <w:vAlign w:val="center"/>
                </w:tcPr>
                <w:p w14:paraId="65938B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w:t>
                  </w:r>
                </w:p>
              </w:tc>
              <w:tc>
                <w:tcPr>
                  <w:tcW w:w="700" w:type="pct"/>
                  <w:tcBorders>
                    <w:tl2br w:val="nil"/>
                    <w:tr2bl w:val="nil"/>
                  </w:tcBorders>
                  <w:shd w:val="clear" w:color="auto" w:fill="auto"/>
                  <w:noWrap w:val="0"/>
                  <w:vAlign w:val="center"/>
                </w:tcPr>
                <w:p w14:paraId="1FB777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27.75</w:t>
                  </w:r>
                </w:p>
              </w:tc>
              <w:tc>
                <w:tcPr>
                  <w:tcW w:w="728" w:type="pct"/>
                  <w:tcBorders>
                    <w:tl2br w:val="nil"/>
                    <w:tr2bl w:val="nil"/>
                  </w:tcBorders>
                  <w:shd w:val="clear" w:color="auto" w:fill="auto"/>
                  <w:noWrap w:val="0"/>
                  <w:vAlign w:val="center"/>
                </w:tcPr>
                <w:p w14:paraId="23C22E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46.06</w:t>
                  </w:r>
                </w:p>
              </w:tc>
              <w:tc>
                <w:tcPr>
                  <w:tcW w:w="783" w:type="pct"/>
                  <w:tcBorders>
                    <w:tl2br w:val="nil"/>
                    <w:tr2bl w:val="nil"/>
                  </w:tcBorders>
                  <w:shd w:val="clear" w:color="auto" w:fill="auto"/>
                  <w:noWrap w:val="0"/>
                  <w:vAlign w:val="center"/>
                </w:tcPr>
                <w:p w14:paraId="676F19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w:t>
                  </w:r>
                </w:p>
              </w:tc>
              <w:tc>
                <w:tcPr>
                  <w:tcW w:w="782" w:type="pct"/>
                  <w:tcBorders>
                    <w:tl2br w:val="nil"/>
                    <w:tr2bl w:val="nil"/>
                  </w:tcBorders>
                  <w:shd w:val="clear" w:color="auto" w:fill="auto"/>
                  <w:noWrap w:val="0"/>
                  <w:vAlign w:val="center"/>
                </w:tcPr>
                <w:p w14:paraId="178E21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17720AB4">
            <w:pPr>
              <w:pStyle w:val="52"/>
              <w:keepNext w:val="0"/>
              <w:keepLines w:val="0"/>
              <w:pageBreakBefore w:val="0"/>
              <w:widowControl w:val="0"/>
              <w:tabs>
                <w:tab w:val="left" w:pos="7380"/>
              </w:tabs>
              <w:kinsoku/>
              <w:wordWrap/>
              <w:overflowPunct/>
              <w:topLinePunct w:val="0"/>
              <w:autoSpaceDE/>
              <w:autoSpaceDN/>
              <w:bidi w:val="0"/>
              <w:adjustRightInd/>
              <w:snapToGrid/>
              <w:spacing w:before="157" w:beforeLines="50" w:beforeAutospacing="0" w:after="0" w:afterAutospacing="0" w:line="360" w:lineRule="auto"/>
              <w:ind w:left="0" w:right="113" w:firstLine="480" w:firstLineChars="200"/>
              <w:jc w:val="both"/>
              <w:textAlignment w:val="auto"/>
              <w:rPr>
                <w:rFonts w:hint="default" w:ascii="Times New Roman" w:hAnsi="Times New Roman" w:eastAsia="宋体" w:cs="Times New Roman"/>
                <w:b/>
                <w:bCs w:val="0"/>
                <w:color w:val="auto"/>
                <w:sz w:val="21"/>
                <w:szCs w:val="16"/>
                <w:highlight w:val="none"/>
                <w:lang w:val="en-US" w:eastAsia="zh-CN"/>
              </w:rPr>
            </w:pPr>
            <w:r>
              <w:rPr>
                <w:rFonts w:hint="default" w:ascii="Times New Roman" w:hAnsi="Times New Roman" w:eastAsia="宋体" w:cs="Times New Roman"/>
                <w:color w:val="auto"/>
                <w:sz w:val="24"/>
                <w:highlight w:val="none"/>
              </w:rPr>
              <w:t>根据预测结果</w:t>
            </w:r>
            <w:r>
              <w:rPr>
                <w:rFonts w:hint="default" w:ascii="Times New Roman" w:hAnsi="Times New Roman" w:eastAsia="宋体" w:cs="Times New Roman"/>
                <w:color w:val="auto"/>
                <w:sz w:val="24"/>
                <w:szCs w:val="24"/>
                <w:lang w:val="en-US" w:eastAsia="zh-CN"/>
              </w:rPr>
              <w:t>可知，</w:t>
            </w:r>
            <w:r>
              <w:rPr>
                <w:rFonts w:hint="default" w:ascii="Times New Roman" w:hAnsi="Times New Roman" w:eastAsia="宋体" w:cs="Times New Roman"/>
                <w:color w:val="auto"/>
                <w:sz w:val="24"/>
                <w:highlight w:val="none"/>
              </w:rPr>
              <w:t>敏感点叠加</w:t>
            </w:r>
            <w:r>
              <w:rPr>
                <w:rFonts w:hint="default" w:ascii="Times New Roman" w:hAnsi="Times New Roman" w:eastAsia="宋体" w:cs="Times New Roman"/>
                <w:color w:val="auto"/>
                <w:sz w:val="24"/>
                <w:highlight w:val="none"/>
                <w:lang w:val="en-US" w:eastAsia="zh-CN"/>
              </w:rPr>
              <w:t>背景</w:t>
            </w:r>
            <w:r>
              <w:rPr>
                <w:rFonts w:hint="default" w:ascii="Times New Roman" w:hAnsi="Times New Roman" w:eastAsia="宋体" w:cs="Times New Roman"/>
                <w:color w:val="auto"/>
                <w:sz w:val="24"/>
                <w:highlight w:val="none"/>
              </w:rPr>
              <w:t>值后仍满足《声环境质量标准》（GB3096-2008）的2类标准要求</w:t>
            </w:r>
            <w:r>
              <w:rPr>
                <w:rFonts w:hint="default" w:ascii="Times New Roman" w:hAnsi="Times New Roman" w:eastAsia="宋体" w:cs="Times New Roman"/>
                <w:color w:val="auto"/>
                <w:sz w:val="24"/>
                <w:highlight w:val="none"/>
                <w:lang w:eastAsia="zh-CN"/>
              </w:rPr>
              <w:t>。</w:t>
            </w:r>
          </w:p>
          <w:p w14:paraId="31CB407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6、监测计划</w:t>
            </w:r>
          </w:p>
          <w:p w14:paraId="0E3175E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根据《排污单位自行监测技术指南 总则》（</w:t>
            </w:r>
            <w:r>
              <w:rPr>
                <w:rFonts w:hint="default" w:ascii="Times New Roman" w:hAnsi="Times New Roman" w:eastAsia="宋体" w:cs="Times New Roman"/>
                <w:color w:val="auto"/>
                <w:kern w:val="0"/>
                <w:sz w:val="24"/>
                <w:szCs w:val="24"/>
                <w:lang w:val="en-US" w:eastAsia="zh-CN" w:bidi="ar"/>
              </w:rPr>
              <w:t>HJ819-2017</w:t>
            </w:r>
            <w:r>
              <w:rPr>
                <w:rFonts w:hint="eastAsia" w:ascii="宋体" w:hAnsi="宋体" w:eastAsia="宋体" w:cs="宋体"/>
                <w:color w:val="auto"/>
                <w:kern w:val="0"/>
                <w:sz w:val="24"/>
                <w:szCs w:val="24"/>
                <w:lang w:val="en-US" w:eastAsia="zh-CN" w:bidi="ar"/>
              </w:rPr>
              <w:t>）要求，本次评价针对项目运营期噪声提出监测计划要求，具体监测计划见下表。</w:t>
            </w:r>
          </w:p>
          <w:p w14:paraId="3E2C11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color w:val="auto"/>
                <w:sz w:val="21"/>
                <w:szCs w:val="21"/>
                <w:lang w:val="en-US" w:eastAsia="zh-CN"/>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4-1</w:t>
            </w:r>
            <w:r>
              <w:rPr>
                <w:rFonts w:hint="eastAsia" w:ascii="Times New Roman" w:hAnsi="Times New Roman" w:eastAsia="黑体" w:cs="Times New Roman"/>
                <w:b w:val="0"/>
                <w:bCs/>
                <w:color w:val="auto"/>
                <w:sz w:val="21"/>
                <w:szCs w:val="21"/>
                <w:lang w:val="en-US" w:eastAsia="zh-CN"/>
              </w:rPr>
              <w:t>4</w:t>
            </w:r>
            <w:r>
              <w:rPr>
                <w:rFonts w:hint="default" w:ascii="Times New Roman" w:hAnsi="Times New Roman" w:eastAsia="黑体" w:cs="Times New Roman"/>
                <w:b w:val="0"/>
                <w:bCs/>
                <w:color w:val="auto"/>
                <w:sz w:val="21"/>
                <w:szCs w:val="21"/>
              </w:rPr>
              <w:t xml:space="preserve">   项目</w:t>
            </w:r>
            <w:r>
              <w:rPr>
                <w:rFonts w:hint="default" w:ascii="Times New Roman" w:hAnsi="Times New Roman" w:eastAsia="黑体" w:cs="Times New Roman"/>
                <w:b w:val="0"/>
                <w:bCs/>
                <w:color w:val="auto"/>
                <w:sz w:val="21"/>
                <w:szCs w:val="21"/>
                <w:lang w:val="en-US" w:eastAsia="zh-CN"/>
              </w:rPr>
              <w:t>运营期噪声监测计划一览表</w:t>
            </w:r>
          </w:p>
          <w:tbl>
            <w:tblPr>
              <w:tblStyle w:val="25"/>
              <w:tblW w:w="932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52"/>
              <w:gridCol w:w="1109"/>
              <w:gridCol w:w="1171"/>
              <w:gridCol w:w="1677"/>
              <w:gridCol w:w="1143"/>
              <w:gridCol w:w="3371"/>
            </w:tblGrid>
            <w:tr w14:paraId="670274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97" w:hRule="atLeast"/>
                <w:tblHeader/>
                <w:jc w:val="center"/>
              </w:trPr>
              <w:tc>
                <w:tcPr>
                  <w:tcW w:w="456" w:type="pct"/>
                  <w:tcBorders>
                    <w:top w:val="single" w:color="000000" w:sz="4" w:space="0"/>
                    <w:left w:val="single" w:color="auto" w:sz="0" w:space="0"/>
                    <w:bottom w:val="single" w:color="000000" w:sz="4" w:space="0"/>
                    <w:right w:val="single" w:color="000000" w:sz="4" w:space="0"/>
                  </w:tcBorders>
                  <w:noWrap w:val="0"/>
                  <w:vAlign w:val="center"/>
                </w:tcPr>
                <w:p w14:paraId="6F65C632">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594" w:type="pct"/>
                  <w:tcBorders>
                    <w:top w:val="single" w:color="000000" w:sz="4" w:space="0"/>
                    <w:left w:val="single" w:color="000000" w:sz="4" w:space="0"/>
                    <w:bottom w:val="single" w:color="000000" w:sz="4" w:space="0"/>
                    <w:right w:val="single" w:color="000000" w:sz="4" w:space="0"/>
                  </w:tcBorders>
                  <w:noWrap w:val="0"/>
                  <w:vAlign w:val="center"/>
                </w:tcPr>
                <w:p w14:paraId="398500D8">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监测点位</w:t>
                  </w:r>
                </w:p>
              </w:tc>
              <w:tc>
                <w:tcPr>
                  <w:tcW w:w="628" w:type="pct"/>
                  <w:tcBorders>
                    <w:top w:val="single" w:color="000000" w:sz="4" w:space="0"/>
                    <w:left w:val="single" w:color="000000" w:sz="4" w:space="0"/>
                    <w:bottom w:val="single" w:color="000000" w:sz="4" w:space="0"/>
                    <w:right w:val="single" w:color="000000" w:sz="4" w:space="0"/>
                  </w:tcBorders>
                  <w:noWrap w:val="0"/>
                  <w:vAlign w:val="center"/>
                </w:tcPr>
                <w:p w14:paraId="115B631E">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监测项目</w:t>
                  </w:r>
                </w:p>
              </w:tc>
              <w:tc>
                <w:tcPr>
                  <w:tcW w:w="899" w:type="pct"/>
                  <w:tcBorders>
                    <w:top w:val="single" w:color="000000" w:sz="4" w:space="0"/>
                    <w:left w:val="single" w:color="000000" w:sz="4" w:space="0"/>
                    <w:bottom w:val="single" w:color="000000" w:sz="4" w:space="0"/>
                    <w:right w:val="single" w:color="000000" w:sz="4" w:space="0"/>
                  </w:tcBorders>
                  <w:noWrap w:val="0"/>
                  <w:vAlign w:val="center"/>
                </w:tcPr>
                <w:p w14:paraId="43B05FBE">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监测单位</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14:paraId="53F0AB8B">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监测频次</w:t>
                  </w:r>
                </w:p>
              </w:tc>
              <w:tc>
                <w:tcPr>
                  <w:tcW w:w="1807" w:type="pct"/>
                  <w:tcBorders>
                    <w:top w:val="single" w:color="000000" w:sz="4" w:space="0"/>
                    <w:left w:val="single" w:color="000000" w:sz="4" w:space="0"/>
                    <w:bottom w:val="single" w:color="000000" w:sz="4" w:space="0"/>
                    <w:right w:val="single" w:color="000000" w:sz="4" w:space="0"/>
                  </w:tcBorders>
                  <w:noWrap w:val="0"/>
                  <w:vAlign w:val="center"/>
                </w:tcPr>
                <w:p w14:paraId="0C3152C6">
                  <w:pPr>
                    <w:pageBreakBefore w:val="0"/>
                    <w:kinsoku/>
                    <w:wordWrap/>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执行标准</w:t>
                  </w:r>
                </w:p>
              </w:tc>
            </w:tr>
            <w:tr w14:paraId="419B6D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97" w:hRule="atLeast"/>
                <w:tblHeader/>
                <w:jc w:val="center"/>
              </w:trPr>
              <w:tc>
                <w:tcPr>
                  <w:tcW w:w="456" w:type="pct"/>
                  <w:tcBorders>
                    <w:top w:val="single" w:color="000000" w:sz="4" w:space="0"/>
                    <w:left w:val="single" w:color="000000" w:sz="4" w:space="0"/>
                    <w:bottom w:val="single" w:color="000000" w:sz="4" w:space="0"/>
                    <w:right w:val="single" w:color="000000" w:sz="4" w:space="0"/>
                  </w:tcBorders>
                  <w:noWrap w:val="0"/>
                  <w:vAlign w:val="center"/>
                </w:tcPr>
                <w:p w14:paraId="4FE36E58">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594" w:type="pct"/>
                  <w:tcBorders>
                    <w:top w:val="single" w:color="000000" w:sz="4" w:space="0"/>
                    <w:left w:val="single" w:color="000000" w:sz="4" w:space="0"/>
                    <w:bottom w:val="single" w:color="000000" w:sz="4" w:space="0"/>
                    <w:right w:val="single" w:color="000000" w:sz="4" w:space="0"/>
                  </w:tcBorders>
                  <w:noWrap w:val="0"/>
                  <w:vAlign w:val="center"/>
                </w:tcPr>
                <w:p w14:paraId="21BCCB64">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四周厂界外1m处</w:t>
                  </w:r>
                </w:p>
              </w:tc>
              <w:tc>
                <w:tcPr>
                  <w:tcW w:w="628" w:type="pct"/>
                  <w:tcBorders>
                    <w:top w:val="single" w:color="000000" w:sz="4" w:space="0"/>
                    <w:left w:val="single" w:color="000000" w:sz="4" w:space="0"/>
                    <w:bottom w:val="single" w:color="000000" w:sz="4" w:space="0"/>
                    <w:right w:val="single" w:color="000000" w:sz="4" w:space="0"/>
                  </w:tcBorders>
                  <w:noWrap w:val="0"/>
                  <w:vAlign w:val="center"/>
                </w:tcPr>
                <w:p w14:paraId="386AB55B">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Leq(A)</w:t>
                  </w:r>
                </w:p>
              </w:tc>
              <w:tc>
                <w:tcPr>
                  <w:tcW w:w="899" w:type="pct"/>
                  <w:tcBorders>
                    <w:top w:val="single" w:color="000000" w:sz="4" w:space="0"/>
                    <w:left w:val="single" w:color="000000" w:sz="4" w:space="0"/>
                    <w:bottom w:val="single" w:color="000000" w:sz="4" w:space="0"/>
                    <w:right w:val="single" w:color="000000" w:sz="4" w:space="0"/>
                  </w:tcBorders>
                  <w:noWrap w:val="0"/>
                  <w:vAlign w:val="center"/>
                </w:tcPr>
                <w:p w14:paraId="484108C3">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委托有资质单位代为监测</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14:paraId="6FAEDD2A">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1次/</w:t>
                  </w:r>
                  <w:r>
                    <w:rPr>
                      <w:rFonts w:hint="default" w:ascii="Times New Roman" w:hAnsi="Times New Roman" w:cs="Times New Roman"/>
                      <w:color w:val="auto"/>
                      <w:szCs w:val="21"/>
                      <w:highlight w:val="none"/>
                      <w:lang w:val="en-US" w:eastAsia="zh-CN"/>
                    </w:rPr>
                    <w:t>季度</w:t>
                  </w:r>
                  <w:r>
                    <w:rPr>
                      <w:rFonts w:hint="default" w:ascii="Times New Roman" w:hAnsi="Times New Roman" w:cs="Times New Roman"/>
                      <w:color w:val="auto"/>
                      <w:szCs w:val="21"/>
                      <w:highlight w:val="none"/>
                    </w:rPr>
                    <w:t>，昼</w:t>
                  </w:r>
                  <w:r>
                    <w:rPr>
                      <w:rFonts w:hint="default" w:ascii="Times New Roman" w:hAnsi="Times New Roman" w:cs="Times New Roman"/>
                      <w:color w:val="auto"/>
                      <w:szCs w:val="21"/>
                      <w:highlight w:val="none"/>
                      <w:lang w:val="en-US" w:eastAsia="zh-CN"/>
                    </w:rPr>
                    <w:t>间</w:t>
                  </w:r>
                  <w:r>
                    <w:rPr>
                      <w:rFonts w:hint="default" w:ascii="Times New Roman" w:hAnsi="Times New Roman" w:cs="Times New Roman"/>
                      <w:color w:val="auto"/>
                      <w:szCs w:val="21"/>
                      <w:highlight w:val="none"/>
                    </w:rPr>
                    <w:t>一次</w:t>
                  </w:r>
                </w:p>
              </w:tc>
              <w:tc>
                <w:tcPr>
                  <w:tcW w:w="1807" w:type="pct"/>
                  <w:tcBorders>
                    <w:top w:val="single" w:color="000000" w:sz="4" w:space="0"/>
                    <w:left w:val="single" w:color="000000" w:sz="4" w:space="0"/>
                    <w:bottom w:val="single" w:color="000000" w:sz="4" w:space="0"/>
                    <w:right w:val="single" w:color="000000" w:sz="4" w:space="0"/>
                  </w:tcBorders>
                  <w:noWrap w:val="0"/>
                  <w:vAlign w:val="center"/>
                </w:tcPr>
                <w:p w14:paraId="40B29FB4">
                  <w:pPr>
                    <w:pageBreakBefore w:val="0"/>
                    <w:kinsoku/>
                    <w:wordWrap/>
                    <w:bidi w:val="0"/>
                    <w:ind w:left="0" w:leftChars="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《工业企业厂界环境噪声排放标准》（GB12348-2008）</w:t>
                  </w: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类标准</w:t>
                  </w:r>
                </w:p>
              </w:tc>
            </w:tr>
          </w:tbl>
          <w:p w14:paraId="5315029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四</w:t>
            </w:r>
            <w:r>
              <w:rPr>
                <w:rFonts w:hint="default" w:ascii="Times New Roman" w:hAnsi="Times New Roman" w:cs="Times New Roman"/>
                <w:b/>
                <w:bCs/>
                <w:color w:val="auto"/>
                <w:sz w:val="24"/>
                <w:szCs w:val="24"/>
                <w:highlight w:val="none"/>
                <w:lang w:val="en-US" w:eastAsia="zh-CN"/>
              </w:rPr>
              <w:t>、固体废物</w:t>
            </w:r>
          </w:p>
          <w:p w14:paraId="1F2A17F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一般固体废物：生活垃圾、栅渣及沉砂、</w:t>
            </w:r>
            <w:r>
              <w:rPr>
                <w:rFonts w:hint="eastAsia" w:ascii="Times New Roman" w:hAnsi="Times New Roman" w:cs="Times New Roman"/>
                <w:color w:val="auto"/>
                <w:sz w:val="24"/>
                <w:szCs w:val="24"/>
                <w:highlight w:val="none"/>
                <w:lang w:val="en-US" w:eastAsia="zh-CN"/>
              </w:rPr>
              <w:t>污泥、</w:t>
            </w:r>
            <w:r>
              <w:rPr>
                <w:rFonts w:hint="default" w:ascii="Times New Roman" w:hAnsi="Times New Roman" w:cs="Times New Roman"/>
                <w:color w:val="auto"/>
                <w:sz w:val="24"/>
                <w:szCs w:val="24"/>
                <w:highlight w:val="none"/>
                <w:lang w:val="en-US" w:eastAsia="zh-CN"/>
              </w:rPr>
              <w:t>废</w:t>
            </w:r>
            <w:r>
              <w:rPr>
                <w:rFonts w:hint="eastAsia" w:ascii="Times New Roman" w:hAnsi="Times New Roman" w:cs="Times New Roman"/>
                <w:color w:val="auto"/>
                <w:sz w:val="24"/>
                <w:szCs w:val="24"/>
                <w:highlight w:val="none"/>
                <w:lang w:val="en-US" w:eastAsia="zh-CN"/>
              </w:rPr>
              <w:t>填料</w:t>
            </w:r>
            <w:r>
              <w:rPr>
                <w:rFonts w:hint="default" w:ascii="Times New Roman" w:hAnsi="Times New Roman" w:cs="Times New Roman"/>
                <w:color w:val="auto"/>
                <w:sz w:val="24"/>
                <w:szCs w:val="24"/>
                <w:highlight w:val="none"/>
                <w:lang w:val="en-US" w:eastAsia="zh-CN"/>
              </w:rPr>
              <w:t>、废包装材料等。</w:t>
            </w:r>
          </w:p>
          <w:p w14:paraId="0FEC0E0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1、隘口水厂</w:t>
            </w:r>
          </w:p>
          <w:p w14:paraId="300EAD9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①生活垃圾</w:t>
            </w:r>
          </w:p>
          <w:p w14:paraId="296EC61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隘口水厂</w:t>
            </w:r>
            <w:r>
              <w:rPr>
                <w:rFonts w:hint="default" w:ascii="Times New Roman" w:hAnsi="Times New Roman" w:cs="Times New Roman"/>
                <w:color w:val="auto"/>
                <w:sz w:val="24"/>
                <w:szCs w:val="24"/>
                <w:highlight w:val="none"/>
                <w:lang w:val="en-US" w:eastAsia="zh-CN"/>
              </w:rPr>
              <w:t>劳动定员</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人，年工作365天，生活垃圾产生量按照0.5kg/人·天计，则生活垃圾产生量</w:t>
            </w:r>
            <w:r>
              <w:rPr>
                <w:rFonts w:hint="eastAsia" w:ascii="Times New Roman" w:hAnsi="Times New Roman" w:cs="Times New Roman"/>
                <w:color w:val="auto"/>
                <w:sz w:val="24"/>
                <w:szCs w:val="24"/>
                <w:highlight w:val="none"/>
                <w:lang w:val="en-US" w:eastAsia="zh-CN"/>
              </w:rPr>
              <w:t>0.73</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64其他垃圾</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64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rPr>
              <w:t>经装袋收集后</w:t>
            </w:r>
            <w:r>
              <w:rPr>
                <w:rFonts w:hint="default" w:ascii="Times New Roman" w:hAnsi="Times New Roman" w:cs="Times New Roman"/>
                <w:b w:val="0"/>
                <w:bCs w:val="0"/>
                <w:snapToGrid w:val="0"/>
                <w:color w:val="auto"/>
                <w:kern w:val="0"/>
                <w:sz w:val="24"/>
                <w:szCs w:val="24"/>
                <w:highlight w:val="none"/>
                <w:lang w:eastAsia="zh-CN"/>
              </w:rPr>
              <w:t>定期运至</w:t>
            </w:r>
            <w:r>
              <w:rPr>
                <w:rFonts w:hint="default" w:ascii="Times New Roman" w:hAnsi="Times New Roman" w:eastAsia="宋体" w:cs="Times New Roman"/>
                <w:b w:val="0"/>
                <w:bCs w:val="0"/>
                <w:snapToGrid w:val="0"/>
                <w:color w:val="auto"/>
                <w:kern w:val="0"/>
                <w:sz w:val="24"/>
                <w:szCs w:val="24"/>
                <w:highlight w:val="none"/>
                <w:lang w:eastAsia="zh-CN"/>
              </w:rPr>
              <w:t>村上设置的垃圾收集池</w:t>
            </w:r>
            <w:r>
              <w:rPr>
                <w:rFonts w:hint="default" w:ascii="Times New Roman" w:hAnsi="Times New Roman" w:cs="Times New Roman"/>
                <w:b w:val="0"/>
                <w:bCs w:val="0"/>
                <w:snapToGrid w:val="0"/>
                <w:color w:val="auto"/>
                <w:kern w:val="0"/>
                <w:sz w:val="24"/>
                <w:szCs w:val="24"/>
                <w:highlight w:val="none"/>
                <w:lang w:val="en-US" w:eastAsia="zh-CN"/>
              </w:rPr>
              <w:t>暂存，</w:t>
            </w:r>
            <w:r>
              <w:rPr>
                <w:rFonts w:hint="default" w:ascii="Times New Roman" w:hAnsi="Times New Roman" w:cs="Times New Roman"/>
                <w:color w:val="auto"/>
                <w:sz w:val="24"/>
                <w:szCs w:val="24"/>
                <w:highlight w:val="none"/>
              </w:rPr>
              <w:t>最终</w:t>
            </w:r>
            <w:r>
              <w:rPr>
                <w:rFonts w:hint="default" w:ascii="Times New Roman" w:hAnsi="Times New Roman" w:cs="Times New Roman"/>
                <w:color w:val="auto"/>
                <w:sz w:val="24"/>
                <w:szCs w:val="24"/>
                <w:highlight w:val="none"/>
                <w:lang w:val="en-US" w:eastAsia="zh-CN"/>
              </w:rPr>
              <w:t>交由</w:t>
            </w:r>
            <w:r>
              <w:rPr>
                <w:rFonts w:hint="default" w:ascii="Times New Roman" w:hAnsi="Times New Roman" w:cs="Times New Roman"/>
                <w:color w:val="auto"/>
                <w:sz w:val="24"/>
                <w:szCs w:val="24"/>
                <w:highlight w:val="none"/>
              </w:rPr>
              <w:t>乡镇环卫统一处理</w:t>
            </w:r>
            <w:r>
              <w:rPr>
                <w:rFonts w:hint="default" w:ascii="Times New Roman" w:hAnsi="Times New Roman" w:cs="Times New Roman"/>
                <w:color w:val="auto"/>
                <w:sz w:val="24"/>
                <w:szCs w:val="24"/>
                <w:highlight w:val="none"/>
                <w:lang w:val="en-US" w:eastAsia="zh-CN"/>
              </w:rPr>
              <w:t>。</w:t>
            </w:r>
          </w:p>
          <w:p w14:paraId="4CA6995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②</w:t>
            </w:r>
            <w:r>
              <w:rPr>
                <w:rFonts w:hint="default" w:ascii="Times New Roman" w:hAnsi="Times New Roman" w:cs="Times New Roman"/>
                <w:b/>
                <w:bCs/>
                <w:color w:val="auto"/>
                <w:sz w:val="24"/>
                <w:szCs w:val="24"/>
                <w:highlight w:val="none"/>
                <w:lang w:val="en-US" w:eastAsia="zh-CN"/>
              </w:rPr>
              <w:t>栅渣及沉砂</w:t>
            </w:r>
          </w:p>
          <w:p w14:paraId="268ECCE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本项目取水进口处设置格栅拦截污物及碎石等，</w:t>
            </w:r>
            <w:r>
              <w:rPr>
                <w:rFonts w:hint="eastAsia" w:ascii="Times New Roman" w:hAnsi="Times New Roman" w:cs="Times New Roman"/>
                <w:color w:val="auto"/>
                <w:sz w:val="24"/>
                <w:szCs w:val="24"/>
                <w:highlight w:val="none"/>
                <w:lang w:val="en-US" w:eastAsia="zh-CN"/>
              </w:rPr>
              <w:t>隘口水厂</w:t>
            </w:r>
            <w:r>
              <w:rPr>
                <w:rFonts w:hint="default" w:ascii="Times New Roman" w:hAnsi="Times New Roman" w:cs="Times New Roman"/>
                <w:color w:val="auto"/>
                <w:sz w:val="24"/>
                <w:szCs w:val="24"/>
                <w:highlight w:val="none"/>
                <w:lang w:val="en-US" w:eastAsia="zh-CN"/>
              </w:rPr>
              <w:t>设计取水规模</w:t>
            </w:r>
            <w:r>
              <w:rPr>
                <w:rFonts w:hint="eastAsia" w:ascii="Times New Roman" w:hAnsi="Times New Roman" w:cs="Times New Roman"/>
                <w:color w:val="auto"/>
                <w:sz w:val="24"/>
                <w:szCs w:val="24"/>
                <w:highlight w:val="none"/>
                <w:lang w:val="en-US" w:eastAsia="zh-CN"/>
              </w:rPr>
              <w:t>22</w:t>
            </w:r>
            <w:r>
              <w:rPr>
                <w:rFonts w:hint="default" w:ascii="Times New Roman" w:hAnsi="Times New Roman" w:cs="Times New Roman"/>
                <w:color w:val="auto"/>
                <w:sz w:val="24"/>
                <w:szCs w:val="24"/>
                <w:highlight w:val="none"/>
                <w:lang w:val="en-US" w:eastAsia="zh-CN"/>
              </w:rPr>
              <w:t>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/d，栅渣及沉砂量按0.1m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/1000m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·d原水计，密度约960kg/m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，则栅渣及沉砂总产生量为</w:t>
            </w:r>
            <w:r>
              <w:rPr>
                <w:rFonts w:hint="eastAsia" w:ascii="Times New Roman" w:hAnsi="Times New Roman" w:cs="Times New Roman"/>
                <w:color w:val="auto"/>
                <w:sz w:val="24"/>
                <w:szCs w:val="24"/>
                <w:highlight w:val="none"/>
                <w:lang w:val="en-US" w:eastAsia="zh-CN"/>
              </w:rPr>
              <w:t>77.088</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59其他工业固体废物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99</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定期还田处理。</w:t>
            </w:r>
          </w:p>
          <w:p w14:paraId="62E8EA6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③污泥</w:t>
            </w:r>
          </w:p>
          <w:p w14:paraId="46F28D3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本项目运营期间，污泥主要产生于</w:t>
            </w:r>
            <w:r>
              <w:rPr>
                <w:rFonts w:hint="eastAsia" w:ascii="Times New Roman" w:hAnsi="Times New Roman" w:cs="Times New Roman"/>
                <w:color w:val="auto"/>
                <w:sz w:val="24"/>
                <w:szCs w:val="32"/>
                <w:highlight w:val="none"/>
                <w:vertAlign w:val="baseline"/>
                <w:lang w:val="en-US" w:eastAsia="zh-CN"/>
              </w:rPr>
              <w:t>絮凝、沉淀、气浮</w:t>
            </w:r>
            <w:r>
              <w:rPr>
                <w:rFonts w:hint="default" w:ascii="Times New Roman" w:hAnsi="Times New Roman" w:cs="Times New Roman"/>
                <w:color w:val="auto"/>
                <w:sz w:val="24"/>
                <w:szCs w:val="24"/>
                <w:highlight w:val="none"/>
                <w:lang w:val="en-US" w:eastAsia="zh-CN"/>
              </w:rPr>
              <w:t>等</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产生量约</w:t>
            </w:r>
            <w:r>
              <w:rPr>
                <w:rFonts w:hint="eastAsia" w:ascii="Times New Roman" w:hAnsi="Times New Roman" w:cs="Times New Roman"/>
                <w:color w:val="auto"/>
                <w:sz w:val="24"/>
                <w:szCs w:val="24"/>
                <w:highlight w:val="none"/>
                <w:lang w:val="en-US" w:eastAsia="zh-CN"/>
              </w:rPr>
              <w:t>800t</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90城镇污水污泥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自来水生产和供应</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461</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本项目污泥干化后</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lang w:eastAsia="zh-CN"/>
              </w:rPr>
              <w:t>含水率</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highlight w:val="none"/>
                <w:lang w:val="en-US" w:eastAsia="zh-CN"/>
              </w:rPr>
              <w:t>）</w:t>
            </w:r>
            <w:r>
              <w:rPr>
                <w:rFonts w:hint="eastAsia" w:ascii="宋体" w:hAnsi="宋体" w:eastAsia="宋体" w:cs="宋体"/>
                <w:color w:val="auto"/>
                <w:kern w:val="0"/>
                <w:sz w:val="24"/>
                <w:szCs w:val="24"/>
                <w:lang w:val="en-US" w:eastAsia="zh-CN" w:bidi="ar"/>
              </w:rPr>
              <w:t>送</w:t>
            </w:r>
            <w:r>
              <w:rPr>
                <w:rFonts w:hint="eastAsia" w:ascii="宋体" w:hAnsi="宋体" w:eastAsia="宋体" w:cs="宋体"/>
                <w:color w:val="auto"/>
                <w:sz w:val="24"/>
                <w:szCs w:val="24"/>
              </w:rPr>
              <w:t>宣汉海诺尔环保发电有限公司焚烧处理</w:t>
            </w:r>
            <w:r>
              <w:rPr>
                <w:rFonts w:hint="default" w:ascii="Times New Roman" w:hAnsi="Times New Roman" w:cs="Times New Roman"/>
                <w:color w:val="auto"/>
                <w:sz w:val="24"/>
                <w:szCs w:val="24"/>
                <w:highlight w:val="none"/>
                <w:lang w:val="en-US" w:eastAsia="zh-CN"/>
              </w:rPr>
              <w:t>。</w:t>
            </w:r>
          </w:p>
          <w:p w14:paraId="7C10C86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④</w:t>
            </w:r>
            <w:r>
              <w:rPr>
                <w:rFonts w:hint="default" w:ascii="Times New Roman" w:hAnsi="Times New Roman" w:cs="Times New Roman"/>
                <w:b/>
                <w:bCs/>
                <w:color w:val="auto"/>
                <w:sz w:val="24"/>
                <w:szCs w:val="24"/>
                <w:highlight w:val="none"/>
                <w:lang w:val="en-US" w:eastAsia="zh-CN"/>
              </w:rPr>
              <w:t>废</w:t>
            </w:r>
            <w:r>
              <w:rPr>
                <w:rFonts w:hint="eastAsia" w:ascii="Times New Roman" w:hAnsi="Times New Roman" w:cs="Times New Roman"/>
                <w:b/>
                <w:bCs/>
                <w:color w:val="auto"/>
                <w:sz w:val="24"/>
                <w:szCs w:val="24"/>
                <w:highlight w:val="none"/>
                <w:lang w:val="en-US" w:eastAsia="zh-CN"/>
              </w:rPr>
              <w:t>填料</w:t>
            </w:r>
          </w:p>
          <w:p w14:paraId="2D8FFAC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本项目V型滤池采用石英砂作为滤料，平均每年更换一次，废填料产生量约20t/a，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59其他工业固体废物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09</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交由厂商回收处理。</w:t>
            </w:r>
          </w:p>
          <w:p w14:paraId="67F8AB9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⑤</w:t>
            </w:r>
            <w:r>
              <w:rPr>
                <w:rFonts w:hint="default" w:ascii="Times New Roman" w:hAnsi="Times New Roman" w:cs="Times New Roman"/>
                <w:b/>
                <w:bCs/>
                <w:color w:val="auto"/>
                <w:sz w:val="24"/>
                <w:szCs w:val="24"/>
                <w:highlight w:val="none"/>
                <w:lang w:val="en-US" w:eastAsia="zh-CN"/>
              </w:rPr>
              <w:t>废包装材料</w:t>
            </w:r>
          </w:p>
          <w:p w14:paraId="7B9A534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主要为PAC等废弃包装袋，产生量约0.0</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59其他工业固体废物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99</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定期交由废品收购站回收。</w:t>
            </w:r>
          </w:p>
          <w:p w14:paraId="3333795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2、马渡关水厂</w:t>
            </w:r>
          </w:p>
          <w:p w14:paraId="3C018C0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①生活垃圾</w:t>
            </w:r>
          </w:p>
          <w:p w14:paraId="743BCE1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马渡关水厂</w:t>
            </w:r>
            <w:r>
              <w:rPr>
                <w:rFonts w:hint="default" w:ascii="Times New Roman" w:hAnsi="Times New Roman" w:cs="Times New Roman"/>
                <w:color w:val="auto"/>
                <w:sz w:val="24"/>
                <w:szCs w:val="24"/>
                <w:highlight w:val="none"/>
                <w:lang w:val="en-US" w:eastAsia="zh-CN"/>
              </w:rPr>
              <w:t>劳动定员</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人，年工作365天，生活垃圾产生量按照0.5kg/人·天计，则生活垃圾产生量</w:t>
            </w:r>
            <w:r>
              <w:rPr>
                <w:rFonts w:hint="eastAsia" w:ascii="Times New Roman" w:hAnsi="Times New Roman" w:cs="Times New Roman"/>
                <w:color w:val="auto"/>
                <w:sz w:val="24"/>
                <w:szCs w:val="24"/>
                <w:highlight w:val="none"/>
                <w:lang w:val="en-US" w:eastAsia="zh-CN"/>
              </w:rPr>
              <w:t>0.73</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64其他垃圾</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02</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64</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rPr>
              <w:t>经装袋收集后</w:t>
            </w:r>
            <w:r>
              <w:rPr>
                <w:rFonts w:hint="default" w:ascii="Times New Roman" w:hAnsi="Times New Roman" w:cs="Times New Roman"/>
                <w:b w:val="0"/>
                <w:bCs w:val="0"/>
                <w:snapToGrid w:val="0"/>
                <w:color w:val="auto"/>
                <w:kern w:val="0"/>
                <w:sz w:val="24"/>
                <w:szCs w:val="24"/>
                <w:highlight w:val="none"/>
                <w:lang w:eastAsia="zh-CN"/>
              </w:rPr>
              <w:t>定期运至</w:t>
            </w:r>
            <w:r>
              <w:rPr>
                <w:rFonts w:hint="default" w:ascii="Times New Roman" w:hAnsi="Times New Roman" w:eastAsia="宋体" w:cs="Times New Roman"/>
                <w:b w:val="0"/>
                <w:bCs w:val="0"/>
                <w:snapToGrid w:val="0"/>
                <w:color w:val="auto"/>
                <w:kern w:val="0"/>
                <w:sz w:val="24"/>
                <w:szCs w:val="24"/>
                <w:highlight w:val="none"/>
                <w:lang w:eastAsia="zh-CN"/>
              </w:rPr>
              <w:t>村上设置的垃圾收集池</w:t>
            </w:r>
            <w:r>
              <w:rPr>
                <w:rFonts w:hint="default" w:ascii="Times New Roman" w:hAnsi="Times New Roman" w:cs="Times New Roman"/>
                <w:b w:val="0"/>
                <w:bCs w:val="0"/>
                <w:snapToGrid w:val="0"/>
                <w:color w:val="auto"/>
                <w:kern w:val="0"/>
                <w:sz w:val="24"/>
                <w:szCs w:val="24"/>
                <w:highlight w:val="none"/>
                <w:lang w:val="en-US" w:eastAsia="zh-CN"/>
              </w:rPr>
              <w:t>暂存，</w:t>
            </w:r>
            <w:r>
              <w:rPr>
                <w:rFonts w:hint="default" w:ascii="Times New Roman" w:hAnsi="Times New Roman" w:cs="Times New Roman"/>
                <w:color w:val="auto"/>
                <w:sz w:val="24"/>
                <w:szCs w:val="24"/>
                <w:highlight w:val="none"/>
              </w:rPr>
              <w:t>最终</w:t>
            </w:r>
            <w:r>
              <w:rPr>
                <w:rFonts w:hint="default" w:ascii="Times New Roman" w:hAnsi="Times New Roman" w:cs="Times New Roman"/>
                <w:color w:val="auto"/>
                <w:sz w:val="24"/>
                <w:szCs w:val="24"/>
                <w:highlight w:val="none"/>
                <w:lang w:val="en-US" w:eastAsia="zh-CN"/>
              </w:rPr>
              <w:t>交由</w:t>
            </w:r>
            <w:r>
              <w:rPr>
                <w:rFonts w:hint="default" w:ascii="Times New Roman" w:hAnsi="Times New Roman" w:cs="Times New Roman"/>
                <w:color w:val="auto"/>
                <w:sz w:val="24"/>
                <w:szCs w:val="24"/>
                <w:highlight w:val="none"/>
              </w:rPr>
              <w:t>乡镇环卫统一处理</w:t>
            </w:r>
            <w:r>
              <w:rPr>
                <w:rFonts w:hint="default" w:ascii="Times New Roman" w:hAnsi="Times New Roman" w:cs="Times New Roman"/>
                <w:color w:val="auto"/>
                <w:sz w:val="24"/>
                <w:szCs w:val="24"/>
                <w:highlight w:val="none"/>
                <w:lang w:val="en-US" w:eastAsia="zh-CN"/>
              </w:rPr>
              <w:t>。</w:t>
            </w:r>
          </w:p>
          <w:p w14:paraId="1446E6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②</w:t>
            </w:r>
            <w:r>
              <w:rPr>
                <w:rFonts w:hint="default" w:ascii="Times New Roman" w:hAnsi="Times New Roman" w:cs="Times New Roman"/>
                <w:b/>
                <w:bCs/>
                <w:color w:val="auto"/>
                <w:sz w:val="24"/>
                <w:szCs w:val="24"/>
                <w:highlight w:val="none"/>
                <w:lang w:val="en-US" w:eastAsia="zh-CN"/>
              </w:rPr>
              <w:t>栅渣及沉砂</w:t>
            </w:r>
          </w:p>
          <w:p w14:paraId="16FBB9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本项目取水进口处设置格栅拦截污物及碎石等，</w:t>
            </w:r>
            <w:r>
              <w:rPr>
                <w:rFonts w:hint="eastAsia" w:ascii="Times New Roman" w:hAnsi="Times New Roman" w:cs="Times New Roman"/>
                <w:color w:val="auto"/>
                <w:sz w:val="24"/>
                <w:szCs w:val="24"/>
                <w:highlight w:val="none"/>
                <w:lang w:val="en-US" w:eastAsia="zh-CN"/>
              </w:rPr>
              <w:t>马渡关水厂</w:t>
            </w:r>
            <w:r>
              <w:rPr>
                <w:rFonts w:hint="default" w:ascii="Times New Roman" w:hAnsi="Times New Roman" w:cs="Times New Roman"/>
                <w:color w:val="auto"/>
                <w:sz w:val="24"/>
                <w:szCs w:val="24"/>
                <w:highlight w:val="none"/>
                <w:lang w:val="en-US" w:eastAsia="zh-CN"/>
              </w:rPr>
              <w:t>设计取水规模</w:t>
            </w:r>
            <w:r>
              <w:rPr>
                <w:rFonts w:hint="eastAsia" w:ascii="Times New Roman" w:hAnsi="Times New Roman" w:cs="Times New Roman"/>
                <w:color w:val="auto"/>
                <w:sz w:val="24"/>
                <w:szCs w:val="24"/>
                <w:highlight w:val="none"/>
                <w:lang w:val="en-US" w:eastAsia="zh-CN"/>
              </w:rPr>
              <w:t>33</w:t>
            </w:r>
            <w:r>
              <w:rPr>
                <w:rFonts w:hint="default" w:ascii="Times New Roman" w:hAnsi="Times New Roman" w:cs="Times New Roman"/>
                <w:color w:val="auto"/>
                <w:sz w:val="24"/>
                <w:szCs w:val="24"/>
                <w:highlight w:val="none"/>
                <w:lang w:val="en-US" w:eastAsia="zh-CN"/>
              </w:rPr>
              <w:t>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/d，栅渣及沉砂量按0.1m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/1000m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·d原水计，密度约960kg/m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，则栅渣及沉砂总产生量为</w:t>
            </w:r>
            <w:r>
              <w:rPr>
                <w:rFonts w:hint="eastAsia" w:ascii="Times New Roman" w:hAnsi="Times New Roman" w:cs="Times New Roman"/>
                <w:color w:val="auto"/>
                <w:sz w:val="24"/>
                <w:szCs w:val="24"/>
                <w:highlight w:val="none"/>
                <w:lang w:val="en-US" w:eastAsia="zh-CN"/>
              </w:rPr>
              <w:t>115.632</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59其他工业固体废物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99</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定期还田处理。</w:t>
            </w:r>
          </w:p>
          <w:p w14:paraId="223E584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③污泥</w:t>
            </w:r>
          </w:p>
          <w:p w14:paraId="38D111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eastAsia" w:ascii="Times New Roman" w:hAnsi="Times New Roman" w:cs="Times New Roman"/>
                <w:b/>
                <w:bCs/>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本项目运营期间，污泥主要产生于</w:t>
            </w:r>
            <w:r>
              <w:rPr>
                <w:rFonts w:hint="eastAsia" w:ascii="Times New Roman" w:hAnsi="Times New Roman" w:cs="Times New Roman"/>
                <w:color w:val="auto"/>
                <w:sz w:val="24"/>
                <w:szCs w:val="32"/>
                <w:highlight w:val="none"/>
                <w:vertAlign w:val="baseline"/>
                <w:lang w:val="en-US" w:eastAsia="zh-CN"/>
              </w:rPr>
              <w:t>预沉淀、絮凝、沉淀</w:t>
            </w:r>
            <w:r>
              <w:rPr>
                <w:rFonts w:hint="default" w:ascii="Times New Roman" w:hAnsi="Times New Roman" w:cs="Times New Roman"/>
                <w:color w:val="auto"/>
                <w:sz w:val="24"/>
                <w:szCs w:val="24"/>
                <w:highlight w:val="none"/>
                <w:lang w:val="en-US" w:eastAsia="zh-CN"/>
              </w:rPr>
              <w:t>等</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产生量约</w:t>
            </w:r>
            <w:r>
              <w:rPr>
                <w:rFonts w:hint="eastAsia" w:ascii="Times New Roman" w:hAnsi="Times New Roman" w:cs="Times New Roman"/>
                <w:color w:val="auto"/>
                <w:sz w:val="24"/>
                <w:szCs w:val="24"/>
                <w:highlight w:val="none"/>
                <w:lang w:val="en-US" w:eastAsia="zh-CN"/>
              </w:rPr>
              <w:t>1000t</w:t>
            </w:r>
            <w:r>
              <w:rPr>
                <w:rFonts w:hint="default" w:ascii="Times New Roman" w:hAnsi="Times New Roman" w:cs="Times New Roman"/>
                <w:color w:val="auto"/>
                <w:sz w:val="24"/>
                <w:szCs w:val="24"/>
                <w:highlight w:val="none"/>
                <w:lang w:val="en-US" w:eastAsia="zh-CN"/>
              </w:rPr>
              <w:t>/a</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90城镇污水污泥</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自来水生产和供应</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461</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01</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本项目污泥干化后</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lang w:eastAsia="zh-CN"/>
              </w:rPr>
              <w:t>含水率</w:t>
            </w:r>
            <w:r>
              <w:rPr>
                <w:rFonts w:hint="default" w:ascii="Times New Roman" w:hAnsi="Times New Roman" w:cs="Times New Roman"/>
                <w:color w:val="auto"/>
                <w:sz w:val="24"/>
                <w:szCs w:val="24"/>
                <w:lang w:val="en-US" w:eastAsia="zh-CN"/>
              </w:rPr>
              <w:t>＜60%</w:t>
            </w:r>
            <w:r>
              <w:rPr>
                <w:rFonts w:hint="default" w:ascii="Times New Roman" w:hAnsi="Times New Roman" w:cs="Times New Roman"/>
                <w:color w:val="auto"/>
                <w:sz w:val="24"/>
                <w:szCs w:val="24"/>
                <w:highlight w:val="none"/>
                <w:lang w:val="en-US" w:eastAsia="zh-CN"/>
              </w:rPr>
              <w:t>）</w:t>
            </w:r>
            <w:r>
              <w:rPr>
                <w:rFonts w:hint="eastAsia" w:ascii="宋体" w:hAnsi="宋体" w:eastAsia="宋体" w:cs="宋体"/>
                <w:color w:val="auto"/>
                <w:kern w:val="0"/>
                <w:sz w:val="24"/>
                <w:szCs w:val="24"/>
                <w:lang w:val="en-US" w:eastAsia="zh-CN" w:bidi="ar"/>
              </w:rPr>
              <w:t>送</w:t>
            </w:r>
            <w:r>
              <w:rPr>
                <w:rFonts w:hint="eastAsia" w:ascii="宋体" w:hAnsi="宋体" w:eastAsia="宋体" w:cs="宋体"/>
                <w:color w:val="auto"/>
                <w:sz w:val="24"/>
                <w:szCs w:val="24"/>
              </w:rPr>
              <w:t>宣汉海诺尔环保发电有限公司焚烧处理</w:t>
            </w:r>
            <w:r>
              <w:rPr>
                <w:rFonts w:hint="default" w:ascii="Times New Roman" w:hAnsi="Times New Roman" w:cs="Times New Roman"/>
                <w:color w:val="auto"/>
                <w:sz w:val="24"/>
                <w:szCs w:val="24"/>
                <w:highlight w:val="none"/>
                <w:lang w:val="en-US" w:eastAsia="zh-CN"/>
              </w:rPr>
              <w:t>。</w:t>
            </w:r>
          </w:p>
          <w:p w14:paraId="6874A6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④</w:t>
            </w:r>
            <w:r>
              <w:rPr>
                <w:rFonts w:hint="default" w:ascii="Times New Roman" w:hAnsi="Times New Roman" w:cs="Times New Roman"/>
                <w:b/>
                <w:bCs/>
                <w:color w:val="auto"/>
                <w:sz w:val="24"/>
                <w:szCs w:val="24"/>
                <w:highlight w:val="none"/>
                <w:lang w:val="en-US" w:eastAsia="zh-CN"/>
              </w:rPr>
              <w:t>废</w:t>
            </w:r>
            <w:r>
              <w:rPr>
                <w:rFonts w:hint="eastAsia" w:ascii="Times New Roman" w:hAnsi="Times New Roman" w:cs="Times New Roman"/>
                <w:b/>
                <w:bCs/>
                <w:color w:val="auto"/>
                <w:sz w:val="24"/>
                <w:szCs w:val="24"/>
                <w:highlight w:val="none"/>
                <w:lang w:val="en-US" w:eastAsia="zh-CN"/>
              </w:rPr>
              <w:t>填料</w:t>
            </w:r>
          </w:p>
          <w:p w14:paraId="56C5320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本项目V型滤池采用石英砂作为滤料，平均每年更换一次，废填料产生量约</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lang w:val="en-US" w:eastAsia="zh-CN"/>
              </w:rPr>
              <w:t>0t/a，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59其他工业固体废物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09</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交由厂商回收处理。</w:t>
            </w:r>
          </w:p>
          <w:p w14:paraId="3B436D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⑤</w:t>
            </w:r>
            <w:r>
              <w:rPr>
                <w:rFonts w:hint="default" w:ascii="Times New Roman" w:hAnsi="Times New Roman" w:cs="Times New Roman"/>
                <w:b/>
                <w:bCs/>
                <w:color w:val="auto"/>
                <w:sz w:val="24"/>
                <w:szCs w:val="24"/>
                <w:highlight w:val="none"/>
                <w:lang w:val="en-US" w:eastAsia="zh-CN"/>
              </w:rPr>
              <w:t>废包装材料</w:t>
            </w:r>
          </w:p>
          <w:p w14:paraId="245E829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主要为PAC等废弃包装袋，产生量约0.0</w:t>
            </w:r>
            <w:r>
              <w:rPr>
                <w:rFonts w:hint="eastAsia"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t/a，</w:t>
            </w:r>
            <w:r>
              <w:rPr>
                <w:rFonts w:hint="default" w:ascii="Times New Roman" w:hAnsi="Times New Roman" w:eastAsia="宋体" w:cs="Times New Roman"/>
                <w:color w:val="auto"/>
                <w:sz w:val="24"/>
                <w:szCs w:val="24"/>
                <w:lang w:val="en-US" w:eastAsia="zh-CN"/>
              </w:rPr>
              <w:t>属于《固体废物分类与代码目录》（生态环境部公告2024年第4号）中“SW</w:t>
            </w:r>
            <w:r>
              <w:rPr>
                <w:rFonts w:hint="eastAsia" w:ascii="Times New Roman" w:hAnsi="Times New Roman" w:eastAsia="宋体" w:cs="Times New Roman"/>
                <w:color w:val="auto"/>
                <w:sz w:val="24"/>
                <w:szCs w:val="24"/>
                <w:lang w:val="en-US" w:eastAsia="zh-CN"/>
              </w:rPr>
              <w:t>59其他工业固体废物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非特定行业</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99</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59</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highlight w:val="none"/>
                <w:lang w:val="en-US" w:eastAsia="zh-CN"/>
              </w:rPr>
              <w:t>定期交由废品收购站回收。</w:t>
            </w:r>
          </w:p>
          <w:p w14:paraId="4BD664E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项目固体废物污染源强及处置措施见下表：</w:t>
            </w:r>
          </w:p>
          <w:p w14:paraId="35F9FB1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5 </w:t>
            </w:r>
            <w:r>
              <w:rPr>
                <w:rFonts w:hint="default" w:ascii="Times New Roman" w:hAnsi="Times New Roman" w:eastAsia="黑体" w:cs="Times New Roman"/>
                <w:b w:val="0"/>
                <w:bCs/>
                <w:color w:val="auto"/>
                <w:kern w:val="2"/>
                <w:sz w:val="21"/>
                <w:szCs w:val="21"/>
                <w:highlight w:val="none"/>
                <w:lang w:val="en-US" w:eastAsia="zh-CN" w:bidi="ar-SA"/>
              </w:rPr>
              <w:t>固体废物污染源强及处置措施表</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单位：t/a</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20"/>
              <w:gridCol w:w="1570"/>
              <w:gridCol w:w="712"/>
              <w:gridCol w:w="987"/>
              <w:gridCol w:w="1197"/>
              <w:gridCol w:w="1036"/>
              <w:gridCol w:w="3148"/>
            </w:tblGrid>
            <w:tr w14:paraId="4455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restart"/>
                  <w:tcBorders>
                    <w:tl2br w:val="nil"/>
                    <w:tr2bl w:val="nil"/>
                  </w:tcBorders>
                  <w:shd w:val="clear" w:color="auto" w:fill="auto"/>
                  <w:vAlign w:val="center"/>
                </w:tcPr>
                <w:p w14:paraId="6D17CC54">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项目</w:t>
                  </w:r>
                </w:p>
              </w:tc>
              <w:tc>
                <w:tcPr>
                  <w:tcW w:w="837" w:type="pct"/>
                  <w:vMerge w:val="restart"/>
                  <w:tcBorders>
                    <w:tl2br w:val="nil"/>
                    <w:tr2bl w:val="nil"/>
                  </w:tcBorders>
                  <w:shd w:val="clear" w:color="auto" w:fill="auto"/>
                  <w:vAlign w:val="center"/>
                </w:tcPr>
                <w:p w14:paraId="2F26010A">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固体废物名称</w:t>
                  </w:r>
                </w:p>
              </w:tc>
              <w:tc>
                <w:tcPr>
                  <w:tcW w:w="379" w:type="pct"/>
                  <w:vMerge w:val="restart"/>
                  <w:tcBorders>
                    <w:tl2br w:val="nil"/>
                    <w:tr2bl w:val="nil"/>
                  </w:tcBorders>
                  <w:shd w:val="clear" w:color="auto" w:fill="auto"/>
                  <w:vAlign w:val="center"/>
                </w:tcPr>
                <w:p w14:paraId="3F10B4CA">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固废属性</w:t>
                  </w:r>
                </w:p>
              </w:tc>
              <w:tc>
                <w:tcPr>
                  <w:tcW w:w="526" w:type="pct"/>
                  <w:vMerge w:val="restart"/>
                  <w:tcBorders>
                    <w:tl2br w:val="nil"/>
                    <w:tr2bl w:val="nil"/>
                  </w:tcBorders>
                  <w:shd w:val="clear" w:color="auto" w:fill="auto"/>
                  <w:vAlign w:val="center"/>
                </w:tcPr>
                <w:p w14:paraId="36F71E7A">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产生量</w:t>
                  </w:r>
                </w:p>
              </w:tc>
              <w:tc>
                <w:tcPr>
                  <w:tcW w:w="1191" w:type="pct"/>
                  <w:gridSpan w:val="2"/>
                  <w:tcBorders>
                    <w:tl2br w:val="nil"/>
                    <w:tr2bl w:val="nil"/>
                  </w:tcBorders>
                  <w:shd w:val="clear" w:color="auto" w:fill="auto"/>
                  <w:vAlign w:val="center"/>
                </w:tcPr>
                <w:p w14:paraId="3E9A2034">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处置措施</w:t>
                  </w:r>
                </w:p>
              </w:tc>
              <w:tc>
                <w:tcPr>
                  <w:tcW w:w="1679" w:type="pct"/>
                  <w:vMerge w:val="restart"/>
                  <w:tcBorders>
                    <w:tl2br w:val="nil"/>
                    <w:tr2bl w:val="nil"/>
                  </w:tcBorders>
                  <w:shd w:val="clear" w:color="auto" w:fill="auto"/>
                  <w:vAlign w:val="center"/>
                </w:tcPr>
                <w:p w14:paraId="3BC34075">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最终去向</w:t>
                  </w:r>
                </w:p>
              </w:tc>
            </w:tr>
            <w:tr w14:paraId="29CB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shd w:val="clear" w:color="auto" w:fill="auto"/>
                  <w:vAlign w:val="center"/>
                </w:tcPr>
                <w:p w14:paraId="5846CF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837" w:type="pct"/>
                  <w:vMerge w:val="continue"/>
                  <w:tcBorders>
                    <w:tl2br w:val="nil"/>
                    <w:tr2bl w:val="nil"/>
                  </w:tcBorders>
                  <w:shd w:val="clear" w:color="auto" w:fill="auto"/>
                  <w:vAlign w:val="center"/>
                </w:tcPr>
                <w:p w14:paraId="5F3B07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379" w:type="pct"/>
                  <w:vMerge w:val="continue"/>
                  <w:tcBorders>
                    <w:tl2br w:val="nil"/>
                    <w:tr2bl w:val="nil"/>
                  </w:tcBorders>
                  <w:shd w:val="clear" w:color="auto" w:fill="auto"/>
                  <w:vAlign w:val="center"/>
                </w:tcPr>
                <w:p w14:paraId="2E000B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vMerge w:val="continue"/>
                  <w:tcBorders>
                    <w:tl2br w:val="nil"/>
                    <w:tr2bl w:val="nil"/>
                  </w:tcBorders>
                  <w:shd w:val="clear" w:color="auto" w:fill="auto"/>
                  <w:vAlign w:val="center"/>
                </w:tcPr>
                <w:p w14:paraId="7B8C86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p>
              </w:tc>
              <w:tc>
                <w:tcPr>
                  <w:tcW w:w="638" w:type="pct"/>
                  <w:tcBorders>
                    <w:tl2br w:val="nil"/>
                    <w:tr2bl w:val="nil"/>
                  </w:tcBorders>
                  <w:shd w:val="clear" w:color="auto" w:fill="auto"/>
                  <w:vAlign w:val="center"/>
                </w:tcPr>
                <w:p w14:paraId="7C5822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552" w:type="pct"/>
                  <w:tcBorders>
                    <w:tl2br w:val="nil"/>
                    <w:tr2bl w:val="nil"/>
                  </w:tcBorders>
                  <w:shd w:val="clear" w:color="auto" w:fill="auto"/>
                  <w:vAlign w:val="center"/>
                </w:tcPr>
                <w:p w14:paraId="346016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处置量</w:t>
                  </w:r>
                </w:p>
              </w:tc>
              <w:tc>
                <w:tcPr>
                  <w:tcW w:w="1679" w:type="pct"/>
                  <w:vMerge w:val="continue"/>
                  <w:tcBorders>
                    <w:tl2br w:val="nil"/>
                    <w:tr2bl w:val="nil"/>
                  </w:tcBorders>
                  <w:vAlign w:val="center"/>
                </w:tcPr>
                <w:p w14:paraId="00DC09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p>
              </w:tc>
            </w:tr>
            <w:tr w14:paraId="2FC0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restart"/>
                  <w:tcBorders>
                    <w:tl2br w:val="nil"/>
                    <w:tr2bl w:val="nil"/>
                  </w:tcBorders>
                  <w:vAlign w:val="center"/>
                </w:tcPr>
                <w:p w14:paraId="65FD21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隘口</w:t>
                  </w:r>
                  <w:r>
                    <w:rPr>
                      <w:rFonts w:hint="default" w:ascii="Times New Roman" w:hAnsi="Times New Roman" w:cs="Times New Roman"/>
                      <w:color w:val="auto"/>
                      <w:sz w:val="21"/>
                      <w:szCs w:val="21"/>
                      <w:highlight w:val="none"/>
                      <w:lang w:val="en-US" w:eastAsia="zh-CN"/>
                    </w:rPr>
                    <w:t>水厂</w:t>
                  </w:r>
                </w:p>
              </w:tc>
              <w:tc>
                <w:tcPr>
                  <w:tcW w:w="837" w:type="pct"/>
                  <w:tcBorders>
                    <w:tl2br w:val="nil"/>
                    <w:tr2bl w:val="nil"/>
                  </w:tcBorders>
                  <w:vAlign w:val="center"/>
                </w:tcPr>
                <w:p w14:paraId="105FBE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379" w:type="pct"/>
                  <w:vMerge w:val="restart"/>
                  <w:tcBorders>
                    <w:tl2br w:val="nil"/>
                    <w:tr2bl w:val="nil"/>
                  </w:tcBorders>
                  <w:vAlign w:val="center"/>
                </w:tcPr>
                <w:p w14:paraId="01E585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一般废物</w:t>
                  </w:r>
                </w:p>
              </w:tc>
              <w:tc>
                <w:tcPr>
                  <w:tcW w:w="526" w:type="pct"/>
                  <w:tcBorders>
                    <w:tl2br w:val="nil"/>
                    <w:tr2bl w:val="nil"/>
                  </w:tcBorders>
                  <w:vAlign w:val="center"/>
                </w:tcPr>
                <w:p w14:paraId="3E8D3C4E">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0.73</w:t>
                  </w:r>
                </w:p>
              </w:tc>
              <w:tc>
                <w:tcPr>
                  <w:tcW w:w="638" w:type="pct"/>
                  <w:tcBorders>
                    <w:tl2br w:val="nil"/>
                    <w:tr2bl w:val="nil"/>
                  </w:tcBorders>
                  <w:vAlign w:val="center"/>
                </w:tcPr>
                <w:p w14:paraId="7890B4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27BDA9B3">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0.73</w:t>
                  </w:r>
                </w:p>
              </w:tc>
              <w:tc>
                <w:tcPr>
                  <w:tcW w:w="1679" w:type="pct"/>
                  <w:tcBorders>
                    <w:tl2br w:val="nil"/>
                    <w:tr2bl w:val="nil"/>
                  </w:tcBorders>
                  <w:vAlign w:val="center"/>
                </w:tcPr>
                <w:p w14:paraId="02BBED7B">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环卫部门清运处理</w:t>
                  </w:r>
                </w:p>
              </w:tc>
            </w:tr>
            <w:tr w14:paraId="5928F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153B4B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37" w:type="pct"/>
                  <w:tcBorders>
                    <w:tl2br w:val="nil"/>
                    <w:tr2bl w:val="nil"/>
                  </w:tcBorders>
                  <w:shd w:val="clear" w:color="auto" w:fill="auto"/>
                  <w:vAlign w:val="center"/>
                </w:tcPr>
                <w:p w14:paraId="0CCBD4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栅渣及沉砂</w:t>
                  </w:r>
                </w:p>
              </w:tc>
              <w:tc>
                <w:tcPr>
                  <w:tcW w:w="379" w:type="pct"/>
                  <w:vMerge w:val="continue"/>
                  <w:tcBorders>
                    <w:tl2br w:val="nil"/>
                    <w:tr2bl w:val="nil"/>
                  </w:tcBorders>
                  <w:vAlign w:val="center"/>
                </w:tcPr>
                <w:p w14:paraId="05D592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4E05DADD">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77.088</w:t>
                  </w:r>
                </w:p>
              </w:tc>
              <w:tc>
                <w:tcPr>
                  <w:tcW w:w="638" w:type="pct"/>
                  <w:tcBorders>
                    <w:tl2br w:val="nil"/>
                    <w:tr2bl w:val="nil"/>
                  </w:tcBorders>
                  <w:vAlign w:val="center"/>
                </w:tcPr>
                <w:p w14:paraId="453C8C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0EA8A8F5">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77.088</w:t>
                  </w:r>
                </w:p>
              </w:tc>
              <w:tc>
                <w:tcPr>
                  <w:tcW w:w="1679" w:type="pct"/>
                  <w:tcBorders>
                    <w:tl2br w:val="nil"/>
                    <w:tr2bl w:val="nil"/>
                  </w:tcBorders>
                  <w:vAlign w:val="center"/>
                </w:tcPr>
                <w:p w14:paraId="18B344AC">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定期还田处理</w:t>
                  </w:r>
                </w:p>
              </w:tc>
            </w:tr>
            <w:tr w14:paraId="1888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4FF7F6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837" w:type="pct"/>
                  <w:tcBorders>
                    <w:tl2br w:val="nil"/>
                    <w:tr2bl w:val="nil"/>
                  </w:tcBorders>
                  <w:shd w:val="clear" w:color="auto" w:fill="auto"/>
                  <w:vAlign w:val="center"/>
                </w:tcPr>
                <w:p w14:paraId="74C85E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污泥</w:t>
                  </w:r>
                </w:p>
              </w:tc>
              <w:tc>
                <w:tcPr>
                  <w:tcW w:w="379" w:type="pct"/>
                  <w:vMerge w:val="continue"/>
                  <w:tcBorders>
                    <w:tl2br w:val="nil"/>
                    <w:tr2bl w:val="nil"/>
                  </w:tcBorders>
                  <w:vAlign w:val="center"/>
                </w:tcPr>
                <w:p w14:paraId="5B6D54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1937CC4A">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00</w:t>
                  </w:r>
                </w:p>
              </w:tc>
              <w:tc>
                <w:tcPr>
                  <w:tcW w:w="638" w:type="pct"/>
                  <w:tcBorders>
                    <w:tl2br w:val="nil"/>
                    <w:tr2bl w:val="nil"/>
                  </w:tcBorders>
                  <w:vAlign w:val="center"/>
                </w:tcPr>
                <w:p w14:paraId="3423F5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5747898F">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00</w:t>
                  </w:r>
                </w:p>
              </w:tc>
              <w:tc>
                <w:tcPr>
                  <w:tcW w:w="1679" w:type="pct"/>
                  <w:tcBorders>
                    <w:tl2br w:val="nil"/>
                    <w:tr2bl w:val="nil"/>
                  </w:tcBorders>
                  <w:vAlign w:val="center"/>
                </w:tcPr>
                <w:p w14:paraId="5FB7D4DA">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干化后</w:t>
                  </w:r>
                  <w:r>
                    <w:rPr>
                      <w:rFonts w:hint="default" w:ascii="Times New Roman" w:hAnsi="Times New Roman" w:cs="Times New Roman"/>
                      <w:color w:val="auto"/>
                      <w:sz w:val="21"/>
                      <w:szCs w:val="21"/>
                      <w:highlight w:val="none"/>
                      <w:lang w:val="en-US" w:eastAsia="zh-CN"/>
                    </w:rPr>
                    <w:t>含水率＜60%</w:t>
                  </w:r>
                  <w:r>
                    <w:rPr>
                      <w:rFonts w:hint="eastAsia" w:ascii="宋体" w:hAnsi="宋体" w:eastAsia="宋体" w:cs="宋体"/>
                      <w:color w:val="auto"/>
                      <w:kern w:val="0"/>
                      <w:sz w:val="21"/>
                      <w:szCs w:val="21"/>
                      <w:lang w:val="en-US" w:eastAsia="zh-CN" w:bidi="ar"/>
                    </w:rPr>
                    <w:t>送</w:t>
                  </w:r>
                  <w:r>
                    <w:rPr>
                      <w:rFonts w:hint="eastAsia" w:ascii="宋体" w:hAnsi="宋体" w:eastAsia="宋体" w:cs="宋体"/>
                      <w:color w:val="auto"/>
                      <w:sz w:val="21"/>
                      <w:szCs w:val="21"/>
                    </w:rPr>
                    <w:t>宣汉海诺尔环保发电有限公司焚烧处理</w:t>
                  </w:r>
                </w:p>
              </w:tc>
            </w:tr>
            <w:tr w14:paraId="2071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1F722B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837" w:type="pct"/>
                  <w:tcBorders>
                    <w:tl2br w:val="nil"/>
                    <w:tr2bl w:val="nil"/>
                  </w:tcBorders>
                  <w:vAlign w:val="center"/>
                </w:tcPr>
                <w:p w14:paraId="143BF2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w:t>
                  </w:r>
                  <w:r>
                    <w:rPr>
                      <w:rFonts w:hint="eastAsia" w:ascii="Times New Roman" w:hAnsi="Times New Roman" w:cs="Times New Roman"/>
                      <w:color w:val="auto"/>
                      <w:sz w:val="21"/>
                      <w:szCs w:val="21"/>
                      <w:highlight w:val="none"/>
                      <w:lang w:val="en-US" w:eastAsia="zh-CN"/>
                    </w:rPr>
                    <w:t>填料</w:t>
                  </w:r>
                </w:p>
              </w:tc>
              <w:tc>
                <w:tcPr>
                  <w:tcW w:w="379" w:type="pct"/>
                  <w:vMerge w:val="continue"/>
                  <w:tcBorders>
                    <w:tl2br w:val="nil"/>
                    <w:tr2bl w:val="nil"/>
                  </w:tcBorders>
                  <w:vAlign w:val="center"/>
                </w:tcPr>
                <w:p w14:paraId="58B441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41B5BDE9">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c>
                <w:tcPr>
                  <w:tcW w:w="638" w:type="pct"/>
                  <w:tcBorders>
                    <w:tl2br w:val="nil"/>
                    <w:tr2bl w:val="nil"/>
                  </w:tcBorders>
                  <w:vAlign w:val="center"/>
                </w:tcPr>
                <w:p w14:paraId="38EDE5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7C910208">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w:t>
                  </w:r>
                </w:p>
              </w:tc>
              <w:tc>
                <w:tcPr>
                  <w:tcW w:w="1679" w:type="pct"/>
                  <w:tcBorders>
                    <w:tl2br w:val="nil"/>
                    <w:tr2bl w:val="nil"/>
                  </w:tcBorders>
                  <w:vAlign w:val="center"/>
                </w:tcPr>
                <w:p w14:paraId="13277C96">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交由厂商回收处理</w:t>
                  </w:r>
                </w:p>
              </w:tc>
            </w:tr>
            <w:tr w14:paraId="7E6D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1412FD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837" w:type="pct"/>
                  <w:tcBorders>
                    <w:tl2br w:val="nil"/>
                    <w:tr2bl w:val="nil"/>
                  </w:tcBorders>
                  <w:vAlign w:val="center"/>
                </w:tcPr>
                <w:p w14:paraId="744027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废包装材料</w:t>
                  </w:r>
                </w:p>
              </w:tc>
              <w:tc>
                <w:tcPr>
                  <w:tcW w:w="379" w:type="pct"/>
                  <w:vMerge w:val="continue"/>
                  <w:tcBorders>
                    <w:tl2br w:val="nil"/>
                    <w:tr2bl w:val="nil"/>
                  </w:tcBorders>
                  <w:vAlign w:val="center"/>
                </w:tcPr>
                <w:p w14:paraId="279501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719876D6">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638" w:type="pct"/>
                  <w:tcBorders>
                    <w:tl2br w:val="nil"/>
                    <w:tr2bl w:val="nil"/>
                  </w:tcBorders>
                  <w:vAlign w:val="center"/>
                </w:tcPr>
                <w:p w14:paraId="79AB4C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14BE9560">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1679" w:type="pct"/>
                  <w:tcBorders>
                    <w:tl2br w:val="nil"/>
                    <w:tr2bl w:val="nil"/>
                  </w:tcBorders>
                  <w:vAlign w:val="center"/>
                </w:tcPr>
                <w:p w14:paraId="2517D928">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交由废品收购站回收</w:t>
                  </w:r>
                </w:p>
              </w:tc>
            </w:tr>
            <w:tr w14:paraId="269C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restart"/>
                  <w:tcBorders>
                    <w:tl2br w:val="nil"/>
                    <w:tr2bl w:val="nil"/>
                  </w:tcBorders>
                  <w:vAlign w:val="center"/>
                </w:tcPr>
                <w:p w14:paraId="0B76DD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马渡关</w:t>
                  </w:r>
                  <w:r>
                    <w:rPr>
                      <w:rFonts w:hint="default" w:ascii="Times New Roman" w:hAnsi="Times New Roman" w:cs="Times New Roman"/>
                      <w:color w:val="auto"/>
                      <w:sz w:val="21"/>
                      <w:szCs w:val="21"/>
                      <w:highlight w:val="none"/>
                      <w:lang w:val="en-US" w:eastAsia="zh-CN"/>
                    </w:rPr>
                    <w:t>水厂</w:t>
                  </w:r>
                </w:p>
              </w:tc>
              <w:tc>
                <w:tcPr>
                  <w:tcW w:w="837" w:type="pct"/>
                  <w:tcBorders>
                    <w:tl2br w:val="nil"/>
                    <w:tr2bl w:val="nil"/>
                  </w:tcBorders>
                  <w:shd w:val="clear" w:color="auto" w:fill="auto"/>
                  <w:vAlign w:val="center"/>
                </w:tcPr>
                <w:p w14:paraId="5728D0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379" w:type="pct"/>
                  <w:vMerge w:val="restart"/>
                  <w:tcBorders>
                    <w:tl2br w:val="nil"/>
                    <w:tr2bl w:val="nil"/>
                  </w:tcBorders>
                  <w:vAlign w:val="center"/>
                </w:tcPr>
                <w:p w14:paraId="2757C3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719BF7AD">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73</w:t>
                  </w:r>
                </w:p>
              </w:tc>
              <w:tc>
                <w:tcPr>
                  <w:tcW w:w="638" w:type="pct"/>
                  <w:tcBorders>
                    <w:tl2br w:val="nil"/>
                    <w:tr2bl w:val="nil"/>
                  </w:tcBorders>
                  <w:shd w:val="clear" w:color="auto" w:fill="auto"/>
                  <w:vAlign w:val="center"/>
                </w:tcPr>
                <w:p w14:paraId="7E611B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567B571D">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73</w:t>
                  </w:r>
                </w:p>
              </w:tc>
              <w:tc>
                <w:tcPr>
                  <w:tcW w:w="1679" w:type="pct"/>
                  <w:tcBorders>
                    <w:tl2br w:val="nil"/>
                    <w:tr2bl w:val="nil"/>
                  </w:tcBorders>
                  <w:shd w:val="clear" w:color="auto" w:fill="auto"/>
                  <w:vAlign w:val="center"/>
                </w:tcPr>
                <w:p w14:paraId="18350466">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环卫部门清运处理</w:t>
                  </w:r>
                </w:p>
              </w:tc>
            </w:tr>
            <w:tr w14:paraId="05FA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02A09F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837" w:type="pct"/>
                  <w:tcBorders>
                    <w:tl2br w:val="nil"/>
                    <w:tr2bl w:val="nil"/>
                  </w:tcBorders>
                  <w:shd w:val="clear" w:color="auto" w:fill="auto"/>
                  <w:vAlign w:val="center"/>
                </w:tcPr>
                <w:p w14:paraId="7120DC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栅渣及沉砂</w:t>
                  </w:r>
                </w:p>
              </w:tc>
              <w:tc>
                <w:tcPr>
                  <w:tcW w:w="379" w:type="pct"/>
                  <w:vMerge w:val="continue"/>
                  <w:tcBorders>
                    <w:tl2br w:val="nil"/>
                    <w:tr2bl w:val="nil"/>
                  </w:tcBorders>
                  <w:vAlign w:val="center"/>
                </w:tcPr>
                <w:p w14:paraId="06F4FB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624EC4DB">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115.632</w:t>
                  </w:r>
                </w:p>
              </w:tc>
              <w:tc>
                <w:tcPr>
                  <w:tcW w:w="638" w:type="pct"/>
                  <w:tcBorders>
                    <w:tl2br w:val="nil"/>
                    <w:tr2bl w:val="nil"/>
                  </w:tcBorders>
                  <w:shd w:val="clear" w:color="auto" w:fill="auto"/>
                  <w:vAlign w:val="center"/>
                </w:tcPr>
                <w:p w14:paraId="32CC51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39A6950A">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115.632</w:t>
                  </w:r>
                </w:p>
              </w:tc>
              <w:tc>
                <w:tcPr>
                  <w:tcW w:w="1679" w:type="pct"/>
                  <w:tcBorders>
                    <w:tl2br w:val="nil"/>
                    <w:tr2bl w:val="nil"/>
                  </w:tcBorders>
                  <w:shd w:val="clear" w:color="auto" w:fill="auto"/>
                  <w:vAlign w:val="center"/>
                </w:tcPr>
                <w:p w14:paraId="68D2BC4D">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定期还田处理</w:t>
                  </w:r>
                </w:p>
              </w:tc>
            </w:tr>
            <w:tr w14:paraId="0C17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225FFB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837" w:type="pct"/>
                  <w:tcBorders>
                    <w:tl2br w:val="nil"/>
                    <w:tr2bl w:val="nil"/>
                  </w:tcBorders>
                  <w:shd w:val="clear" w:color="auto" w:fill="auto"/>
                  <w:vAlign w:val="center"/>
                </w:tcPr>
                <w:p w14:paraId="4D0E8A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污泥</w:t>
                  </w:r>
                </w:p>
              </w:tc>
              <w:tc>
                <w:tcPr>
                  <w:tcW w:w="379" w:type="pct"/>
                  <w:vMerge w:val="continue"/>
                  <w:tcBorders>
                    <w:tl2br w:val="nil"/>
                    <w:tr2bl w:val="nil"/>
                  </w:tcBorders>
                  <w:vAlign w:val="center"/>
                </w:tcPr>
                <w:p w14:paraId="7EFF59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7E96D6F2">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1000</w:t>
                  </w:r>
                </w:p>
              </w:tc>
              <w:tc>
                <w:tcPr>
                  <w:tcW w:w="638" w:type="pct"/>
                  <w:tcBorders>
                    <w:tl2br w:val="nil"/>
                    <w:tr2bl w:val="nil"/>
                  </w:tcBorders>
                  <w:shd w:val="clear" w:color="auto" w:fill="auto"/>
                  <w:vAlign w:val="center"/>
                </w:tcPr>
                <w:p w14:paraId="719759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79D899D5">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1000</w:t>
                  </w:r>
                </w:p>
              </w:tc>
              <w:tc>
                <w:tcPr>
                  <w:tcW w:w="1679" w:type="pct"/>
                  <w:tcBorders>
                    <w:tl2br w:val="nil"/>
                    <w:tr2bl w:val="nil"/>
                  </w:tcBorders>
                  <w:shd w:val="clear" w:color="auto" w:fill="auto"/>
                  <w:vAlign w:val="center"/>
                </w:tcPr>
                <w:p w14:paraId="5FB97B01">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干化后</w:t>
                  </w:r>
                  <w:r>
                    <w:rPr>
                      <w:rFonts w:hint="default" w:ascii="Times New Roman" w:hAnsi="Times New Roman" w:cs="Times New Roman"/>
                      <w:color w:val="auto"/>
                      <w:sz w:val="21"/>
                      <w:szCs w:val="21"/>
                      <w:highlight w:val="none"/>
                      <w:lang w:val="en-US" w:eastAsia="zh-CN"/>
                    </w:rPr>
                    <w:t>含水率＜60%</w:t>
                  </w:r>
                  <w:r>
                    <w:rPr>
                      <w:rFonts w:hint="eastAsia" w:ascii="宋体" w:hAnsi="宋体" w:eastAsia="宋体" w:cs="宋体"/>
                      <w:color w:val="auto"/>
                      <w:kern w:val="0"/>
                      <w:sz w:val="21"/>
                      <w:szCs w:val="21"/>
                      <w:lang w:val="en-US" w:eastAsia="zh-CN" w:bidi="ar"/>
                    </w:rPr>
                    <w:t>送</w:t>
                  </w:r>
                  <w:r>
                    <w:rPr>
                      <w:rFonts w:hint="eastAsia" w:ascii="宋体" w:hAnsi="宋体" w:eastAsia="宋体" w:cs="宋体"/>
                      <w:color w:val="auto"/>
                      <w:sz w:val="21"/>
                      <w:szCs w:val="21"/>
                    </w:rPr>
                    <w:t>宣汉海诺尔环保发电有限公司焚烧处理</w:t>
                  </w:r>
                </w:p>
              </w:tc>
            </w:tr>
            <w:tr w14:paraId="46478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29C543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837" w:type="pct"/>
                  <w:tcBorders>
                    <w:tl2br w:val="nil"/>
                    <w:tr2bl w:val="nil"/>
                  </w:tcBorders>
                  <w:shd w:val="clear" w:color="auto" w:fill="auto"/>
                  <w:vAlign w:val="center"/>
                </w:tcPr>
                <w:p w14:paraId="3AACB0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w:t>
                  </w:r>
                  <w:r>
                    <w:rPr>
                      <w:rFonts w:hint="eastAsia" w:ascii="Times New Roman" w:hAnsi="Times New Roman" w:cs="Times New Roman"/>
                      <w:color w:val="auto"/>
                      <w:sz w:val="21"/>
                      <w:szCs w:val="21"/>
                      <w:highlight w:val="none"/>
                      <w:lang w:val="en-US" w:eastAsia="zh-CN"/>
                    </w:rPr>
                    <w:t>填料</w:t>
                  </w:r>
                </w:p>
              </w:tc>
              <w:tc>
                <w:tcPr>
                  <w:tcW w:w="379" w:type="pct"/>
                  <w:vMerge w:val="continue"/>
                  <w:tcBorders>
                    <w:tl2br w:val="nil"/>
                    <w:tr2bl w:val="nil"/>
                  </w:tcBorders>
                  <w:vAlign w:val="center"/>
                </w:tcPr>
                <w:p w14:paraId="1F234D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16230A2D">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638" w:type="pct"/>
                  <w:tcBorders>
                    <w:tl2br w:val="nil"/>
                    <w:tr2bl w:val="nil"/>
                  </w:tcBorders>
                  <w:shd w:val="clear" w:color="auto" w:fill="auto"/>
                  <w:vAlign w:val="center"/>
                </w:tcPr>
                <w:p w14:paraId="17869D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329365AB">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30</w:t>
                  </w:r>
                </w:p>
              </w:tc>
              <w:tc>
                <w:tcPr>
                  <w:tcW w:w="1679" w:type="pct"/>
                  <w:tcBorders>
                    <w:tl2br w:val="nil"/>
                    <w:tr2bl w:val="nil"/>
                  </w:tcBorders>
                  <w:shd w:val="clear" w:color="auto" w:fill="auto"/>
                  <w:vAlign w:val="center"/>
                </w:tcPr>
                <w:p w14:paraId="5F975C98">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交由厂商回收处理</w:t>
                  </w:r>
                </w:p>
              </w:tc>
            </w:tr>
            <w:tr w14:paraId="7175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4" w:type="pct"/>
                  <w:vMerge w:val="continue"/>
                  <w:tcBorders>
                    <w:tl2br w:val="nil"/>
                    <w:tr2bl w:val="nil"/>
                  </w:tcBorders>
                  <w:vAlign w:val="center"/>
                </w:tcPr>
                <w:p w14:paraId="0174CD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rPr>
                  </w:pPr>
                </w:p>
              </w:tc>
              <w:tc>
                <w:tcPr>
                  <w:tcW w:w="837" w:type="pct"/>
                  <w:tcBorders>
                    <w:tl2br w:val="nil"/>
                    <w:tr2bl w:val="nil"/>
                  </w:tcBorders>
                  <w:shd w:val="clear" w:color="auto" w:fill="auto"/>
                  <w:vAlign w:val="center"/>
                </w:tcPr>
                <w:p w14:paraId="78369E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废包装材料</w:t>
                  </w:r>
                </w:p>
              </w:tc>
              <w:tc>
                <w:tcPr>
                  <w:tcW w:w="379" w:type="pct"/>
                  <w:vMerge w:val="continue"/>
                  <w:tcBorders>
                    <w:tl2br w:val="nil"/>
                    <w:tr2bl w:val="nil"/>
                  </w:tcBorders>
                  <w:vAlign w:val="center"/>
                </w:tcPr>
                <w:p w14:paraId="1F40F9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526" w:type="pct"/>
                  <w:tcBorders>
                    <w:tl2br w:val="nil"/>
                    <w:tr2bl w:val="nil"/>
                  </w:tcBorders>
                  <w:vAlign w:val="center"/>
                </w:tcPr>
                <w:p w14:paraId="05190683">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8</w:t>
                  </w:r>
                </w:p>
              </w:tc>
              <w:tc>
                <w:tcPr>
                  <w:tcW w:w="638" w:type="pct"/>
                  <w:tcBorders>
                    <w:tl2br w:val="nil"/>
                    <w:tr2bl w:val="nil"/>
                  </w:tcBorders>
                  <w:shd w:val="clear" w:color="auto" w:fill="auto"/>
                  <w:vAlign w:val="center"/>
                </w:tcPr>
                <w:p w14:paraId="291D6C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委托处置</w:t>
                  </w:r>
                </w:p>
              </w:tc>
              <w:tc>
                <w:tcPr>
                  <w:tcW w:w="552" w:type="pct"/>
                  <w:tcBorders>
                    <w:tl2br w:val="nil"/>
                    <w:tr2bl w:val="nil"/>
                  </w:tcBorders>
                  <w:shd w:val="clear" w:color="auto" w:fill="auto"/>
                  <w:vAlign w:val="center"/>
                </w:tcPr>
                <w:p w14:paraId="67A133B5">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8</w:t>
                  </w:r>
                </w:p>
              </w:tc>
              <w:tc>
                <w:tcPr>
                  <w:tcW w:w="1679" w:type="pct"/>
                  <w:tcBorders>
                    <w:tl2br w:val="nil"/>
                    <w:tr2bl w:val="nil"/>
                  </w:tcBorders>
                  <w:shd w:val="clear" w:color="auto" w:fill="auto"/>
                  <w:vAlign w:val="center"/>
                </w:tcPr>
                <w:p w14:paraId="2D3FC730">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交由废品收购站回收</w:t>
                  </w:r>
                </w:p>
              </w:tc>
            </w:tr>
          </w:tbl>
          <w:p w14:paraId="060FED2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综上所述，本项目营运期严格落实本环评中提出的各类废物处置措施，可防止因处置不当出现的环境二次污染。</w:t>
            </w:r>
          </w:p>
          <w:p w14:paraId="456334D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五</w:t>
            </w:r>
            <w:r>
              <w:rPr>
                <w:rFonts w:hint="default" w:ascii="Times New Roman" w:hAnsi="Times New Roman" w:cs="Times New Roman"/>
                <w:b/>
                <w:bCs/>
                <w:color w:val="auto"/>
                <w:sz w:val="24"/>
                <w:szCs w:val="24"/>
                <w:highlight w:val="none"/>
                <w:lang w:val="en-US" w:eastAsia="zh-CN"/>
              </w:rPr>
              <w:t>、地下水、土壤污染防治措施</w:t>
            </w:r>
          </w:p>
          <w:p w14:paraId="39AEFD9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（1）污染途径</w:t>
            </w:r>
          </w:p>
          <w:p w14:paraId="2CFD040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运营期污染物进入地下水环境的途径主要是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14:paraId="7D4B169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（2）防渗分区</w:t>
            </w:r>
          </w:p>
          <w:p w14:paraId="1F18364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根据《环境影响评价技术导则 地下水环境》（HJ610-2016）防渗分区原则，将本项目分划为一般防渗区和简单防渗区，划分区域如下：</w:t>
            </w:r>
          </w:p>
          <w:p w14:paraId="775EC32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一般防渗区：</w:t>
            </w:r>
            <w:r>
              <w:rPr>
                <w:rFonts w:hint="default" w:ascii="Times New Roman" w:hAnsi="Times New Roman" w:eastAsia="宋体" w:cs="Times New Roman"/>
                <w:color w:val="auto"/>
                <w:sz w:val="24"/>
                <w:szCs w:val="24"/>
                <w:highlight w:val="none"/>
                <w:lang w:val="en-US" w:eastAsia="zh-CN"/>
              </w:rPr>
              <w:t>包括</w:t>
            </w:r>
            <w:r>
              <w:rPr>
                <w:rFonts w:hint="eastAsia" w:ascii="Times New Roman" w:hAnsi="Times New Roman" w:eastAsia="宋体" w:cs="Times New Roman"/>
                <w:color w:val="auto"/>
                <w:sz w:val="24"/>
                <w:szCs w:val="24"/>
                <w:highlight w:val="none"/>
                <w:vertAlign w:val="baseline"/>
                <w:lang w:val="en-US" w:eastAsia="zh-CN"/>
              </w:rPr>
              <w:t>净水</w:t>
            </w:r>
            <w:r>
              <w:rPr>
                <w:rFonts w:hint="default" w:ascii="Times New Roman" w:hAnsi="Times New Roman" w:eastAsia="宋体" w:cs="Times New Roman"/>
                <w:color w:val="auto"/>
                <w:sz w:val="24"/>
                <w:szCs w:val="24"/>
                <w:highlight w:val="none"/>
                <w:vertAlign w:val="baseline"/>
                <w:lang w:val="en-US" w:eastAsia="zh-CN"/>
              </w:rPr>
              <w:t>一体化设备</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vertAlign w:val="baseline"/>
                <w:lang w:val="en-US" w:eastAsia="zh-CN"/>
              </w:rPr>
              <w:t>清水池、排水排泥池、送水泵房</w:t>
            </w:r>
            <w:r>
              <w:rPr>
                <w:rFonts w:hint="default" w:ascii="Times New Roman" w:hAnsi="Times New Roman" w:eastAsia="宋体" w:cs="Times New Roman"/>
                <w:color w:val="auto"/>
                <w:sz w:val="24"/>
                <w:szCs w:val="24"/>
                <w:highlight w:val="none"/>
                <w:lang w:val="en-US" w:eastAsia="zh-CN"/>
              </w:rPr>
              <w:t>等，防渗技术要求为等效粘土防渗层Mb≥1.5m，K≤10</w:t>
            </w:r>
            <w:r>
              <w:rPr>
                <w:rFonts w:hint="default" w:ascii="Times New Roman" w:hAnsi="Times New Roman" w:eastAsia="宋体" w:cs="Times New Roman"/>
                <w:color w:val="auto"/>
                <w:sz w:val="24"/>
                <w:szCs w:val="24"/>
                <w:highlight w:val="none"/>
                <w:vertAlign w:val="superscript"/>
                <w:lang w:val="en-US" w:eastAsia="zh-CN"/>
              </w:rPr>
              <w:t>-7</w:t>
            </w:r>
            <w:r>
              <w:rPr>
                <w:rFonts w:hint="default" w:ascii="Times New Roman" w:hAnsi="Times New Roman" w:eastAsia="宋体" w:cs="Times New Roman"/>
                <w:color w:val="auto"/>
                <w:sz w:val="24"/>
                <w:szCs w:val="24"/>
                <w:highlight w:val="none"/>
                <w:lang w:val="en-US" w:eastAsia="zh-CN"/>
              </w:rPr>
              <w:t>cm/s。</w:t>
            </w:r>
          </w:p>
          <w:p w14:paraId="128F42E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简单防渗区：</w:t>
            </w:r>
            <w:r>
              <w:rPr>
                <w:rFonts w:hint="default" w:ascii="Times New Roman" w:hAnsi="Times New Roman" w:cs="Times New Roman"/>
                <w:color w:val="auto"/>
                <w:sz w:val="24"/>
                <w:szCs w:val="24"/>
                <w:highlight w:val="none"/>
                <w:lang w:val="en-US" w:eastAsia="zh-CN"/>
              </w:rPr>
              <w:t>包括</w:t>
            </w:r>
            <w:r>
              <w:rPr>
                <w:rFonts w:hint="eastAsia" w:ascii="Times New Roman" w:hAnsi="Times New Roman" w:cs="Times New Roman"/>
                <w:color w:val="auto"/>
                <w:sz w:val="24"/>
                <w:szCs w:val="24"/>
                <w:highlight w:val="none"/>
                <w:lang w:val="en-US" w:eastAsia="zh-CN"/>
              </w:rPr>
              <w:t>管理用房</w:t>
            </w:r>
            <w:r>
              <w:rPr>
                <w:rFonts w:hint="default" w:ascii="Times New Roman" w:hAnsi="Times New Roman" w:cs="Times New Roman"/>
                <w:color w:val="auto"/>
                <w:sz w:val="24"/>
                <w:szCs w:val="24"/>
                <w:highlight w:val="none"/>
                <w:lang w:val="en-US" w:eastAsia="zh-CN"/>
              </w:rPr>
              <w:t>、厂区道路、除一般防渗区以外的区域，防渗技术要求为一般地面硬化。</w:t>
            </w:r>
          </w:p>
          <w:p w14:paraId="652DBF1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（3）防控措施</w:t>
            </w:r>
          </w:p>
          <w:p w14:paraId="1D3E82F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一般防渗区：</w:t>
            </w:r>
            <w:r>
              <w:rPr>
                <w:rFonts w:hint="default" w:ascii="Times New Roman" w:hAnsi="Times New Roman" w:cs="Times New Roman"/>
                <w:color w:val="auto"/>
                <w:sz w:val="24"/>
                <w:szCs w:val="24"/>
                <w:highlight w:val="none"/>
                <w:lang w:val="en-US" w:eastAsia="zh-CN"/>
              </w:rPr>
              <w:t>采取25cmC30防渗混凝土，确保防渗性能与1.5m厚黏土防渗层等效，防渗系数K≤1×10</w:t>
            </w:r>
            <w:r>
              <w:rPr>
                <w:rFonts w:hint="default" w:ascii="Times New Roman" w:hAnsi="Times New Roman" w:cs="Times New Roman"/>
                <w:color w:val="auto"/>
                <w:sz w:val="24"/>
                <w:szCs w:val="24"/>
                <w:highlight w:val="none"/>
                <w:vertAlign w:val="superscript"/>
                <w:lang w:val="en-US" w:eastAsia="zh-CN"/>
              </w:rPr>
              <w:t>-7</w:t>
            </w:r>
            <w:r>
              <w:rPr>
                <w:rFonts w:hint="default" w:ascii="Times New Roman" w:hAnsi="Times New Roman" w:cs="Times New Roman"/>
                <w:color w:val="auto"/>
                <w:sz w:val="24"/>
                <w:szCs w:val="24"/>
                <w:highlight w:val="none"/>
                <w:lang w:val="en-US" w:eastAsia="zh-CN"/>
              </w:rPr>
              <w:t>cm/s。</w:t>
            </w:r>
          </w:p>
          <w:p w14:paraId="017440A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简单防渗区：</w:t>
            </w:r>
            <w:r>
              <w:rPr>
                <w:rFonts w:hint="default" w:ascii="Times New Roman" w:hAnsi="Times New Roman" w:cs="Times New Roman"/>
                <w:color w:val="auto"/>
                <w:sz w:val="24"/>
                <w:szCs w:val="24"/>
                <w:highlight w:val="none"/>
                <w:lang w:val="en-US" w:eastAsia="zh-CN"/>
              </w:rPr>
              <w:t>采用混凝土硬化。</w:t>
            </w:r>
          </w:p>
          <w:p w14:paraId="1F26391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在严格执行以上污染预防措施的基础上，项目建设不会对地下水及土壤产生影响。</w:t>
            </w:r>
          </w:p>
          <w:p w14:paraId="0537A6A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六、</w:t>
            </w:r>
            <w:r>
              <w:rPr>
                <w:rFonts w:hint="eastAsia"/>
                <w:b/>
                <w:bCs/>
                <w:sz w:val="24"/>
                <w:szCs w:val="24"/>
              </w:rPr>
              <w:t>饮用水源</w:t>
            </w:r>
          </w:p>
          <w:p w14:paraId="72D20A1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1、隘口水厂</w:t>
            </w:r>
          </w:p>
          <w:p w14:paraId="508437A5">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隘口</w:t>
            </w:r>
            <w:r>
              <w:rPr>
                <w:rFonts w:hint="default" w:ascii="Times New Roman" w:hAnsi="Times New Roman" w:cs="Times New Roman"/>
                <w:b w:val="0"/>
                <w:bCs w:val="0"/>
                <w:color w:val="auto"/>
                <w:sz w:val="24"/>
                <w:szCs w:val="24"/>
                <w:highlight w:val="none"/>
                <w:vertAlign w:val="baseline"/>
                <w:lang w:val="en-US" w:eastAsia="zh-CN"/>
              </w:rPr>
              <w:t>水厂</w:t>
            </w:r>
            <w:r>
              <w:rPr>
                <w:rFonts w:hint="eastAsia" w:ascii="Times New Roman" w:hAnsi="Times New Roman" w:cs="Times New Roman"/>
                <w:b w:val="0"/>
                <w:bCs w:val="0"/>
                <w:color w:val="auto"/>
                <w:sz w:val="24"/>
                <w:szCs w:val="24"/>
                <w:highlight w:val="none"/>
                <w:vertAlign w:val="baseline"/>
                <w:lang w:val="en-US" w:eastAsia="zh-CN"/>
              </w:rPr>
              <w:t>，取水水源为</w:t>
            </w:r>
            <w:r>
              <w:rPr>
                <w:rFonts w:hint="eastAsia" w:ascii="Times New Roman" w:hAnsi="Times New Roman" w:cs="Times New Roman"/>
                <w:b w:val="0"/>
                <w:bCs w:val="0"/>
                <w:color w:val="auto"/>
                <w:sz w:val="24"/>
                <w:szCs w:val="24"/>
                <w:highlight w:val="none"/>
                <w:lang w:val="en-US" w:eastAsia="zh-CN"/>
              </w:rPr>
              <w:t>普子坪</w:t>
            </w:r>
            <w:r>
              <w:rPr>
                <w:rFonts w:hint="default" w:ascii="Times New Roman" w:hAnsi="Times New Roman" w:cs="Times New Roman"/>
                <w:b w:val="0"/>
                <w:bCs w:val="0"/>
                <w:color w:val="auto"/>
                <w:sz w:val="24"/>
                <w:szCs w:val="24"/>
                <w:highlight w:val="none"/>
                <w:lang w:val="en-US" w:eastAsia="zh-CN"/>
              </w:rPr>
              <w:t>水库</w:t>
            </w:r>
            <w:r>
              <w:rPr>
                <w:rFonts w:hint="eastAsia"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32"/>
                <w:highlight w:val="none"/>
                <w:vertAlign w:val="baseline"/>
                <w:lang w:val="en-US" w:eastAsia="zh-CN"/>
              </w:rPr>
              <w:t>环评要求：</w:t>
            </w:r>
            <w:r>
              <w:rPr>
                <w:rFonts w:hint="eastAsia" w:ascii="Times New Roman" w:hAnsi="Times New Roman" w:cs="Times New Roman"/>
                <w:b w:val="0"/>
                <w:bCs w:val="0"/>
                <w:color w:val="auto"/>
                <w:sz w:val="24"/>
                <w:szCs w:val="24"/>
                <w:highlight w:val="none"/>
                <w:lang w:val="en-US" w:eastAsia="zh-CN"/>
              </w:rPr>
              <w:t>普子坪</w:t>
            </w:r>
            <w:r>
              <w:rPr>
                <w:rFonts w:hint="default" w:ascii="Times New Roman" w:hAnsi="Times New Roman" w:cs="Times New Roman"/>
                <w:b w:val="0"/>
                <w:bCs w:val="0"/>
                <w:color w:val="auto"/>
                <w:sz w:val="24"/>
                <w:szCs w:val="24"/>
                <w:highlight w:val="none"/>
                <w:lang w:val="en-US" w:eastAsia="zh-CN"/>
              </w:rPr>
              <w:t>水库</w:t>
            </w:r>
            <w:r>
              <w:rPr>
                <w:rFonts w:hint="default" w:ascii="Times New Roman" w:hAnsi="Times New Roman" w:cs="Times New Roman"/>
                <w:b w:val="0"/>
                <w:bCs w:val="0"/>
                <w:color w:val="auto"/>
                <w:sz w:val="24"/>
                <w:szCs w:val="32"/>
                <w:highlight w:val="none"/>
                <w:vertAlign w:val="baseline"/>
                <w:lang w:val="en-US" w:eastAsia="zh-CN"/>
              </w:rPr>
              <w:t>取水口</w:t>
            </w:r>
            <w:r>
              <w:rPr>
                <w:rFonts w:hint="eastAsia" w:ascii="Times New Roman" w:hAnsi="Times New Roman" w:cs="Times New Roman"/>
                <w:b w:val="0"/>
                <w:bCs w:val="0"/>
                <w:color w:val="auto"/>
                <w:sz w:val="24"/>
                <w:szCs w:val="32"/>
                <w:highlight w:val="none"/>
                <w:vertAlign w:val="baseline"/>
                <w:lang w:val="en-US" w:eastAsia="zh-CN"/>
              </w:rPr>
              <w:t>应以取水点划定</w:t>
            </w:r>
            <w:r>
              <w:rPr>
                <w:rFonts w:hint="default" w:ascii="Times New Roman" w:hAnsi="Times New Roman" w:cs="Times New Roman"/>
                <w:b w:val="0"/>
                <w:bCs w:val="0"/>
                <w:color w:val="auto"/>
                <w:sz w:val="24"/>
                <w:szCs w:val="32"/>
                <w:highlight w:val="none"/>
                <w:vertAlign w:val="baseline"/>
                <w:lang w:val="en-US" w:eastAsia="zh-CN"/>
              </w:rPr>
              <w:t>饮用水水源保护区</w:t>
            </w:r>
            <w:r>
              <w:rPr>
                <w:rFonts w:hint="eastAsia" w:ascii="Times New Roman" w:hAnsi="Times New Roman" w:cs="Times New Roman"/>
                <w:b w:val="0"/>
                <w:bCs w:val="0"/>
                <w:color w:val="auto"/>
                <w:sz w:val="24"/>
                <w:szCs w:val="32"/>
                <w:highlight w:val="none"/>
                <w:vertAlign w:val="baseline"/>
                <w:lang w:val="en-US" w:eastAsia="zh-CN"/>
              </w:rPr>
              <w:t>，</w:t>
            </w:r>
            <w:r>
              <w:rPr>
                <w:rFonts w:hint="default" w:ascii="Times New Roman" w:hAnsi="Times New Roman" w:cs="Times New Roman"/>
                <w:b w:val="0"/>
                <w:bCs w:val="0"/>
                <w:color w:val="auto"/>
                <w:sz w:val="24"/>
                <w:szCs w:val="32"/>
                <w:highlight w:val="none"/>
                <w:vertAlign w:val="baseline"/>
                <w:lang w:val="en-US" w:eastAsia="zh-CN"/>
              </w:rPr>
              <w:t>取得饮用水水源保护区划定文件。</w:t>
            </w:r>
          </w:p>
          <w:p w14:paraId="0C109D7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b/>
                <w:bCs/>
                <w:color w:val="auto"/>
                <w:sz w:val="24"/>
                <w:szCs w:val="24"/>
              </w:rPr>
              <w:t>饮用水源</w:t>
            </w:r>
            <w:r>
              <w:rPr>
                <w:rFonts w:hint="eastAsia" w:ascii="Times New Roman" w:hAnsi="Times New Roman" w:cs="Times New Roman"/>
                <w:b/>
                <w:bCs/>
                <w:color w:val="auto"/>
                <w:sz w:val="24"/>
                <w:szCs w:val="24"/>
                <w:highlight w:val="none"/>
                <w:lang w:val="en-US" w:eastAsia="zh-CN"/>
              </w:rPr>
              <w:t>划分方案</w:t>
            </w:r>
          </w:p>
          <w:p w14:paraId="3756DF6B">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根据《饮用水水源保护区划分技术规范》（HJ338-2018）：湖泊、水库型饮用水水源保护区的划分，隘口</w:t>
            </w:r>
            <w:r>
              <w:rPr>
                <w:rFonts w:hint="default" w:ascii="Times New Roman" w:hAnsi="Times New Roman" w:cs="Times New Roman"/>
                <w:b w:val="0"/>
                <w:bCs w:val="0"/>
                <w:color w:val="auto"/>
                <w:sz w:val="24"/>
                <w:szCs w:val="24"/>
                <w:highlight w:val="none"/>
                <w:vertAlign w:val="baseline"/>
                <w:lang w:val="en-US" w:eastAsia="zh-CN"/>
              </w:rPr>
              <w:t>水厂取水口</w:t>
            </w:r>
            <w:r>
              <w:rPr>
                <w:rFonts w:hint="eastAsia" w:ascii="Times New Roman" w:hAnsi="Times New Roman" w:cs="Times New Roman"/>
                <w:b w:val="0"/>
                <w:bCs w:val="0"/>
                <w:color w:val="auto"/>
                <w:sz w:val="24"/>
                <w:szCs w:val="24"/>
                <w:highlight w:val="none"/>
                <w:vertAlign w:val="baseline"/>
                <w:lang w:val="en-US" w:eastAsia="zh-CN"/>
              </w:rPr>
              <w:t>普子</w:t>
            </w:r>
            <w:r>
              <w:rPr>
                <w:rFonts w:hint="default" w:ascii="Times New Roman" w:hAnsi="Times New Roman" w:cs="Times New Roman"/>
                <w:b w:val="0"/>
                <w:bCs w:val="0"/>
                <w:color w:val="auto"/>
                <w:sz w:val="24"/>
                <w:szCs w:val="24"/>
                <w:highlight w:val="none"/>
                <w:lang w:val="en-US" w:eastAsia="zh-CN"/>
              </w:rPr>
              <w:t>坪水库</w:t>
            </w:r>
            <w:r>
              <w:rPr>
                <w:rFonts w:hint="default" w:ascii="Times New Roman" w:hAnsi="Times New Roman" w:cs="Times New Roman"/>
                <w:b w:val="0"/>
                <w:bCs w:val="0"/>
                <w:color w:val="auto"/>
                <w:sz w:val="24"/>
                <w:szCs w:val="32"/>
                <w:highlight w:val="none"/>
                <w:vertAlign w:val="baseline"/>
                <w:lang w:val="en-US" w:eastAsia="zh-CN"/>
              </w:rPr>
              <w:t>饮用水水源保护区</w:t>
            </w:r>
            <w:r>
              <w:rPr>
                <w:rFonts w:hint="eastAsia" w:ascii="Times New Roman" w:hAnsi="Times New Roman" w:cs="Times New Roman"/>
                <w:b w:val="0"/>
                <w:bCs w:val="0"/>
                <w:color w:val="auto"/>
                <w:sz w:val="24"/>
                <w:szCs w:val="32"/>
                <w:highlight w:val="none"/>
                <w:vertAlign w:val="baseline"/>
                <w:lang w:val="en-US" w:eastAsia="zh-CN"/>
              </w:rPr>
              <w:t>划分原则如下</w:t>
            </w:r>
            <w:r>
              <w:rPr>
                <w:rFonts w:hint="eastAsia" w:ascii="Times New Roman" w:hAnsi="Times New Roman" w:cs="Times New Roman"/>
                <w:b w:val="0"/>
                <w:bCs w:val="0"/>
                <w:color w:val="auto"/>
                <w:sz w:val="24"/>
                <w:szCs w:val="24"/>
                <w:highlight w:val="none"/>
                <w:vertAlign w:val="baseline"/>
                <w:lang w:val="en-US" w:eastAsia="zh-CN"/>
              </w:rPr>
              <w:t>：</w:t>
            </w:r>
          </w:p>
          <w:p w14:paraId="4034C512">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①湖泊、水库型饮用水水源地分级</w:t>
            </w:r>
          </w:p>
          <w:p w14:paraId="552063FB">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依据湖泊、水库型饮用水水源地所在湖泊、水库规模的大小，将湖泊、水库型饮用水水源地进行分级，分级结果见下表。</w:t>
            </w:r>
          </w:p>
          <w:p w14:paraId="156CD0E9">
            <w:pPr>
              <w:pageBreakBefore w:val="0"/>
              <w:kinsoku/>
              <w:wordWrap/>
              <w:bidi w:val="0"/>
              <w:spacing w:line="360" w:lineRule="auto"/>
              <w:ind w:left="0" w:leftChars="0" w:right="0"/>
              <w:jc w:val="center"/>
              <w:rPr>
                <w:rFonts w:hint="default" w:ascii="Times New Roman" w:hAnsi="Times New Roman" w:eastAsia="黑体" w:cs="Times New Roman"/>
                <w:color w:val="auto"/>
                <w:szCs w:val="21"/>
                <w:highlight w:val="none"/>
              </w:rPr>
            </w:pPr>
            <w:r>
              <w:rPr>
                <w:rFonts w:hint="default" w:ascii="Times New Roman" w:hAnsi="Times New Roman" w:eastAsia="黑体" w:cs="Times New Roman"/>
                <w:color w:val="auto"/>
                <w:szCs w:val="21"/>
                <w:highlight w:val="none"/>
              </w:rPr>
              <w:t>表</w:t>
            </w:r>
            <w:r>
              <w:rPr>
                <w:rFonts w:hint="eastAsia" w:ascii="Times New Roman" w:hAnsi="Times New Roman" w:eastAsia="黑体" w:cs="Times New Roman"/>
                <w:color w:val="auto"/>
                <w:szCs w:val="21"/>
                <w:highlight w:val="none"/>
                <w:lang w:val="en-US" w:eastAsia="zh-CN"/>
              </w:rPr>
              <w:t>4</w:t>
            </w:r>
            <w:r>
              <w:rPr>
                <w:rFonts w:hint="default" w:ascii="Times New Roman" w:hAnsi="Times New Roman" w:eastAsia="黑体" w:cs="Times New Roman"/>
                <w:color w:val="auto"/>
                <w:szCs w:val="21"/>
                <w:highlight w:val="none"/>
              </w:rPr>
              <w:t>-</w:t>
            </w:r>
            <w:r>
              <w:rPr>
                <w:rFonts w:hint="eastAsia" w:ascii="Times New Roman" w:hAnsi="Times New Roman" w:eastAsia="黑体" w:cs="Times New Roman"/>
                <w:color w:val="auto"/>
                <w:szCs w:val="21"/>
                <w:highlight w:val="none"/>
                <w:lang w:val="en-US" w:eastAsia="zh-CN"/>
              </w:rPr>
              <w:t>16</w:t>
            </w:r>
            <w:r>
              <w:rPr>
                <w:rFonts w:hint="default" w:ascii="Times New Roman" w:hAnsi="Times New Roman" w:eastAsia="黑体" w:cs="Times New Roman"/>
                <w:color w:val="auto"/>
                <w:szCs w:val="21"/>
                <w:highlight w:val="none"/>
              </w:rPr>
              <w:t xml:space="preserve">  湖泊、水库型饮用水水源地分级表</w:t>
            </w:r>
          </w:p>
          <w:tbl>
            <w:tblPr>
              <w:tblStyle w:val="26"/>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3380"/>
              <w:gridCol w:w="1388"/>
              <w:gridCol w:w="3245"/>
            </w:tblGrid>
            <w:tr w14:paraId="365B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restart"/>
                  <w:noWrap w:val="0"/>
                  <w:vAlign w:val="center"/>
                </w:tcPr>
                <w:p w14:paraId="3E4F359C">
                  <w:pPr>
                    <w:pageBreakBefore w:val="0"/>
                    <w:kinsoku/>
                    <w:wordWrap/>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水库</w:t>
                  </w:r>
                </w:p>
              </w:tc>
              <w:tc>
                <w:tcPr>
                  <w:tcW w:w="1823" w:type="pct"/>
                  <w:noWrap w:val="0"/>
                  <w:vAlign w:val="center"/>
                </w:tcPr>
                <w:p w14:paraId="4CCDF8EC">
                  <w:pPr>
                    <w:pageBreakBefore w:val="0"/>
                    <w:kinsoku/>
                    <w:wordWrap/>
                    <w:bidi w:val="0"/>
                    <w:ind w:left="0" w:leftChars="0" w:right="0"/>
                    <w:jc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水源地类型</w:t>
                  </w:r>
                </w:p>
              </w:tc>
              <w:tc>
                <w:tcPr>
                  <w:tcW w:w="749" w:type="pct"/>
                  <w:vMerge w:val="restart"/>
                  <w:noWrap w:val="0"/>
                  <w:vAlign w:val="center"/>
                </w:tcPr>
                <w:p w14:paraId="1C6CFF60">
                  <w:pPr>
                    <w:pageBreakBefore w:val="0"/>
                    <w:kinsoku/>
                    <w:wordWrap/>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湖泊</w:t>
                  </w:r>
                </w:p>
              </w:tc>
              <w:tc>
                <w:tcPr>
                  <w:tcW w:w="1750" w:type="pct"/>
                  <w:noWrap w:val="0"/>
                  <w:vAlign w:val="center"/>
                </w:tcPr>
                <w:p w14:paraId="530D2661">
                  <w:pPr>
                    <w:pageBreakBefore w:val="0"/>
                    <w:kinsoku/>
                    <w:wordWrap/>
                    <w:bidi w:val="0"/>
                    <w:ind w:left="0" w:leftChars="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水源地类型</w:t>
                  </w:r>
                </w:p>
              </w:tc>
            </w:tr>
            <w:tr w14:paraId="5D8E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continue"/>
                  <w:noWrap w:val="0"/>
                  <w:vAlign w:val="center"/>
                </w:tcPr>
                <w:p w14:paraId="0E9F265B">
                  <w:pPr>
                    <w:pageBreakBefore w:val="0"/>
                    <w:kinsoku/>
                    <w:wordWrap/>
                    <w:bidi w:val="0"/>
                    <w:ind w:left="0" w:leftChars="0" w:right="0"/>
                    <w:jc w:val="center"/>
                    <w:rPr>
                      <w:rFonts w:hint="default" w:ascii="Times New Roman" w:hAnsi="Times New Roman" w:cs="Times New Roman" w:eastAsiaTheme="minorEastAsia"/>
                      <w:color w:val="auto"/>
                      <w:sz w:val="21"/>
                      <w:szCs w:val="21"/>
                      <w:highlight w:val="none"/>
                      <w:lang w:val="en-US" w:eastAsia="zh-CN"/>
                    </w:rPr>
                  </w:pPr>
                </w:p>
              </w:tc>
              <w:tc>
                <w:tcPr>
                  <w:tcW w:w="1823" w:type="pct"/>
                  <w:noWrap w:val="0"/>
                  <w:vAlign w:val="center"/>
                </w:tcPr>
                <w:p w14:paraId="29AFE2F9">
                  <w:pPr>
                    <w:pageBreakBefore w:val="0"/>
                    <w:kinsoku/>
                    <w:wordWrap/>
                    <w:bidi w:val="0"/>
                    <w:ind w:left="0" w:leftChars="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 xml:space="preserve">小型 </w:t>
                  </w:r>
                  <w:r>
                    <w:rPr>
                      <w:rFonts w:hint="default" w:ascii="Times New Roman" w:hAnsi="Times New Roman" w:eastAsia="宋体" w:cs="Times New Roman"/>
                      <w:color w:val="auto"/>
                      <w:sz w:val="21"/>
                      <w:szCs w:val="21"/>
                      <w:highlight w:val="none"/>
                      <w:lang w:val="en-US" w:eastAsia="zh-CN"/>
                    </w:rPr>
                    <w:t>V</w:t>
                  </w:r>
                  <w:r>
                    <w:rPr>
                      <w:rFonts w:hint="default" w:ascii="Times New Roman" w:hAnsi="Times New Roman" w:eastAsia="宋体" w:cs="Times New Roman"/>
                      <w:color w:val="auto"/>
                      <w:sz w:val="21"/>
                      <w:szCs w:val="21"/>
                      <w:highlight w:val="none"/>
                      <w:lang w:eastAsia="zh-CN"/>
                    </w:rPr>
                    <w:t>&lt;0.1亿m</w:t>
                  </w:r>
                  <w:r>
                    <w:rPr>
                      <w:rFonts w:hint="default" w:ascii="Times New Roman" w:hAnsi="Times New Roman" w:eastAsia="宋体" w:cs="Times New Roman"/>
                      <w:color w:val="auto"/>
                      <w:sz w:val="21"/>
                      <w:szCs w:val="21"/>
                      <w:highlight w:val="none"/>
                      <w:vertAlign w:val="superscript"/>
                      <w:lang w:eastAsia="zh-CN"/>
                    </w:rPr>
                    <w:t>3</w:t>
                  </w:r>
                </w:p>
              </w:tc>
              <w:tc>
                <w:tcPr>
                  <w:tcW w:w="749" w:type="pct"/>
                  <w:vMerge w:val="continue"/>
                  <w:noWrap w:val="0"/>
                  <w:vAlign w:val="center"/>
                </w:tcPr>
                <w:p w14:paraId="19B4D7EA">
                  <w:pPr>
                    <w:pageBreakBefore w:val="0"/>
                    <w:kinsoku/>
                    <w:wordWrap/>
                    <w:bidi w:val="0"/>
                    <w:ind w:left="0" w:leftChars="0" w:right="0"/>
                    <w:jc w:val="center"/>
                    <w:rPr>
                      <w:rFonts w:hint="default" w:ascii="Times New Roman" w:hAnsi="Times New Roman" w:cs="Times New Roman" w:eastAsiaTheme="minorEastAsia"/>
                      <w:color w:val="auto"/>
                      <w:sz w:val="21"/>
                      <w:szCs w:val="21"/>
                      <w:highlight w:val="none"/>
                      <w:lang w:val="en-US" w:eastAsia="zh-CN"/>
                    </w:rPr>
                  </w:pPr>
                </w:p>
              </w:tc>
              <w:tc>
                <w:tcPr>
                  <w:tcW w:w="1750" w:type="pct"/>
                  <w:noWrap w:val="0"/>
                  <w:vAlign w:val="center"/>
                </w:tcPr>
                <w:p w14:paraId="71474093">
                  <w:pPr>
                    <w:pageBreakBefore w:val="0"/>
                    <w:kinsoku/>
                    <w:wordWrap/>
                    <w:bidi w:val="0"/>
                    <w:ind w:left="0" w:leftChars="0" w:right="0"/>
                    <w:jc w:val="center"/>
                    <w:rPr>
                      <w:rFonts w:hint="default" w:ascii="Times New Roman" w:hAnsi="Times New Roman" w:cs="Times New Roman" w:eastAsiaTheme="minorEastAsia"/>
                      <w:color w:val="auto"/>
                      <w:sz w:val="21"/>
                      <w:szCs w:val="21"/>
                      <w:highlight w:val="none"/>
                      <w:vertAlign w:val="superscript"/>
                      <w:lang w:val="en-US" w:eastAsia="zh-CN"/>
                    </w:rPr>
                  </w:pPr>
                  <w:r>
                    <w:rPr>
                      <w:rFonts w:hint="default" w:ascii="Times New Roman" w:hAnsi="Times New Roman" w:cs="Times New Roman"/>
                      <w:color w:val="auto"/>
                      <w:sz w:val="21"/>
                      <w:szCs w:val="21"/>
                      <w:highlight w:val="none"/>
                      <w:lang w:val="en-US" w:eastAsia="zh-CN"/>
                    </w:rPr>
                    <w:t>小型S</w:t>
                  </w:r>
                  <w:r>
                    <w:rPr>
                      <w:rFonts w:hint="default" w:ascii="Times New Roman" w:hAnsi="Times New Roman" w:eastAsia="宋体" w:cs="Times New Roman"/>
                      <w:color w:val="auto"/>
                      <w:sz w:val="21"/>
                      <w:szCs w:val="21"/>
                      <w:highlight w:val="none"/>
                      <w:lang w:eastAsia="zh-CN"/>
                    </w:rPr>
                    <w:t>&lt;</w:t>
                  </w:r>
                  <w:r>
                    <w:rPr>
                      <w:rFonts w:hint="default" w:ascii="Times New Roman" w:hAnsi="Times New Roman" w:eastAsia="宋体" w:cs="Times New Roman"/>
                      <w:color w:val="auto"/>
                      <w:sz w:val="21"/>
                      <w:szCs w:val="21"/>
                      <w:highlight w:val="none"/>
                      <w:lang w:val="en-US" w:eastAsia="zh-CN"/>
                    </w:rPr>
                    <w:t>100km</w:t>
                  </w:r>
                  <w:r>
                    <w:rPr>
                      <w:rFonts w:hint="default" w:ascii="Times New Roman" w:hAnsi="Times New Roman" w:eastAsia="宋体" w:cs="Times New Roman"/>
                      <w:color w:val="auto"/>
                      <w:sz w:val="21"/>
                      <w:szCs w:val="21"/>
                      <w:highlight w:val="none"/>
                      <w:vertAlign w:val="superscript"/>
                      <w:lang w:val="en-US" w:eastAsia="zh-CN"/>
                    </w:rPr>
                    <w:t>2</w:t>
                  </w:r>
                </w:p>
              </w:tc>
            </w:tr>
            <w:tr w14:paraId="63CC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continue"/>
                  <w:noWrap w:val="0"/>
                  <w:vAlign w:val="center"/>
                </w:tcPr>
                <w:p w14:paraId="3BC133AF">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823" w:type="pct"/>
                  <w:noWrap w:val="0"/>
                  <w:vAlign w:val="center"/>
                </w:tcPr>
                <w:p w14:paraId="10E6584C">
                  <w:pPr>
                    <w:pageBreakBefore w:val="0"/>
                    <w:kinsoku/>
                    <w:wordWrap/>
                    <w:bidi w:val="0"/>
                    <w:ind w:left="0" w:leftChars="0" w:right="0"/>
                    <w:jc w:val="center"/>
                    <w:rPr>
                      <w:rFonts w:hint="default" w:ascii="Times New Roman" w:hAnsi="Times New Roman" w:eastAsia="宋体" w:cs="Times New Roman"/>
                      <w:color w:val="auto"/>
                      <w:sz w:val="21"/>
                      <w:szCs w:val="21"/>
                      <w:highlight w:val="none"/>
                      <w:vertAlign w:val="superscript"/>
                      <w:lang w:val="en-US" w:eastAsia="zh-CN"/>
                    </w:rPr>
                  </w:pPr>
                  <w:r>
                    <w:rPr>
                      <w:rFonts w:hint="default" w:ascii="Times New Roman" w:hAnsi="Times New Roman" w:eastAsia="宋体" w:cs="Times New Roman"/>
                      <w:color w:val="auto"/>
                      <w:sz w:val="21"/>
                      <w:szCs w:val="21"/>
                      <w:highlight w:val="none"/>
                      <w:lang w:eastAsia="zh-CN"/>
                    </w:rPr>
                    <w:t>中型0.1亿m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V</w:t>
                  </w:r>
                  <w:r>
                    <w:rPr>
                      <w:rFonts w:hint="default" w:ascii="Times New Roman" w:hAnsi="Times New Roman" w:eastAsia="宋体" w:cs="Times New Roman"/>
                      <w:color w:val="auto"/>
                      <w:sz w:val="21"/>
                      <w:szCs w:val="21"/>
                      <w:highlight w:val="none"/>
                      <w:lang w:eastAsia="zh-CN"/>
                    </w:rPr>
                    <w:t>&lt;1亿m</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vMerge w:val="continue"/>
                  <w:noWrap w:val="0"/>
                  <w:vAlign w:val="center"/>
                </w:tcPr>
                <w:p w14:paraId="5EBA755E">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750" w:type="pct"/>
                  <w:vMerge w:val="restart"/>
                  <w:noWrap w:val="0"/>
                  <w:vAlign w:val="center"/>
                </w:tcPr>
                <w:p w14:paraId="10985883">
                  <w:pPr>
                    <w:pageBreakBefore w:val="0"/>
                    <w:kinsoku/>
                    <w:wordWrap/>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大中型</w:t>
                  </w:r>
                  <w:r>
                    <w:rPr>
                      <w:rFonts w:hint="default" w:ascii="Times New Roman" w:hAnsi="Times New Roman" w:eastAsia="宋体" w:cs="Times New Roman"/>
                      <w:color w:val="auto"/>
                      <w:sz w:val="21"/>
                      <w:szCs w:val="21"/>
                      <w:highlight w:val="none"/>
                      <w:lang w:val="en-US" w:eastAsia="zh-CN"/>
                    </w:rPr>
                    <w:t>≥100km</w:t>
                  </w:r>
                  <w:r>
                    <w:rPr>
                      <w:rFonts w:hint="default" w:ascii="Times New Roman" w:hAnsi="Times New Roman" w:eastAsia="宋体" w:cs="Times New Roman"/>
                      <w:color w:val="auto"/>
                      <w:sz w:val="21"/>
                      <w:szCs w:val="21"/>
                      <w:highlight w:val="none"/>
                      <w:vertAlign w:val="superscript"/>
                      <w:lang w:val="en-US" w:eastAsia="zh-CN"/>
                    </w:rPr>
                    <w:t>2</w:t>
                  </w:r>
                </w:p>
              </w:tc>
            </w:tr>
            <w:tr w14:paraId="2B88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6" w:type="pct"/>
                  <w:vMerge w:val="continue"/>
                  <w:noWrap w:val="0"/>
                  <w:vAlign w:val="center"/>
                </w:tcPr>
                <w:p w14:paraId="73412CB9">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823" w:type="pct"/>
                  <w:noWrap w:val="0"/>
                  <w:vAlign w:val="center"/>
                </w:tcPr>
                <w:p w14:paraId="019C5C2D">
                  <w:pPr>
                    <w:pageBreakBefore w:val="0"/>
                    <w:kinsoku/>
                    <w:wordWrap/>
                    <w:bidi w:val="0"/>
                    <w:ind w:left="0" w:leftChars="0" w:right="0"/>
                    <w:jc w:val="center"/>
                    <w:rPr>
                      <w:rFonts w:hint="default" w:ascii="Times New Roman" w:hAnsi="Times New Roman" w:eastAsia="宋体" w:cs="Times New Roman"/>
                      <w:color w:val="auto"/>
                      <w:sz w:val="21"/>
                      <w:szCs w:val="21"/>
                      <w:highlight w:val="none"/>
                      <w:vertAlign w:val="superscript"/>
                      <w:lang w:val="en-US" w:eastAsia="zh-CN"/>
                    </w:rPr>
                  </w:pPr>
                  <w:r>
                    <w:rPr>
                      <w:rFonts w:hint="default" w:ascii="Times New Roman" w:hAnsi="Times New Roman" w:eastAsia="宋体" w:cs="Times New Roman"/>
                      <w:color w:val="auto"/>
                      <w:sz w:val="21"/>
                      <w:szCs w:val="21"/>
                      <w:highlight w:val="none"/>
                      <w:lang w:eastAsia="zh-CN"/>
                    </w:rPr>
                    <w:t>大型</w:t>
                  </w:r>
                  <w:r>
                    <w:rPr>
                      <w:rFonts w:hint="default" w:ascii="Times New Roman" w:hAnsi="Times New Roman" w:eastAsia="宋体" w:cs="Times New Roman"/>
                      <w:color w:val="auto"/>
                      <w:sz w:val="21"/>
                      <w:szCs w:val="21"/>
                      <w:highlight w:val="none"/>
                      <w:lang w:val="en-US" w:eastAsia="zh-CN"/>
                    </w:rPr>
                    <w:t>V≥</w:t>
                  </w:r>
                  <w:r>
                    <w:rPr>
                      <w:rFonts w:hint="default" w:ascii="Times New Roman" w:hAnsi="Times New Roman" w:eastAsia="宋体" w:cs="Times New Roman"/>
                      <w:color w:val="auto"/>
                      <w:sz w:val="21"/>
                      <w:szCs w:val="21"/>
                      <w:highlight w:val="none"/>
                      <w:lang w:eastAsia="zh-CN"/>
                    </w:rPr>
                    <w:t>1亿m</w:t>
                  </w:r>
                  <w:r>
                    <w:rPr>
                      <w:rFonts w:hint="default" w:ascii="Times New Roman" w:hAnsi="Times New Roman" w:eastAsia="宋体" w:cs="Times New Roman"/>
                      <w:color w:val="auto"/>
                      <w:sz w:val="21"/>
                      <w:szCs w:val="21"/>
                      <w:highlight w:val="none"/>
                      <w:vertAlign w:val="superscript"/>
                      <w:lang w:val="en-US" w:eastAsia="zh-CN"/>
                    </w:rPr>
                    <w:t>3</w:t>
                  </w:r>
                </w:p>
              </w:tc>
              <w:tc>
                <w:tcPr>
                  <w:tcW w:w="749" w:type="pct"/>
                  <w:vMerge w:val="continue"/>
                  <w:noWrap w:val="0"/>
                  <w:vAlign w:val="center"/>
                </w:tcPr>
                <w:p w14:paraId="36C75B13">
                  <w:pPr>
                    <w:pageBreakBefore w:val="0"/>
                    <w:kinsoku/>
                    <w:wordWrap/>
                    <w:bidi w:val="0"/>
                    <w:ind w:left="0" w:leftChars="0" w:right="0"/>
                    <w:jc w:val="center"/>
                    <w:rPr>
                      <w:rFonts w:hint="default" w:ascii="Times New Roman" w:hAnsi="Times New Roman" w:cs="Times New Roman"/>
                      <w:color w:val="auto"/>
                      <w:sz w:val="21"/>
                      <w:szCs w:val="21"/>
                      <w:highlight w:val="none"/>
                    </w:rPr>
                  </w:pPr>
                </w:p>
              </w:tc>
              <w:tc>
                <w:tcPr>
                  <w:tcW w:w="1750" w:type="pct"/>
                  <w:vMerge w:val="continue"/>
                  <w:noWrap w:val="0"/>
                  <w:vAlign w:val="center"/>
                </w:tcPr>
                <w:p w14:paraId="440628A9">
                  <w:pPr>
                    <w:pageBreakBefore w:val="0"/>
                    <w:kinsoku/>
                    <w:wordWrap/>
                    <w:bidi w:val="0"/>
                    <w:ind w:left="0" w:leftChars="0" w:right="0"/>
                    <w:jc w:val="center"/>
                    <w:rPr>
                      <w:rFonts w:hint="default" w:ascii="Times New Roman" w:hAnsi="Times New Roman" w:cs="Times New Roman"/>
                      <w:color w:val="auto"/>
                      <w:sz w:val="21"/>
                      <w:szCs w:val="21"/>
                      <w:highlight w:val="none"/>
                    </w:rPr>
                  </w:pPr>
                </w:p>
              </w:tc>
            </w:tr>
          </w:tbl>
          <w:p w14:paraId="0598DB3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注：V为水库总库容；S为湖泊水面面积。</w:t>
            </w:r>
          </w:p>
          <w:p w14:paraId="137CDF9B">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lang w:val="en-US" w:eastAsia="zh-CN"/>
              </w:rPr>
              <w:t>普子坪</w:t>
            </w:r>
            <w:r>
              <w:rPr>
                <w:rFonts w:hint="default" w:ascii="Times New Roman" w:hAnsi="Times New Roman" w:cs="Times New Roman"/>
                <w:b w:val="0"/>
                <w:bCs w:val="0"/>
                <w:color w:val="auto"/>
                <w:sz w:val="24"/>
                <w:szCs w:val="24"/>
                <w:highlight w:val="none"/>
                <w:lang w:val="en-US" w:eastAsia="zh-CN"/>
              </w:rPr>
              <w:t>水库</w:t>
            </w:r>
            <w:r>
              <w:rPr>
                <w:rFonts w:hint="default" w:ascii="Times New Roman" w:hAnsi="Times New Roman" w:eastAsia="宋体" w:cs="Times New Roman"/>
                <w:color w:val="auto"/>
                <w:sz w:val="24"/>
                <w:szCs w:val="24"/>
                <w:highlight w:val="none"/>
                <w:lang w:val="en-US" w:eastAsia="zh-CN"/>
              </w:rPr>
              <w:t>V</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rPr>
              <w:t>2</w:t>
            </w:r>
            <w:r>
              <w:rPr>
                <w:rFonts w:hint="eastAsia" w:ascii="Times New Roman" w:hAnsi="Times New Roman" w:eastAsia="宋体" w:cs="Times New Roman"/>
                <w:b w:val="0"/>
                <w:bCs w:val="0"/>
                <w:color w:val="auto"/>
                <w:sz w:val="24"/>
                <w:szCs w:val="24"/>
                <w:lang w:val="en-US" w:eastAsia="zh-CN"/>
              </w:rPr>
              <w:t>8.7</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color w:val="auto"/>
                <w:sz w:val="24"/>
                <w:szCs w:val="24"/>
                <w:highlight w:val="none"/>
                <w:lang w:eastAsia="zh-CN"/>
              </w:rPr>
              <w:t>&lt;0.1亿m</w:t>
            </w:r>
            <w:r>
              <w:rPr>
                <w:rFonts w:hint="default" w:ascii="Times New Roman" w:hAnsi="Times New Roman" w:eastAsia="宋体" w:cs="Times New Roman"/>
                <w:color w:val="auto"/>
                <w:sz w:val="24"/>
                <w:szCs w:val="24"/>
                <w:highlight w:val="none"/>
                <w:vertAlign w:val="superscript"/>
                <w:lang w:eastAsia="zh-CN"/>
              </w:rPr>
              <w:t>3</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cs="Times New Roman"/>
                <w:b w:val="0"/>
                <w:bCs w:val="0"/>
                <w:color w:val="auto"/>
                <w:sz w:val="24"/>
                <w:szCs w:val="24"/>
                <w:highlight w:val="none"/>
                <w:lang w:val="en-US" w:eastAsia="zh-CN"/>
              </w:rPr>
              <w:t>属于小型水库。</w:t>
            </w:r>
          </w:p>
          <w:p w14:paraId="5218A178">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②一级保护区</w:t>
            </w:r>
          </w:p>
          <w:p w14:paraId="682A85CC">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A水域范围</w:t>
            </w:r>
          </w:p>
          <w:p w14:paraId="3A7C2113">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采用类比经验法确定一级保护区。</w:t>
            </w:r>
          </w:p>
          <w:p w14:paraId="5BDFD38B">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小型水库和单一供水功能的水库应将多年平均水位对应的高程线以下的全部水域划为一级保护区。</w:t>
            </w:r>
          </w:p>
          <w:p w14:paraId="50EF9044">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B陆域范围</w:t>
            </w:r>
          </w:p>
          <w:p w14:paraId="77747939">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采用地形边界法、缓冲区法或类比经验法，确定水库水源地一级保护区陆域范围。对于有防洪堤坝的，可以防洪堤坝为边界；并要采取措施，防止污染物进入保护区内。</w:t>
            </w:r>
          </w:p>
          <w:p w14:paraId="1CECF540">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小型和单一供水功能的水库为一级保护区水域外不小于200m范围内的陆域，或一定高程线以下的陆域，但不超过流域分水岭范围。</w:t>
            </w:r>
          </w:p>
          <w:p w14:paraId="48DE8AD4">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③ 二级保护区</w:t>
            </w:r>
          </w:p>
          <w:p w14:paraId="5016D459">
            <w:pPr>
              <w:keepNext w:val="0"/>
              <w:keepLines w:val="0"/>
              <w:pageBreakBefore w:val="0"/>
              <w:widowControl w:val="0"/>
              <w:kinsoku/>
              <w:wordWrap/>
              <w:overflowPunct/>
              <w:topLinePunct w:val="0"/>
              <w:autoSpaceDE/>
              <w:autoSpaceDN/>
              <w:bidi w:val="0"/>
              <w:snapToGrid/>
              <w:spacing w:line="360" w:lineRule="auto"/>
              <w:ind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A水域范围</w:t>
            </w:r>
          </w:p>
          <w:p w14:paraId="60C54568">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a满足条件的水源地，可采用类比经验法确定二级保护区水域范围。</w:t>
            </w:r>
          </w:p>
          <w:p w14:paraId="26CD8F52">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小型水库一级保护区边界外的水域面积设定为二级保护区。</w:t>
            </w:r>
          </w:p>
          <w:p w14:paraId="027B58D6">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二级保护区上游侧边界现状水质浓度水平满足GB3838规定的一级保护区水质标准要求的水源，其二级保护区水域长度不小于2000m，但不超过水域范围。</w:t>
            </w:r>
          </w:p>
          <w:p w14:paraId="7BAB71A7">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b依据水源地周边污染源的分布和排放特征，选择采用数值模型计算法或应急响应时间法，确定二级保护区水域范围。</w:t>
            </w:r>
          </w:p>
          <w:p w14:paraId="1F590AF7">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B陆域范围</w:t>
            </w:r>
          </w:p>
          <w:p w14:paraId="4DFC2C6C">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二级保护区陆域范围，应依据流域内主要环境问题，结合地形条件分析或缓冲区法确定。对于有防洪堤坝的，可以防洪堤坝为边界；并要采取措施，防止污染物进入保护区内。</w:t>
            </w:r>
          </w:p>
          <w:p w14:paraId="0FDD3E67">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a依据环境问题分析方法</w:t>
            </w:r>
          </w:p>
          <w:p w14:paraId="7BBE4B84">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当面污染源为主要污染源时，二级保护区陆域沿岸纵深范围，主要依据自然地理、环境特征和环境管理的需要，通过分析地形、植被、土地利用、森林开发、流域汇流特性、集水域范围等确定。</w:t>
            </w:r>
          </w:p>
          <w:p w14:paraId="45C493A2">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b采用地形边界法或类比经验法</w:t>
            </w:r>
          </w:p>
          <w:p w14:paraId="07EBA76F">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小型水库可将上游整个流域（一级保护区陆域外区域）设定为二级保护区。单一功能的水库的二级保护区范围是一级保护区以外水平距离不小于2000m区域。二级保护区陆域边界不超过相应的流域分水岭。</w:t>
            </w:r>
          </w:p>
          <w:p w14:paraId="6D6470CA">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④准保护区</w:t>
            </w:r>
          </w:p>
          <w:p w14:paraId="7553959B">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eastAsia" w:ascii="Times New Roman" w:hAnsi="Times New Roman" w:cs="Times New Roman"/>
                <w:b w:val="0"/>
                <w:bCs w:val="0"/>
                <w:color w:val="auto"/>
                <w:sz w:val="24"/>
                <w:szCs w:val="24"/>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参照二级保护区的划分方法划分准保护区。</w:t>
            </w:r>
          </w:p>
          <w:p w14:paraId="20A96ABD">
            <w:pPr>
              <w:keepNext w:val="0"/>
              <w:keepLines w:val="0"/>
              <w:pageBreakBefore w:val="0"/>
              <w:widowControl w:val="0"/>
              <w:kinsoku/>
              <w:wordWrap/>
              <w:overflowPunct/>
              <w:topLinePunct w:val="0"/>
              <w:autoSpaceDE/>
              <w:autoSpaceDN/>
              <w:bidi w:val="0"/>
              <w:snapToGrid/>
              <w:spacing w:line="360" w:lineRule="auto"/>
              <w:ind w:left="0" w:leftChars="0" w:firstLine="482" w:firstLineChars="200"/>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vertAlign w:val="baseline"/>
                <w:lang w:val="en-US" w:eastAsia="zh-CN"/>
              </w:rPr>
              <w:t>可行性分析</w:t>
            </w:r>
          </w:p>
          <w:p w14:paraId="70FD26FD">
            <w:pPr>
              <w:keepNext w:val="0"/>
              <w:keepLines w:val="0"/>
              <w:pageBreakBefore w:val="0"/>
              <w:widowControl w:val="0"/>
              <w:kinsoku/>
              <w:wordWrap/>
              <w:overflowPunct/>
              <w:topLinePunct w:val="0"/>
              <w:autoSpaceDE/>
              <w:autoSpaceDN/>
              <w:bidi w:val="0"/>
              <w:snapToGrid/>
              <w:spacing w:line="360" w:lineRule="auto"/>
              <w:ind w:left="0" w:leftChars="0" w:firstLine="480" w:firstLineChars="200"/>
              <w:rPr>
                <w:rFonts w:hint="default"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eastAsia="宋体" w:cs="Times New Roman"/>
                <w:b w:val="0"/>
                <w:bCs w:val="0"/>
                <w:color w:val="auto"/>
                <w:sz w:val="24"/>
                <w:szCs w:val="24"/>
                <w:highlight w:val="none"/>
                <w:lang w:val="en-US" w:eastAsia="zh-CN"/>
              </w:rPr>
              <w:t>普子</w:t>
            </w:r>
            <w:r>
              <w:rPr>
                <w:rFonts w:hint="default" w:ascii="Times New Roman" w:hAnsi="Times New Roman" w:eastAsia="宋体" w:cs="Times New Roman"/>
                <w:b w:val="0"/>
                <w:bCs w:val="0"/>
                <w:color w:val="auto"/>
                <w:sz w:val="24"/>
                <w:szCs w:val="24"/>
                <w:highlight w:val="none"/>
                <w:lang w:val="en-US" w:eastAsia="zh-CN"/>
              </w:rPr>
              <w:t>坪水库</w:t>
            </w:r>
            <w:r>
              <w:rPr>
                <w:rFonts w:hint="default" w:ascii="Times New Roman" w:hAnsi="Times New Roman" w:eastAsia="宋体" w:cs="Times New Roman"/>
                <w:b w:val="0"/>
                <w:bCs w:val="0"/>
                <w:color w:val="auto"/>
                <w:sz w:val="24"/>
                <w:szCs w:val="24"/>
              </w:rPr>
              <w:t>集水面积1.</w:t>
            </w:r>
            <w:r>
              <w:rPr>
                <w:rFonts w:hint="eastAsia" w:ascii="Times New Roman" w:hAnsi="Times New Roman" w:eastAsia="宋体" w:cs="Times New Roman"/>
                <w:b w:val="0"/>
                <w:bCs w:val="0"/>
                <w:color w:val="auto"/>
                <w:sz w:val="24"/>
                <w:szCs w:val="24"/>
                <w:lang w:val="en-US" w:eastAsia="zh-CN"/>
              </w:rPr>
              <w:t>61</w:t>
            </w:r>
            <w:r>
              <w:rPr>
                <w:rFonts w:hint="default" w:ascii="Times New Roman" w:hAnsi="Times New Roman" w:eastAsia="宋体" w:cs="Times New Roman"/>
                <w:b w:val="0"/>
                <w:bCs w:val="0"/>
                <w:color w:val="auto"/>
                <w:sz w:val="24"/>
                <w:szCs w:val="24"/>
              </w:rPr>
              <w:t>km</w:t>
            </w:r>
            <w:r>
              <w:rPr>
                <w:rFonts w:hint="default" w:ascii="Times New Roman" w:hAnsi="Times New Roman" w:eastAsia="宋体" w:cs="Times New Roman"/>
                <w:b w:val="0"/>
                <w:bCs w:val="0"/>
                <w:color w:val="auto"/>
                <w:sz w:val="24"/>
                <w:szCs w:val="24"/>
                <w:vertAlign w:val="superscript"/>
              </w:rPr>
              <w:t>2</w:t>
            </w:r>
            <w:r>
              <w:rPr>
                <w:rFonts w:hint="default" w:ascii="Times New Roman" w:hAnsi="Times New Roman" w:eastAsia="宋体" w:cs="Times New Roman"/>
                <w:b w:val="0"/>
                <w:bCs w:val="0"/>
                <w:color w:val="auto"/>
                <w:sz w:val="24"/>
                <w:szCs w:val="24"/>
              </w:rPr>
              <w:t>，坝址处多年平均径流量</w:t>
            </w:r>
            <w:r>
              <w:rPr>
                <w:rFonts w:hint="eastAsia" w:ascii="Times New Roman" w:hAnsi="Times New Roman" w:eastAsia="宋体" w:cs="Times New Roman"/>
                <w:b w:val="0"/>
                <w:bCs w:val="0"/>
                <w:color w:val="auto"/>
                <w:sz w:val="24"/>
                <w:szCs w:val="24"/>
                <w:lang w:val="en-US" w:eastAsia="zh-CN"/>
              </w:rPr>
              <w:t>85.15</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，总库容2</w:t>
            </w:r>
            <w:r>
              <w:rPr>
                <w:rFonts w:hint="eastAsia" w:ascii="Times New Roman" w:hAnsi="Times New Roman" w:eastAsia="宋体" w:cs="Times New Roman"/>
                <w:b w:val="0"/>
                <w:bCs w:val="0"/>
                <w:color w:val="auto"/>
                <w:sz w:val="24"/>
                <w:szCs w:val="24"/>
                <w:lang w:val="en-US" w:eastAsia="zh-CN"/>
              </w:rPr>
              <w:t>8.7</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，兴利库容</w:t>
            </w:r>
            <w:r>
              <w:rPr>
                <w:rFonts w:hint="eastAsia" w:ascii="Times New Roman" w:hAnsi="Times New Roman" w:eastAsia="宋体" w:cs="Times New Roman"/>
                <w:b w:val="0"/>
                <w:bCs w:val="0"/>
                <w:color w:val="auto"/>
                <w:sz w:val="24"/>
                <w:szCs w:val="24"/>
                <w:lang w:val="en-US" w:eastAsia="zh-CN"/>
              </w:rPr>
              <w:t>20.35</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，死库容0.</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属于小型水库。</w:t>
            </w:r>
            <w:r>
              <w:rPr>
                <w:rFonts w:hint="eastAsia" w:ascii="Times New Roman" w:hAnsi="Times New Roman" w:eastAsia="宋体" w:cs="Times New Roman"/>
                <w:b w:val="0"/>
                <w:bCs w:val="0"/>
                <w:color w:val="auto"/>
                <w:sz w:val="24"/>
                <w:szCs w:val="32"/>
                <w:highlight w:val="none"/>
                <w:vertAlign w:val="baseline"/>
                <w:lang w:val="en-US" w:eastAsia="zh-CN"/>
              </w:rPr>
              <w:t>根据现状监测，</w:t>
            </w:r>
            <w:r>
              <w:rPr>
                <w:rFonts w:hint="eastAsia" w:ascii="Times New Roman" w:hAnsi="Times New Roman" w:eastAsia="宋体" w:cs="Times New Roman"/>
                <w:b w:val="0"/>
                <w:bCs w:val="0"/>
                <w:color w:val="auto"/>
                <w:sz w:val="24"/>
                <w:szCs w:val="24"/>
                <w:highlight w:val="none"/>
                <w:lang w:val="en-US" w:eastAsia="zh-CN"/>
              </w:rPr>
              <w:t>普子</w:t>
            </w:r>
            <w:r>
              <w:rPr>
                <w:rFonts w:hint="default" w:ascii="Times New Roman" w:hAnsi="Times New Roman" w:eastAsia="宋体" w:cs="Times New Roman"/>
                <w:b w:val="0"/>
                <w:bCs w:val="0"/>
                <w:color w:val="auto"/>
                <w:sz w:val="24"/>
                <w:szCs w:val="24"/>
                <w:highlight w:val="none"/>
                <w:lang w:val="en-US" w:eastAsia="zh-CN"/>
              </w:rPr>
              <w:t>坪水库</w:t>
            </w:r>
            <w:r>
              <w:rPr>
                <w:rFonts w:hint="default" w:ascii="Times New Roman" w:hAnsi="Times New Roman" w:eastAsia="宋体" w:cs="Times New Roman"/>
                <w:b w:val="0"/>
                <w:bCs w:val="0"/>
                <w:color w:val="auto"/>
                <w:sz w:val="24"/>
                <w:szCs w:val="32"/>
                <w:highlight w:val="none"/>
                <w:vertAlign w:val="baseline"/>
                <w:lang w:val="en-US" w:eastAsia="zh-CN"/>
              </w:rPr>
              <w:t>取水</w:t>
            </w:r>
            <w:r>
              <w:rPr>
                <w:rFonts w:hint="eastAsia" w:ascii="Times New Roman" w:hAnsi="Times New Roman" w:eastAsia="宋体" w:cs="Times New Roman"/>
                <w:b w:val="0"/>
                <w:bCs w:val="0"/>
                <w:color w:val="auto"/>
                <w:sz w:val="24"/>
                <w:szCs w:val="32"/>
                <w:highlight w:val="none"/>
                <w:vertAlign w:val="baseline"/>
                <w:lang w:val="en-US" w:eastAsia="zh-CN"/>
              </w:rPr>
              <w:t>点处可以满足</w:t>
            </w:r>
            <w:r>
              <w:rPr>
                <w:rFonts w:hint="default" w:ascii="Times New Roman" w:hAnsi="Times New Roman" w:cs="Times New Roman"/>
                <w:b w:val="0"/>
                <w:bCs w:val="0"/>
                <w:color w:val="auto"/>
                <w:sz w:val="24"/>
                <w:szCs w:val="32"/>
                <w:highlight w:val="none"/>
                <w:vertAlign w:val="baseline"/>
                <w:lang w:val="en-US" w:eastAsia="zh-CN"/>
              </w:rPr>
              <w:t>《地表水环境质量标准》（GB3838-2002）</w:t>
            </w:r>
            <w:r>
              <w:rPr>
                <w:rFonts w:hint="default" w:ascii="Times New Roman" w:hAnsi="Times New Roman" w:cs="Times New Roman"/>
                <w:b w:val="0"/>
                <w:bCs w:val="0"/>
                <w:color w:val="auto"/>
                <w:sz w:val="24"/>
                <w:szCs w:val="24"/>
                <w:highlight w:val="none"/>
                <w:vertAlign w:val="baseline"/>
                <w:lang w:val="en-US" w:eastAsia="zh-CN"/>
              </w:rPr>
              <w:t>Ⅱ</w:t>
            </w:r>
            <w:r>
              <w:rPr>
                <w:rFonts w:hint="default" w:ascii="Times New Roman" w:hAnsi="Times New Roman" w:cs="Times New Roman"/>
                <w:b w:val="0"/>
                <w:bCs w:val="0"/>
                <w:color w:val="auto"/>
                <w:sz w:val="24"/>
                <w:szCs w:val="32"/>
                <w:highlight w:val="none"/>
                <w:vertAlign w:val="baseline"/>
                <w:lang w:val="en-US" w:eastAsia="zh-CN"/>
              </w:rPr>
              <w:t>类标准</w:t>
            </w:r>
            <w:r>
              <w:rPr>
                <w:rFonts w:hint="eastAsia" w:ascii="Times New Roman" w:hAnsi="Times New Roman" w:cs="Times New Roman"/>
                <w:b w:val="0"/>
                <w:bCs w:val="0"/>
                <w:color w:val="auto"/>
                <w:sz w:val="24"/>
                <w:szCs w:val="32"/>
                <w:highlight w:val="none"/>
                <w:vertAlign w:val="baseline"/>
                <w:lang w:val="en-US" w:eastAsia="zh-CN"/>
              </w:rPr>
              <w:t>，水质较好；根据</w:t>
            </w:r>
            <w:r>
              <w:rPr>
                <w:rFonts w:hint="default" w:ascii="Times New Roman" w:hAnsi="Times New Roman" w:eastAsia="宋体" w:cs="Times New Roman"/>
                <w:b w:val="0"/>
                <w:bCs w:val="0"/>
                <w:color w:val="auto"/>
                <w:sz w:val="24"/>
                <w:szCs w:val="32"/>
                <w:highlight w:val="none"/>
                <w:vertAlign w:val="baseline"/>
                <w:lang w:val="en-US" w:eastAsia="zh-CN"/>
              </w:rPr>
              <w:t>《</w:t>
            </w:r>
            <w:r>
              <w:rPr>
                <w:rFonts w:hint="eastAsia" w:ascii="Times New Roman" w:hAnsi="Times New Roman" w:eastAsia="宋体" w:cs="Times New Roman"/>
                <w:b w:val="0"/>
                <w:bCs w:val="0"/>
                <w:color w:val="auto"/>
                <w:sz w:val="24"/>
                <w:szCs w:val="32"/>
                <w:highlight w:val="none"/>
                <w:vertAlign w:val="baseline"/>
                <w:lang w:val="en-US" w:eastAsia="zh-CN"/>
              </w:rPr>
              <w:t>隘口</w:t>
            </w:r>
            <w:r>
              <w:rPr>
                <w:rFonts w:hint="default" w:ascii="Times New Roman" w:hAnsi="Times New Roman" w:eastAsia="宋体" w:cs="Times New Roman"/>
                <w:b w:val="0"/>
                <w:bCs w:val="0"/>
                <w:color w:val="auto"/>
                <w:sz w:val="24"/>
                <w:szCs w:val="32"/>
                <w:highlight w:val="none"/>
                <w:vertAlign w:val="baseline"/>
                <w:lang w:val="en-US" w:eastAsia="zh-CN"/>
              </w:rPr>
              <w:t>水厂水资源论证表》</w:t>
            </w:r>
            <w:r>
              <w:rPr>
                <w:rFonts w:hint="default" w:ascii="Times New Roman" w:hAnsi="Times New Roman" w:eastAsia="宋体" w:cs="Times New Roman"/>
                <w:b w:val="0"/>
                <w:bCs w:val="0"/>
                <w:color w:val="auto"/>
                <w:sz w:val="24"/>
                <w:szCs w:val="24"/>
                <w:highlight w:val="none"/>
                <w:vertAlign w:val="baseline"/>
                <w:lang w:val="en-US" w:eastAsia="zh-CN"/>
              </w:rPr>
              <w:t>及</w:t>
            </w:r>
            <w:r>
              <w:rPr>
                <w:rFonts w:hint="eastAsia" w:ascii="Times New Roman" w:hAnsi="Times New Roman" w:eastAsia="宋体" w:cs="Times New Roman"/>
                <w:b w:val="0"/>
                <w:bCs w:val="0"/>
                <w:color w:val="auto"/>
                <w:sz w:val="24"/>
                <w:szCs w:val="24"/>
                <w:highlight w:val="none"/>
                <w:vertAlign w:val="baseline"/>
                <w:lang w:val="en-US" w:eastAsia="zh-CN"/>
              </w:rPr>
              <w:t>审查意见</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rPr>
              <w:t>目前</w:t>
            </w:r>
            <w:r>
              <w:rPr>
                <w:rFonts w:hint="eastAsia" w:ascii="Times New Roman" w:hAnsi="Times New Roman" w:eastAsia="宋体" w:cs="Times New Roman"/>
                <w:b w:val="0"/>
                <w:bCs w:val="0"/>
                <w:color w:val="auto"/>
                <w:sz w:val="24"/>
                <w:szCs w:val="24"/>
                <w:highlight w:val="none"/>
                <w:lang w:val="en-US" w:eastAsia="zh-CN"/>
              </w:rPr>
              <w:t>普子</w:t>
            </w:r>
            <w:r>
              <w:rPr>
                <w:rFonts w:hint="default" w:ascii="Times New Roman" w:hAnsi="Times New Roman" w:eastAsia="宋体" w:cs="Times New Roman"/>
                <w:b w:val="0"/>
                <w:bCs w:val="0"/>
                <w:color w:val="auto"/>
                <w:sz w:val="24"/>
                <w:szCs w:val="24"/>
              </w:rPr>
              <w:t>坪水库除有农灌取水外，再无其他取水户，</w:t>
            </w:r>
            <w:r>
              <w:rPr>
                <w:rFonts w:hint="eastAsia" w:ascii="Times New Roman" w:hAnsi="Times New Roman" w:eastAsia="宋体" w:cs="Times New Roman"/>
                <w:b w:val="0"/>
                <w:bCs w:val="0"/>
                <w:color w:val="auto"/>
                <w:sz w:val="24"/>
                <w:szCs w:val="24"/>
                <w:lang w:val="en-US" w:eastAsia="zh-CN"/>
              </w:rPr>
              <w:t>普子</w:t>
            </w:r>
            <w:r>
              <w:rPr>
                <w:rFonts w:hint="default" w:ascii="Times New Roman" w:hAnsi="Times New Roman" w:eastAsia="宋体" w:cs="Times New Roman"/>
                <w:b w:val="0"/>
                <w:bCs w:val="0"/>
                <w:color w:val="auto"/>
                <w:sz w:val="24"/>
                <w:szCs w:val="24"/>
              </w:rPr>
              <w:t>坪水库</w:t>
            </w:r>
            <w:r>
              <w:rPr>
                <w:rFonts w:hint="default" w:ascii="Times New Roman" w:hAnsi="Times New Roman" w:eastAsia="宋体" w:cs="Times New Roman"/>
                <w:b w:val="0"/>
                <w:bCs w:val="0"/>
                <w:color w:val="auto"/>
                <w:sz w:val="24"/>
                <w:szCs w:val="32"/>
                <w:highlight w:val="none"/>
                <w:vertAlign w:val="baseline"/>
                <w:lang w:val="en-US" w:eastAsia="zh-CN"/>
              </w:rPr>
              <w:t>水径流量远远大于需水量，</w:t>
            </w:r>
            <w:r>
              <w:rPr>
                <w:rFonts w:hint="eastAsia" w:ascii="Times New Roman" w:hAnsi="Times New Roman" w:eastAsia="宋体" w:cs="Times New Roman"/>
                <w:b w:val="0"/>
                <w:bCs w:val="0"/>
                <w:color w:val="auto"/>
                <w:sz w:val="24"/>
                <w:szCs w:val="32"/>
                <w:highlight w:val="none"/>
                <w:vertAlign w:val="baseline"/>
                <w:lang w:val="en-US" w:eastAsia="zh-CN"/>
              </w:rPr>
              <w:t>满足</w:t>
            </w:r>
            <w:r>
              <w:rPr>
                <w:rFonts w:hint="default" w:ascii="Times New Roman" w:hAnsi="Times New Roman" w:eastAsia="宋体" w:cs="Times New Roman"/>
                <w:b w:val="0"/>
                <w:bCs w:val="0"/>
                <w:color w:val="auto"/>
                <w:sz w:val="24"/>
                <w:szCs w:val="32"/>
                <w:highlight w:val="none"/>
                <w:vertAlign w:val="baseline"/>
                <w:lang w:val="en-US" w:eastAsia="zh-CN"/>
              </w:rPr>
              <w:t>水资源总量</w:t>
            </w:r>
            <w:r>
              <w:rPr>
                <w:rFonts w:hint="eastAsia" w:ascii="Times New Roman" w:hAnsi="Times New Roman" w:eastAsia="宋体" w:cs="Times New Roman"/>
                <w:b w:val="0"/>
                <w:bCs w:val="0"/>
                <w:color w:val="auto"/>
                <w:sz w:val="24"/>
                <w:szCs w:val="32"/>
                <w:highlight w:val="none"/>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根据调查，</w:t>
            </w:r>
            <w:r>
              <w:rPr>
                <w:rFonts w:hint="eastAsia" w:ascii="Times New Roman" w:hAnsi="Times New Roman" w:eastAsia="宋体" w:cs="Times New Roman"/>
                <w:b w:val="0"/>
                <w:bCs w:val="0"/>
                <w:color w:val="auto"/>
                <w:sz w:val="24"/>
                <w:szCs w:val="24"/>
                <w:highlight w:val="none"/>
                <w:lang w:val="en-US" w:eastAsia="zh-CN"/>
              </w:rPr>
              <w:t>普子</w:t>
            </w:r>
            <w:r>
              <w:rPr>
                <w:rFonts w:hint="default" w:ascii="Times New Roman" w:hAnsi="Times New Roman" w:eastAsia="宋体" w:cs="Times New Roman"/>
                <w:b w:val="0"/>
                <w:bCs w:val="0"/>
                <w:color w:val="auto"/>
                <w:sz w:val="24"/>
                <w:szCs w:val="24"/>
                <w:highlight w:val="none"/>
                <w:lang w:val="en-US" w:eastAsia="zh-CN"/>
              </w:rPr>
              <w:t>坪水库</w:t>
            </w:r>
            <w:r>
              <w:rPr>
                <w:rFonts w:hint="default" w:ascii="Times New Roman" w:hAnsi="Times New Roman" w:eastAsia="宋体" w:cs="Times New Roman"/>
                <w:b w:val="0"/>
                <w:bCs w:val="0"/>
                <w:color w:val="auto"/>
                <w:sz w:val="24"/>
                <w:szCs w:val="32"/>
                <w:highlight w:val="none"/>
                <w:vertAlign w:val="baseline"/>
                <w:lang w:val="en-US" w:eastAsia="zh-CN"/>
              </w:rPr>
              <w:t>取水点</w:t>
            </w:r>
            <w:r>
              <w:rPr>
                <w:rFonts w:hint="eastAsia" w:ascii="Times New Roman" w:hAnsi="Times New Roman" w:cs="Times New Roman"/>
                <w:b w:val="0"/>
                <w:bCs w:val="0"/>
                <w:color w:val="auto"/>
                <w:sz w:val="24"/>
                <w:szCs w:val="24"/>
                <w:highlight w:val="none"/>
                <w:vertAlign w:val="baseline"/>
                <w:lang w:val="en-US" w:eastAsia="zh-CN"/>
              </w:rPr>
              <w:t>半径3000m范围内</w:t>
            </w:r>
            <w:r>
              <w:rPr>
                <w:rFonts w:hint="eastAsia" w:ascii="Times New Roman" w:hAnsi="Times New Roman" w:eastAsia="宋体" w:cs="Times New Roman"/>
                <w:b w:val="0"/>
                <w:bCs w:val="0"/>
                <w:color w:val="auto"/>
                <w:sz w:val="24"/>
                <w:szCs w:val="32"/>
                <w:highlight w:val="none"/>
                <w:vertAlign w:val="baseline"/>
                <w:lang w:val="en-US" w:eastAsia="zh-CN"/>
              </w:rPr>
              <w:t>，</w:t>
            </w:r>
            <w:r>
              <w:rPr>
                <w:rFonts w:hint="default" w:ascii="Times New Roman" w:hAnsi="Times New Roman" w:eastAsia="宋体" w:cs="Times New Roman"/>
                <w:b w:val="0"/>
                <w:bCs w:val="0"/>
                <w:color w:val="auto"/>
                <w:sz w:val="24"/>
                <w:szCs w:val="32"/>
                <w:highlight w:val="none"/>
                <w:vertAlign w:val="baseline"/>
                <w:lang w:val="en-US" w:eastAsia="zh-CN"/>
              </w:rPr>
              <w:t>无工业废水和生活污水排入、沿线无其他可能对水环境造成不利影响的堆渣，沿线主要为林地、农田等。</w:t>
            </w:r>
            <w:r>
              <w:rPr>
                <w:rFonts w:hint="eastAsia" w:ascii="Times New Roman" w:hAnsi="Times New Roman" w:eastAsia="宋体" w:cs="Times New Roman"/>
                <w:b w:val="0"/>
                <w:bCs w:val="0"/>
                <w:color w:val="auto"/>
                <w:sz w:val="24"/>
                <w:szCs w:val="32"/>
                <w:highlight w:val="none"/>
                <w:vertAlign w:val="baseline"/>
                <w:lang w:val="en-US" w:eastAsia="zh-CN"/>
              </w:rPr>
              <w:t>取水可行。注：最终进行</w:t>
            </w:r>
            <w:r>
              <w:rPr>
                <w:rFonts w:hint="eastAsia"/>
                <w:b w:val="0"/>
                <w:bCs w:val="0"/>
                <w:color w:val="auto"/>
                <w:sz w:val="24"/>
                <w:szCs w:val="24"/>
              </w:rPr>
              <w:t>饮用水源</w:t>
            </w:r>
            <w:r>
              <w:rPr>
                <w:rFonts w:hint="eastAsia" w:ascii="Times New Roman" w:hAnsi="Times New Roman" w:eastAsia="宋体" w:cs="Times New Roman"/>
                <w:b w:val="0"/>
                <w:bCs w:val="0"/>
                <w:color w:val="auto"/>
                <w:sz w:val="24"/>
                <w:szCs w:val="32"/>
                <w:highlight w:val="none"/>
                <w:vertAlign w:val="baseline"/>
                <w:lang w:val="en-US" w:eastAsia="zh-CN"/>
              </w:rPr>
              <w:t>划分时，应再次详细调查周围环境因素。</w:t>
            </w:r>
          </w:p>
          <w:p w14:paraId="561E3BD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（3）保护措施</w:t>
            </w:r>
          </w:p>
          <w:p w14:paraId="2A4DCA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w:t>
            </w:r>
            <w:r>
              <w:rPr>
                <w:rFonts w:hint="default" w:ascii="Times New Roman" w:hAnsi="Times New Roman" w:cs="Times New Roman"/>
                <w:b w:val="0"/>
                <w:bCs w:val="0"/>
                <w:color w:val="auto"/>
                <w:sz w:val="24"/>
                <w:szCs w:val="24"/>
                <w:highlight w:val="none"/>
                <w:vertAlign w:val="baseline"/>
                <w:lang w:val="en-US" w:eastAsia="zh-CN"/>
              </w:rPr>
              <w:t>《达州市集中式饮用水水源保护管理条例》（2024年修正）：</w:t>
            </w:r>
          </w:p>
          <w:p w14:paraId="119491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第十五条</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根据保护集中式饮用水水源的实际需要，在保护区和准保护区内采取相应的工程措施或者建设水源涵养林、护岸林和人工湿地等生态保护措施，保护水源水质。集中式饮用水水源的水质和水量应当符合国家及省饮用水水源相关标准要求。</w:t>
            </w:r>
          </w:p>
          <w:p w14:paraId="004677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第十</w:t>
            </w:r>
            <w:r>
              <w:rPr>
                <w:rFonts w:hint="default" w:ascii="Times New Roman" w:hAnsi="Times New Roman" w:cs="Times New Roman"/>
                <w:color w:val="auto"/>
                <w:sz w:val="24"/>
                <w:szCs w:val="24"/>
                <w:lang w:val="en-US" w:eastAsia="zh-CN"/>
              </w:rPr>
              <w:t>六</w:t>
            </w:r>
            <w:r>
              <w:rPr>
                <w:rFonts w:hint="default" w:ascii="Times New Roman" w:hAnsi="Times New Roman" w:cs="Times New Roman"/>
                <w:color w:val="auto"/>
                <w:sz w:val="24"/>
                <w:szCs w:val="24"/>
              </w:rPr>
              <w:t>条</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集中式饮用水水源保护区应当由提出保护区划定和调整方案的地方人民政府按照相关标准和技术要求设置明显的标志标牌，包括地理界标、警示标志、环保宣传牌等，且符合国家有关图形标志规范。</w:t>
            </w:r>
          </w:p>
          <w:p w14:paraId="07301F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保护区内有道路交通穿越的，应当建设防撞护栏、事故导流槽和应急池等设施；有输油、输气管道穿越的，应当采取防泄漏措施，必要时设置事故导流槽。</w:t>
            </w:r>
          </w:p>
          <w:p w14:paraId="1383D6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一级保护区应当设置隔离防护设施，实行封闭式管理。</w:t>
            </w:r>
          </w:p>
          <w:p w14:paraId="24776F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禁止任何单位和个人擅自改变、破坏保护区标志标牌和隔离防护设施。</w:t>
            </w:r>
          </w:p>
          <w:p w14:paraId="2A5116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第十八条 集中式饮用水水源保护区内，禁止设置排污口。</w:t>
            </w:r>
          </w:p>
          <w:p w14:paraId="4A275A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第十九条 集中式地表水饮用水水源准保护区内，应当遵守下列规定：</w:t>
            </w:r>
          </w:p>
          <w:p w14:paraId="35D643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（一）禁止新建、扩建造纸、制革、印染、染料、炼焦、炼砷、炼油、电镀、农药、化工、冶炼等对水体污染严重的建设项目；改建建设项目，不得增加排污量；</w:t>
            </w:r>
          </w:p>
          <w:p w14:paraId="4C3ACD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（二）禁止设置易溶性、有毒有害废弃物和危险废物的暂存和转运场所；禁止设置生活垃圾和工业固体废物的处置场所，生活垃圾转运站和工业固体废物暂存场所应当设置防护设施；</w:t>
            </w:r>
          </w:p>
          <w:p w14:paraId="36518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（三）禁止进行可能影响饮用水水源水质的天然气、石灰石、盐卤等矿产勘查、开采等活动；</w:t>
            </w:r>
          </w:p>
          <w:p w14:paraId="62A8DB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（四）法律、法规禁止的其他行为。</w:t>
            </w:r>
          </w:p>
          <w:p w14:paraId="440B24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第二十条 集中式地表水饮用水水源二级保护区内，应当遵守下列规定：</w:t>
            </w:r>
          </w:p>
          <w:p w14:paraId="00F099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14:paraId="6B9B5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（二）禁止从事经营性取土和采石（砂）等活动；</w:t>
            </w:r>
          </w:p>
          <w:p w14:paraId="688438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（三）禁止设置畜禽养殖场、养殖小区；</w:t>
            </w:r>
          </w:p>
          <w:p w14:paraId="5B445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（四）禁止从事网箱养殖、施肥养鱼、超标准养殖、投放暂存鱼、电鱼、炸鱼、毒鱼等污染饮用水水体的活动；</w:t>
            </w:r>
          </w:p>
          <w:p w14:paraId="47744F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（五）禁止使用农药；禁止丢弃农药、农药包装物或者清洗施药器械；限制使用化肥；</w:t>
            </w:r>
          </w:p>
          <w:p w14:paraId="01A603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（六）法律、法规和本条例第十九条禁止的其他行为。</w:t>
            </w:r>
          </w:p>
          <w:p w14:paraId="436D7C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第二十一条 集中式地表水饮用水水源一级保护区内，应当遵守下列规定：</w:t>
            </w:r>
          </w:p>
          <w:p w14:paraId="0CD875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（一）禁止从事餐饮、旅游、游泳、垂钓或者其他可能污染水体的活动；</w:t>
            </w:r>
          </w:p>
          <w:p w14:paraId="065F85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（二）法律、法规和本条例第十九条、第二十条禁止的行为。</w:t>
            </w:r>
          </w:p>
          <w:p w14:paraId="4ADB10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第二十二条 集中式地下水饮用水水源保护应当遵守法律、法规的相关规定</w:t>
            </w:r>
            <w:r>
              <w:rPr>
                <w:rFonts w:hint="eastAsia" w:ascii="Times New Roman" w:hAnsi="Times New Roman" w:cs="Times New Roman"/>
                <w:color w:val="auto"/>
                <w:sz w:val="24"/>
                <w:szCs w:val="24"/>
                <w:lang w:eastAsia="zh-CN"/>
              </w:rPr>
              <w:t>。</w:t>
            </w:r>
          </w:p>
          <w:p w14:paraId="34B871C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lang w:val="en-US" w:eastAsia="zh-CN"/>
              </w:rPr>
              <w:t>2、马渡关水厂</w:t>
            </w:r>
          </w:p>
          <w:p w14:paraId="6C87362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32"/>
                <w:highlight w:val="none"/>
                <w:vertAlign w:val="baseline"/>
                <w:lang w:val="en-US" w:eastAsia="zh-CN"/>
              </w:rPr>
            </w:pPr>
            <w:r>
              <w:rPr>
                <w:rFonts w:hint="eastAsia" w:ascii="Times New Roman" w:hAnsi="Times New Roman" w:cs="Times New Roman"/>
                <w:b w:val="0"/>
                <w:bCs w:val="0"/>
                <w:color w:val="auto"/>
                <w:sz w:val="24"/>
                <w:szCs w:val="24"/>
                <w:highlight w:val="none"/>
                <w:vertAlign w:val="baseline"/>
                <w:lang w:val="en-US" w:eastAsia="zh-CN"/>
              </w:rPr>
              <w:t>马渡关水厂，取水水源为</w:t>
            </w:r>
            <w:r>
              <w:rPr>
                <w:rFonts w:hint="default" w:ascii="Times New Roman" w:hAnsi="Times New Roman" w:cs="Times New Roman"/>
                <w:b w:val="0"/>
                <w:bCs w:val="0"/>
                <w:color w:val="auto"/>
                <w:sz w:val="24"/>
                <w:szCs w:val="24"/>
                <w:highlight w:val="none"/>
                <w:lang w:val="en-US" w:eastAsia="zh-CN"/>
              </w:rPr>
              <w:t>长滩河</w:t>
            </w:r>
            <w:r>
              <w:rPr>
                <w:rFonts w:hint="eastAsia" w:ascii="Times New Roman" w:hAnsi="Times New Roman" w:cs="Times New Roman"/>
                <w:b w:val="0"/>
                <w:bCs w:val="0"/>
                <w:color w:val="auto"/>
                <w:sz w:val="24"/>
                <w:szCs w:val="24"/>
                <w:highlight w:val="none"/>
                <w:vertAlign w:val="baseline"/>
                <w:lang w:val="en-US" w:eastAsia="zh-CN"/>
              </w:rPr>
              <w:t>，</w:t>
            </w:r>
            <w:r>
              <w:rPr>
                <w:rFonts w:hint="eastAsia" w:ascii="Times New Roman" w:hAnsi="Times New Roman" w:cs="Times New Roman"/>
                <w:b w:val="0"/>
                <w:bCs w:val="0"/>
                <w:color w:val="auto"/>
                <w:sz w:val="24"/>
                <w:szCs w:val="32"/>
                <w:highlight w:val="none"/>
                <w:vertAlign w:val="baseline"/>
                <w:lang w:val="en-US" w:eastAsia="zh-CN"/>
              </w:rPr>
              <w:t>环评要求：</w:t>
            </w:r>
            <w:r>
              <w:rPr>
                <w:rFonts w:hint="default" w:ascii="Times New Roman" w:hAnsi="Times New Roman" w:cs="Times New Roman"/>
                <w:b w:val="0"/>
                <w:bCs w:val="0"/>
                <w:color w:val="auto"/>
                <w:sz w:val="24"/>
                <w:szCs w:val="24"/>
                <w:highlight w:val="none"/>
                <w:lang w:val="en-US" w:eastAsia="zh-CN"/>
              </w:rPr>
              <w:t>长滩河</w:t>
            </w:r>
            <w:r>
              <w:rPr>
                <w:rFonts w:hint="default" w:ascii="Times New Roman" w:hAnsi="Times New Roman" w:cs="Times New Roman"/>
                <w:b w:val="0"/>
                <w:bCs w:val="0"/>
                <w:color w:val="auto"/>
                <w:sz w:val="24"/>
                <w:szCs w:val="32"/>
                <w:highlight w:val="none"/>
                <w:vertAlign w:val="baseline"/>
                <w:lang w:val="en-US" w:eastAsia="zh-CN"/>
              </w:rPr>
              <w:t>取水口</w:t>
            </w:r>
            <w:r>
              <w:rPr>
                <w:rFonts w:hint="eastAsia" w:ascii="Times New Roman" w:hAnsi="Times New Roman" w:cs="Times New Roman"/>
                <w:b w:val="0"/>
                <w:bCs w:val="0"/>
                <w:color w:val="auto"/>
                <w:sz w:val="24"/>
                <w:szCs w:val="32"/>
                <w:highlight w:val="none"/>
                <w:vertAlign w:val="baseline"/>
                <w:lang w:val="en-US" w:eastAsia="zh-CN"/>
              </w:rPr>
              <w:t>应以取水点划定</w:t>
            </w:r>
            <w:r>
              <w:rPr>
                <w:rFonts w:hint="default" w:ascii="Times New Roman" w:hAnsi="Times New Roman" w:cs="Times New Roman"/>
                <w:b w:val="0"/>
                <w:bCs w:val="0"/>
                <w:color w:val="auto"/>
                <w:sz w:val="24"/>
                <w:szCs w:val="32"/>
                <w:highlight w:val="none"/>
                <w:vertAlign w:val="baseline"/>
                <w:lang w:val="en-US" w:eastAsia="zh-CN"/>
              </w:rPr>
              <w:t>饮用水水源保护区</w:t>
            </w:r>
            <w:r>
              <w:rPr>
                <w:rFonts w:hint="eastAsia" w:ascii="Times New Roman" w:hAnsi="Times New Roman" w:cs="Times New Roman"/>
                <w:b w:val="0"/>
                <w:bCs w:val="0"/>
                <w:color w:val="auto"/>
                <w:sz w:val="24"/>
                <w:szCs w:val="32"/>
                <w:highlight w:val="none"/>
                <w:vertAlign w:val="baseline"/>
                <w:lang w:val="en-US" w:eastAsia="zh-CN"/>
              </w:rPr>
              <w:t>，</w:t>
            </w:r>
            <w:r>
              <w:rPr>
                <w:rFonts w:hint="default" w:ascii="Times New Roman" w:hAnsi="Times New Roman" w:cs="Times New Roman"/>
                <w:b w:val="0"/>
                <w:bCs w:val="0"/>
                <w:color w:val="auto"/>
                <w:sz w:val="24"/>
                <w:szCs w:val="32"/>
                <w:highlight w:val="none"/>
                <w:vertAlign w:val="baseline"/>
                <w:lang w:val="en-US" w:eastAsia="zh-CN"/>
              </w:rPr>
              <w:t>取得饮用水水源保护区划定文件。</w:t>
            </w:r>
          </w:p>
          <w:p w14:paraId="45C60B6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（1）</w:t>
            </w:r>
            <w:r>
              <w:rPr>
                <w:rFonts w:hint="eastAsia"/>
                <w:b/>
                <w:bCs/>
                <w:color w:val="auto"/>
                <w:sz w:val="24"/>
                <w:szCs w:val="24"/>
              </w:rPr>
              <w:t>饮用水源</w:t>
            </w:r>
            <w:r>
              <w:rPr>
                <w:rFonts w:hint="eastAsia" w:ascii="Times New Roman" w:hAnsi="Times New Roman" w:cs="Times New Roman"/>
                <w:b/>
                <w:bCs/>
                <w:color w:val="auto"/>
                <w:sz w:val="24"/>
                <w:szCs w:val="24"/>
                <w:highlight w:val="none"/>
                <w:lang w:val="en-US" w:eastAsia="zh-CN"/>
              </w:rPr>
              <w:t>划分方案</w:t>
            </w:r>
          </w:p>
          <w:p w14:paraId="0B55038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00B050"/>
                <w:sz w:val="24"/>
                <w:szCs w:val="24"/>
                <w:highlight w:val="none"/>
                <w:lang w:val="en-US" w:eastAsia="zh-CN"/>
              </w:rPr>
            </w:pPr>
            <w:r>
              <w:rPr>
                <w:rFonts w:hint="eastAsia" w:ascii="Times New Roman" w:hAnsi="Times New Roman" w:cs="Times New Roman"/>
                <w:b w:val="0"/>
                <w:bCs w:val="0"/>
                <w:color w:val="auto"/>
                <w:sz w:val="24"/>
                <w:szCs w:val="24"/>
                <w:highlight w:val="none"/>
                <w:vertAlign w:val="baseline"/>
                <w:lang w:val="en-US" w:eastAsia="zh-CN"/>
              </w:rPr>
              <w:t>根据《饮用水水源保护区划分技术规范》（HJ338-2018）：河流型饮用水水源保护区的划分，马渡关</w:t>
            </w:r>
            <w:r>
              <w:rPr>
                <w:rFonts w:hint="default" w:ascii="Times New Roman" w:hAnsi="Times New Roman" w:cs="Times New Roman"/>
                <w:b w:val="0"/>
                <w:bCs w:val="0"/>
                <w:color w:val="auto"/>
                <w:sz w:val="24"/>
                <w:szCs w:val="24"/>
                <w:highlight w:val="none"/>
                <w:vertAlign w:val="baseline"/>
                <w:lang w:val="en-US" w:eastAsia="zh-CN"/>
              </w:rPr>
              <w:t>水厂取水口</w:t>
            </w:r>
            <w:r>
              <w:rPr>
                <w:rFonts w:hint="default" w:ascii="Times New Roman" w:hAnsi="Times New Roman" w:cs="Times New Roman"/>
                <w:b w:val="0"/>
                <w:bCs w:val="0"/>
                <w:color w:val="auto"/>
                <w:sz w:val="24"/>
                <w:szCs w:val="24"/>
                <w:highlight w:val="none"/>
                <w:lang w:val="en-US" w:eastAsia="zh-CN"/>
              </w:rPr>
              <w:t>长滩河</w:t>
            </w:r>
            <w:r>
              <w:rPr>
                <w:rFonts w:hint="default" w:ascii="Times New Roman" w:hAnsi="Times New Roman" w:cs="Times New Roman"/>
                <w:b w:val="0"/>
                <w:bCs w:val="0"/>
                <w:color w:val="auto"/>
                <w:sz w:val="24"/>
                <w:szCs w:val="32"/>
                <w:highlight w:val="none"/>
                <w:vertAlign w:val="baseline"/>
                <w:lang w:val="en-US" w:eastAsia="zh-CN"/>
              </w:rPr>
              <w:t>饮用水水源保护区</w:t>
            </w:r>
            <w:r>
              <w:rPr>
                <w:rFonts w:hint="eastAsia" w:ascii="Times New Roman" w:hAnsi="Times New Roman" w:cs="Times New Roman"/>
                <w:b w:val="0"/>
                <w:bCs w:val="0"/>
                <w:color w:val="auto"/>
                <w:sz w:val="24"/>
                <w:szCs w:val="32"/>
                <w:highlight w:val="none"/>
                <w:vertAlign w:val="baseline"/>
                <w:lang w:val="en-US" w:eastAsia="zh-CN"/>
              </w:rPr>
              <w:t>划分原则如下</w:t>
            </w:r>
            <w:r>
              <w:rPr>
                <w:rFonts w:hint="eastAsia" w:ascii="Times New Roman" w:hAnsi="Times New Roman" w:cs="Times New Roman"/>
                <w:b w:val="0"/>
                <w:bCs w:val="0"/>
                <w:color w:val="auto"/>
                <w:sz w:val="24"/>
                <w:szCs w:val="24"/>
                <w:highlight w:val="none"/>
                <w:vertAlign w:val="baseline"/>
                <w:lang w:val="en-US" w:eastAsia="zh-CN"/>
              </w:rPr>
              <w:t>：</w:t>
            </w:r>
          </w:p>
          <w:p w14:paraId="643E2C0E">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① 一级保护区</w:t>
            </w:r>
          </w:p>
          <w:p w14:paraId="74703004">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A水域范围</w:t>
            </w:r>
          </w:p>
          <w:p w14:paraId="1139DE27">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采用类比经验法，确定一级保护区水域范围。</w:t>
            </w:r>
          </w:p>
          <w:p w14:paraId="3AC6128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长滩河</w:t>
            </w:r>
            <w:r>
              <w:rPr>
                <w:rFonts w:hint="eastAsia" w:ascii="Times New Roman" w:hAnsi="Times New Roman" w:cs="Times New Roman"/>
                <w:b w:val="0"/>
                <w:bCs w:val="0"/>
                <w:color w:val="auto"/>
                <w:sz w:val="24"/>
                <w:szCs w:val="24"/>
                <w:highlight w:val="none"/>
                <w:lang w:val="en-US" w:eastAsia="zh-CN"/>
              </w:rPr>
              <w:t>属于一般河流水源地，一级保护区水域长度为取水口上游不小于 1000m，下游不小于 100m 范围内的河道水域。</w:t>
            </w:r>
          </w:p>
          <w:p w14:paraId="3A3C9FCB">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一级保护区水域宽度，为多年平均水位对应的高程线下的水域。</w:t>
            </w:r>
          </w:p>
          <w:p w14:paraId="07FCC5B9">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B 陆域范围</w:t>
            </w:r>
          </w:p>
          <w:p w14:paraId="40D1BFD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采用类比经验法，确定一级保护区陆域范围。</w:t>
            </w:r>
          </w:p>
          <w:p w14:paraId="7C51DFB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陆域沿岸长度不小于相应的一级保护区水域长度。</w:t>
            </w:r>
          </w:p>
          <w:p w14:paraId="745E7820">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陆域沿岸纵深与一级保护区水域边界的距离一般不小于50m，但不超过流域分水岭范围。对于有防洪堤坝的，可以防洪堤坝为边界:并要采取措施，防止污染物进入保护区内。</w:t>
            </w:r>
          </w:p>
          <w:p w14:paraId="26ECE86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②二级保护区</w:t>
            </w:r>
          </w:p>
          <w:p w14:paraId="7C499E52">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A水域范围</w:t>
            </w:r>
          </w:p>
          <w:p w14:paraId="2805B81E">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a若满足相关条件，可采用类比经验法确定二级保护区水域范围。</w:t>
            </w:r>
          </w:p>
          <w:p w14:paraId="0081F473">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二级保护区长度从一级保护区的上游边界向上游（包括汇入的上游支流）延伸不小于2000m，下游侧的外边界距一级保护区边界不小于200m。</w:t>
            </w:r>
          </w:p>
          <w:p w14:paraId="706DA640">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b也可依据水源地周边污染源的分布和排放特征，采用数值模型计算法或应急响应时间法。</w:t>
            </w:r>
          </w:p>
          <w:p w14:paraId="4E2B0775">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c二级保护区水域宽度为多年平均水位对应的高程线下的水域。有防洪堤的河段，二级保护区的水域宽度为防洪堤内的水域。</w:t>
            </w:r>
          </w:p>
          <w:p w14:paraId="62C4A5F7">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B陆域范围</w:t>
            </w:r>
          </w:p>
          <w:p w14:paraId="7175F3A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以确保水源保护区水域水质为目标，可视情采用地形边界法、类比经验法和缓冲区法确定二级保护区陆域范围。</w:t>
            </w:r>
          </w:p>
          <w:p w14:paraId="79CB5D9D">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a二级保护区陆域沿岸长度不小于二级保护区水域长度。</w:t>
            </w:r>
          </w:p>
          <w:p w14:paraId="7A67D73E">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b二级保护区陆域沿岸纵深范围一般不小于 1000m，但不超过流域分水岭范围。对于流域面积小于100km</w:t>
            </w:r>
            <w:r>
              <w:rPr>
                <w:rFonts w:hint="eastAsia" w:ascii="Times New Roman" w:hAnsi="Times New Roman" w:cs="Times New Roman"/>
                <w:b w:val="0"/>
                <w:bCs w:val="0"/>
                <w:color w:val="auto"/>
                <w:sz w:val="24"/>
                <w:szCs w:val="24"/>
                <w:highlight w:val="none"/>
                <w:vertAlign w:val="superscript"/>
                <w:lang w:val="en-US" w:eastAsia="zh-CN"/>
              </w:rPr>
              <w:t>2</w:t>
            </w:r>
            <w:r>
              <w:rPr>
                <w:rFonts w:hint="eastAsia" w:ascii="Times New Roman" w:hAnsi="Times New Roman" w:cs="Times New Roman"/>
                <w:b w:val="0"/>
                <w:bCs w:val="0"/>
                <w:color w:val="auto"/>
                <w:sz w:val="24"/>
                <w:szCs w:val="24"/>
                <w:highlight w:val="none"/>
                <w:lang w:val="en-US" w:eastAsia="zh-CN"/>
              </w:rPr>
              <w:t>的小型流域，二级保护区可以是整个集水范围。具体可依据自然地理、环境特征和环境管理需要确定。对于有防洪堤坝的，可以防洪堤坝为边界；并要取措施，防止污染物进入保护区内。</w:t>
            </w:r>
          </w:p>
          <w:p w14:paraId="61446992">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c当面污染源为主要水质影响因素时，二级保护区沿岸纵深范围，主要依据自然地理、环境特征和环境管理的需要，通过分析地形、植被、土地利用、地面径流的集水汇流特性、集水域范围等确定。</w:t>
            </w:r>
          </w:p>
          <w:p w14:paraId="37B81298">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③准保护区</w:t>
            </w:r>
          </w:p>
          <w:p w14:paraId="59ED6D4C">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jc w:val="both"/>
              <w:textAlignment w:val="auto"/>
              <w:rPr>
                <w:rFonts w:hint="eastAsia" w:ascii="Times New Roman" w:hAnsi="Times New Roman" w:cs="Times New Roman"/>
                <w:b w:val="0"/>
                <w:bCs w:val="0"/>
                <w:color w:val="00B050"/>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参照二级保护区的划分方法确定准保护区范围。</w:t>
            </w:r>
          </w:p>
          <w:p w14:paraId="1F5F97E5">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（2）可行性分析</w:t>
            </w:r>
          </w:p>
          <w:p w14:paraId="31355D7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b w:val="0"/>
                <w:bCs w:val="0"/>
                <w:color w:val="00B050"/>
                <w:sz w:val="24"/>
                <w:szCs w:val="24"/>
                <w:highlight w:val="none"/>
                <w:lang w:val="en-US" w:eastAsia="zh-CN"/>
              </w:rPr>
            </w:pPr>
            <w:r>
              <w:rPr>
                <w:rFonts w:hint="default" w:ascii="Times New Roman" w:hAnsi="Times New Roman" w:cs="Times New Roman"/>
                <w:b w:val="0"/>
                <w:bCs w:val="0"/>
                <w:color w:val="auto"/>
                <w:sz w:val="24"/>
                <w:szCs w:val="24"/>
                <w:highlight w:val="none"/>
                <w:vertAlign w:val="baseline"/>
                <w:lang w:val="en-US" w:eastAsia="zh-CN"/>
              </w:rPr>
              <w:t>长滩河系巴河中游左岸一级支流，发源于宣汉县与平昌县交界的鸡公寨，多年平均径流量4.89亿立方米，河长79.8km，河道平均比降为3.03%，集水面积912.6km</w:t>
            </w:r>
            <w:r>
              <w:rPr>
                <w:rFonts w:hint="default" w:ascii="Times New Roman" w:hAnsi="Times New Roman" w:cs="Times New Roman"/>
                <w:b w:val="0"/>
                <w:bCs w:val="0"/>
                <w:color w:val="auto"/>
                <w:sz w:val="24"/>
                <w:szCs w:val="24"/>
                <w:highlight w:val="none"/>
                <w:vertAlign w:val="superscript"/>
                <w:lang w:val="en-US" w:eastAsia="zh-CN"/>
              </w:rPr>
              <w:t>2</w:t>
            </w:r>
            <w:r>
              <w:rPr>
                <w:rFonts w:hint="default" w:ascii="Times New Roman" w:hAnsi="Times New Roman" w:cs="Times New Roman"/>
                <w:b w:val="0"/>
                <w:bCs w:val="0"/>
                <w:color w:val="auto"/>
                <w:sz w:val="24"/>
                <w:szCs w:val="24"/>
                <w:highlight w:val="none"/>
                <w:vertAlign w:val="baseline"/>
                <w:lang w:val="en-US" w:eastAsia="zh-CN"/>
              </w:rPr>
              <w:t>，河口多年平均流量15.5m</w:t>
            </w:r>
            <w:r>
              <w:rPr>
                <w:rFonts w:hint="default" w:ascii="Times New Roman" w:hAnsi="Times New Roman" w:cs="Times New Roman"/>
                <w:b w:val="0"/>
                <w:bCs w:val="0"/>
                <w:color w:val="auto"/>
                <w:sz w:val="24"/>
                <w:szCs w:val="24"/>
                <w:highlight w:val="none"/>
                <w:vertAlign w:val="superscript"/>
                <w:lang w:val="en-US" w:eastAsia="zh-CN"/>
              </w:rPr>
              <w:t>3</w:t>
            </w:r>
            <w:r>
              <w:rPr>
                <w:rFonts w:hint="default" w:ascii="Times New Roman" w:hAnsi="Times New Roman" w:cs="Times New Roman"/>
                <w:b w:val="0"/>
                <w:bCs w:val="0"/>
                <w:color w:val="auto"/>
                <w:sz w:val="24"/>
                <w:szCs w:val="24"/>
                <w:highlight w:val="none"/>
                <w:vertAlign w:val="baseline"/>
                <w:lang w:val="en-US" w:eastAsia="zh-CN"/>
              </w:rPr>
              <w:t>/s</w:t>
            </w:r>
            <w:r>
              <w:rPr>
                <w:rFonts w:hint="eastAsia" w:ascii="Times New Roman" w:hAnsi="Times New Roman" w:cs="Times New Roman"/>
                <w:b w:val="0"/>
                <w:bCs w:val="0"/>
                <w:color w:val="auto"/>
                <w:sz w:val="24"/>
                <w:szCs w:val="24"/>
                <w:highlight w:val="none"/>
                <w:vertAlign w:val="baseline"/>
                <w:lang w:val="en-US" w:eastAsia="zh-CN"/>
              </w:rPr>
              <w:t>，属于小型河流，无潮汐现象。</w:t>
            </w:r>
            <w:r>
              <w:rPr>
                <w:rFonts w:hint="default" w:ascii="Times New Roman" w:hAnsi="Times New Roman" w:cs="Times New Roman"/>
                <w:b w:val="0"/>
                <w:bCs w:val="0"/>
                <w:color w:val="auto"/>
                <w:sz w:val="24"/>
                <w:szCs w:val="24"/>
                <w:highlight w:val="none"/>
                <w:vertAlign w:val="baseline"/>
                <w:lang w:val="en-US" w:eastAsia="zh-CN"/>
              </w:rPr>
              <w:t>根据现状监测，长滩河取水口处水质可以满足</w:t>
            </w:r>
            <w:r>
              <w:rPr>
                <w:rFonts w:hint="default" w:ascii="Times New Roman" w:hAnsi="Times New Roman" w:cs="Times New Roman"/>
                <w:color w:val="auto"/>
                <w:sz w:val="24"/>
                <w:szCs w:val="32"/>
                <w:highlight w:val="none"/>
                <w:vertAlign w:val="baseline"/>
                <w:lang w:val="en-US" w:eastAsia="zh-CN"/>
              </w:rPr>
              <w:t>《地表水环境质量标准》（GB3838-2002）</w:t>
            </w:r>
            <w:r>
              <w:rPr>
                <w:rFonts w:hint="default" w:ascii="Times New Roman" w:hAnsi="Times New Roman" w:cs="Times New Roman"/>
                <w:b w:val="0"/>
                <w:bCs w:val="0"/>
                <w:color w:val="auto"/>
                <w:sz w:val="24"/>
                <w:szCs w:val="24"/>
                <w:highlight w:val="none"/>
                <w:vertAlign w:val="baseline"/>
                <w:lang w:val="en-US" w:eastAsia="zh-CN"/>
              </w:rPr>
              <w:t>Ⅱ</w:t>
            </w:r>
            <w:r>
              <w:rPr>
                <w:rFonts w:hint="default" w:ascii="Times New Roman" w:hAnsi="Times New Roman" w:cs="Times New Roman"/>
                <w:color w:val="auto"/>
                <w:sz w:val="24"/>
                <w:szCs w:val="32"/>
                <w:highlight w:val="none"/>
                <w:vertAlign w:val="baseline"/>
                <w:lang w:val="en-US" w:eastAsia="zh-CN"/>
              </w:rPr>
              <w:t>类标准</w:t>
            </w:r>
            <w:r>
              <w:rPr>
                <w:rFonts w:hint="default" w:ascii="Times New Roman" w:hAnsi="Times New Roman" w:cs="Times New Roman"/>
                <w:b w:val="0"/>
                <w:bCs w:val="0"/>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vertAlign w:val="baseline"/>
                <w:lang w:val="en-US" w:eastAsia="zh-CN"/>
              </w:rPr>
              <w:t>根据《马渡关水厂水资源论证报告书》及审查意见，</w:t>
            </w:r>
            <w:r>
              <w:rPr>
                <w:rFonts w:hint="default" w:ascii="Times New Roman" w:hAnsi="Times New Roman" w:eastAsia="宋体" w:cs="Times New Roman"/>
                <w:bCs/>
                <w:color w:val="auto"/>
                <w:sz w:val="24"/>
                <w:szCs w:val="24"/>
              </w:rPr>
              <w:t>扣除生态流量和其他用水户取水外，</w:t>
            </w:r>
            <w:r>
              <w:rPr>
                <w:rFonts w:hint="default" w:ascii="Times New Roman" w:hAnsi="Times New Roman" w:eastAsia="宋体" w:cs="Times New Roman"/>
                <w:bCs/>
                <w:color w:val="auto"/>
                <w:sz w:val="24"/>
                <w:szCs w:val="24"/>
                <w:lang w:val="en-US" w:eastAsia="zh-CN"/>
              </w:rPr>
              <w:t>长滩河</w:t>
            </w:r>
            <w:r>
              <w:rPr>
                <w:rFonts w:hint="default" w:ascii="Times New Roman" w:hAnsi="Times New Roman" w:eastAsia="宋体" w:cs="Times New Roman"/>
                <w:color w:val="auto"/>
                <w:sz w:val="24"/>
                <w:szCs w:val="32"/>
                <w:highlight w:val="none"/>
                <w:vertAlign w:val="baseline"/>
                <w:lang w:val="en-US" w:eastAsia="zh-CN"/>
              </w:rPr>
              <w:t>水径流量远远大于需水量，满足水资源总量；</w:t>
            </w:r>
            <w:r>
              <w:rPr>
                <w:rFonts w:hint="default" w:ascii="Times New Roman" w:hAnsi="Times New Roman" w:eastAsia="宋体" w:cs="Times New Roman"/>
                <w:b w:val="0"/>
                <w:bCs w:val="0"/>
                <w:color w:val="auto"/>
                <w:sz w:val="24"/>
                <w:szCs w:val="24"/>
                <w:vertAlign w:val="baseline"/>
                <w:lang w:val="en-US" w:eastAsia="zh-CN"/>
              </w:rPr>
              <w:t>根据调查，</w:t>
            </w:r>
            <w:r>
              <w:rPr>
                <w:rFonts w:hint="default" w:ascii="Times New Roman" w:hAnsi="Times New Roman" w:eastAsia="宋体" w:cs="Times New Roman"/>
                <w:bCs/>
                <w:color w:val="auto"/>
                <w:sz w:val="24"/>
                <w:szCs w:val="24"/>
                <w:lang w:val="en-US" w:eastAsia="zh-CN"/>
              </w:rPr>
              <w:t>长滩河</w:t>
            </w:r>
            <w:r>
              <w:rPr>
                <w:rFonts w:hint="default" w:ascii="Times New Roman" w:hAnsi="Times New Roman" w:eastAsia="宋体" w:cs="Times New Roman"/>
                <w:b w:val="0"/>
                <w:bCs w:val="0"/>
                <w:color w:val="auto"/>
                <w:sz w:val="24"/>
                <w:szCs w:val="32"/>
                <w:highlight w:val="none"/>
                <w:vertAlign w:val="baseline"/>
                <w:lang w:val="en-US" w:eastAsia="zh-CN"/>
              </w:rPr>
              <w:t>取水点</w:t>
            </w:r>
            <w:r>
              <w:rPr>
                <w:rFonts w:hint="eastAsia" w:ascii="Times New Roman" w:hAnsi="Times New Roman" w:eastAsia="宋体" w:cs="Times New Roman"/>
                <w:b w:val="0"/>
                <w:bCs w:val="0"/>
                <w:color w:val="auto"/>
                <w:sz w:val="24"/>
                <w:szCs w:val="32"/>
                <w:highlight w:val="none"/>
                <w:vertAlign w:val="baseline"/>
                <w:lang w:val="en-US" w:eastAsia="zh-CN"/>
              </w:rPr>
              <w:t>上游3km至下游0.5km</w:t>
            </w:r>
            <w:r>
              <w:rPr>
                <w:rFonts w:hint="default" w:ascii="Times New Roman" w:hAnsi="Times New Roman" w:cs="Times New Roman"/>
                <w:b w:val="0"/>
                <w:bCs w:val="0"/>
                <w:color w:val="auto"/>
                <w:sz w:val="24"/>
                <w:szCs w:val="24"/>
                <w:highlight w:val="none"/>
                <w:vertAlign w:val="baseline"/>
                <w:lang w:val="en-US" w:eastAsia="zh-CN"/>
              </w:rPr>
              <w:t>范围内</w:t>
            </w:r>
            <w:r>
              <w:rPr>
                <w:rFonts w:hint="default" w:ascii="Times New Roman" w:hAnsi="Times New Roman" w:eastAsia="宋体" w:cs="Times New Roman"/>
                <w:b w:val="0"/>
                <w:bCs w:val="0"/>
                <w:color w:val="auto"/>
                <w:sz w:val="24"/>
                <w:szCs w:val="32"/>
                <w:highlight w:val="none"/>
                <w:vertAlign w:val="baseline"/>
                <w:lang w:val="en-US" w:eastAsia="zh-CN"/>
              </w:rPr>
              <w:t>，无工业废水和生活污水排入、沿线无其他可能对水环境造成不利影响的堆渣，沿线主要为林地、农田等。取水可行。注：最终进行</w:t>
            </w:r>
            <w:r>
              <w:rPr>
                <w:rFonts w:hint="default" w:ascii="Times New Roman" w:hAnsi="Times New Roman" w:cs="Times New Roman"/>
                <w:b w:val="0"/>
                <w:bCs w:val="0"/>
                <w:color w:val="auto"/>
                <w:sz w:val="24"/>
                <w:szCs w:val="24"/>
              </w:rPr>
              <w:t>饮用水源</w:t>
            </w:r>
            <w:r>
              <w:rPr>
                <w:rFonts w:hint="default" w:ascii="Times New Roman" w:hAnsi="Times New Roman" w:eastAsia="宋体" w:cs="Times New Roman"/>
                <w:b w:val="0"/>
                <w:bCs w:val="0"/>
                <w:color w:val="auto"/>
                <w:sz w:val="24"/>
                <w:szCs w:val="32"/>
                <w:highlight w:val="none"/>
                <w:vertAlign w:val="baseline"/>
                <w:lang w:val="en-US" w:eastAsia="zh-CN"/>
              </w:rPr>
              <w:t>划分时，应再次详细调查周围环境因素。</w:t>
            </w:r>
          </w:p>
          <w:p w14:paraId="1261F92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（3）保护措施</w:t>
            </w:r>
          </w:p>
          <w:p w14:paraId="67712E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同隘口水厂。</w:t>
            </w:r>
          </w:p>
          <w:p w14:paraId="2B781A8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七</w:t>
            </w:r>
            <w:r>
              <w:rPr>
                <w:rFonts w:hint="default" w:ascii="Times New Roman" w:hAnsi="Times New Roman" w:cs="Times New Roman"/>
                <w:b/>
                <w:bCs/>
                <w:color w:val="auto"/>
                <w:sz w:val="24"/>
                <w:szCs w:val="24"/>
                <w:highlight w:val="none"/>
                <w:lang w:val="en-US" w:eastAsia="zh-CN"/>
              </w:rPr>
              <w:t>、环境风险</w:t>
            </w:r>
          </w:p>
          <w:p w14:paraId="475105F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（1）风险调查</w:t>
            </w:r>
          </w:p>
          <w:p w14:paraId="79008DA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cs="Times New Roman"/>
                <w:color w:val="auto"/>
                <w:sz w:val="24"/>
                <w:szCs w:val="24"/>
                <w:highlight w:val="none"/>
                <w:lang w:val="en-US" w:eastAsia="zh-CN"/>
              </w:rPr>
              <w:t>按照《建设项目环境风险评价技术导则》（HJ169-2018）的要求，对照附录B，根据项目原辅材料，本项目主要涉及的危险物质为</w:t>
            </w:r>
            <w:r>
              <w:rPr>
                <w:rFonts w:hint="eastAsia" w:ascii="Times New Roman" w:hAnsi="Times New Roman" w:eastAsia="宋体" w:cs="Times New Roman"/>
                <w:sz w:val="24"/>
                <w:szCs w:val="24"/>
                <w:lang w:val="en-US" w:eastAsia="zh-CN"/>
              </w:rPr>
              <w:t>复合氯酸钠、二氧化氯</w:t>
            </w:r>
            <w:r>
              <w:rPr>
                <w:rFonts w:hint="default" w:ascii="Times New Roman" w:hAnsi="Times New Roman" w:cs="Times New Roman"/>
                <w:color w:val="auto"/>
                <w:sz w:val="24"/>
                <w:szCs w:val="24"/>
                <w:highlight w:val="none"/>
                <w:lang w:val="en-US" w:eastAsia="zh-CN"/>
              </w:rPr>
              <w:t>。其危险特性、贮存情况见下表：</w:t>
            </w:r>
          </w:p>
          <w:p w14:paraId="6D2E3D7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7 </w:t>
            </w:r>
            <w:r>
              <w:rPr>
                <w:rFonts w:hint="default" w:ascii="Times New Roman" w:hAnsi="Times New Roman" w:eastAsia="黑体" w:cs="Times New Roman"/>
                <w:b w:val="0"/>
                <w:bCs/>
                <w:color w:val="auto"/>
                <w:kern w:val="2"/>
                <w:sz w:val="21"/>
                <w:szCs w:val="21"/>
                <w:highlight w:val="none"/>
                <w:lang w:val="en-US" w:eastAsia="zh-CN" w:bidi="ar-SA"/>
              </w:rPr>
              <w:t>主要危险物质储存及危险特性</w:t>
            </w:r>
          </w:p>
          <w:tbl>
            <w:tblPr>
              <w:tblStyle w:val="25"/>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99"/>
              <w:gridCol w:w="1350"/>
              <w:gridCol w:w="1579"/>
              <w:gridCol w:w="1089"/>
              <w:gridCol w:w="1502"/>
              <w:gridCol w:w="1215"/>
              <w:gridCol w:w="1233"/>
            </w:tblGrid>
            <w:tr w14:paraId="5B18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46" w:type="pct"/>
                  <w:tcBorders>
                    <w:tl2br w:val="nil"/>
                    <w:tr2bl w:val="nil"/>
                  </w:tcBorders>
                  <w:vAlign w:val="center"/>
                </w:tcPr>
                <w:p w14:paraId="5C45D5A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项目</w:t>
                  </w:r>
                </w:p>
              </w:tc>
              <w:tc>
                <w:tcPr>
                  <w:tcW w:w="720" w:type="pct"/>
                  <w:tcBorders>
                    <w:tl2br w:val="nil"/>
                    <w:tr2bl w:val="nil"/>
                  </w:tcBorders>
                  <w:vAlign w:val="center"/>
                </w:tcPr>
                <w:p w14:paraId="2FD1860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化学品名称</w:t>
                  </w:r>
                </w:p>
              </w:tc>
              <w:tc>
                <w:tcPr>
                  <w:tcW w:w="842" w:type="pct"/>
                  <w:tcBorders>
                    <w:tl2br w:val="nil"/>
                    <w:tr2bl w:val="nil"/>
                  </w:tcBorders>
                  <w:vAlign w:val="center"/>
                </w:tcPr>
                <w:p w14:paraId="3B78D17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CAS号</w:t>
                  </w:r>
                </w:p>
              </w:tc>
              <w:tc>
                <w:tcPr>
                  <w:tcW w:w="581" w:type="pct"/>
                  <w:tcBorders>
                    <w:tl2br w:val="nil"/>
                    <w:tr2bl w:val="nil"/>
                  </w:tcBorders>
                  <w:vAlign w:val="center"/>
                </w:tcPr>
                <w:p w14:paraId="7006F31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危险特性</w:t>
                  </w:r>
                </w:p>
              </w:tc>
              <w:tc>
                <w:tcPr>
                  <w:tcW w:w="801" w:type="pct"/>
                  <w:tcBorders>
                    <w:tl2br w:val="nil"/>
                    <w:tr2bl w:val="nil"/>
                  </w:tcBorders>
                  <w:vAlign w:val="center"/>
                </w:tcPr>
                <w:p w14:paraId="57FD96B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最大储存量（t）</w:t>
                  </w:r>
                </w:p>
              </w:tc>
              <w:tc>
                <w:tcPr>
                  <w:tcW w:w="648" w:type="pct"/>
                  <w:tcBorders>
                    <w:tl2br w:val="nil"/>
                    <w:tr2bl w:val="nil"/>
                  </w:tcBorders>
                  <w:vAlign w:val="center"/>
                </w:tcPr>
                <w:p w14:paraId="75BCB92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临界量（t）</w:t>
                  </w:r>
                </w:p>
              </w:tc>
              <w:tc>
                <w:tcPr>
                  <w:tcW w:w="658" w:type="pct"/>
                  <w:tcBorders>
                    <w:tl2br w:val="nil"/>
                    <w:tr2bl w:val="nil"/>
                  </w:tcBorders>
                  <w:vAlign w:val="center"/>
                </w:tcPr>
                <w:p w14:paraId="654F7B8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储存位置</w:t>
                  </w:r>
                </w:p>
              </w:tc>
            </w:tr>
            <w:tr w14:paraId="070F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46" w:type="pct"/>
                  <w:vMerge w:val="restart"/>
                  <w:tcBorders>
                    <w:tl2br w:val="nil"/>
                    <w:tr2bl w:val="nil"/>
                  </w:tcBorders>
                  <w:vAlign w:val="center"/>
                </w:tcPr>
                <w:p w14:paraId="73C72B2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lang w:val="en-US" w:eastAsia="zh-CN"/>
                    </w:rPr>
                    <w:t>隘口水厂</w:t>
                  </w:r>
                </w:p>
              </w:tc>
              <w:tc>
                <w:tcPr>
                  <w:tcW w:w="720" w:type="pct"/>
                  <w:tcBorders>
                    <w:tl2br w:val="nil"/>
                    <w:tr2bl w:val="nil"/>
                  </w:tcBorders>
                  <w:shd w:val="clear" w:color="auto" w:fill="auto"/>
                  <w:vAlign w:val="center"/>
                </w:tcPr>
                <w:p w14:paraId="54C4457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复合氯酸钠</w:t>
                  </w:r>
                </w:p>
              </w:tc>
              <w:tc>
                <w:tcPr>
                  <w:tcW w:w="842" w:type="pct"/>
                  <w:tcBorders>
                    <w:tl2br w:val="nil"/>
                    <w:tr2bl w:val="nil"/>
                  </w:tcBorders>
                  <w:vAlign w:val="center"/>
                </w:tcPr>
                <w:p w14:paraId="75CE9FB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775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09</w:t>
                  </w:r>
                  <w:r>
                    <w:rPr>
                      <w:rFonts w:hint="default" w:ascii="Times New Roman" w:hAnsi="Times New Roman" w:cs="Times New Roman"/>
                      <w:color w:val="auto"/>
                      <w:sz w:val="21"/>
                      <w:szCs w:val="21"/>
                      <w:highlight w:val="none"/>
                      <w:lang w:val="en-US" w:eastAsia="zh-CN"/>
                    </w:rPr>
                    <w:t>-9</w:t>
                  </w:r>
                </w:p>
              </w:tc>
              <w:tc>
                <w:tcPr>
                  <w:tcW w:w="581" w:type="pct"/>
                  <w:tcBorders>
                    <w:tl2br w:val="nil"/>
                    <w:tr2bl w:val="nil"/>
                  </w:tcBorders>
                  <w:vAlign w:val="center"/>
                </w:tcPr>
                <w:p w14:paraId="1403C0F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强氧化性</w:t>
                  </w:r>
                </w:p>
              </w:tc>
              <w:tc>
                <w:tcPr>
                  <w:tcW w:w="801" w:type="pct"/>
                  <w:tcBorders>
                    <w:tl2br w:val="nil"/>
                    <w:tr2bl w:val="nil"/>
                  </w:tcBorders>
                  <w:vAlign w:val="center"/>
                </w:tcPr>
                <w:p w14:paraId="4DB9427F">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w:t>
                  </w:r>
                </w:p>
              </w:tc>
              <w:tc>
                <w:tcPr>
                  <w:tcW w:w="648" w:type="pct"/>
                  <w:tcBorders>
                    <w:tl2br w:val="nil"/>
                    <w:tr2bl w:val="nil"/>
                  </w:tcBorders>
                  <w:vAlign w:val="center"/>
                </w:tcPr>
                <w:p w14:paraId="3B9C1D4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p>
              </w:tc>
              <w:tc>
                <w:tcPr>
                  <w:tcW w:w="658" w:type="pct"/>
                  <w:tcBorders>
                    <w:tl2br w:val="nil"/>
                    <w:tr2bl w:val="nil"/>
                  </w:tcBorders>
                  <w:vAlign w:val="center"/>
                </w:tcPr>
                <w:p w14:paraId="0D2FC2F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lang w:eastAsia="zh-CN"/>
                    </w:rPr>
                    <w:t>加氯间</w:t>
                  </w:r>
                </w:p>
              </w:tc>
            </w:tr>
            <w:tr w14:paraId="2557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46" w:type="pct"/>
                  <w:vMerge w:val="continue"/>
                  <w:tcBorders>
                    <w:tl2br w:val="nil"/>
                    <w:tr2bl w:val="nil"/>
                  </w:tcBorders>
                  <w:vAlign w:val="center"/>
                </w:tcPr>
                <w:p w14:paraId="4CF9AD6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720" w:type="pct"/>
                  <w:tcBorders>
                    <w:tl2br w:val="nil"/>
                    <w:tr2bl w:val="nil"/>
                  </w:tcBorders>
                  <w:shd w:val="clear" w:color="auto" w:fill="auto"/>
                  <w:vAlign w:val="center"/>
                </w:tcPr>
                <w:p w14:paraId="4D4162F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二氧化氯</w:t>
                  </w:r>
                </w:p>
              </w:tc>
              <w:tc>
                <w:tcPr>
                  <w:tcW w:w="842" w:type="pct"/>
                  <w:tcBorders>
                    <w:tl2br w:val="nil"/>
                    <w:tr2bl w:val="nil"/>
                  </w:tcBorders>
                  <w:vAlign w:val="center"/>
                </w:tcPr>
                <w:p w14:paraId="70D148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10049-04-4</w:t>
                  </w:r>
                </w:p>
              </w:tc>
              <w:tc>
                <w:tcPr>
                  <w:tcW w:w="581" w:type="pct"/>
                  <w:tcBorders>
                    <w:tl2br w:val="nil"/>
                    <w:tr2bl w:val="nil"/>
                  </w:tcBorders>
                  <w:vAlign w:val="center"/>
                </w:tcPr>
                <w:p w14:paraId="3AEE22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强氧化性、腐蚀性</w:t>
                  </w:r>
                </w:p>
              </w:tc>
              <w:tc>
                <w:tcPr>
                  <w:tcW w:w="801" w:type="pct"/>
                  <w:tcBorders>
                    <w:tl2br w:val="nil"/>
                    <w:tr2bl w:val="nil"/>
                  </w:tcBorders>
                  <w:vAlign w:val="center"/>
                </w:tcPr>
                <w:p w14:paraId="06FACD80">
                  <w:pPr>
                    <w:keepNext w:val="0"/>
                    <w:keepLines w:val="0"/>
                    <w:pageBreakBefore w:val="0"/>
                    <w:widowControl w:val="0"/>
                    <w:kinsoku/>
                    <w:wordWrap/>
                    <w:overflowPunct/>
                    <w:topLinePunct w:val="0"/>
                    <w:autoSpaceDE/>
                    <w:autoSpaceDN/>
                    <w:bidi w:val="0"/>
                    <w:snapToGrid/>
                    <w:spacing w:line="240" w:lineRule="auto"/>
                    <w:ind w:left="0" w:leftChars="0"/>
                    <w:jc w:val="center"/>
                    <w:rPr>
                      <w:rFonts w:hint="eastAsia"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0.0002</w:t>
                  </w:r>
                </w:p>
              </w:tc>
              <w:tc>
                <w:tcPr>
                  <w:tcW w:w="648" w:type="pct"/>
                  <w:tcBorders>
                    <w:tl2br w:val="nil"/>
                    <w:tr2bl w:val="nil"/>
                  </w:tcBorders>
                  <w:vAlign w:val="center"/>
                </w:tcPr>
                <w:p w14:paraId="6D29309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658" w:type="pct"/>
                  <w:tcBorders>
                    <w:tl2br w:val="nil"/>
                    <w:tr2bl w:val="nil"/>
                  </w:tcBorders>
                  <w:vAlign w:val="center"/>
                </w:tcPr>
                <w:p w14:paraId="46209B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279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46" w:type="pct"/>
                  <w:vMerge w:val="restart"/>
                  <w:tcBorders>
                    <w:tl2br w:val="nil"/>
                    <w:tr2bl w:val="nil"/>
                  </w:tcBorders>
                  <w:vAlign w:val="center"/>
                </w:tcPr>
                <w:p w14:paraId="00184DE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马渡关水厂</w:t>
                  </w:r>
                </w:p>
              </w:tc>
              <w:tc>
                <w:tcPr>
                  <w:tcW w:w="720" w:type="pct"/>
                  <w:tcBorders>
                    <w:tl2br w:val="nil"/>
                    <w:tr2bl w:val="nil"/>
                  </w:tcBorders>
                  <w:shd w:val="clear" w:color="auto" w:fill="auto"/>
                  <w:vAlign w:val="center"/>
                </w:tcPr>
                <w:p w14:paraId="2AB7E35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复合氯酸钠</w:t>
                  </w:r>
                </w:p>
              </w:tc>
              <w:tc>
                <w:tcPr>
                  <w:tcW w:w="842" w:type="pct"/>
                  <w:tcBorders>
                    <w:tl2br w:val="nil"/>
                    <w:tr2bl w:val="nil"/>
                  </w:tcBorders>
                  <w:shd w:val="clear" w:color="auto" w:fill="auto"/>
                  <w:vAlign w:val="center"/>
                </w:tcPr>
                <w:p w14:paraId="00FCA24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r>
                    <w:rPr>
                      <w:rFonts w:hint="eastAsia" w:ascii="Times New Roman" w:hAnsi="Times New Roman" w:cs="Times New Roman"/>
                      <w:color w:val="auto"/>
                      <w:sz w:val="21"/>
                      <w:szCs w:val="21"/>
                      <w:highlight w:val="none"/>
                      <w:lang w:val="en-US" w:eastAsia="zh-CN"/>
                    </w:rPr>
                    <w:t>775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09</w:t>
                  </w:r>
                  <w:r>
                    <w:rPr>
                      <w:rFonts w:hint="default" w:ascii="Times New Roman" w:hAnsi="Times New Roman" w:cs="Times New Roman"/>
                      <w:color w:val="auto"/>
                      <w:sz w:val="21"/>
                      <w:szCs w:val="21"/>
                      <w:highlight w:val="none"/>
                      <w:lang w:val="en-US" w:eastAsia="zh-CN"/>
                    </w:rPr>
                    <w:t>-9</w:t>
                  </w:r>
                </w:p>
              </w:tc>
              <w:tc>
                <w:tcPr>
                  <w:tcW w:w="581" w:type="pct"/>
                  <w:tcBorders>
                    <w:tl2br w:val="nil"/>
                    <w:tr2bl w:val="nil"/>
                  </w:tcBorders>
                  <w:shd w:val="clear" w:color="auto" w:fill="auto"/>
                  <w:vAlign w:val="center"/>
                </w:tcPr>
                <w:p w14:paraId="1A039E2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强氧化性</w:t>
                  </w:r>
                </w:p>
              </w:tc>
              <w:tc>
                <w:tcPr>
                  <w:tcW w:w="801" w:type="pct"/>
                  <w:tcBorders>
                    <w:tl2br w:val="nil"/>
                    <w:tr2bl w:val="nil"/>
                  </w:tcBorders>
                  <w:vAlign w:val="center"/>
                </w:tcPr>
                <w:p w14:paraId="4500ABDB">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cs="Times New Roman"/>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648" w:type="pct"/>
                  <w:tcBorders>
                    <w:tl2br w:val="nil"/>
                    <w:tr2bl w:val="nil"/>
                  </w:tcBorders>
                  <w:shd w:val="clear" w:color="auto" w:fill="auto"/>
                  <w:vAlign w:val="center"/>
                </w:tcPr>
                <w:p w14:paraId="2D8A115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w:t>
                  </w:r>
                </w:p>
              </w:tc>
              <w:tc>
                <w:tcPr>
                  <w:tcW w:w="658" w:type="pct"/>
                  <w:tcBorders>
                    <w:tl2br w:val="nil"/>
                    <w:tr2bl w:val="nil"/>
                  </w:tcBorders>
                  <w:vAlign w:val="center"/>
                </w:tcPr>
                <w:p w14:paraId="032D0C5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lang w:eastAsia="zh-CN"/>
                    </w:rPr>
                    <w:t>加氯间</w:t>
                  </w:r>
                </w:p>
              </w:tc>
            </w:tr>
            <w:tr w14:paraId="7F06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46" w:type="pct"/>
                  <w:vMerge w:val="continue"/>
                  <w:tcBorders>
                    <w:tl2br w:val="nil"/>
                    <w:tr2bl w:val="nil"/>
                  </w:tcBorders>
                  <w:vAlign w:val="center"/>
                </w:tcPr>
                <w:p w14:paraId="5865E86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720" w:type="pct"/>
                  <w:tcBorders>
                    <w:tl2br w:val="nil"/>
                    <w:tr2bl w:val="nil"/>
                  </w:tcBorders>
                  <w:shd w:val="clear" w:color="auto" w:fill="auto"/>
                  <w:vAlign w:val="center"/>
                </w:tcPr>
                <w:p w14:paraId="21A045F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二氧化氯</w:t>
                  </w:r>
                </w:p>
              </w:tc>
              <w:tc>
                <w:tcPr>
                  <w:tcW w:w="842" w:type="pct"/>
                  <w:tcBorders>
                    <w:tl2br w:val="nil"/>
                    <w:tr2bl w:val="nil"/>
                  </w:tcBorders>
                  <w:shd w:val="clear" w:color="auto" w:fill="auto"/>
                  <w:vAlign w:val="center"/>
                </w:tcPr>
                <w:p w14:paraId="226BA9F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10049-04-4</w:t>
                  </w:r>
                </w:p>
              </w:tc>
              <w:tc>
                <w:tcPr>
                  <w:tcW w:w="581" w:type="pct"/>
                  <w:tcBorders>
                    <w:tl2br w:val="nil"/>
                    <w:tr2bl w:val="nil"/>
                  </w:tcBorders>
                  <w:shd w:val="clear" w:color="auto" w:fill="auto"/>
                  <w:vAlign w:val="center"/>
                </w:tcPr>
                <w:p w14:paraId="514AAD4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强氧化性、腐蚀性</w:t>
                  </w:r>
                </w:p>
              </w:tc>
              <w:tc>
                <w:tcPr>
                  <w:tcW w:w="801" w:type="pct"/>
                  <w:tcBorders>
                    <w:tl2br w:val="nil"/>
                    <w:tr2bl w:val="nil"/>
                  </w:tcBorders>
                  <w:vAlign w:val="center"/>
                </w:tcPr>
                <w:p w14:paraId="54606BFD">
                  <w:pPr>
                    <w:keepNext w:val="0"/>
                    <w:keepLines w:val="0"/>
                    <w:pageBreakBefore w:val="0"/>
                    <w:widowControl w:val="0"/>
                    <w:kinsoku/>
                    <w:wordWrap/>
                    <w:overflowPunct/>
                    <w:topLinePunct w:val="0"/>
                    <w:autoSpaceDE/>
                    <w:autoSpaceDN/>
                    <w:bidi w:val="0"/>
                    <w:snapToGrid/>
                    <w:spacing w:line="240" w:lineRule="auto"/>
                    <w:ind w:left="0" w:leftChars="0"/>
                    <w:jc w:val="center"/>
                    <w:rPr>
                      <w:rFonts w:hint="eastAsia" w:ascii="Times New Roman" w:hAnsi="Times New Roman"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0.0002</w:t>
                  </w:r>
                </w:p>
              </w:tc>
              <w:tc>
                <w:tcPr>
                  <w:tcW w:w="648" w:type="pct"/>
                  <w:tcBorders>
                    <w:tl2br w:val="nil"/>
                    <w:tr2bl w:val="nil"/>
                  </w:tcBorders>
                  <w:shd w:val="clear" w:color="auto" w:fill="auto"/>
                  <w:vAlign w:val="center"/>
                </w:tcPr>
                <w:p w14:paraId="63CDF39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0.5</w:t>
                  </w:r>
                </w:p>
              </w:tc>
              <w:tc>
                <w:tcPr>
                  <w:tcW w:w="658" w:type="pct"/>
                  <w:tcBorders>
                    <w:tl2br w:val="nil"/>
                    <w:tr2bl w:val="nil"/>
                  </w:tcBorders>
                  <w:vAlign w:val="center"/>
                </w:tcPr>
                <w:p w14:paraId="51593FE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4448460B">
            <w:pPr>
              <w:keepNext w:val="0"/>
              <w:keepLines w:val="0"/>
              <w:pageBreakBefore w:val="0"/>
              <w:widowControl w:val="0"/>
              <w:kinsoku/>
              <w:wordWrap/>
              <w:overflowPunct/>
              <w:topLinePunct w:val="0"/>
              <w:autoSpaceDE/>
              <w:autoSpaceDN/>
              <w:bidi w:val="0"/>
              <w:adjustRightInd/>
              <w:snapToGrid/>
              <w:spacing w:line="240" w:lineRule="auto"/>
              <w:ind w:left="0" w:leftChars="0" w:firstLine="316" w:firstLineChars="150"/>
              <w:textAlignment w:val="auto"/>
              <w:rPr>
                <w:rFonts w:hint="default" w:ascii="Times New Roman" w:hAnsi="Times New Roman" w:cs="Times New Roman"/>
                <w:b/>
                <w:color w:val="auto"/>
                <w:sz w:val="21"/>
                <w:szCs w:val="21"/>
                <w:highlight w:val="none"/>
                <w:lang w:eastAsia="zh-CN"/>
              </w:rPr>
            </w:pPr>
            <w:r>
              <w:rPr>
                <w:rFonts w:hint="default" w:ascii="Times New Roman" w:hAnsi="Times New Roman" w:cs="Times New Roman"/>
                <w:b/>
                <w:color w:val="auto"/>
                <w:sz w:val="21"/>
                <w:szCs w:val="21"/>
                <w:highlight w:val="none"/>
                <w:lang w:val="en-US" w:eastAsia="zh-CN"/>
              </w:rPr>
              <w:t>备注：项目使用</w:t>
            </w:r>
            <w:r>
              <w:rPr>
                <w:rFonts w:hint="default" w:ascii="Times New Roman" w:hAnsi="Times New Roman" w:cs="Times New Roman"/>
                <w:b/>
                <w:color w:val="auto"/>
                <w:sz w:val="21"/>
                <w:szCs w:val="21"/>
                <w:highlight w:val="none"/>
              </w:rPr>
              <w:t>二氧化氯</w:t>
            </w:r>
            <w:r>
              <w:rPr>
                <w:rFonts w:hint="default" w:ascii="Times New Roman" w:hAnsi="Times New Roman" w:cs="Times New Roman"/>
                <w:b/>
                <w:color w:val="auto"/>
                <w:sz w:val="21"/>
                <w:szCs w:val="21"/>
                <w:highlight w:val="none"/>
                <w:lang w:val="en-US" w:eastAsia="zh-CN"/>
              </w:rPr>
              <w:t>做消毒剂，二氧化氯由</w:t>
            </w:r>
            <w:r>
              <w:rPr>
                <w:rFonts w:hint="default" w:ascii="Times New Roman" w:hAnsi="Times New Roman" w:cs="Times New Roman"/>
                <w:b/>
                <w:color w:val="auto"/>
                <w:sz w:val="21"/>
                <w:szCs w:val="21"/>
                <w:highlight w:val="none"/>
              </w:rPr>
              <w:t>复合氯酸钠及复合硫酸</w:t>
            </w:r>
            <w:r>
              <w:rPr>
                <w:rFonts w:hint="eastAsia" w:ascii="Times New Roman" w:hAnsi="Times New Roman" w:cs="Times New Roman"/>
                <w:b/>
                <w:color w:val="auto"/>
                <w:sz w:val="21"/>
                <w:szCs w:val="21"/>
                <w:highlight w:val="none"/>
                <w:lang w:val="en-US" w:eastAsia="zh-CN"/>
              </w:rPr>
              <w:t>氢</w:t>
            </w:r>
            <w:r>
              <w:rPr>
                <w:rFonts w:hint="default" w:ascii="Times New Roman" w:hAnsi="Times New Roman" w:cs="Times New Roman"/>
                <w:b/>
                <w:color w:val="auto"/>
                <w:sz w:val="21"/>
                <w:szCs w:val="21"/>
                <w:highlight w:val="none"/>
              </w:rPr>
              <w:t>钠制取产生，不在厂区储存</w:t>
            </w:r>
            <w:r>
              <w:rPr>
                <w:rFonts w:hint="default" w:ascii="Times New Roman" w:hAnsi="Times New Roman" w:cs="Times New Roman"/>
                <w:b/>
                <w:color w:val="auto"/>
                <w:sz w:val="21"/>
                <w:szCs w:val="21"/>
                <w:highlight w:val="none"/>
                <w:lang w:val="en-US" w:eastAsia="zh-CN"/>
              </w:rPr>
              <w:t>，仅二氧化氯发生器中存有少量（200g/h）</w:t>
            </w:r>
            <w:r>
              <w:rPr>
                <w:rFonts w:hint="default" w:ascii="Times New Roman" w:hAnsi="Times New Roman" w:cs="Times New Roman"/>
                <w:b/>
                <w:color w:val="auto"/>
                <w:sz w:val="21"/>
                <w:szCs w:val="21"/>
                <w:highlight w:val="none"/>
                <w:lang w:eastAsia="zh-CN"/>
              </w:rPr>
              <w:t>。</w:t>
            </w:r>
          </w:p>
          <w:p w14:paraId="05820F60">
            <w:pPr>
              <w:keepNext w:val="0"/>
              <w:keepLines w:val="0"/>
              <w:pageBreakBefore w:val="0"/>
              <w:kinsoku/>
              <w:wordWrap/>
              <w:topLinePunct w:val="0"/>
              <w:bidi w:val="0"/>
              <w:spacing w:line="360" w:lineRule="auto"/>
              <w:ind w:left="0" w:leftChars="0" w:firstLine="361" w:firstLineChars="150"/>
              <w:rPr>
                <w:rFonts w:hint="default" w:ascii="Times New Roman" w:hAnsi="Times New Roman" w:cs="Times New Roman"/>
                <w:color w:val="auto"/>
                <w:sz w:val="24"/>
                <w:szCs w:val="24"/>
                <w:highlight w:val="none"/>
              </w:rPr>
            </w:pPr>
            <w:r>
              <w:rPr>
                <w:rFonts w:hint="default" w:ascii="Times New Roman" w:hAnsi="Times New Roman" w:cs="Times New Roman"/>
                <w:b/>
                <w:color w:val="auto"/>
                <w:sz w:val="24"/>
                <w:szCs w:val="24"/>
                <w:highlight w:val="none"/>
              </w:rPr>
              <w:t>（2）风险潜势初判</w:t>
            </w:r>
          </w:p>
          <w:p w14:paraId="148A598D">
            <w:pPr>
              <w:keepNext w:val="0"/>
              <w:keepLines w:val="0"/>
              <w:pageBreakBefore w:val="0"/>
              <w:kinsoku/>
              <w:wordWrap/>
              <w:topLinePunct w:val="0"/>
              <w:bidi w:val="0"/>
              <w:spacing w:line="360" w:lineRule="auto"/>
              <w:ind w:left="0" w:leftChars="0"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建设项目环境风险潜势划分为I、</w:t>
            </w:r>
            <w:r>
              <w:rPr>
                <w:rFonts w:hint="default" w:ascii="Times New Roman" w:hAnsi="Times New Roman" w:cs="Times New Roman"/>
                <w:color w:val="auto"/>
                <w:sz w:val="24"/>
                <w:szCs w:val="24"/>
                <w:highlight w:val="none"/>
                <w:lang w:eastAsia="zh-CN"/>
              </w:rPr>
              <w:t>Ⅱ</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Ⅲ</w:t>
            </w:r>
            <w:r>
              <w:rPr>
                <w:rFonts w:hint="default" w:ascii="Times New Roman" w:hAnsi="Times New Roman" w:cs="Times New Roman"/>
                <w:color w:val="auto"/>
                <w:sz w:val="24"/>
                <w:szCs w:val="24"/>
                <w:highlight w:val="none"/>
              </w:rPr>
              <w:t>、IV/IV</w:t>
            </w:r>
            <w:r>
              <w:rPr>
                <w:rFonts w:hint="default" w:ascii="Times New Roman" w:hAnsi="Times New Roman" w:cs="Times New Roman"/>
                <w:color w:val="auto"/>
                <w:sz w:val="24"/>
                <w:szCs w:val="24"/>
                <w:highlight w:val="none"/>
                <w:vertAlign w:val="superscript"/>
              </w:rPr>
              <w:t>+</w:t>
            </w:r>
            <w:r>
              <w:rPr>
                <w:rFonts w:hint="default" w:ascii="Times New Roman" w:hAnsi="Times New Roman" w:cs="Times New Roman"/>
                <w:color w:val="auto"/>
                <w:sz w:val="24"/>
                <w:szCs w:val="24"/>
                <w:highlight w:val="none"/>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）为每种危险物质在厂界内的最大存在总量与其在HJ169-2018附录B中对应临界量的比值，即：</w:t>
            </w:r>
          </w:p>
          <w:p w14:paraId="56263EAA">
            <w:pPr>
              <w:keepNext w:val="0"/>
              <w:keepLines w:val="0"/>
              <w:pageBreakBefore w:val="0"/>
              <w:kinsoku/>
              <w:wordWrap/>
              <w:topLinePunct w:val="0"/>
              <w:bidi w:val="0"/>
              <w:spacing w:line="360" w:lineRule="auto"/>
              <w:ind w:left="0" w:leftChars="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30"/>
                <w:sz w:val="24"/>
                <w:szCs w:val="24"/>
                <w:highlight w:val="none"/>
              </w:rPr>
              <w:object>
                <v:shape id="_x0000_i1033" o:spt="75" type="#_x0000_t75" style="height:28.5pt;width:79.5pt;" o:ole="t" filled="f" o:preferrelative="t" stroked="f" coordsize="21600,21600">
                  <v:path/>
                  <v:fill on="f" focussize="0,0"/>
                  <v:stroke on="f" joinstyle="miter"/>
                  <v:imagedata r:id="rId35" o:title=""/>
                  <o:lock v:ext="edit" aspectratio="t"/>
                  <w10:wrap type="none"/>
                  <w10:anchorlock/>
                </v:shape>
                <o:OLEObject Type="Embed" ProgID="Equation.DSMT4" ShapeID="_x0000_i1033" DrawAspect="Content" ObjectID="_1468075733" r:id="rId34">
                  <o:LockedField>false</o:LockedField>
                </o:OLEObject>
              </w:object>
            </w:r>
          </w:p>
          <w:p w14:paraId="383839C2">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i/>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i/>
                <w:color w:val="auto"/>
                <w:sz w:val="24"/>
                <w:szCs w:val="24"/>
                <w:highlight w:val="none"/>
                <w:vertAlign w:val="subscript"/>
              </w:rPr>
              <w:t>n</w:t>
            </w:r>
            <w:r>
              <w:rPr>
                <w:rFonts w:hint="default" w:ascii="Times New Roman" w:hAnsi="Times New Roman" w:cs="Times New Roman"/>
                <w:color w:val="auto"/>
                <w:sz w:val="24"/>
                <w:szCs w:val="24"/>
                <w:highlight w:val="none"/>
              </w:rPr>
              <w:t>——每种危险物质的最大存在总量，t；</w:t>
            </w:r>
          </w:p>
          <w:p w14:paraId="0C1E2605">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w:t>
            </w:r>
            <w:r>
              <w:rPr>
                <w:rFonts w:hint="default" w:ascii="Times New Roman" w:hAnsi="Times New Roman" w:cs="Times New Roman"/>
                <w:i/>
                <w:color w:val="auto"/>
                <w:sz w:val="24"/>
                <w:szCs w:val="24"/>
                <w:highlight w:val="none"/>
              </w:rPr>
              <w:t>Q</w:t>
            </w:r>
            <w:r>
              <w:rPr>
                <w:rFonts w:hint="default" w:ascii="Times New Roman" w:hAnsi="Times New Roman" w:cs="Times New Roman"/>
                <w:i/>
                <w:color w:val="auto"/>
                <w:sz w:val="24"/>
                <w:szCs w:val="24"/>
                <w:highlight w:val="none"/>
                <w:vertAlign w:val="subscript"/>
              </w:rPr>
              <w:t>n</w:t>
            </w:r>
            <w:r>
              <w:rPr>
                <w:rFonts w:hint="default" w:ascii="Times New Roman" w:hAnsi="Times New Roman" w:cs="Times New Roman"/>
                <w:color w:val="auto"/>
                <w:sz w:val="24"/>
                <w:szCs w:val="24"/>
                <w:highlight w:val="none"/>
              </w:rPr>
              <w:t>——每种危险物质的临界量，t。</w:t>
            </w:r>
          </w:p>
          <w:p w14:paraId="568467CE">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&lt;1时，该项目环境风险潜势为I；当</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≥1时，将</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值划分为：a.1≤</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&lt;10；b.10≤</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&lt;100；c.</w:t>
            </w:r>
            <w:r>
              <w:rPr>
                <w:rFonts w:hint="default" w:ascii="Times New Roman" w:hAnsi="Times New Roman" w:cs="Times New Roman"/>
                <w:i/>
                <w:color w:val="auto"/>
                <w:sz w:val="24"/>
                <w:szCs w:val="24"/>
                <w:highlight w:val="none"/>
              </w:rPr>
              <w:t>Q</w:t>
            </w:r>
            <w:r>
              <w:rPr>
                <w:rFonts w:hint="default" w:ascii="Times New Roman" w:hAnsi="Times New Roman" w:cs="Times New Roman"/>
                <w:color w:val="auto"/>
                <w:sz w:val="24"/>
                <w:szCs w:val="24"/>
                <w:highlight w:val="none"/>
              </w:rPr>
              <w:t>≥100。</w:t>
            </w:r>
          </w:p>
          <w:p w14:paraId="11D748F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根据计算，本项目危险物质数量与临界量比值见</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14:paraId="1F08D3AF">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b/>
                <w:bCs/>
                <w:color w:val="auto"/>
                <w:szCs w:val="21"/>
                <w:highlight w:val="none"/>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8 </w:t>
            </w:r>
            <w:r>
              <w:rPr>
                <w:rFonts w:hint="default" w:ascii="Times New Roman" w:hAnsi="Times New Roman" w:eastAsia="黑体" w:cs="Times New Roman"/>
                <w:b w:val="0"/>
                <w:bCs/>
                <w:color w:val="auto"/>
                <w:kern w:val="2"/>
                <w:sz w:val="21"/>
                <w:szCs w:val="21"/>
                <w:highlight w:val="none"/>
                <w:lang w:val="en-US" w:eastAsia="zh-CN" w:bidi="ar-SA"/>
              </w:rPr>
              <w:t>危险物质数量与临界量比值表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6"/>
              <w:gridCol w:w="1935"/>
              <w:gridCol w:w="2055"/>
              <w:gridCol w:w="1635"/>
              <w:gridCol w:w="1450"/>
            </w:tblGrid>
            <w:tr w14:paraId="2A82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pct"/>
                  <w:tcBorders>
                    <w:tl2br w:val="nil"/>
                    <w:tr2bl w:val="nil"/>
                  </w:tcBorders>
                  <w:noWrap w:val="0"/>
                  <w:vAlign w:val="center"/>
                </w:tcPr>
                <w:p w14:paraId="129EC36C">
                  <w:pPr>
                    <w:keepNext w:val="0"/>
                    <w:keepLines w:val="0"/>
                    <w:pageBreakBefore w:val="0"/>
                    <w:kinsoku/>
                    <w:wordWrap/>
                    <w:overflowPunct/>
                    <w:topLinePunct w:val="0"/>
                    <w:autoSpaceDE/>
                    <w:autoSpaceDN/>
                    <w:bidi w:val="0"/>
                    <w:adjustRightInd/>
                    <w:snapToGrid/>
                    <w:spacing w:line="240" w:lineRule="auto"/>
                    <w:ind w:left="0" w:leftChars="0"/>
                    <w:jc w:val="center"/>
                    <w:rPr>
                      <w:rFonts w:hint="eastAsia" w:ascii="Times New Roman" w:hAnsi="Times New Roman" w:cs="Times New Roman" w:eastAsiaTheme="minorEastAsia"/>
                      <w:b/>
                      <w:bCs/>
                      <w:color w:val="auto"/>
                      <w:sz w:val="21"/>
                      <w:szCs w:val="21"/>
                      <w:highlight w:val="none"/>
                      <w:lang w:eastAsia="zh-CN"/>
                    </w:rPr>
                  </w:pPr>
                  <w:r>
                    <w:rPr>
                      <w:rFonts w:hint="eastAsia" w:ascii="Times New Roman" w:hAnsi="Times New Roman" w:cs="Times New Roman"/>
                      <w:b/>
                      <w:bCs/>
                      <w:color w:val="auto"/>
                      <w:sz w:val="21"/>
                      <w:szCs w:val="21"/>
                      <w:highlight w:val="none"/>
                      <w:lang w:val="en-US" w:eastAsia="zh-CN"/>
                    </w:rPr>
                    <w:t>项目</w:t>
                  </w:r>
                </w:p>
              </w:tc>
              <w:tc>
                <w:tcPr>
                  <w:tcW w:w="1031" w:type="pct"/>
                  <w:tcBorders>
                    <w:tl2br w:val="nil"/>
                    <w:tr2bl w:val="nil"/>
                  </w:tcBorders>
                  <w:noWrap w:val="0"/>
                  <w:vAlign w:val="center"/>
                </w:tcPr>
                <w:p w14:paraId="53855891">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w:t>
                  </w:r>
                </w:p>
              </w:tc>
              <w:tc>
                <w:tcPr>
                  <w:tcW w:w="1095" w:type="pct"/>
                  <w:tcBorders>
                    <w:tl2br w:val="nil"/>
                    <w:tr2bl w:val="nil"/>
                  </w:tcBorders>
                  <w:noWrap w:val="0"/>
                  <w:vAlign w:val="center"/>
                </w:tcPr>
                <w:p w14:paraId="63B190B4">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储存量（</w:t>
                  </w:r>
                  <w:r>
                    <w:rPr>
                      <w:rFonts w:hint="default" w:ascii="Times New Roman" w:hAnsi="Times New Roman" w:cs="Times New Roman"/>
                      <w:b/>
                      <w:bCs/>
                      <w:i/>
                      <w:color w:val="auto"/>
                      <w:sz w:val="21"/>
                      <w:szCs w:val="21"/>
                      <w:highlight w:val="none"/>
                    </w:rPr>
                    <w:t>q</w:t>
                  </w:r>
                  <w:r>
                    <w:rPr>
                      <w:rFonts w:hint="default" w:ascii="Times New Roman" w:hAnsi="Times New Roman" w:cs="Times New Roman"/>
                      <w:b/>
                      <w:bCs/>
                      <w:color w:val="auto"/>
                      <w:sz w:val="21"/>
                      <w:szCs w:val="21"/>
                      <w:highlight w:val="none"/>
                    </w:rPr>
                    <w:t>）</w:t>
                  </w:r>
                </w:p>
              </w:tc>
              <w:tc>
                <w:tcPr>
                  <w:tcW w:w="871" w:type="pct"/>
                  <w:tcBorders>
                    <w:tl2br w:val="nil"/>
                    <w:tr2bl w:val="nil"/>
                  </w:tcBorders>
                  <w:noWrap w:val="0"/>
                  <w:vAlign w:val="center"/>
                </w:tcPr>
                <w:p w14:paraId="2D7EAB9A">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临界量（</w:t>
                  </w:r>
                  <w:r>
                    <w:rPr>
                      <w:rFonts w:hint="default" w:ascii="Times New Roman" w:hAnsi="Times New Roman" w:cs="Times New Roman"/>
                      <w:b/>
                      <w:bCs/>
                      <w:i/>
                      <w:color w:val="auto"/>
                      <w:sz w:val="21"/>
                      <w:szCs w:val="21"/>
                      <w:highlight w:val="none"/>
                    </w:rPr>
                    <w:t>Q</w:t>
                  </w:r>
                  <w:r>
                    <w:rPr>
                      <w:rFonts w:hint="default" w:ascii="Times New Roman" w:hAnsi="Times New Roman" w:cs="Times New Roman"/>
                      <w:b/>
                      <w:bCs/>
                      <w:color w:val="auto"/>
                      <w:sz w:val="21"/>
                      <w:szCs w:val="21"/>
                      <w:highlight w:val="none"/>
                    </w:rPr>
                    <w:t>）</w:t>
                  </w:r>
                </w:p>
              </w:tc>
              <w:tc>
                <w:tcPr>
                  <w:tcW w:w="772" w:type="pct"/>
                  <w:tcBorders>
                    <w:tl2br w:val="nil"/>
                    <w:tr2bl w:val="nil"/>
                  </w:tcBorders>
                  <w:noWrap w:val="0"/>
                  <w:vAlign w:val="center"/>
                </w:tcPr>
                <w:p w14:paraId="5ED2418D">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比值（</w:t>
                  </w:r>
                  <w:r>
                    <w:rPr>
                      <w:rFonts w:hint="default" w:ascii="Times New Roman" w:hAnsi="Times New Roman" w:cs="Times New Roman"/>
                      <w:b/>
                      <w:bCs/>
                      <w:i/>
                      <w:color w:val="auto"/>
                      <w:sz w:val="21"/>
                      <w:szCs w:val="21"/>
                      <w:highlight w:val="none"/>
                    </w:rPr>
                    <w:t>Q</w:t>
                  </w:r>
                  <w:r>
                    <w:rPr>
                      <w:rFonts w:hint="default" w:ascii="Times New Roman" w:hAnsi="Times New Roman" w:cs="Times New Roman"/>
                      <w:b/>
                      <w:bCs/>
                      <w:color w:val="auto"/>
                      <w:sz w:val="21"/>
                      <w:szCs w:val="21"/>
                      <w:highlight w:val="none"/>
                    </w:rPr>
                    <w:t>）</w:t>
                  </w:r>
                </w:p>
              </w:tc>
            </w:tr>
            <w:tr w14:paraId="1168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9" w:type="pct"/>
                  <w:vMerge w:val="restart"/>
                  <w:tcBorders>
                    <w:tl2br w:val="nil"/>
                    <w:tr2bl w:val="nil"/>
                  </w:tcBorders>
                  <w:shd w:val="clear" w:color="auto" w:fill="auto"/>
                  <w:noWrap w:val="0"/>
                  <w:vAlign w:val="center"/>
                </w:tcPr>
                <w:p w14:paraId="3C181C0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eastAsia="宋体" w:cs="Times New Roman"/>
                      <w:lang w:val="en-US" w:eastAsia="zh-CN"/>
                    </w:rPr>
                    <w:t>隘口水厂</w:t>
                  </w:r>
                </w:p>
              </w:tc>
              <w:tc>
                <w:tcPr>
                  <w:tcW w:w="1031" w:type="pct"/>
                  <w:tcBorders>
                    <w:tl2br w:val="nil"/>
                    <w:tr2bl w:val="nil"/>
                  </w:tcBorders>
                  <w:shd w:val="clear" w:color="auto" w:fill="auto"/>
                  <w:noWrap w:val="0"/>
                  <w:vAlign w:val="center"/>
                </w:tcPr>
                <w:p w14:paraId="64385F4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复合氯酸钠</w:t>
                  </w:r>
                </w:p>
              </w:tc>
              <w:tc>
                <w:tcPr>
                  <w:tcW w:w="1095" w:type="pct"/>
                  <w:tcBorders>
                    <w:tl2br w:val="nil"/>
                    <w:tr2bl w:val="nil"/>
                  </w:tcBorders>
                  <w:shd w:val="clear" w:color="auto" w:fill="auto"/>
                  <w:noWrap w:val="0"/>
                  <w:vAlign w:val="center"/>
                </w:tcPr>
                <w:p w14:paraId="26C38A84">
                  <w:pPr>
                    <w:keepNext w:val="0"/>
                    <w:keepLines w:val="0"/>
                    <w:pageBreakBefore w:val="0"/>
                    <w:widowControl w:val="0"/>
                    <w:kinsoku/>
                    <w:wordWrap/>
                    <w:overflowPunct/>
                    <w:topLinePunct w:val="0"/>
                    <w:autoSpaceDE/>
                    <w:autoSpaceDN/>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w:t>
                  </w:r>
                </w:p>
              </w:tc>
              <w:tc>
                <w:tcPr>
                  <w:tcW w:w="871" w:type="pct"/>
                  <w:tcBorders>
                    <w:tl2br w:val="nil"/>
                    <w:tr2bl w:val="nil"/>
                  </w:tcBorders>
                  <w:shd w:val="clear" w:color="auto" w:fill="auto"/>
                  <w:noWrap w:val="0"/>
                  <w:vAlign w:val="center"/>
                </w:tcPr>
                <w:p w14:paraId="1A3FF87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w:t>
                  </w:r>
                </w:p>
              </w:tc>
              <w:tc>
                <w:tcPr>
                  <w:tcW w:w="772" w:type="pct"/>
                  <w:tcBorders>
                    <w:tl2br w:val="nil"/>
                    <w:tr2bl w:val="nil"/>
                  </w:tcBorders>
                  <w:noWrap w:val="0"/>
                  <w:vAlign w:val="center"/>
                </w:tcPr>
                <w:p w14:paraId="7D161CF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w:t>
                  </w:r>
                </w:p>
              </w:tc>
            </w:tr>
            <w:tr w14:paraId="7E19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9" w:type="pct"/>
                  <w:vMerge w:val="continue"/>
                  <w:tcBorders>
                    <w:tl2br w:val="nil"/>
                    <w:tr2bl w:val="nil"/>
                  </w:tcBorders>
                  <w:shd w:val="clear" w:color="auto" w:fill="auto"/>
                  <w:noWrap w:val="0"/>
                  <w:vAlign w:val="center"/>
                </w:tcPr>
                <w:p w14:paraId="068B9BF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lang w:val="en-US" w:eastAsia="zh-CN"/>
                    </w:rPr>
                  </w:pPr>
                </w:p>
              </w:tc>
              <w:tc>
                <w:tcPr>
                  <w:tcW w:w="1031" w:type="pct"/>
                  <w:tcBorders>
                    <w:tl2br w:val="nil"/>
                    <w:tr2bl w:val="nil"/>
                  </w:tcBorders>
                  <w:shd w:val="clear" w:color="auto" w:fill="auto"/>
                  <w:noWrap w:val="0"/>
                  <w:vAlign w:val="center"/>
                </w:tcPr>
                <w:p w14:paraId="44FAC45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二氧化氯</w:t>
                  </w:r>
                </w:p>
              </w:tc>
              <w:tc>
                <w:tcPr>
                  <w:tcW w:w="1095" w:type="pct"/>
                  <w:tcBorders>
                    <w:tl2br w:val="nil"/>
                    <w:tr2bl w:val="nil"/>
                  </w:tcBorders>
                  <w:shd w:val="clear" w:color="auto" w:fill="auto"/>
                  <w:noWrap w:val="0"/>
                  <w:vAlign w:val="center"/>
                </w:tcPr>
                <w:p w14:paraId="49B7FACA">
                  <w:pPr>
                    <w:keepNext w:val="0"/>
                    <w:keepLines w:val="0"/>
                    <w:pageBreakBefore w:val="0"/>
                    <w:widowControl w:val="0"/>
                    <w:kinsoku/>
                    <w:wordWrap/>
                    <w:overflowPunct/>
                    <w:topLinePunct w:val="0"/>
                    <w:autoSpaceDE/>
                    <w:autoSpaceDN/>
                    <w:bidi w:val="0"/>
                    <w:snapToGrid/>
                    <w:spacing w:line="240" w:lineRule="auto"/>
                    <w:ind w:left="0" w:lef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0.0002</w:t>
                  </w:r>
                </w:p>
              </w:tc>
              <w:tc>
                <w:tcPr>
                  <w:tcW w:w="871" w:type="pct"/>
                  <w:tcBorders>
                    <w:tl2br w:val="nil"/>
                    <w:tr2bl w:val="nil"/>
                  </w:tcBorders>
                  <w:shd w:val="clear" w:color="auto" w:fill="auto"/>
                  <w:noWrap w:val="0"/>
                  <w:vAlign w:val="center"/>
                </w:tcPr>
                <w:p w14:paraId="4F06112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0.5</w:t>
                  </w:r>
                </w:p>
              </w:tc>
              <w:tc>
                <w:tcPr>
                  <w:tcW w:w="772" w:type="pct"/>
                  <w:tcBorders>
                    <w:tl2br w:val="nil"/>
                    <w:tr2bl w:val="nil"/>
                  </w:tcBorders>
                  <w:noWrap w:val="0"/>
                  <w:vAlign w:val="center"/>
                </w:tcPr>
                <w:p w14:paraId="3929DC7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0.0004</w:t>
                  </w:r>
                </w:p>
              </w:tc>
            </w:tr>
            <w:tr w14:paraId="3E17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27" w:type="pct"/>
                  <w:gridSpan w:val="4"/>
                  <w:tcBorders>
                    <w:tl2br w:val="nil"/>
                    <w:tr2bl w:val="nil"/>
                  </w:tcBorders>
                  <w:shd w:val="clear" w:color="auto" w:fill="auto"/>
                  <w:noWrap w:val="0"/>
                  <w:vAlign w:val="center"/>
                </w:tcPr>
                <w:p w14:paraId="749E10F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lang w:val="en-US" w:eastAsia="zh-CN"/>
                    </w:rPr>
                    <w:t>合计</w:t>
                  </w:r>
                </w:p>
              </w:tc>
              <w:tc>
                <w:tcPr>
                  <w:tcW w:w="772" w:type="pct"/>
                  <w:tcBorders>
                    <w:tl2br w:val="nil"/>
                    <w:tr2bl w:val="nil"/>
                  </w:tcBorders>
                  <w:noWrap w:val="0"/>
                  <w:vAlign w:val="center"/>
                </w:tcPr>
                <w:p w14:paraId="521B6A4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0.0104</w:t>
                  </w:r>
                </w:p>
              </w:tc>
            </w:tr>
            <w:tr w14:paraId="080B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9" w:type="pct"/>
                  <w:vMerge w:val="restart"/>
                  <w:tcBorders>
                    <w:tl2br w:val="nil"/>
                    <w:tr2bl w:val="nil"/>
                  </w:tcBorders>
                  <w:shd w:val="clear" w:color="auto" w:fill="auto"/>
                  <w:noWrap w:val="0"/>
                  <w:vAlign w:val="center"/>
                </w:tcPr>
                <w:p w14:paraId="73BA840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马渡关水厂</w:t>
                  </w:r>
                </w:p>
              </w:tc>
              <w:tc>
                <w:tcPr>
                  <w:tcW w:w="1031" w:type="pct"/>
                  <w:tcBorders>
                    <w:tl2br w:val="nil"/>
                    <w:tr2bl w:val="nil"/>
                  </w:tcBorders>
                  <w:shd w:val="clear" w:color="auto" w:fill="auto"/>
                  <w:noWrap w:val="0"/>
                  <w:vAlign w:val="center"/>
                </w:tcPr>
                <w:p w14:paraId="56A0345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复合氯酸钠</w:t>
                  </w:r>
                </w:p>
              </w:tc>
              <w:tc>
                <w:tcPr>
                  <w:tcW w:w="1095" w:type="pct"/>
                  <w:tcBorders>
                    <w:tl2br w:val="nil"/>
                    <w:tr2bl w:val="nil"/>
                  </w:tcBorders>
                  <w:shd w:val="clear" w:color="auto" w:fill="auto"/>
                  <w:noWrap w:val="0"/>
                  <w:vAlign w:val="center"/>
                </w:tcPr>
                <w:p w14:paraId="56135127">
                  <w:pPr>
                    <w:keepNext w:val="0"/>
                    <w:keepLines w:val="0"/>
                    <w:pageBreakBefore w:val="0"/>
                    <w:widowControl w:val="0"/>
                    <w:kinsoku/>
                    <w:wordWrap/>
                    <w:overflowPunct/>
                    <w:topLinePunct w:val="0"/>
                    <w:autoSpaceDE/>
                    <w:autoSpaceDN/>
                    <w:bidi w:val="0"/>
                    <w:snapToGrid/>
                    <w:spacing w:line="240" w:lineRule="auto"/>
                    <w:ind w:left="0" w:lef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Times New Roman" w:hAnsi="Times New Roman" w:cs="Times New Roman"/>
                      <w:bCs/>
                      <w:color w:val="auto"/>
                      <w:kern w:val="2"/>
                      <w:sz w:val="21"/>
                      <w:szCs w:val="21"/>
                      <w:highlight w:val="none"/>
                      <w:lang w:val="en-US" w:eastAsia="zh-CN" w:bidi="ar-SA"/>
                    </w:rPr>
                    <w:t>1.5</w:t>
                  </w:r>
                </w:p>
              </w:tc>
              <w:tc>
                <w:tcPr>
                  <w:tcW w:w="871" w:type="pct"/>
                  <w:tcBorders>
                    <w:tl2br w:val="nil"/>
                    <w:tr2bl w:val="nil"/>
                  </w:tcBorders>
                  <w:shd w:val="clear" w:color="auto" w:fill="auto"/>
                  <w:noWrap w:val="0"/>
                  <w:vAlign w:val="center"/>
                </w:tcPr>
                <w:p w14:paraId="79F0710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w:t>
                  </w:r>
                </w:p>
              </w:tc>
              <w:tc>
                <w:tcPr>
                  <w:tcW w:w="772" w:type="pct"/>
                  <w:tcBorders>
                    <w:tl2br w:val="nil"/>
                    <w:tr2bl w:val="nil"/>
                  </w:tcBorders>
                  <w:noWrap w:val="0"/>
                  <w:vAlign w:val="center"/>
                </w:tcPr>
                <w:p w14:paraId="1E263B7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0.015</w:t>
                  </w:r>
                </w:p>
              </w:tc>
            </w:tr>
            <w:tr w14:paraId="5894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29" w:type="pct"/>
                  <w:vMerge w:val="continue"/>
                  <w:tcBorders>
                    <w:tl2br w:val="nil"/>
                    <w:tr2bl w:val="nil"/>
                  </w:tcBorders>
                  <w:shd w:val="clear" w:color="auto" w:fill="auto"/>
                  <w:noWrap w:val="0"/>
                  <w:vAlign w:val="center"/>
                </w:tcPr>
                <w:p w14:paraId="0CA30C1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lang w:val="en-US" w:eastAsia="zh-CN"/>
                    </w:rPr>
                  </w:pPr>
                </w:p>
              </w:tc>
              <w:tc>
                <w:tcPr>
                  <w:tcW w:w="1031" w:type="pct"/>
                  <w:tcBorders>
                    <w:tl2br w:val="nil"/>
                    <w:tr2bl w:val="nil"/>
                  </w:tcBorders>
                  <w:shd w:val="clear" w:color="auto" w:fill="auto"/>
                  <w:noWrap w:val="0"/>
                  <w:vAlign w:val="center"/>
                </w:tcPr>
                <w:p w14:paraId="729AEF5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二氧化氯</w:t>
                  </w:r>
                </w:p>
              </w:tc>
              <w:tc>
                <w:tcPr>
                  <w:tcW w:w="1095" w:type="pct"/>
                  <w:tcBorders>
                    <w:tl2br w:val="nil"/>
                    <w:tr2bl w:val="nil"/>
                  </w:tcBorders>
                  <w:shd w:val="clear" w:color="auto" w:fill="auto"/>
                  <w:noWrap w:val="0"/>
                  <w:vAlign w:val="center"/>
                </w:tcPr>
                <w:p w14:paraId="7AFF341F">
                  <w:pPr>
                    <w:keepNext w:val="0"/>
                    <w:keepLines w:val="0"/>
                    <w:pageBreakBefore w:val="0"/>
                    <w:widowControl w:val="0"/>
                    <w:kinsoku/>
                    <w:wordWrap/>
                    <w:overflowPunct/>
                    <w:topLinePunct w:val="0"/>
                    <w:autoSpaceDE/>
                    <w:autoSpaceDN/>
                    <w:bidi w:val="0"/>
                    <w:snapToGrid/>
                    <w:spacing w:line="240" w:lineRule="auto"/>
                    <w:ind w:left="0" w:lef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0.0002</w:t>
                  </w:r>
                </w:p>
              </w:tc>
              <w:tc>
                <w:tcPr>
                  <w:tcW w:w="871" w:type="pct"/>
                  <w:tcBorders>
                    <w:tl2br w:val="nil"/>
                    <w:tr2bl w:val="nil"/>
                  </w:tcBorders>
                  <w:shd w:val="clear" w:color="auto" w:fill="auto"/>
                  <w:noWrap w:val="0"/>
                  <w:vAlign w:val="center"/>
                </w:tcPr>
                <w:p w14:paraId="6274206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0.5</w:t>
                  </w:r>
                </w:p>
              </w:tc>
              <w:tc>
                <w:tcPr>
                  <w:tcW w:w="772" w:type="pct"/>
                  <w:tcBorders>
                    <w:tl2br w:val="nil"/>
                    <w:tr2bl w:val="nil"/>
                  </w:tcBorders>
                  <w:noWrap w:val="0"/>
                  <w:vAlign w:val="center"/>
                </w:tcPr>
                <w:p w14:paraId="68AD9B6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0.0004</w:t>
                  </w:r>
                </w:p>
              </w:tc>
            </w:tr>
            <w:tr w14:paraId="1627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27" w:type="pct"/>
                  <w:gridSpan w:val="4"/>
                  <w:tcBorders>
                    <w:tl2br w:val="nil"/>
                    <w:tr2bl w:val="nil"/>
                  </w:tcBorders>
                  <w:shd w:val="clear" w:color="auto" w:fill="auto"/>
                  <w:noWrap w:val="0"/>
                  <w:vAlign w:val="center"/>
                </w:tcPr>
                <w:p w14:paraId="45B45B9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合计</w:t>
                  </w:r>
                </w:p>
              </w:tc>
              <w:tc>
                <w:tcPr>
                  <w:tcW w:w="772" w:type="pct"/>
                  <w:tcBorders>
                    <w:tl2br w:val="nil"/>
                    <w:tr2bl w:val="nil"/>
                  </w:tcBorders>
                  <w:noWrap w:val="0"/>
                  <w:vAlign w:val="center"/>
                </w:tcPr>
                <w:p w14:paraId="2C9F343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0.0154</w:t>
                  </w:r>
                </w:p>
              </w:tc>
            </w:tr>
          </w:tbl>
          <w:p w14:paraId="00648A6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由上表可知，本项目危险物质数量与临界量比值（Q）小于1，环境风险潜势为I。</w:t>
            </w:r>
          </w:p>
          <w:p w14:paraId="0C22C3A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（3）评价等级</w:t>
            </w:r>
          </w:p>
          <w:p w14:paraId="03EC2A9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cs="Times New Roman"/>
                <w:color w:val="auto"/>
                <w:sz w:val="24"/>
                <w:szCs w:val="24"/>
                <w:highlight w:val="none"/>
                <w:lang w:val="en-US" w:eastAsia="zh-CN"/>
              </w:rPr>
              <w:t>根据建设项目涉及的物质及工艺系统危险性和所在地的环境敏感性确定环境风险潜势，按照</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lang w:val="en-US" w:eastAsia="zh-CN"/>
              </w:rPr>
              <w:t>确定评价工作等级。</w:t>
            </w:r>
          </w:p>
          <w:p w14:paraId="149E5EDD">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表4-1</w:t>
            </w:r>
            <w:r>
              <w:rPr>
                <w:rFonts w:hint="eastAsia" w:ascii="Times New Roman" w:hAnsi="Times New Roman" w:eastAsia="黑体" w:cs="Times New Roman"/>
                <w:b w:val="0"/>
                <w:bCs/>
                <w:color w:val="auto"/>
                <w:kern w:val="2"/>
                <w:sz w:val="21"/>
                <w:szCs w:val="21"/>
                <w:highlight w:val="none"/>
                <w:lang w:val="en-US" w:eastAsia="zh-CN" w:bidi="ar-SA"/>
              </w:rPr>
              <w:t xml:space="preserve">9 </w:t>
            </w:r>
            <w:r>
              <w:rPr>
                <w:rFonts w:hint="default" w:ascii="Times New Roman" w:hAnsi="Times New Roman" w:eastAsia="黑体" w:cs="Times New Roman"/>
                <w:b w:val="0"/>
                <w:bCs/>
                <w:color w:val="auto"/>
                <w:kern w:val="2"/>
                <w:sz w:val="21"/>
                <w:szCs w:val="21"/>
                <w:highlight w:val="none"/>
                <w:lang w:val="en-US" w:eastAsia="zh-CN" w:bidi="ar-SA"/>
              </w:rPr>
              <w:t>环境风险评价工作等级划分</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876"/>
              <w:gridCol w:w="1876"/>
              <w:gridCol w:w="1876"/>
              <w:gridCol w:w="1877"/>
            </w:tblGrid>
            <w:tr w14:paraId="6D35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14:paraId="5EAD58EB">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环境风险潜势</w:t>
                  </w:r>
                </w:p>
              </w:tc>
              <w:tc>
                <w:tcPr>
                  <w:tcW w:w="1000" w:type="pct"/>
                  <w:tcBorders>
                    <w:tl2br w:val="nil"/>
                    <w:tr2bl w:val="nil"/>
                  </w:tcBorders>
                  <w:shd w:val="clear" w:color="auto" w:fill="auto"/>
                  <w:vAlign w:val="center"/>
                </w:tcPr>
                <w:p w14:paraId="296EAB44">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IV、IV</w:t>
                  </w:r>
                  <w:r>
                    <w:rPr>
                      <w:rFonts w:hint="default" w:ascii="Times New Roman" w:hAnsi="Times New Roman" w:cs="Times New Roman"/>
                      <w:color w:val="auto"/>
                      <w:sz w:val="21"/>
                      <w:szCs w:val="21"/>
                      <w:highlight w:val="none"/>
                      <w:vertAlign w:val="superscript"/>
                    </w:rPr>
                    <w:t>+</w:t>
                  </w:r>
                </w:p>
              </w:tc>
              <w:tc>
                <w:tcPr>
                  <w:tcW w:w="1000" w:type="pct"/>
                  <w:tcBorders>
                    <w:tl2br w:val="nil"/>
                    <w:tr2bl w:val="nil"/>
                  </w:tcBorders>
                  <w:shd w:val="clear" w:color="auto" w:fill="auto"/>
                  <w:vAlign w:val="center"/>
                </w:tcPr>
                <w:p w14:paraId="7F07E42B">
                  <w:pPr>
                    <w:keepNext w:val="0"/>
                    <w:keepLines w:val="0"/>
                    <w:pageBreakBefore w:val="0"/>
                    <w:kinsoku/>
                    <w:wordWrap/>
                    <w:topLinePunct w:val="0"/>
                    <w:bidi w:val="0"/>
                    <w:ind w:left="0" w:left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Ⅲ</w:t>
                  </w:r>
                </w:p>
              </w:tc>
              <w:tc>
                <w:tcPr>
                  <w:tcW w:w="1000" w:type="pct"/>
                  <w:tcBorders>
                    <w:tl2br w:val="nil"/>
                    <w:tr2bl w:val="nil"/>
                  </w:tcBorders>
                  <w:shd w:val="clear" w:color="auto" w:fill="auto"/>
                  <w:vAlign w:val="center"/>
                </w:tcPr>
                <w:p w14:paraId="000B4F7F">
                  <w:pPr>
                    <w:keepNext w:val="0"/>
                    <w:keepLines w:val="0"/>
                    <w:pageBreakBefore w:val="0"/>
                    <w:kinsoku/>
                    <w:wordWrap/>
                    <w:topLinePunct w:val="0"/>
                    <w:bidi w:val="0"/>
                    <w:ind w:left="0" w:left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Ⅱ</w:t>
                  </w:r>
                </w:p>
              </w:tc>
              <w:tc>
                <w:tcPr>
                  <w:tcW w:w="1000" w:type="pct"/>
                  <w:tcBorders>
                    <w:tl2br w:val="nil"/>
                    <w:tr2bl w:val="nil"/>
                  </w:tcBorders>
                  <w:shd w:val="clear" w:color="auto" w:fill="auto"/>
                  <w:vAlign w:val="center"/>
                </w:tcPr>
                <w:p w14:paraId="2472404B">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I</w:t>
                  </w:r>
                </w:p>
              </w:tc>
            </w:tr>
            <w:tr w14:paraId="7BF4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14:paraId="5FFF1BA1">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评价工作等级</w:t>
                  </w:r>
                </w:p>
              </w:tc>
              <w:tc>
                <w:tcPr>
                  <w:tcW w:w="1000" w:type="pct"/>
                  <w:tcBorders>
                    <w:tl2br w:val="nil"/>
                    <w:tr2bl w:val="nil"/>
                  </w:tcBorders>
                  <w:shd w:val="clear" w:color="auto" w:fill="auto"/>
                  <w:vAlign w:val="center"/>
                </w:tcPr>
                <w:p w14:paraId="6C6EF0EA">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000" w:type="pct"/>
                  <w:tcBorders>
                    <w:tl2br w:val="nil"/>
                    <w:tr2bl w:val="nil"/>
                  </w:tcBorders>
                  <w:shd w:val="clear" w:color="auto" w:fill="auto"/>
                  <w:vAlign w:val="center"/>
                </w:tcPr>
                <w:p w14:paraId="351D0A7B">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000" w:type="pct"/>
                  <w:tcBorders>
                    <w:tl2br w:val="nil"/>
                    <w:tr2bl w:val="nil"/>
                  </w:tcBorders>
                  <w:shd w:val="clear" w:color="auto" w:fill="auto"/>
                  <w:vAlign w:val="center"/>
                </w:tcPr>
                <w:p w14:paraId="0FBA4840">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w:t>
                  </w:r>
                </w:p>
              </w:tc>
              <w:tc>
                <w:tcPr>
                  <w:tcW w:w="1000" w:type="pct"/>
                  <w:tcBorders>
                    <w:tl2br w:val="nil"/>
                    <w:tr2bl w:val="nil"/>
                  </w:tcBorders>
                  <w:shd w:val="clear" w:color="auto" w:fill="auto"/>
                  <w:vAlign w:val="center"/>
                </w:tcPr>
                <w:p w14:paraId="71A55F08">
                  <w:pPr>
                    <w:keepNext w:val="0"/>
                    <w:keepLines w:val="0"/>
                    <w:pageBreakBefore w:val="0"/>
                    <w:kinsoku/>
                    <w:wordWrap/>
                    <w:topLinePunct w:val="0"/>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简单分析</w:t>
                  </w:r>
                </w:p>
              </w:tc>
            </w:tr>
          </w:tbl>
          <w:p w14:paraId="25DD317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本项目环境风险潜势为I，根据上述判定依据，确定本次环评仅开展简单分析。</w:t>
            </w:r>
          </w:p>
          <w:p w14:paraId="2BFF497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（4）环境风险识别</w:t>
            </w:r>
          </w:p>
          <w:p w14:paraId="6C1672E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1）物质识别内容</w:t>
            </w:r>
          </w:p>
          <w:p w14:paraId="2C16111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项目主要风险物质理化性质、燃烧爆炸性、危险特性、毒理毒性如下：</w:t>
            </w:r>
          </w:p>
          <w:p w14:paraId="3B78C990">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 xml:space="preserve">20 </w:t>
            </w:r>
            <w:r>
              <w:rPr>
                <w:rFonts w:hint="default" w:ascii="Times New Roman" w:hAnsi="Times New Roman" w:eastAsia="黑体" w:cs="Times New Roman"/>
                <w:b w:val="0"/>
                <w:bCs/>
                <w:color w:val="auto"/>
                <w:kern w:val="2"/>
                <w:sz w:val="21"/>
                <w:szCs w:val="21"/>
                <w:highlight w:val="none"/>
                <w:lang w:val="en-US" w:eastAsia="zh-CN" w:bidi="ar-SA"/>
              </w:rPr>
              <w:t>主要风险物质理化性质、燃烧爆炸性、危险特性、毒理毒性表</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64"/>
              <w:gridCol w:w="1017"/>
              <w:gridCol w:w="3912"/>
              <w:gridCol w:w="2387"/>
              <w:gridCol w:w="1294"/>
            </w:tblGrid>
            <w:tr w14:paraId="4C5D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tcBorders>
                    <w:tl2br w:val="nil"/>
                    <w:tr2bl w:val="nil"/>
                  </w:tcBorders>
                  <w:shd w:val="clear" w:color="auto" w:fill="auto"/>
                  <w:vAlign w:val="center"/>
                </w:tcPr>
                <w:p w14:paraId="477911A2">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名称</w:t>
                  </w:r>
                </w:p>
              </w:tc>
              <w:tc>
                <w:tcPr>
                  <w:tcW w:w="542" w:type="pct"/>
                  <w:tcBorders>
                    <w:tl2br w:val="nil"/>
                    <w:tr2bl w:val="nil"/>
                  </w:tcBorders>
                  <w:shd w:val="clear" w:color="auto" w:fill="auto"/>
                  <w:vAlign w:val="center"/>
                </w:tcPr>
                <w:p w14:paraId="27287BD7">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分子式</w:t>
                  </w:r>
                </w:p>
              </w:tc>
              <w:tc>
                <w:tcPr>
                  <w:tcW w:w="2086" w:type="pct"/>
                  <w:tcBorders>
                    <w:tl2br w:val="nil"/>
                    <w:tr2bl w:val="nil"/>
                  </w:tcBorders>
                  <w:shd w:val="clear" w:color="auto" w:fill="auto"/>
                  <w:vAlign w:val="center"/>
                </w:tcPr>
                <w:p w14:paraId="742971E0">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理化性质</w:t>
                  </w:r>
                </w:p>
              </w:tc>
              <w:tc>
                <w:tcPr>
                  <w:tcW w:w="1273" w:type="pct"/>
                  <w:tcBorders>
                    <w:tl2br w:val="nil"/>
                    <w:tr2bl w:val="nil"/>
                  </w:tcBorders>
                  <w:shd w:val="clear" w:color="auto" w:fill="auto"/>
                  <w:vAlign w:val="center"/>
                </w:tcPr>
                <w:p w14:paraId="7FB7559C">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危险特性</w:t>
                  </w:r>
                </w:p>
              </w:tc>
              <w:tc>
                <w:tcPr>
                  <w:tcW w:w="690" w:type="pct"/>
                  <w:tcBorders>
                    <w:tl2br w:val="nil"/>
                    <w:tr2bl w:val="nil"/>
                  </w:tcBorders>
                  <w:shd w:val="clear" w:color="auto" w:fill="auto"/>
                  <w:vAlign w:val="center"/>
                </w:tcPr>
                <w:p w14:paraId="30370F80">
                  <w:pPr>
                    <w:keepNext w:val="0"/>
                    <w:keepLines w:val="0"/>
                    <w:pageBreakBefore w:val="0"/>
                    <w:kinsoku/>
                    <w:wordWrap/>
                    <w:topLinePunct w:val="0"/>
                    <w:bidi w:val="0"/>
                    <w:ind w:left="0" w:leftChars="0" w:right="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毒理毒性</w:t>
                  </w:r>
                </w:p>
              </w:tc>
            </w:tr>
            <w:tr w14:paraId="29DA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tcBorders>
                    <w:tl2br w:val="nil"/>
                    <w:tr2bl w:val="nil"/>
                  </w:tcBorders>
                  <w:shd w:val="clear" w:color="auto" w:fill="auto"/>
                  <w:vAlign w:val="center"/>
                </w:tcPr>
                <w:p w14:paraId="1694D567">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复合</w:t>
                  </w:r>
                  <w:r>
                    <w:rPr>
                      <w:rFonts w:hint="default" w:ascii="Times New Roman" w:hAnsi="Times New Roman" w:cs="Times New Roman" w:eastAsiaTheme="minorEastAsia"/>
                      <w:color w:val="auto"/>
                      <w:sz w:val="21"/>
                      <w:szCs w:val="21"/>
                      <w:highlight w:val="none"/>
                      <w:lang w:val="en-US" w:eastAsia="zh-CN"/>
                    </w:rPr>
                    <w:t>氯酸钠</w:t>
                  </w:r>
                </w:p>
              </w:tc>
              <w:tc>
                <w:tcPr>
                  <w:tcW w:w="542" w:type="pct"/>
                  <w:tcBorders>
                    <w:tl2br w:val="nil"/>
                    <w:tr2bl w:val="nil"/>
                  </w:tcBorders>
                  <w:shd w:val="clear" w:color="auto" w:fill="auto"/>
                  <w:vAlign w:val="center"/>
                </w:tcPr>
                <w:p w14:paraId="6708D13C">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NaClO</w:t>
                  </w:r>
                  <w:r>
                    <w:rPr>
                      <w:rFonts w:hint="default" w:ascii="Times New Roman" w:hAnsi="Times New Roman" w:cs="Times New Roman" w:eastAsiaTheme="minorEastAsia"/>
                      <w:color w:val="auto"/>
                      <w:sz w:val="21"/>
                      <w:szCs w:val="21"/>
                      <w:highlight w:val="none"/>
                      <w:vertAlign w:val="subscript"/>
                    </w:rPr>
                    <w:t>3</w:t>
                  </w:r>
                </w:p>
              </w:tc>
              <w:tc>
                <w:tcPr>
                  <w:tcW w:w="2086" w:type="pct"/>
                  <w:tcBorders>
                    <w:tl2br w:val="nil"/>
                    <w:tr2bl w:val="nil"/>
                  </w:tcBorders>
                  <w:shd w:val="clear" w:color="auto" w:fill="auto"/>
                  <w:vAlign w:val="center"/>
                </w:tcPr>
                <w:p w14:paraId="173E377D">
                  <w:pPr>
                    <w:keepNext w:val="0"/>
                    <w:keepLines w:val="0"/>
                    <w:pageBreakBefore w:val="0"/>
                    <w:kinsoku/>
                    <w:wordWrap/>
                    <w:topLinePunct w:val="0"/>
                    <w:bidi w:val="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常温下为无色结晶或白色颗粒。无气味。约300℃时释放出氧气，较高温度全部分解。</w:t>
                  </w:r>
                </w:p>
              </w:tc>
              <w:tc>
                <w:tcPr>
                  <w:tcW w:w="1273" w:type="pct"/>
                  <w:tcBorders>
                    <w:tl2br w:val="nil"/>
                    <w:tr2bl w:val="nil"/>
                  </w:tcBorders>
                  <w:shd w:val="clear" w:color="auto" w:fill="auto"/>
                  <w:vAlign w:val="center"/>
                </w:tcPr>
                <w:p w14:paraId="7748ECCE">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有强氧化性。与有机物或还原性物质摩擦或撞击能引起烧或爆炸。</w:t>
                  </w:r>
                </w:p>
              </w:tc>
              <w:tc>
                <w:tcPr>
                  <w:tcW w:w="690" w:type="pct"/>
                  <w:tcBorders>
                    <w:tl2br w:val="nil"/>
                    <w:tr2bl w:val="nil"/>
                  </w:tcBorders>
                  <w:shd w:val="clear" w:color="auto" w:fill="auto"/>
                  <w:vAlign w:val="center"/>
                </w:tcPr>
                <w:p w14:paraId="34D7E57A">
                  <w:pPr>
                    <w:keepNext w:val="0"/>
                    <w:keepLines w:val="0"/>
                    <w:pageBreakBefore w:val="0"/>
                    <w:kinsoku/>
                    <w:wordWrap/>
                    <w:topLinePunct w:val="0"/>
                    <w:bidi w:val="0"/>
                    <w:ind w:left="0" w:leftChars="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低毒</w:t>
                  </w:r>
                </w:p>
              </w:tc>
            </w:tr>
            <w:tr w14:paraId="0016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7" w:type="pct"/>
                  <w:tcBorders>
                    <w:tl2br w:val="nil"/>
                    <w:tr2bl w:val="nil"/>
                  </w:tcBorders>
                  <w:shd w:val="clear" w:color="auto" w:fill="auto"/>
                  <w:vAlign w:val="center"/>
                </w:tcPr>
                <w:p w14:paraId="295863D0">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val="en-US" w:eastAsia="zh-CN"/>
                    </w:rPr>
                    <w:t>二氧化氯</w:t>
                  </w:r>
                </w:p>
              </w:tc>
              <w:tc>
                <w:tcPr>
                  <w:tcW w:w="542" w:type="pct"/>
                  <w:tcBorders>
                    <w:tl2br w:val="nil"/>
                    <w:tr2bl w:val="nil"/>
                  </w:tcBorders>
                  <w:shd w:val="clear" w:color="auto" w:fill="auto"/>
                  <w:vAlign w:val="center"/>
                </w:tcPr>
                <w:p w14:paraId="6EDB445D">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vertAlign w:val="subscript"/>
                      <w:lang w:val="en-US" w:eastAsia="zh-CN"/>
                    </w:rPr>
                  </w:pPr>
                  <w:r>
                    <w:rPr>
                      <w:rFonts w:hint="default" w:ascii="Times New Roman" w:hAnsi="Times New Roman" w:cs="Times New Roman" w:eastAsiaTheme="minorEastAsia"/>
                      <w:color w:val="auto"/>
                      <w:sz w:val="21"/>
                      <w:szCs w:val="21"/>
                      <w:highlight w:val="none"/>
                    </w:rPr>
                    <w:t>ClO</w:t>
                  </w:r>
                  <w:r>
                    <w:rPr>
                      <w:rFonts w:hint="default" w:ascii="Times New Roman" w:hAnsi="Times New Roman" w:cs="Times New Roman" w:eastAsiaTheme="minorEastAsia"/>
                      <w:color w:val="auto"/>
                      <w:sz w:val="21"/>
                      <w:szCs w:val="21"/>
                      <w:highlight w:val="none"/>
                      <w:vertAlign w:val="subscript"/>
                      <w:lang w:val="en-US" w:eastAsia="zh-CN"/>
                    </w:rPr>
                    <w:t>2</w:t>
                  </w:r>
                </w:p>
              </w:tc>
              <w:tc>
                <w:tcPr>
                  <w:tcW w:w="2086" w:type="pct"/>
                  <w:tcBorders>
                    <w:tl2br w:val="nil"/>
                    <w:tr2bl w:val="nil"/>
                  </w:tcBorders>
                  <w:shd w:val="clear" w:color="auto" w:fill="auto"/>
                  <w:vAlign w:val="center"/>
                </w:tcPr>
                <w:p w14:paraId="7F933B83">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是—种黄绿色到橙黄色的气体，有强烈刺激性臭味</w:t>
                  </w:r>
                  <w:r>
                    <w:rPr>
                      <w:rFonts w:hint="default" w:ascii="Times New Roman" w:hAnsi="Times New Roman" w:cs="Times New Roman"/>
                      <w:color w:val="auto"/>
                      <w:sz w:val="21"/>
                      <w:szCs w:val="21"/>
                      <w:highlight w:val="none"/>
                      <w:lang w:val="en-US" w:eastAsia="zh-CN"/>
                    </w:rPr>
                    <w:t>的</w:t>
                  </w:r>
                  <w:r>
                    <w:rPr>
                      <w:rFonts w:hint="default" w:ascii="Times New Roman" w:hAnsi="Times New Roman" w:cs="Times New Roman"/>
                      <w:color w:val="auto"/>
                      <w:sz w:val="21"/>
                      <w:szCs w:val="21"/>
                      <w:highlight w:val="none"/>
                    </w:rPr>
                    <w:t>气体</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有类似氯气和硝酸的特殊刺激臭味。沸点</w:t>
                  </w:r>
                  <w:r>
                    <w:rPr>
                      <w:rFonts w:hint="default" w:ascii="Times New Roman" w:hAnsi="Times New Roman"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℃，熔点-</w:t>
                  </w:r>
                  <w:r>
                    <w:rPr>
                      <w:rFonts w:hint="default" w:ascii="Times New Roman" w:hAnsi="Times New Roman" w:cs="Times New Roman"/>
                      <w:color w:val="auto"/>
                      <w:sz w:val="21"/>
                      <w:szCs w:val="21"/>
                      <w:highlight w:val="none"/>
                      <w:lang w:val="en-US" w:eastAsia="zh-CN"/>
                    </w:rPr>
                    <w:t>59.5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常态为气态，固体为橙红色。相对蒸气密度2.3g</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L。遇热水则分解成次氦酸、氯气、氧气，受光也易分解，其溶液于冷暗处相对稳定。</w:t>
                  </w:r>
                </w:p>
              </w:tc>
              <w:tc>
                <w:tcPr>
                  <w:tcW w:w="1273" w:type="pct"/>
                  <w:tcBorders>
                    <w:tl2br w:val="nil"/>
                    <w:tr2bl w:val="nil"/>
                  </w:tcBorders>
                  <w:shd w:val="clear" w:color="auto" w:fill="auto"/>
                  <w:vAlign w:val="center"/>
                </w:tcPr>
                <w:p w14:paraId="24A93E07">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rPr>
                    <w:t>具有强氧化性。能与许多化学物质发生爆炸性反应。受热、震动、撞击、摩擦，相当敏感，极易分解发生爆炸。燃烧</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分解</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产物</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氯化氢。</w:t>
                  </w:r>
                  <w:r>
                    <w:rPr>
                      <w:rFonts w:hint="default" w:ascii="Times New Roman" w:hAnsi="Times New Roman" w:cs="Times New Roman" w:eastAsiaTheme="minorEastAsia"/>
                      <w:color w:val="auto"/>
                      <w:sz w:val="21"/>
                      <w:szCs w:val="21"/>
                      <w:highlight w:val="none"/>
                      <w:lang w:val="en-US" w:eastAsia="zh-CN"/>
                    </w:rPr>
                    <w:t>腐蚀性很强。</w:t>
                  </w:r>
                </w:p>
              </w:tc>
              <w:tc>
                <w:tcPr>
                  <w:tcW w:w="690" w:type="pct"/>
                  <w:tcBorders>
                    <w:tl2br w:val="nil"/>
                    <w:tr2bl w:val="nil"/>
                  </w:tcBorders>
                  <w:shd w:val="clear" w:color="auto" w:fill="auto"/>
                  <w:vAlign w:val="center"/>
                </w:tcPr>
                <w:p w14:paraId="2F124C91">
                  <w:pPr>
                    <w:keepNext w:val="0"/>
                    <w:keepLines w:val="0"/>
                    <w:pageBreakBefore w:val="0"/>
                    <w:kinsoku/>
                    <w:wordWrap/>
                    <w:topLinePunct w:val="0"/>
                    <w:bidi w:val="0"/>
                    <w:ind w:left="0" w:leftChars="0" w:right="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lang w:val="en-US" w:eastAsia="zh-CN"/>
                    </w:rPr>
                    <w:t>二氧化氯</w:t>
                  </w:r>
                  <w:r>
                    <w:rPr>
                      <w:rFonts w:hint="default" w:ascii="Times New Roman" w:hAnsi="Times New Roman" w:cs="Times New Roman"/>
                      <w:color w:val="auto"/>
                      <w:sz w:val="21"/>
                      <w:szCs w:val="21"/>
                      <w:highlight w:val="none"/>
                    </w:rPr>
                    <w:t>吸入人体能严重中毒</w:t>
                  </w:r>
                </w:p>
              </w:tc>
            </w:tr>
          </w:tbl>
          <w:p w14:paraId="18507C3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2）生产系统危险性识别</w:t>
            </w:r>
          </w:p>
          <w:p w14:paraId="258A8D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①贮存过程风险识别</w:t>
            </w:r>
          </w:p>
          <w:p w14:paraId="46B95B7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原材料（</w:t>
            </w:r>
            <w:r>
              <w:rPr>
                <w:rFonts w:hint="eastAsia" w:ascii="Times New Roman" w:hAnsi="Times New Roman" w:cs="Times New Roman"/>
                <w:color w:val="auto"/>
                <w:sz w:val="24"/>
                <w:szCs w:val="24"/>
                <w:highlight w:val="none"/>
                <w:lang w:val="en-US" w:eastAsia="zh-CN"/>
              </w:rPr>
              <w:t>复合</w:t>
            </w:r>
            <w:r>
              <w:rPr>
                <w:rFonts w:hint="default" w:ascii="Times New Roman" w:hAnsi="Times New Roman" w:eastAsia="宋体" w:cs="Times New Roman"/>
                <w:sz w:val="24"/>
                <w:szCs w:val="24"/>
              </w:rPr>
              <w:t>氯酸钠</w:t>
            </w:r>
            <w:r>
              <w:rPr>
                <w:rFonts w:hint="default" w:ascii="Times New Roman" w:hAnsi="Times New Roman" w:cs="Times New Roman"/>
                <w:color w:val="auto"/>
                <w:sz w:val="24"/>
                <w:szCs w:val="24"/>
                <w:highlight w:val="none"/>
                <w:lang w:val="en-US" w:eastAsia="zh-CN"/>
              </w:rPr>
              <w:t>等）等在贮存过程中会若发生渗漏，随地表径流流至土壤和地表水环境，会污染周边水体及地下水，必须做好原料储存区的防渗和渗滤液的收集，防止渗漏的废物进入地下污染环境。</w:t>
            </w:r>
          </w:p>
          <w:p w14:paraId="29901BD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②生产设备风险识别</w:t>
            </w:r>
          </w:p>
          <w:p w14:paraId="3302A51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运营期主要风险源于贮存的二氧化氯泄漏，泄漏触发因素主要包括：a.发生器破损导致泄漏；b.自然因素，如地震、雷击等；c.生产人员的安全卫生知识缺乏，违章操作或操作不规范导致的泄漏。</w:t>
            </w:r>
          </w:p>
          <w:p w14:paraId="583D90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③运输过程风险识别</w:t>
            </w:r>
          </w:p>
          <w:p w14:paraId="0460D9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复合氯酸钠需经公路进行运输，在装卸、运输可能由于碰撞、震动、挤压等，或因操作不当、重装重卸、容器多次回收利用，强度下降，垫圈失落没有拧紧等原因，造成泄漏，甚至引起污染环境事故。同时在运输途中，由于意外各种原因，可能汽车翻车等，造成复合氯酸钠抛至水体，造成较大事故。因此，危险物质在运输过程中存在一定环境风险。</w:t>
            </w:r>
          </w:p>
          <w:p w14:paraId="05B06ED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④水源水质污染风险识别</w:t>
            </w:r>
          </w:p>
          <w:p w14:paraId="6ACB49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本项目为供水工程，水质的优劣直接关系到人群健康和社会稳定，受不可预见的因素影响，水质污染是项目运行期潜在的一种风险。本项目</w:t>
            </w:r>
            <w:r>
              <w:rPr>
                <w:rFonts w:hint="eastAsia" w:ascii="Times New Roman" w:hAnsi="Times New Roman" w:cs="Times New Roman"/>
                <w:color w:val="auto"/>
                <w:sz w:val="24"/>
                <w:szCs w:val="24"/>
                <w:highlight w:val="none"/>
                <w:lang w:val="en-US" w:eastAsia="zh-CN"/>
              </w:rPr>
              <w:t>隘口水厂</w:t>
            </w:r>
            <w:r>
              <w:rPr>
                <w:rFonts w:hint="default" w:ascii="Times New Roman" w:hAnsi="Times New Roman" w:cs="Times New Roman"/>
                <w:color w:val="auto"/>
                <w:sz w:val="24"/>
                <w:szCs w:val="24"/>
                <w:highlight w:val="none"/>
                <w:lang w:val="en-US" w:eastAsia="zh-CN"/>
              </w:rPr>
              <w:t>水源来自</w:t>
            </w:r>
            <w:r>
              <w:rPr>
                <w:rFonts w:hint="eastAsia" w:ascii="Times New Roman" w:hAnsi="Times New Roman" w:cs="Times New Roman"/>
                <w:color w:val="auto"/>
                <w:sz w:val="24"/>
                <w:szCs w:val="24"/>
                <w:highlight w:val="none"/>
                <w:lang w:val="en-US" w:eastAsia="zh-CN"/>
              </w:rPr>
              <w:t>普子坪水库，马渡关水厂水源来自长滩河，</w:t>
            </w:r>
            <w:r>
              <w:rPr>
                <w:rFonts w:hint="default" w:ascii="Times New Roman" w:hAnsi="Times New Roman" w:cs="Times New Roman"/>
                <w:color w:val="auto"/>
                <w:sz w:val="24"/>
                <w:szCs w:val="24"/>
                <w:highlight w:val="none"/>
                <w:lang w:val="en-US" w:eastAsia="zh-CN"/>
              </w:rPr>
              <w:t>取水口暂未按照相关要求划定保护区范围，主要污染风险来源于河流水质受污染，以及原水管道破裂，其它污染物进入原水输水管道污染水质。</w:t>
            </w:r>
          </w:p>
          <w:p w14:paraId="66C0077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（5）环境风险分析</w:t>
            </w:r>
          </w:p>
          <w:p w14:paraId="3D8D1B6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1）环境风险类型</w:t>
            </w:r>
          </w:p>
          <w:p w14:paraId="5199C28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根据项目建设特点，运营期环境风险类型主要包括：a.二氧化氯、复合氯酸钠泄漏引发的环境污染事故；b.一般性火灾事故风险。</w:t>
            </w:r>
          </w:p>
          <w:p w14:paraId="754427A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2）危险物质向环境转移的途径识别</w:t>
            </w:r>
          </w:p>
          <w:p w14:paraId="20D3630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根据物质及生产系统危险性识别结果，结合运营期环境风险类型，分析得出危险物质向环境转移的可能途径如下：</w:t>
            </w:r>
          </w:p>
          <w:p w14:paraId="72C0C3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①二氧化氯发生器、复合氯酸钠储罐破损、裂缝造成有害物质泄漏，通过地表径流或雨水管道进入地表水环境，此外还可能通过垂直渗透进入地下水环境或土壤环境。</w:t>
            </w:r>
          </w:p>
          <w:p w14:paraId="4F312F1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②生产过程中因管理不规范、操作不当等造成一般性火灾事故产生次生污染物进入大气环境，在灭火过程中事故消防废水通过地表径流或雨水管道进入地表水环境。</w:t>
            </w:r>
          </w:p>
          <w:p w14:paraId="2E332B7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综上所述，本项目环境风险类型、风险源分布及影响途径见下表：</w:t>
            </w:r>
          </w:p>
          <w:p w14:paraId="52485A5A">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w:t>
            </w:r>
            <w:r>
              <w:rPr>
                <w:rFonts w:hint="eastAsia" w:ascii="Times New Roman" w:hAnsi="Times New Roman" w:eastAsia="黑体" w:cs="Times New Roman"/>
                <w:b w:val="0"/>
                <w:bCs/>
                <w:color w:val="auto"/>
                <w:kern w:val="2"/>
                <w:sz w:val="21"/>
                <w:szCs w:val="21"/>
                <w:highlight w:val="none"/>
                <w:lang w:val="en-US" w:eastAsia="zh-CN" w:bidi="ar-SA"/>
              </w:rPr>
              <w:t xml:space="preserve">21 </w:t>
            </w:r>
            <w:r>
              <w:rPr>
                <w:rFonts w:hint="default" w:ascii="Times New Roman" w:hAnsi="Times New Roman" w:eastAsia="黑体" w:cs="Times New Roman"/>
                <w:b w:val="0"/>
                <w:bCs/>
                <w:color w:val="auto"/>
                <w:kern w:val="2"/>
                <w:sz w:val="21"/>
                <w:szCs w:val="21"/>
                <w:highlight w:val="none"/>
                <w:lang w:val="en-US" w:eastAsia="zh-CN" w:bidi="ar-SA"/>
              </w:rPr>
              <w:t>环境风险类型、风险源分布及影响途径表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655"/>
              <w:gridCol w:w="1105"/>
              <w:gridCol w:w="1167"/>
              <w:gridCol w:w="4181"/>
            </w:tblGrid>
            <w:tr w14:paraId="56361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6" w:type="pct"/>
                  <w:tcBorders>
                    <w:tl2br w:val="nil"/>
                    <w:tr2bl w:val="nil"/>
                  </w:tcBorders>
                  <w:vAlign w:val="center"/>
                </w:tcPr>
                <w:p w14:paraId="6C7147F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风险类型</w:t>
                  </w:r>
                </w:p>
              </w:tc>
              <w:tc>
                <w:tcPr>
                  <w:tcW w:w="882" w:type="pct"/>
                  <w:tcBorders>
                    <w:tl2br w:val="nil"/>
                    <w:tr2bl w:val="nil"/>
                  </w:tcBorders>
                  <w:vAlign w:val="center"/>
                </w:tcPr>
                <w:p w14:paraId="73B7917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风险源</w:t>
                  </w:r>
                </w:p>
              </w:tc>
              <w:tc>
                <w:tcPr>
                  <w:tcW w:w="589" w:type="pct"/>
                  <w:tcBorders>
                    <w:tl2br w:val="nil"/>
                    <w:tr2bl w:val="nil"/>
                  </w:tcBorders>
                  <w:vAlign w:val="center"/>
                </w:tcPr>
                <w:p w14:paraId="3F6D5C6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危险单元</w:t>
                  </w:r>
                </w:p>
              </w:tc>
              <w:tc>
                <w:tcPr>
                  <w:tcW w:w="622" w:type="pct"/>
                  <w:tcBorders>
                    <w:tl2br w:val="nil"/>
                    <w:tr2bl w:val="nil"/>
                  </w:tcBorders>
                  <w:vAlign w:val="center"/>
                </w:tcPr>
                <w:p w14:paraId="51F803F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危险物质</w:t>
                  </w:r>
                </w:p>
              </w:tc>
              <w:tc>
                <w:tcPr>
                  <w:tcW w:w="2229" w:type="pct"/>
                  <w:tcBorders>
                    <w:tl2br w:val="nil"/>
                    <w:tr2bl w:val="nil"/>
                  </w:tcBorders>
                  <w:vAlign w:val="center"/>
                </w:tcPr>
                <w:p w14:paraId="683C5B9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影响途径</w:t>
                  </w:r>
                </w:p>
              </w:tc>
            </w:tr>
            <w:tr w14:paraId="5B8D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6" w:type="pct"/>
                  <w:tcBorders>
                    <w:tl2br w:val="nil"/>
                    <w:tr2bl w:val="nil"/>
                  </w:tcBorders>
                  <w:shd w:val="clear" w:color="auto" w:fill="auto"/>
                  <w:vAlign w:val="center"/>
                </w:tcPr>
                <w:p w14:paraId="50BA490B">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、复合氯酸钠</w:t>
                  </w:r>
                  <w:r>
                    <w:rPr>
                      <w:rFonts w:hint="default" w:ascii="Times New Roman" w:hAnsi="Times New Roman" w:eastAsia="宋体" w:cs="Times New Roman"/>
                      <w:color w:val="auto"/>
                      <w:sz w:val="21"/>
                      <w:szCs w:val="21"/>
                      <w:highlight w:val="none"/>
                      <w:lang w:val="en-US" w:eastAsia="zh-CN"/>
                    </w:rPr>
                    <w:t>泄漏</w:t>
                  </w:r>
                </w:p>
              </w:tc>
              <w:tc>
                <w:tcPr>
                  <w:tcW w:w="882" w:type="pct"/>
                  <w:tcBorders>
                    <w:tl2br w:val="nil"/>
                    <w:tr2bl w:val="nil"/>
                  </w:tcBorders>
                  <w:shd w:val="clear" w:color="auto" w:fill="auto"/>
                  <w:vAlign w:val="center"/>
                </w:tcPr>
                <w:p w14:paraId="7AF88975">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发生器、复合氯酸钠储罐</w:t>
                  </w:r>
                </w:p>
              </w:tc>
              <w:tc>
                <w:tcPr>
                  <w:tcW w:w="589" w:type="pct"/>
                  <w:tcBorders>
                    <w:tl2br w:val="nil"/>
                    <w:tr2bl w:val="nil"/>
                  </w:tcBorders>
                  <w:shd w:val="clear" w:color="auto" w:fill="auto"/>
                  <w:vAlign w:val="center"/>
                </w:tcPr>
                <w:p w14:paraId="412B22C0">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加氯间</w:t>
                  </w:r>
                </w:p>
              </w:tc>
              <w:tc>
                <w:tcPr>
                  <w:tcW w:w="622" w:type="pct"/>
                  <w:tcBorders>
                    <w:tl2br w:val="nil"/>
                    <w:tr2bl w:val="nil"/>
                  </w:tcBorders>
                  <w:vAlign w:val="center"/>
                </w:tcPr>
                <w:p w14:paraId="79497D52">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二氧化氯、复合氯酸钠</w:t>
                  </w:r>
                </w:p>
              </w:tc>
              <w:tc>
                <w:tcPr>
                  <w:tcW w:w="2229" w:type="pct"/>
                  <w:tcBorders>
                    <w:tl2br w:val="nil"/>
                    <w:tr2bl w:val="nil"/>
                  </w:tcBorders>
                  <w:vAlign w:val="center"/>
                </w:tcPr>
                <w:p w14:paraId="7FD7E000">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、复合氯酸钠</w:t>
                  </w:r>
                  <w:r>
                    <w:rPr>
                      <w:rFonts w:hint="default" w:ascii="Times New Roman" w:hAnsi="Times New Roman" w:cs="Times New Roman"/>
                      <w:color w:val="auto"/>
                      <w:sz w:val="21"/>
                      <w:szCs w:val="21"/>
                      <w:highlight w:val="none"/>
                    </w:rPr>
                    <w:t>泄漏通过地表径流或雨水管道进入地表水环境；</w:t>
                  </w:r>
                </w:p>
                <w:p w14:paraId="267FE413">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地下水环境或土壤环境：</w:t>
                  </w:r>
                  <w:r>
                    <w:rPr>
                      <w:rFonts w:hint="default" w:ascii="Times New Roman" w:hAnsi="Times New Roman" w:eastAsia="宋体" w:cs="Times New Roman"/>
                      <w:color w:val="auto"/>
                      <w:sz w:val="21"/>
                      <w:szCs w:val="21"/>
                      <w:highlight w:val="none"/>
                      <w:lang w:val="en-US" w:eastAsia="zh-CN"/>
                    </w:rPr>
                    <w:t>二氧化氯</w:t>
                  </w:r>
                  <w:r>
                    <w:rPr>
                      <w:rFonts w:hint="default" w:ascii="Times New Roman" w:hAnsi="Times New Roman" w:cs="Times New Roman"/>
                      <w:color w:val="auto"/>
                      <w:sz w:val="21"/>
                      <w:szCs w:val="21"/>
                      <w:highlight w:val="none"/>
                      <w:lang w:val="en-US" w:eastAsia="zh-CN"/>
                    </w:rPr>
                    <w:t>、复合氯酸钠</w:t>
                  </w:r>
                  <w:r>
                    <w:rPr>
                      <w:rFonts w:hint="default" w:ascii="Times New Roman" w:hAnsi="Times New Roman" w:cs="Times New Roman"/>
                      <w:color w:val="auto"/>
                      <w:sz w:val="21"/>
                      <w:szCs w:val="21"/>
                      <w:highlight w:val="none"/>
                    </w:rPr>
                    <w:t>泄漏通过垂直渗透进入地下水环境或土壤环境。</w:t>
                  </w:r>
                </w:p>
              </w:tc>
            </w:tr>
          </w:tbl>
          <w:p w14:paraId="23DF1AD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（6）环境风险防范措施</w:t>
            </w:r>
          </w:p>
          <w:p w14:paraId="199669D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1）贮存过程风险防范措施</w:t>
            </w:r>
          </w:p>
          <w:p w14:paraId="704A784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加氯间应采取重点防渗措施，其中复合氯酸钠储罐区设置防渗围堰（约1.5m），围堰采用不渗透的材料做防渗处理，并设置泄露收集沟和泄露收集坑（0.</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一旦发生泄漏，不要直接接触泄漏物，在确保安全情况下堵漏。发生小量的泄漏，用砂土或其它惰性材料吸收，然后收集运至危险废物处理场所处置。发生大量泄漏，应及时将围堰里物质的抽取到安全不易泄漏的收集器内，回收或运至危险废物处理场所处置。</w:t>
            </w:r>
          </w:p>
          <w:p w14:paraId="5904468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2）操作使用过程风险防范措施</w:t>
            </w:r>
          </w:p>
          <w:p w14:paraId="2600649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操作人员必须经过专门培训，严格遵守操作规程。操作人员佩戴自吸过滤式防毒面具（半面罩），戴化学安全防护眼镜，穿防毒物渗透工作服，戴橡胶耐油手套，配备相应品种和数量的消防器材及泄漏应急处理设备。</w:t>
            </w:r>
          </w:p>
          <w:p w14:paraId="2422839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3）危险化学品运输过程风险防范措施</w:t>
            </w:r>
          </w:p>
          <w:p w14:paraId="40771F0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①应选择具有运送危险品相应资质的单位进行运送，并督促提醒其按照四川省有关道路运输管理办法严格执行、做到安全运输。</w:t>
            </w:r>
          </w:p>
          <w:p w14:paraId="0D8575C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②用于危险化学品运输的容器，必须依照《危险化学品安全管理条例》的规定，由专业生产企业定点生产，并经检测、检验合格方可使用。运输过程中要确保容器不</w:t>
            </w:r>
            <w:r>
              <w:rPr>
                <w:rFonts w:hint="eastAsia" w:ascii="Times New Roman" w:hAnsi="Times New Roman" w:cs="Times New Roman"/>
                <w:color w:val="auto"/>
                <w:sz w:val="24"/>
                <w:szCs w:val="24"/>
                <w:highlight w:val="none"/>
                <w:lang w:val="en-US" w:eastAsia="zh-CN"/>
              </w:rPr>
              <w:t>泄漏</w:t>
            </w:r>
            <w:r>
              <w:rPr>
                <w:rFonts w:hint="default" w:ascii="Times New Roman" w:hAnsi="Times New Roman" w:cs="Times New Roman"/>
                <w:color w:val="auto"/>
                <w:sz w:val="24"/>
                <w:szCs w:val="24"/>
                <w:highlight w:val="none"/>
                <w:lang w:val="en-US" w:eastAsia="zh-CN"/>
              </w:rPr>
              <w:t>、不倒塌、不坠落、不损坏。</w:t>
            </w:r>
          </w:p>
          <w:p w14:paraId="62725CE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③对危险品的运输过程进行安全性规划，并派专人进行运输中的安全管理与监督。运输途中应防暴晒、雨淋，防高温。公路运输时要按规定路线行驶，勿在居民区和人口稠密的地区停留。</w:t>
            </w:r>
          </w:p>
          <w:p w14:paraId="37EB854D">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④制定事故处理机制，并对相关人员进行培训，配备相关措施。在运输工具上配有一定的急救设施和全身防护服。</w:t>
            </w:r>
          </w:p>
          <w:p w14:paraId="20CC5A6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）火灾风险防范措施</w:t>
            </w:r>
          </w:p>
          <w:p w14:paraId="0E8B370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①消防通道和建筑物耐火等级应满足消防要求。</w:t>
            </w:r>
          </w:p>
          <w:p w14:paraId="4D5CA8E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②按照《建筑灭火器配置设计规范》（GBJ140-</w:t>
            </w:r>
            <w:r>
              <w:rPr>
                <w:rFonts w:hint="eastAsia" w:ascii="Times New Roman" w:hAnsi="Times New Roman" w:cs="Times New Roman"/>
                <w:color w:val="auto"/>
                <w:sz w:val="24"/>
                <w:szCs w:val="24"/>
                <w:highlight w:val="none"/>
                <w:lang w:val="en-US" w:eastAsia="zh-CN"/>
              </w:rPr>
              <w:t>2005</w:t>
            </w:r>
            <w:r>
              <w:rPr>
                <w:rFonts w:hint="default" w:ascii="Times New Roman" w:hAnsi="Times New Roman" w:cs="Times New Roman"/>
                <w:color w:val="auto"/>
                <w:sz w:val="24"/>
                <w:szCs w:val="24"/>
                <w:highlight w:val="none"/>
                <w:lang w:val="en-US" w:eastAsia="zh-CN"/>
              </w:rPr>
              <w:t>）的规定，应配置相应的灭火器类型（干粉灭火器等）与数量，并在火灾危险场所设置报警装置；严禁区内有明火出现。</w:t>
            </w:r>
          </w:p>
          <w:p w14:paraId="7FE73EA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③严格执行防火、防爆、防雷击、防毒害等各项要求。</w:t>
            </w:r>
          </w:p>
          <w:p w14:paraId="159B1F7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④加强公司职工的教育培训，实行上岗证制度，增强职工风险意识，提高事故自救能力，制定和强化各种安全管理、安全生产的规程，减少人为风险事故（如误操作）的发生。</w:t>
            </w:r>
          </w:p>
          <w:p w14:paraId="25426E6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⑤加强管理，防止因管理不善而导致火灾，每天对贮存设施设备进行全面检查，防止因为设备故障发生泄漏而引起火灾。</w:t>
            </w:r>
          </w:p>
          <w:p w14:paraId="133AD7F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⑥防止静电起火：防止静电灾害可以采用的措施有：a.接地：使物体与大地之间构成电气泄漏电路，将产生在物体上的静电泄于大地，防止物体贮存静电；b.工作人员应该穿上防静电工作服；c.防止流动带电：管道输送溶剂时，流速越快，产生的静电越多。为防止高速流动带电，应该对流速作出限制；d.维持湿度：保持现场湿度大于60%，有利于静电的释放。</w:t>
            </w:r>
          </w:p>
          <w:p w14:paraId="06EFAC5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）水源水质污染风险防范措施</w:t>
            </w:r>
          </w:p>
          <w:p w14:paraId="41EA565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应加强施工期施工设备维护、管理，防止漏油事故。</w:t>
            </w:r>
            <w:r>
              <w:rPr>
                <w:rFonts w:hint="default" w:ascii="Times New Roman" w:hAnsi="Times New Roman" w:cs="Times New Roman"/>
                <w:color w:val="auto"/>
                <w:sz w:val="24"/>
                <w:szCs w:val="24"/>
                <w:highlight w:val="none"/>
                <w:lang w:val="en-US" w:eastAsia="zh-CN"/>
              </w:rPr>
              <w:t>应建立在线自动监测网与预警系统，设立水源水质自动监测点，并设置明显的水域保护标识、标牌；一旦发生饮用水源水质污染事故，立即上报主管单位，取水口停止取水，同时以最快时间查出污染原因，并根据污染采取消除或减缓污染措施，待水源水质满足要求后方可恢复取水。</w:t>
            </w:r>
          </w:p>
          <w:p w14:paraId="6BDA841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针对输水管道破损水源污染风险，环评要求建设单位要落实前文输水管道破裂风险防范措施，并委托第三方单位定期检测水厂进、出水质，一旦发生水质超标情况，应立即停止取水、供水，上报主管部门，启动应急预案，以最快速度查清并消除污染，待水质满足要求后恢复供水。</w:t>
            </w:r>
          </w:p>
          <w:p w14:paraId="2D089D5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）风险应急措施</w:t>
            </w:r>
          </w:p>
          <w:p w14:paraId="3C529D3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①一旦发生突发性事故立即发出警报。</w:t>
            </w:r>
          </w:p>
          <w:p w14:paraId="36A3486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②事故发生迅速查明事故源点、部位和原因，采取措施控制事故发展。</w:t>
            </w:r>
          </w:p>
          <w:p w14:paraId="3380ED0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③</w:t>
            </w:r>
            <w:r>
              <w:rPr>
                <w:rFonts w:hint="default" w:ascii="Times New Roman" w:hAnsi="Times New Roman" w:cs="Times New Roman"/>
                <w:color w:val="auto"/>
                <w:sz w:val="24"/>
                <w:szCs w:val="24"/>
                <w:highlight w:val="none"/>
                <w:lang w:val="en-US" w:eastAsia="zh-CN"/>
              </w:rPr>
              <w:t>事故应急监测</w:t>
            </w:r>
          </w:p>
          <w:p w14:paraId="021272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事故发生后应立即通知当地环保部门，并通知当地所在地的上一级环保部门，立即启动环境应急监测预案，及时掌握发生事故的危害程度、影响范围及影响程度。监测因子确定为：COD、BOD</w:t>
            </w:r>
            <w:r>
              <w:rPr>
                <w:rFonts w:hint="default" w:ascii="Times New Roman" w:hAnsi="Times New Roman" w:cs="Times New Roman"/>
                <w:color w:val="auto"/>
                <w:sz w:val="24"/>
                <w:szCs w:val="24"/>
                <w:highlight w:val="none"/>
                <w:vertAlign w:val="subscript"/>
                <w:lang w:val="en-US" w:eastAsia="zh-CN"/>
              </w:rPr>
              <w:t>5</w:t>
            </w:r>
            <w:r>
              <w:rPr>
                <w:rFonts w:hint="default" w:ascii="Times New Roman" w:hAnsi="Times New Roman" w:cs="Times New Roman"/>
                <w:color w:val="auto"/>
                <w:sz w:val="24"/>
                <w:szCs w:val="24"/>
                <w:highlight w:val="none"/>
                <w:lang w:val="en-US" w:eastAsia="zh-CN"/>
              </w:rPr>
              <w:t>、氨氮、总氮、总磷、石油类、SS、粪大肠菌群数等。</w:t>
            </w:r>
          </w:p>
          <w:p w14:paraId="6AC65C8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④</w:t>
            </w:r>
            <w:r>
              <w:rPr>
                <w:rFonts w:hint="default" w:ascii="Times New Roman" w:hAnsi="Times New Roman" w:cs="Times New Roman"/>
                <w:color w:val="auto"/>
                <w:sz w:val="24"/>
                <w:szCs w:val="24"/>
                <w:highlight w:val="none"/>
                <w:lang w:val="en-US" w:eastAsia="zh-CN"/>
              </w:rPr>
              <w:t>设立专职安全员岗位，负责生产一线安全工作的日常监督巡查；专职安全人员必须经过安全生产管理部门组织的职业培训，并取得注册安</w:t>
            </w:r>
            <w:r>
              <w:rPr>
                <w:rFonts w:hint="eastAsia" w:ascii="Times New Roman" w:hAnsi="Times New Roman" w:cs="Times New Roman"/>
                <w:color w:val="auto"/>
                <w:sz w:val="24"/>
                <w:szCs w:val="24"/>
                <w:highlight w:val="none"/>
                <w:lang w:val="en-US" w:eastAsia="zh-CN"/>
              </w:rPr>
              <w:t>全</w:t>
            </w:r>
            <w:r>
              <w:rPr>
                <w:rFonts w:hint="default" w:ascii="Times New Roman" w:hAnsi="Times New Roman" w:cs="Times New Roman"/>
                <w:color w:val="auto"/>
                <w:sz w:val="24"/>
                <w:szCs w:val="24"/>
                <w:highlight w:val="none"/>
                <w:lang w:val="en-US" w:eastAsia="zh-CN"/>
              </w:rPr>
              <w:t>员资格。</w:t>
            </w:r>
          </w:p>
          <w:p w14:paraId="40B0486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⑤</w:t>
            </w:r>
            <w:r>
              <w:rPr>
                <w:rFonts w:hint="default" w:ascii="Times New Roman" w:hAnsi="Times New Roman" w:cs="Times New Roman"/>
                <w:color w:val="auto"/>
                <w:sz w:val="24"/>
                <w:szCs w:val="24"/>
                <w:highlight w:val="none"/>
                <w:lang w:val="en-US" w:eastAsia="zh-CN"/>
              </w:rPr>
              <w:t>用于原辅材料贮存工具的容器必须依照《危险化学品</w:t>
            </w:r>
            <w:r>
              <w:rPr>
                <w:rFonts w:hint="eastAsia" w:ascii="Times New Roman" w:hAnsi="Times New Roman" w:cs="Times New Roman"/>
                <w:color w:val="auto"/>
                <w:sz w:val="24"/>
                <w:szCs w:val="24"/>
                <w:highlight w:val="none"/>
                <w:lang w:val="en-US" w:eastAsia="zh-CN"/>
              </w:rPr>
              <w:t>安全</w:t>
            </w:r>
            <w:r>
              <w:rPr>
                <w:rFonts w:hint="default" w:ascii="Times New Roman" w:hAnsi="Times New Roman" w:cs="Times New Roman"/>
                <w:color w:val="auto"/>
                <w:sz w:val="24"/>
                <w:szCs w:val="24"/>
                <w:highlight w:val="none"/>
                <w:lang w:val="en-US" w:eastAsia="zh-CN"/>
              </w:rPr>
              <w:t>管理条例》要求由专业生产企业定点生产，并经检测、检验合格，方可使用。容器必须定期送相应的质检部门检查，运输过程中封口严密，确保贮运原辅材料的容器在贮运过程中不因温度、湿度、压力的变化发生任何渗漏。</w:t>
            </w:r>
          </w:p>
          <w:p w14:paraId="1E0EB92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）风险事故应急预案</w:t>
            </w:r>
          </w:p>
          <w:p w14:paraId="678ED3E0">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firstLine="480" w:firstLineChars="200"/>
              <w:textAlignment w:val="auto"/>
              <w:rPr>
                <w:color w:val="auto"/>
                <w:sz w:val="24"/>
                <w:szCs w:val="24"/>
              </w:rPr>
            </w:pPr>
            <w:r>
              <w:rPr>
                <w:rFonts w:hint="eastAsia"/>
                <w:color w:val="auto"/>
                <w:sz w:val="24"/>
                <w:szCs w:val="24"/>
              </w:rPr>
              <w:t>建设单位应根据《国家突发公共事件总体应急预案</w:t>
            </w:r>
            <w:r>
              <w:rPr>
                <w:rFonts w:hint="eastAsia"/>
                <w:color w:val="auto"/>
                <w:sz w:val="24"/>
                <w:szCs w:val="24"/>
                <w:lang w:eastAsia="zh-CN"/>
              </w:rPr>
              <w:t>》《</w:t>
            </w:r>
            <w:r>
              <w:rPr>
                <w:rFonts w:hint="eastAsia"/>
                <w:color w:val="auto"/>
                <w:sz w:val="24"/>
                <w:szCs w:val="24"/>
              </w:rPr>
              <w:t>国家事故应急预案框架指南</w:t>
            </w:r>
            <w:r>
              <w:rPr>
                <w:rFonts w:hint="eastAsia"/>
                <w:color w:val="auto"/>
                <w:sz w:val="24"/>
                <w:szCs w:val="24"/>
                <w:lang w:eastAsia="zh-CN"/>
              </w:rPr>
              <w:t>》《</w:t>
            </w:r>
            <w:r>
              <w:rPr>
                <w:rFonts w:hint="eastAsia"/>
                <w:color w:val="auto"/>
                <w:sz w:val="24"/>
                <w:szCs w:val="24"/>
              </w:rPr>
              <w:t>突发公共卫生事件应急条例》等相关规定的要求，</w:t>
            </w:r>
            <w:r>
              <w:rPr>
                <w:rFonts w:hint="eastAsia"/>
                <w:color w:val="auto"/>
                <w:sz w:val="24"/>
                <w:szCs w:val="24"/>
                <w:lang w:eastAsia="zh-CN"/>
              </w:rPr>
              <w:t>制定</w:t>
            </w:r>
            <w:r>
              <w:rPr>
                <w:rFonts w:hint="eastAsia"/>
                <w:color w:val="auto"/>
                <w:sz w:val="24"/>
                <w:szCs w:val="24"/>
              </w:rPr>
              <w:t>和完善本项目风险事故应急预案。</w:t>
            </w:r>
            <w:r>
              <w:rPr>
                <w:rFonts w:hint="eastAsia"/>
                <w:color w:val="auto"/>
                <w:sz w:val="24"/>
                <w:szCs w:val="24"/>
                <w:lang w:eastAsia="zh-CN"/>
              </w:rPr>
              <w:t>制定</w:t>
            </w:r>
            <w:r>
              <w:rPr>
                <w:rFonts w:hint="eastAsia"/>
                <w:color w:val="auto"/>
                <w:sz w:val="24"/>
                <w:szCs w:val="24"/>
              </w:rPr>
              <w:t>应急预案的原则如下：</w:t>
            </w:r>
          </w:p>
          <w:p w14:paraId="7DCDE2A7">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①确定救援组织、队伍和联络方式；</w:t>
            </w:r>
          </w:p>
          <w:p w14:paraId="22C862A7">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②制定事故类型、等级和相应的应急响应程序；</w:t>
            </w:r>
          </w:p>
          <w:p w14:paraId="400031D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color w:val="auto"/>
                <w:sz w:val="24"/>
                <w:szCs w:val="24"/>
              </w:rPr>
            </w:pPr>
            <w:r>
              <w:rPr>
                <w:rFonts w:hint="eastAsia"/>
                <w:color w:val="auto"/>
                <w:sz w:val="24"/>
                <w:szCs w:val="24"/>
              </w:rPr>
              <w:t>③配备必要的救灾防毒器具及防护用品；</w:t>
            </w:r>
          </w:p>
          <w:p w14:paraId="3F1BEC4C">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④对实验室系统制定应急状态切断终止或自动报警连锁保护程序；</w:t>
            </w:r>
          </w:p>
          <w:p w14:paraId="02E697CE">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⑤岗位培训和演习，设置事故应急学习手册及报告、记录和评估；</w:t>
            </w:r>
          </w:p>
          <w:p w14:paraId="639F852D">
            <w:pPr>
              <w:autoSpaceDE w:val="0"/>
              <w:autoSpaceDN w:val="0"/>
              <w:adjustRightInd w:val="0"/>
              <w:snapToGrid w:val="0"/>
              <w:spacing w:line="360" w:lineRule="auto"/>
              <w:ind w:firstLine="480" w:firstLineChars="200"/>
              <w:rPr>
                <w:color w:val="auto"/>
                <w:sz w:val="24"/>
                <w:szCs w:val="24"/>
              </w:rPr>
            </w:pPr>
            <w:r>
              <w:rPr>
                <w:rFonts w:hint="eastAsia"/>
                <w:color w:val="auto"/>
                <w:sz w:val="24"/>
                <w:szCs w:val="24"/>
              </w:rPr>
              <w:t>⑥制定区域防灾救援方案，厂外受影响人群的疏散、撤离方案，与当地政府、消防、环保和医疗救助等部门加强联系，以便风险事故发生时得到及时救援。</w:t>
            </w:r>
          </w:p>
          <w:p w14:paraId="66DA21E8">
            <w:pPr>
              <w:autoSpaceDE w:val="0"/>
              <w:autoSpaceDN w:val="0"/>
              <w:adjustRightInd w:val="0"/>
              <w:snapToGrid w:val="0"/>
              <w:spacing w:line="360" w:lineRule="auto"/>
              <w:ind w:firstLine="480" w:firstLineChars="200"/>
              <w:rPr>
                <w:color w:val="auto"/>
                <w:sz w:val="24"/>
                <w:szCs w:val="24"/>
              </w:rPr>
            </w:pPr>
            <w:r>
              <w:rPr>
                <w:rFonts w:hint="default" w:ascii="Times New Roman" w:hAnsi="Times New Roman" w:cs="Times New Roman"/>
                <w:color w:val="auto"/>
                <w:sz w:val="24"/>
              </w:rPr>
              <w:t>企业在制定环境风险应急预案时，还应包括</w:t>
            </w:r>
            <w:r>
              <w:rPr>
                <w:rFonts w:hint="eastAsia" w:cs="Times New Roman"/>
                <w:color w:val="auto"/>
                <w:sz w:val="24"/>
                <w:lang w:val="en-US" w:eastAsia="zh-CN"/>
              </w:rPr>
              <w:t>下表</w:t>
            </w:r>
            <w:r>
              <w:rPr>
                <w:rFonts w:hint="default" w:ascii="Times New Roman" w:hAnsi="Times New Roman" w:cs="Times New Roman"/>
                <w:color w:val="auto"/>
                <w:sz w:val="24"/>
              </w:rPr>
              <w:t>所示内容。</w:t>
            </w:r>
          </w:p>
          <w:p w14:paraId="13E2113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center"/>
              <w:textAlignment w:val="auto"/>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z w:val="21"/>
                <w:szCs w:val="21"/>
              </w:rPr>
              <w:t>表</w:t>
            </w:r>
            <w:r>
              <w:rPr>
                <w:rFonts w:hint="default" w:ascii="Times New Roman" w:hAnsi="Times New Roman" w:eastAsia="黑体" w:cs="Times New Roman"/>
                <w:b w:val="0"/>
                <w:bCs/>
                <w:color w:val="auto"/>
                <w:sz w:val="21"/>
                <w:szCs w:val="21"/>
                <w:lang w:val="en-US" w:eastAsia="zh-CN"/>
              </w:rPr>
              <w:t>4-2</w:t>
            </w:r>
            <w:r>
              <w:rPr>
                <w:rFonts w:hint="eastAsia" w:ascii="Times New Roman" w:hAnsi="Times New Roman" w:eastAsia="黑体" w:cs="Times New Roman"/>
                <w:b w:val="0"/>
                <w:bCs/>
                <w:color w:val="auto"/>
                <w:sz w:val="21"/>
                <w:szCs w:val="21"/>
                <w:lang w:val="en-US" w:eastAsia="zh-CN"/>
              </w:rPr>
              <w:t>2</w:t>
            </w:r>
            <w:r>
              <w:rPr>
                <w:rFonts w:hint="default" w:ascii="Times New Roman" w:hAnsi="Times New Roman" w:eastAsia="黑体" w:cs="Times New Roman"/>
                <w:b w:val="0"/>
                <w:bCs/>
                <w:color w:val="auto"/>
                <w:sz w:val="21"/>
                <w:szCs w:val="21"/>
              </w:rPr>
              <w:t xml:space="preserve">  环境风险应急预案内容一览表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29"/>
              <w:gridCol w:w="6476"/>
            </w:tblGrid>
            <w:tr w14:paraId="2755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4655481D">
                  <w:pPr>
                    <w:autoSpaceDE w:val="0"/>
                    <w:autoSpaceDN w:val="0"/>
                    <w:adjustRightInd w:val="0"/>
                    <w:snapToGrid w:val="0"/>
                    <w:spacing w:line="25"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229" w:type="dxa"/>
                  <w:tcBorders>
                    <w:tl2br w:val="nil"/>
                    <w:tr2bl w:val="nil"/>
                  </w:tcBorders>
                  <w:noWrap w:val="0"/>
                  <w:vAlign w:val="center"/>
                </w:tcPr>
                <w:p w14:paraId="0F51568C">
                  <w:pPr>
                    <w:autoSpaceDE w:val="0"/>
                    <w:autoSpaceDN w:val="0"/>
                    <w:adjustRightInd w:val="0"/>
                    <w:snapToGrid w:val="0"/>
                    <w:spacing w:line="25"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6476" w:type="dxa"/>
                  <w:tcBorders>
                    <w:tl2br w:val="nil"/>
                    <w:tr2bl w:val="nil"/>
                  </w:tcBorders>
                  <w:noWrap w:val="0"/>
                  <w:vAlign w:val="center"/>
                </w:tcPr>
                <w:p w14:paraId="2FE0E9BA">
                  <w:pPr>
                    <w:autoSpaceDE w:val="0"/>
                    <w:autoSpaceDN w:val="0"/>
                    <w:adjustRightInd w:val="0"/>
                    <w:snapToGrid w:val="0"/>
                    <w:spacing w:line="25"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内容及要求</w:t>
                  </w:r>
                </w:p>
              </w:tc>
            </w:tr>
            <w:tr w14:paraId="6434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211C6746">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229" w:type="dxa"/>
                  <w:tcBorders>
                    <w:tl2br w:val="nil"/>
                    <w:tr2bl w:val="nil"/>
                  </w:tcBorders>
                  <w:noWrap w:val="0"/>
                  <w:vAlign w:val="center"/>
                </w:tcPr>
                <w:p w14:paraId="3C0F1CF7">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应急计划区</w:t>
                  </w:r>
                </w:p>
              </w:tc>
              <w:tc>
                <w:tcPr>
                  <w:tcW w:w="6476" w:type="dxa"/>
                  <w:tcBorders>
                    <w:tl2br w:val="nil"/>
                    <w:tr2bl w:val="nil"/>
                  </w:tcBorders>
                  <w:noWrap w:val="0"/>
                  <w:vAlign w:val="center"/>
                </w:tcPr>
                <w:p w14:paraId="3E020F62">
                  <w:pPr>
                    <w:autoSpaceDE w:val="0"/>
                    <w:autoSpaceDN w:val="0"/>
                    <w:adjustRightInd w:val="0"/>
                    <w:snapToGrid w:val="0"/>
                    <w:spacing w:line="25"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危险目标：危废暂存间、</w:t>
                  </w:r>
                  <w:r>
                    <w:rPr>
                      <w:rFonts w:hint="default" w:ascii="Times New Roman" w:hAnsi="Times New Roman" w:cs="Times New Roman"/>
                      <w:color w:val="auto"/>
                      <w:sz w:val="21"/>
                      <w:szCs w:val="21"/>
                      <w:lang w:val="en-US" w:eastAsia="zh-CN"/>
                    </w:rPr>
                    <w:t>库房、废水设备、废气设备</w:t>
                  </w:r>
                </w:p>
                <w:p w14:paraId="2F56D3D8">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环境保护目标：厂区周围居民等</w:t>
                  </w:r>
                </w:p>
              </w:tc>
            </w:tr>
            <w:tr w14:paraId="4088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3B56E77E">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229" w:type="dxa"/>
                  <w:tcBorders>
                    <w:tl2br w:val="nil"/>
                    <w:tr2bl w:val="nil"/>
                  </w:tcBorders>
                  <w:noWrap w:val="0"/>
                  <w:vAlign w:val="center"/>
                </w:tcPr>
                <w:p w14:paraId="4886C5EF">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应急组织机构、人员</w:t>
                  </w:r>
                </w:p>
              </w:tc>
              <w:tc>
                <w:tcPr>
                  <w:tcW w:w="6476" w:type="dxa"/>
                  <w:tcBorders>
                    <w:tl2br w:val="nil"/>
                    <w:tr2bl w:val="nil"/>
                  </w:tcBorders>
                  <w:noWrap w:val="0"/>
                  <w:vAlign w:val="center"/>
                </w:tcPr>
                <w:p w14:paraId="64DCB2D3">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司设置应急组织机构，项目总经理为总负责人，各部门和基层单位应急负责人为本单位应急计划、协调第一负责人，应急人员必须为培训上岗熟练工；区域应急组织结构由当地政府、相关行业专家、卫生安全相关单位组成，并由当地政府统一调度</w:t>
                  </w:r>
                </w:p>
              </w:tc>
            </w:tr>
            <w:tr w14:paraId="487D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7E35F7B6">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229" w:type="dxa"/>
                  <w:tcBorders>
                    <w:tl2br w:val="nil"/>
                    <w:tr2bl w:val="nil"/>
                  </w:tcBorders>
                  <w:noWrap w:val="0"/>
                  <w:vAlign w:val="center"/>
                </w:tcPr>
                <w:p w14:paraId="69FEFC88">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产业功能区风险防范联防方案</w:t>
                  </w:r>
                </w:p>
              </w:tc>
              <w:tc>
                <w:tcPr>
                  <w:tcW w:w="6476" w:type="dxa"/>
                  <w:tcBorders>
                    <w:tl2br w:val="nil"/>
                    <w:tr2bl w:val="nil"/>
                  </w:tcBorders>
                  <w:noWrap w:val="0"/>
                  <w:vAlign w:val="center"/>
                </w:tcPr>
                <w:p w14:paraId="33A6A79D">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企业主动将厂区内危险源情况报备到区管委会，成为《风险防范联防方案》的成员之一；服从《联防方案》的相关原则、内容和实施方案；加强</w:t>
                  </w:r>
                  <w:r>
                    <w:rPr>
                      <w:rFonts w:hint="default" w:ascii="Times New Roman" w:hAnsi="Times New Roman" w:cs="Times New Roman"/>
                      <w:color w:val="auto"/>
                      <w:sz w:val="21"/>
                      <w:szCs w:val="21"/>
                      <w:lang w:eastAsia="zh-CN"/>
                    </w:rPr>
                    <w:t>与邻近</w:t>
                  </w:r>
                  <w:r>
                    <w:rPr>
                      <w:rFonts w:hint="default" w:ascii="Times New Roman" w:hAnsi="Times New Roman" w:cs="Times New Roman"/>
                      <w:color w:val="auto"/>
                      <w:sz w:val="21"/>
                      <w:szCs w:val="21"/>
                    </w:rPr>
                    <w:t>企业之间消防灭火的协防、联防能力</w:t>
                  </w:r>
                </w:p>
              </w:tc>
            </w:tr>
            <w:tr w14:paraId="42C4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4A2524BB">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229" w:type="dxa"/>
                  <w:tcBorders>
                    <w:tl2br w:val="nil"/>
                    <w:tr2bl w:val="nil"/>
                  </w:tcBorders>
                  <w:noWrap w:val="0"/>
                  <w:vAlign w:val="center"/>
                </w:tcPr>
                <w:p w14:paraId="43AD3A2C">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预案分级响应条件</w:t>
                  </w:r>
                </w:p>
              </w:tc>
              <w:tc>
                <w:tcPr>
                  <w:tcW w:w="6476" w:type="dxa"/>
                  <w:tcBorders>
                    <w:tl2br w:val="nil"/>
                    <w:tr2bl w:val="nil"/>
                  </w:tcBorders>
                  <w:noWrap w:val="0"/>
                  <w:vAlign w:val="center"/>
                </w:tcPr>
                <w:p w14:paraId="6F2AA3DB">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根据事故险情的严重程度制定相应级别的应急预案，以及适合相应情况的处理措施</w:t>
                  </w:r>
                </w:p>
              </w:tc>
            </w:tr>
            <w:tr w14:paraId="0111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4A7B0B3B">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229" w:type="dxa"/>
                  <w:tcBorders>
                    <w:tl2br w:val="nil"/>
                    <w:tr2bl w:val="nil"/>
                  </w:tcBorders>
                  <w:noWrap w:val="0"/>
                  <w:vAlign w:val="center"/>
                </w:tcPr>
                <w:p w14:paraId="28558AC8">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应急救援保障</w:t>
                  </w:r>
                </w:p>
              </w:tc>
              <w:tc>
                <w:tcPr>
                  <w:tcW w:w="6476" w:type="dxa"/>
                  <w:tcBorders>
                    <w:tl2br w:val="nil"/>
                    <w:tr2bl w:val="nil"/>
                  </w:tcBorders>
                  <w:noWrap w:val="0"/>
                  <w:vAlign w:val="center"/>
                </w:tcPr>
                <w:p w14:paraId="34506A04">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各装置应配置相应数量的基本的灭火器、大型灭火器具等，厂区配备一定氧呼和空呼设备</w:t>
                  </w:r>
                </w:p>
              </w:tc>
            </w:tr>
            <w:tr w14:paraId="3A7F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39C85D13">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229" w:type="dxa"/>
                  <w:tcBorders>
                    <w:tl2br w:val="nil"/>
                    <w:tr2bl w:val="nil"/>
                  </w:tcBorders>
                  <w:noWrap w:val="0"/>
                  <w:vAlign w:val="center"/>
                </w:tcPr>
                <w:p w14:paraId="5EF63958">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报警、通讯联络方式</w:t>
                  </w:r>
                </w:p>
              </w:tc>
              <w:tc>
                <w:tcPr>
                  <w:tcW w:w="6476" w:type="dxa"/>
                  <w:tcBorders>
                    <w:tl2br w:val="nil"/>
                    <w:tr2bl w:val="nil"/>
                  </w:tcBorders>
                  <w:noWrap w:val="0"/>
                  <w:vAlign w:val="center"/>
                </w:tcPr>
                <w:p w14:paraId="1E953360">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逐一细化应急状态下各主要负责部门的报警通讯方式、地点、电话号码</w:t>
                  </w:r>
                  <w:r>
                    <w:rPr>
                      <w:rFonts w:hint="default" w:ascii="Times New Roman" w:hAnsi="Times New Roman" w:cs="Times New Roman"/>
                      <w:color w:val="auto"/>
                      <w:sz w:val="21"/>
                      <w:szCs w:val="21"/>
                      <w:lang w:eastAsia="zh-CN"/>
                    </w:rPr>
                    <w:t>以及</w:t>
                  </w:r>
                  <w:r>
                    <w:rPr>
                      <w:rFonts w:hint="default" w:ascii="Times New Roman" w:hAnsi="Times New Roman" w:cs="Times New Roman"/>
                      <w:color w:val="auto"/>
                      <w:sz w:val="21"/>
                      <w:szCs w:val="21"/>
                    </w:rPr>
                    <w:t>相关配套的交通保障、管制、消防联络方法，同时重视并发挥媒体的作用</w:t>
                  </w:r>
                </w:p>
              </w:tc>
            </w:tr>
            <w:tr w14:paraId="680A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5146521E">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229" w:type="dxa"/>
                  <w:tcBorders>
                    <w:tl2br w:val="nil"/>
                    <w:tr2bl w:val="nil"/>
                  </w:tcBorders>
                  <w:noWrap w:val="0"/>
                  <w:vAlign w:val="center"/>
                </w:tcPr>
                <w:p w14:paraId="69C535D3">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应急环境监测、抢救、救援及控制措施</w:t>
                  </w:r>
                </w:p>
              </w:tc>
              <w:tc>
                <w:tcPr>
                  <w:tcW w:w="6476" w:type="dxa"/>
                  <w:tcBorders>
                    <w:tl2br w:val="nil"/>
                    <w:tr2bl w:val="nil"/>
                  </w:tcBorders>
                  <w:noWrap w:val="0"/>
                  <w:vAlign w:val="center"/>
                </w:tcPr>
                <w:p w14:paraId="4DF9A16C">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织专业队伍负责对事故现场进行侦察监测，对事故性质、参数与后果进行评估，专为指挥部门提供决策依据。严格规定事故多发区、事故吸纳区、邻近区域、控制防火区域设置控制和清除污染措施及相应设备的数量、使用方法、使用人员</w:t>
                  </w:r>
                </w:p>
              </w:tc>
            </w:tr>
            <w:tr w14:paraId="7FC4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7DBA6452">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2229" w:type="dxa"/>
                  <w:tcBorders>
                    <w:tl2br w:val="nil"/>
                    <w:tr2bl w:val="nil"/>
                  </w:tcBorders>
                  <w:noWrap w:val="0"/>
                  <w:vAlign w:val="center"/>
                </w:tcPr>
                <w:p w14:paraId="4EAB4C33">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应急检测、防护措施、清除泄漏措施和器材</w:t>
                  </w:r>
                </w:p>
              </w:tc>
              <w:tc>
                <w:tcPr>
                  <w:tcW w:w="6476" w:type="dxa"/>
                  <w:tcBorders>
                    <w:tl2br w:val="nil"/>
                    <w:tr2bl w:val="nil"/>
                  </w:tcBorders>
                  <w:noWrap w:val="0"/>
                  <w:vAlign w:val="center"/>
                </w:tcPr>
                <w:p w14:paraId="59D59D1B">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事故现场、邻近区域、控制防火区、控制和清除污染措施及相应设备</w:t>
                  </w:r>
                </w:p>
              </w:tc>
            </w:tr>
            <w:tr w14:paraId="5AD9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23C139B4">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2229" w:type="dxa"/>
                  <w:tcBorders>
                    <w:tl2br w:val="nil"/>
                    <w:tr2bl w:val="nil"/>
                  </w:tcBorders>
                  <w:noWrap w:val="0"/>
                  <w:vAlign w:val="center"/>
                </w:tcPr>
                <w:p w14:paraId="7901BA8A">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人员紧急撤离、疏散，应急剂量控制、撤离组织计划</w:t>
                  </w:r>
                </w:p>
              </w:tc>
              <w:tc>
                <w:tcPr>
                  <w:tcW w:w="6476" w:type="dxa"/>
                  <w:tcBorders>
                    <w:tl2br w:val="nil"/>
                    <w:tr2bl w:val="nil"/>
                  </w:tcBorders>
                  <w:noWrap w:val="0"/>
                  <w:vAlign w:val="center"/>
                </w:tcPr>
                <w:p w14:paraId="1715A724">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事故现场、邻近区域、受事故影响的区域人员及公众对有毒有害物质应急剂量控制规定，</w:t>
                  </w:r>
                  <w:r>
                    <w:rPr>
                      <w:rFonts w:hint="default" w:ascii="Times New Roman" w:hAnsi="Times New Roman" w:cs="Times New Roman"/>
                      <w:color w:val="auto"/>
                      <w:sz w:val="21"/>
                      <w:szCs w:val="21"/>
                      <w:lang w:eastAsia="zh-CN"/>
                    </w:rPr>
                    <w:t>制定</w:t>
                  </w:r>
                  <w:r>
                    <w:rPr>
                      <w:rFonts w:hint="default" w:ascii="Times New Roman" w:hAnsi="Times New Roman" w:cs="Times New Roman"/>
                      <w:color w:val="auto"/>
                      <w:sz w:val="21"/>
                      <w:szCs w:val="21"/>
                    </w:rPr>
                    <w:t>紧急撤离组织计划和救护，医疗救护和工作健康，根据厂内风向标，</w:t>
                  </w:r>
                  <w:r>
                    <w:rPr>
                      <w:rFonts w:hint="default" w:ascii="Times New Roman" w:hAnsi="Times New Roman" w:cs="Times New Roman"/>
                      <w:color w:val="auto"/>
                      <w:sz w:val="21"/>
                      <w:szCs w:val="21"/>
                      <w:lang w:val="en-US" w:eastAsia="zh-CN"/>
                    </w:rPr>
                    <w:t>制定</w:t>
                  </w:r>
                  <w:r>
                    <w:rPr>
                      <w:rFonts w:hint="default" w:ascii="Times New Roman" w:hAnsi="Times New Roman" w:cs="Times New Roman"/>
                      <w:color w:val="auto"/>
                      <w:sz w:val="21"/>
                      <w:szCs w:val="21"/>
                    </w:rPr>
                    <w:t>逃生路线</w:t>
                  </w:r>
                </w:p>
              </w:tc>
            </w:tr>
            <w:tr w14:paraId="2DB8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0176FA5D">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229" w:type="dxa"/>
                  <w:tcBorders>
                    <w:tl2br w:val="nil"/>
                    <w:tr2bl w:val="nil"/>
                  </w:tcBorders>
                  <w:noWrap w:val="0"/>
                  <w:vAlign w:val="center"/>
                </w:tcPr>
                <w:p w14:paraId="1D6529E3">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事故应急救援关闭程序与恢复措施</w:t>
                  </w:r>
                </w:p>
              </w:tc>
              <w:tc>
                <w:tcPr>
                  <w:tcW w:w="6476" w:type="dxa"/>
                  <w:tcBorders>
                    <w:tl2br w:val="nil"/>
                    <w:tr2bl w:val="nil"/>
                  </w:tcBorders>
                  <w:noWrap w:val="0"/>
                  <w:vAlign w:val="center"/>
                </w:tcPr>
                <w:p w14:paraId="5CA98E39">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制定</w:t>
                  </w:r>
                  <w:r>
                    <w:rPr>
                      <w:rFonts w:hint="default" w:ascii="Times New Roman" w:hAnsi="Times New Roman" w:cs="Times New Roman"/>
                      <w:color w:val="auto"/>
                      <w:sz w:val="21"/>
                      <w:szCs w:val="21"/>
                    </w:rPr>
                    <w:t>相关应急状态终止程序，事故现场、受影响范围内的善后处理、恢复措施，邻近区域解除事故警戒及善后恢复措施</w:t>
                  </w:r>
                </w:p>
              </w:tc>
            </w:tr>
            <w:tr w14:paraId="7049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759147BA">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2229" w:type="dxa"/>
                  <w:tcBorders>
                    <w:tl2br w:val="nil"/>
                    <w:tr2bl w:val="nil"/>
                  </w:tcBorders>
                  <w:noWrap w:val="0"/>
                  <w:vAlign w:val="center"/>
                </w:tcPr>
                <w:p w14:paraId="415B80FE">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应急培训计划</w:t>
                  </w:r>
                </w:p>
              </w:tc>
              <w:tc>
                <w:tcPr>
                  <w:tcW w:w="6476" w:type="dxa"/>
                  <w:tcBorders>
                    <w:tl2br w:val="nil"/>
                    <w:tr2bl w:val="nil"/>
                  </w:tcBorders>
                  <w:noWrap w:val="0"/>
                  <w:vAlign w:val="center"/>
                </w:tcPr>
                <w:p w14:paraId="5A5C7D65">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定期安排有关人员进行培训和演练</w:t>
                  </w:r>
                </w:p>
              </w:tc>
            </w:tr>
            <w:tr w14:paraId="52B5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7842C58A">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2229" w:type="dxa"/>
                  <w:tcBorders>
                    <w:tl2br w:val="nil"/>
                    <w:tr2bl w:val="nil"/>
                  </w:tcBorders>
                  <w:noWrap w:val="0"/>
                  <w:vAlign w:val="center"/>
                </w:tcPr>
                <w:p w14:paraId="3DC25CD1">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公众教育和信息</w:t>
                  </w:r>
                </w:p>
              </w:tc>
              <w:tc>
                <w:tcPr>
                  <w:tcW w:w="6476" w:type="dxa"/>
                  <w:tcBorders>
                    <w:tl2br w:val="nil"/>
                    <w:tr2bl w:val="nil"/>
                  </w:tcBorders>
                  <w:noWrap w:val="0"/>
                  <w:vAlign w:val="center"/>
                </w:tcPr>
                <w:p w14:paraId="1855D423">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对厂区邻近区开展公众教育、培训和发布有关信息</w:t>
                  </w:r>
                </w:p>
              </w:tc>
            </w:tr>
            <w:tr w14:paraId="60BD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3" w:type="dxa"/>
                  <w:tcBorders>
                    <w:tl2br w:val="nil"/>
                    <w:tr2bl w:val="nil"/>
                  </w:tcBorders>
                  <w:noWrap w:val="0"/>
                  <w:vAlign w:val="center"/>
                </w:tcPr>
                <w:p w14:paraId="595E7611">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2229" w:type="dxa"/>
                  <w:tcBorders>
                    <w:tl2br w:val="nil"/>
                    <w:tr2bl w:val="nil"/>
                  </w:tcBorders>
                  <w:noWrap w:val="0"/>
                  <w:vAlign w:val="center"/>
                </w:tcPr>
                <w:p w14:paraId="34A4C607">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事故恢复措施后评价</w:t>
                  </w:r>
                </w:p>
              </w:tc>
              <w:tc>
                <w:tcPr>
                  <w:tcW w:w="6476" w:type="dxa"/>
                  <w:tcBorders>
                    <w:tl2br w:val="nil"/>
                    <w:tr2bl w:val="nil"/>
                  </w:tcBorders>
                  <w:noWrap w:val="0"/>
                  <w:vAlign w:val="center"/>
                </w:tcPr>
                <w:p w14:paraId="0EDDD9E9">
                  <w:pPr>
                    <w:autoSpaceDE w:val="0"/>
                    <w:autoSpaceDN w:val="0"/>
                    <w:adjustRightInd w:val="0"/>
                    <w:snapToGrid w:val="0"/>
                    <w:spacing w:line="25"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组织专业人员对事故后的环境变化进行监测，对事故应急措施的环境可行性进行后评价</w:t>
                  </w:r>
                </w:p>
              </w:tc>
            </w:tr>
          </w:tbl>
          <w:p w14:paraId="60F5546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（7）环境风险分析结论</w:t>
            </w:r>
          </w:p>
          <w:p w14:paraId="3F216AB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cs="Times New Roman"/>
                <w:color w:val="auto"/>
                <w:sz w:val="24"/>
                <w:szCs w:val="24"/>
                <w:highlight w:val="none"/>
                <w:lang w:val="en-US" w:eastAsia="zh-CN"/>
              </w:rPr>
              <w:t>本项目环境风险简单分析内容见</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lang w:val="en-US" w:eastAsia="zh-CN"/>
              </w:rPr>
              <w:t>。</w:t>
            </w:r>
          </w:p>
          <w:p w14:paraId="3CA12B29">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表4-2</w:t>
            </w:r>
            <w:r>
              <w:rPr>
                <w:rFonts w:hint="eastAsia" w:ascii="Times New Roman" w:hAnsi="Times New Roman" w:eastAsia="黑体" w:cs="Times New Roman"/>
                <w:b w:val="0"/>
                <w:bCs/>
                <w:color w:val="auto"/>
                <w:kern w:val="2"/>
                <w:sz w:val="21"/>
                <w:szCs w:val="21"/>
                <w:highlight w:val="none"/>
                <w:lang w:val="en-US" w:eastAsia="zh-CN" w:bidi="ar-SA"/>
              </w:rPr>
              <w:t xml:space="preserve">3 </w:t>
            </w:r>
            <w:r>
              <w:rPr>
                <w:rFonts w:hint="default" w:ascii="Times New Roman" w:hAnsi="Times New Roman" w:eastAsia="黑体" w:cs="Times New Roman"/>
                <w:b w:val="0"/>
                <w:bCs/>
                <w:color w:val="auto"/>
                <w:kern w:val="2"/>
                <w:sz w:val="21"/>
                <w:szCs w:val="21"/>
                <w:highlight w:val="none"/>
                <w:lang w:val="en-US" w:eastAsia="zh-CN" w:bidi="ar-SA"/>
              </w:rPr>
              <w:t>建设项目环境风险简单分析内容表</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832"/>
              <w:gridCol w:w="2465"/>
              <w:gridCol w:w="1838"/>
              <w:gridCol w:w="1704"/>
              <w:gridCol w:w="1710"/>
            </w:tblGrid>
            <w:tr w14:paraId="1B72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gridSpan w:val="2"/>
                  <w:tcBorders>
                    <w:tl2br w:val="nil"/>
                    <w:tr2bl w:val="nil"/>
                  </w:tcBorders>
                  <w:vAlign w:val="center"/>
                </w:tcPr>
                <w:p w14:paraId="4F2A4372">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建设项目名称</w:t>
                  </w:r>
                </w:p>
              </w:tc>
              <w:tc>
                <w:tcPr>
                  <w:tcW w:w="4113" w:type="pct"/>
                  <w:gridSpan w:val="4"/>
                  <w:tcBorders>
                    <w:tl2br w:val="nil"/>
                    <w:tr2bl w:val="nil"/>
                  </w:tcBorders>
                  <w:vAlign w:val="center"/>
                </w:tcPr>
                <w:p w14:paraId="7ED6D66B">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宣汉县乡村水务试点县供水保障工程（</w:t>
                  </w:r>
                  <w:r>
                    <w:rPr>
                      <w:rFonts w:hint="eastAsia" w:ascii="Times New Roman" w:hAnsi="Times New Roman" w:eastAsia="宋体" w:cs="Times New Roman"/>
                      <w:color w:val="auto"/>
                      <w:sz w:val="21"/>
                      <w:szCs w:val="21"/>
                      <w:highlight w:val="none"/>
                      <w:vertAlign w:val="baseline"/>
                      <w:lang w:val="en-US" w:eastAsia="zh-CN"/>
                    </w:rPr>
                    <w:t>马渡关</w:t>
                  </w:r>
                  <w:r>
                    <w:rPr>
                      <w:rFonts w:hint="default" w:ascii="Times New Roman" w:hAnsi="Times New Roman" w:eastAsia="宋体" w:cs="Times New Roman"/>
                      <w:color w:val="auto"/>
                      <w:sz w:val="21"/>
                      <w:szCs w:val="21"/>
                      <w:highlight w:val="none"/>
                      <w:vertAlign w:val="baseline"/>
                      <w:lang w:val="en-US" w:eastAsia="zh-CN"/>
                    </w:rPr>
                    <w:t>片区</w:t>
                  </w:r>
                  <w:r>
                    <w:rPr>
                      <w:rFonts w:hint="default" w:ascii="Times New Roman" w:hAnsi="Times New Roman" w:eastAsia="宋体" w:cs="Times New Roman"/>
                      <w:color w:val="auto"/>
                      <w:sz w:val="21"/>
                      <w:szCs w:val="21"/>
                      <w:highlight w:val="none"/>
                      <w:vertAlign w:val="baseline"/>
                      <w:lang w:eastAsia="zh-CN"/>
                    </w:rPr>
                    <w:t>供水工程</w:t>
                  </w:r>
                  <w:r>
                    <w:rPr>
                      <w:rFonts w:hint="default" w:ascii="Times New Roman" w:hAnsi="Times New Roman" w:cs="Times New Roman"/>
                      <w:color w:val="auto"/>
                      <w:sz w:val="21"/>
                      <w:szCs w:val="21"/>
                      <w:highlight w:val="none"/>
                      <w:lang w:val="en-US" w:eastAsia="zh-CN"/>
                    </w:rPr>
                    <w:t>）</w:t>
                  </w:r>
                </w:p>
              </w:tc>
            </w:tr>
            <w:tr w14:paraId="1D7C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gridSpan w:val="2"/>
                  <w:tcBorders>
                    <w:tl2br w:val="nil"/>
                    <w:tr2bl w:val="nil"/>
                  </w:tcBorders>
                  <w:vAlign w:val="center"/>
                </w:tcPr>
                <w:p w14:paraId="734EF582">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建设地点</w:t>
                  </w:r>
                </w:p>
              </w:tc>
              <w:tc>
                <w:tcPr>
                  <w:tcW w:w="1313" w:type="pct"/>
                  <w:tcBorders>
                    <w:tl2br w:val="nil"/>
                    <w:tr2bl w:val="nil"/>
                  </w:tcBorders>
                  <w:vAlign w:val="center"/>
                </w:tcPr>
                <w:p w14:paraId="5F9C51D6">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四川省</w:t>
                  </w:r>
                </w:p>
              </w:tc>
              <w:tc>
                <w:tcPr>
                  <w:tcW w:w="979" w:type="pct"/>
                  <w:tcBorders>
                    <w:tl2br w:val="nil"/>
                    <w:tr2bl w:val="nil"/>
                  </w:tcBorders>
                  <w:vAlign w:val="center"/>
                </w:tcPr>
                <w:p w14:paraId="0AC140AF">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达州市</w:t>
                  </w:r>
                </w:p>
              </w:tc>
              <w:tc>
                <w:tcPr>
                  <w:tcW w:w="908" w:type="pct"/>
                  <w:tcBorders>
                    <w:tl2br w:val="nil"/>
                    <w:tr2bl w:val="nil"/>
                  </w:tcBorders>
                  <w:vAlign w:val="center"/>
                </w:tcPr>
                <w:p w14:paraId="7579CD66">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宣汉县</w:t>
                  </w:r>
                </w:p>
              </w:tc>
              <w:tc>
                <w:tcPr>
                  <w:tcW w:w="911" w:type="pct"/>
                  <w:tcBorders>
                    <w:tl2br w:val="nil"/>
                    <w:tr2bl w:val="nil"/>
                  </w:tcBorders>
                  <w:vAlign w:val="center"/>
                </w:tcPr>
                <w:p w14:paraId="432E5B17">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vertAlign w:val="baseline"/>
                      <w:lang w:val="en-US" w:eastAsia="zh-CN"/>
                    </w:rPr>
                    <w:t>马渡关</w:t>
                  </w:r>
                  <w:r>
                    <w:rPr>
                      <w:rFonts w:hint="default" w:ascii="Times New Roman" w:hAnsi="Times New Roman" w:eastAsia="宋体" w:cs="Times New Roman"/>
                      <w:color w:val="auto"/>
                      <w:sz w:val="21"/>
                      <w:szCs w:val="21"/>
                      <w:highlight w:val="none"/>
                      <w:vertAlign w:val="baseline"/>
                      <w:lang w:val="en-US" w:eastAsia="zh-CN"/>
                    </w:rPr>
                    <w:t>镇</w:t>
                  </w:r>
                </w:p>
              </w:tc>
            </w:tr>
            <w:tr w14:paraId="2862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restart"/>
                  <w:tcBorders>
                    <w:tl2br w:val="nil"/>
                    <w:tr2bl w:val="nil"/>
                  </w:tcBorders>
                  <w:vAlign w:val="center"/>
                </w:tcPr>
                <w:p w14:paraId="4812032D">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地理坐标</w:t>
                  </w:r>
                </w:p>
              </w:tc>
              <w:tc>
                <w:tcPr>
                  <w:tcW w:w="443" w:type="pct"/>
                  <w:tcBorders>
                    <w:tl2br w:val="nil"/>
                    <w:tr2bl w:val="nil"/>
                  </w:tcBorders>
                  <w:vAlign w:val="center"/>
                </w:tcPr>
                <w:p w14:paraId="673C4701">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隘口</w:t>
                  </w:r>
                  <w:r>
                    <w:rPr>
                      <w:rFonts w:hint="default" w:ascii="Times New Roman" w:hAnsi="Times New Roman" w:cs="Times New Roman"/>
                      <w:color w:val="auto"/>
                      <w:sz w:val="21"/>
                      <w:szCs w:val="21"/>
                      <w:highlight w:val="none"/>
                      <w:lang w:val="en-US" w:eastAsia="zh-CN"/>
                    </w:rPr>
                    <w:t>水厂</w:t>
                  </w:r>
                </w:p>
              </w:tc>
              <w:tc>
                <w:tcPr>
                  <w:tcW w:w="1313" w:type="pct"/>
                  <w:tcBorders>
                    <w:tl2br w:val="nil"/>
                    <w:tr2bl w:val="nil"/>
                  </w:tcBorders>
                  <w:vAlign w:val="center"/>
                </w:tcPr>
                <w:p w14:paraId="77CF5072">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经度</w:t>
                  </w:r>
                </w:p>
              </w:tc>
              <w:tc>
                <w:tcPr>
                  <w:tcW w:w="979" w:type="pct"/>
                  <w:tcBorders>
                    <w:tl2br w:val="nil"/>
                    <w:tr2bl w:val="nil"/>
                  </w:tcBorders>
                  <w:vAlign w:val="center"/>
                </w:tcPr>
                <w:p w14:paraId="3CCFDEFC">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107°</w:t>
                  </w:r>
                  <w:r>
                    <w:rPr>
                      <w:rFonts w:hint="eastAsia" w:ascii="Times New Roman" w:hAnsi="Times New Roman" w:cs="Times New Roman"/>
                      <w:color w:val="auto"/>
                      <w:sz w:val="21"/>
                      <w:szCs w:val="21"/>
                      <w:highlight w:val="none"/>
                      <w:lang w:val="en-US" w:eastAsia="zh-CN"/>
                    </w:rPr>
                    <w:t>32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14.333</w:t>
                  </w:r>
                  <w:r>
                    <w:rPr>
                      <w:rFonts w:hint="default" w:ascii="Times New Roman" w:hAnsi="Times New Roman" w:cs="Times New Roman"/>
                      <w:color w:val="auto"/>
                      <w:sz w:val="21"/>
                      <w:szCs w:val="21"/>
                      <w:highlight w:val="none"/>
                      <w:lang w:val="en-US" w:eastAsia="zh-CN"/>
                    </w:rPr>
                    <w:t>″</w:t>
                  </w:r>
                </w:p>
              </w:tc>
              <w:tc>
                <w:tcPr>
                  <w:tcW w:w="908" w:type="pct"/>
                  <w:tcBorders>
                    <w:tl2br w:val="nil"/>
                    <w:tr2bl w:val="nil"/>
                  </w:tcBorders>
                  <w:vAlign w:val="center"/>
                </w:tcPr>
                <w:p w14:paraId="362934D9">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纬度</w:t>
                  </w:r>
                </w:p>
              </w:tc>
              <w:tc>
                <w:tcPr>
                  <w:tcW w:w="911" w:type="pct"/>
                  <w:tcBorders>
                    <w:tl2br w:val="nil"/>
                    <w:tr2bl w:val="nil"/>
                  </w:tcBorders>
                  <w:vAlign w:val="center"/>
                </w:tcPr>
                <w:p w14:paraId="675C9DB3">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31°3</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34.630</w:t>
                  </w:r>
                  <w:r>
                    <w:rPr>
                      <w:rFonts w:hint="default" w:ascii="Times New Roman" w:hAnsi="Times New Roman" w:cs="Times New Roman"/>
                      <w:color w:val="auto"/>
                      <w:sz w:val="21"/>
                      <w:szCs w:val="21"/>
                      <w:highlight w:val="none"/>
                      <w:lang w:val="en-US" w:eastAsia="zh-CN"/>
                    </w:rPr>
                    <w:t>″</w:t>
                  </w:r>
                </w:p>
              </w:tc>
            </w:tr>
            <w:tr w14:paraId="1660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3" w:type="pct"/>
                  <w:vMerge w:val="continue"/>
                  <w:tcBorders>
                    <w:tl2br w:val="nil"/>
                    <w:tr2bl w:val="nil"/>
                  </w:tcBorders>
                  <w:vAlign w:val="center"/>
                </w:tcPr>
                <w:p w14:paraId="19D0FC5B">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p>
              </w:tc>
              <w:tc>
                <w:tcPr>
                  <w:tcW w:w="443" w:type="pct"/>
                  <w:tcBorders>
                    <w:tl2br w:val="nil"/>
                    <w:tr2bl w:val="nil"/>
                  </w:tcBorders>
                  <w:vAlign w:val="center"/>
                </w:tcPr>
                <w:p w14:paraId="300193C7">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马渡关</w:t>
                  </w:r>
                  <w:r>
                    <w:rPr>
                      <w:rFonts w:hint="default" w:ascii="Times New Roman" w:hAnsi="Times New Roman" w:cs="Times New Roman"/>
                      <w:color w:val="auto"/>
                      <w:sz w:val="21"/>
                      <w:szCs w:val="21"/>
                      <w:highlight w:val="none"/>
                      <w:lang w:val="en-US" w:eastAsia="zh-CN"/>
                    </w:rPr>
                    <w:t>水厂</w:t>
                  </w:r>
                </w:p>
              </w:tc>
              <w:tc>
                <w:tcPr>
                  <w:tcW w:w="1313" w:type="pct"/>
                  <w:tcBorders>
                    <w:tl2br w:val="nil"/>
                    <w:tr2bl w:val="nil"/>
                  </w:tcBorders>
                  <w:shd w:val="clear" w:color="auto" w:fill="auto"/>
                  <w:vAlign w:val="center"/>
                </w:tcPr>
                <w:p w14:paraId="5FF5C3A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经度</w:t>
                  </w:r>
                </w:p>
              </w:tc>
              <w:tc>
                <w:tcPr>
                  <w:tcW w:w="979" w:type="pct"/>
                  <w:tcBorders>
                    <w:tl2br w:val="nil"/>
                    <w:tr2bl w:val="nil"/>
                  </w:tcBorders>
                  <w:shd w:val="clear" w:color="auto" w:fill="auto"/>
                  <w:vAlign w:val="center"/>
                </w:tcPr>
                <w:p w14:paraId="60BBB15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107°</w:t>
                  </w:r>
                  <w:r>
                    <w:rPr>
                      <w:rFonts w:hint="eastAsia" w:ascii="Times New Roman" w:hAnsi="Times New Roman" w:cs="Times New Roman"/>
                      <w:color w:val="auto"/>
                      <w:sz w:val="21"/>
                      <w:szCs w:val="21"/>
                      <w:highlight w:val="none"/>
                      <w:lang w:val="en-US" w:eastAsia="zh-CN"/>
                    </w:rPr>
                    <w:t>29</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56.712</w:t>
                  </w:r>
                  <w:r>
                    <w:rPr>
                      <w:rFonts w:hint="default" w:ascii="Times New Roman" w:hAnsi="Times New Roman" w:cs="Times New Roman"/>
                      <w:color w:val="auto"/>
                      <w:sz w:val="21"/>
                      <w:szCs w:val="21"/>
                      <w:highlight w:val="none"/>
                      <w:lang w:val="en-US" w:eastAsia="zh-CN"/>
                    </w:rPr>
                    <w:t>″</w:t>
                  </w:r>
                </w:p>
              </w:tc>
              <w:tc>
                <w:tcPr>
                  <w:tcW w:w="908" w:type="pct"/>
                  <w:tcBorders>
                    <w:tl2br w:val="nil"/>
                    <w:tr2bl w:val="nil"/>
                  </w:tcBorders>
                  <w:shd w:val="clear" w:color="auto" w:fill="auto"/>
                  <w:vAlign w:val="center"/>
                </w:tcPr>
                <w:p w14:paraId="7170036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纬度</w:t>
                  </w:r>
                </w:p>
              </w:tc>
              <w:tc>
                <w:tcPr>
                  <w:tcW w:w="911" w:type="pct"/>
                  <w:tcBorders>
                    <w:tl2br w:val="nil"/>
                    <w:tr2bl w:val="nil"/>
                  </w:tcBorders>
                  <w:shd w:val="clear" w:color="auto" w:fill="auto"/>
                  <w:vAlign w:val="center"/>
                </w:tcPr>
                <w:p w14:paraId="3D8863A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31°3</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4.036</w:t>
                  </w:r>
                  <w:r>
                    <w:rPr>
                      <w:rFonts w:hint="default" w:ascii="Times New Roman" w:hAnsi="Times New Roman" w:cs="Times New Roman"/>
                      <w:color w:val="auto"/>
                      <w:sz w:val="21"/>
                      <w:szCs w:val="21"/>
                      <w:highlight w:val="none"/>
                      <w:lang w:val="en-US" w:eastAsia="zh-CN"/>
                    </w:rPr>
                    <w:t>″</w:t>
                  </w:r>
                </w:p>
              </w:tc>
            </w:tr>
            <w:tr w14:paraId="1F8C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gridSpan w:val="2"/>
                  <w:tcBorders>
                    <w:tl2br w:val="nil"/>
                    <w:tr2bl w:val="nil"/>
                  </w:tcBorders>
                  <w:vAlign w:val="center"/>
                </w:tcPr>
                <w:p w14:paraId="16AA6FFD">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主要危险物质及分布</w:t>
                  </w:r>
                </w:p>
              </w:tc>
              <w:tc>
                <w:tcPr>
                  <w:tcW w:w="4113" w:type="pct"/>
                  <w:gridSpan w:val="4"/>
                  <w:tcBorders>
                    <w:tl2br w:val="nil"/>
                    <w:tr2bl w:val="nil"/>
                  </w:tcBorders>
                  <w:vAlign w:val="center"/>
                </w:tcPr>
                <w:p w14:paraId="092D81D4">
                  <w:pPr>
                    <w:keepNext w:val="0"/>
                    <w:keepLines w:val="0"/>
                    <w:pageBreakBefore w:val="0"/>
                    <w:widowControl w:val="0"/>
                    <w:kinsoku/>
                    <w:wordWrap/>
                    <w:overflowPunct/>
                    <w:topLinePunct w:val="0"/>
                    <w:autoSpaceDE/>
                    <w:autoSpaceDN/>
                    <w:bidi w:val="0"/>
                    <w:adjustRightInd/>
                    <w:snapToGrid/>
                    <w:ind w:left="0" w:leftChars="0" w:right="0"/>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加氯</w:t>
                  </w:r>
                  <w:r>
                    <w:rPr>
                      <w:rFonts w:hint="default" w:ascii="Times New Roman" w:hAnsi="Times New Roman" w:cs="Times New Roman"/>
                      <w:color w:val="auto"/>
                      <w:sz w:val="21"/>
                      <w:szCs w:val="21"/>
                      <w:highlight w:val="none"/>
                      <w:lang w:val="en-US" w:eastAsia="zh-CN"/>
                    </w:rPr>
                    <w:t>间：</w:t>
                  </w:r>
                  <w:r>
                    <w:rPr>
                      <w:rFonts w:hint="eastAsia" w:ascii="Times New Roman" w:hAnsi="Times New Roman" w:cs="Times New Roman"/>
                      <w:color w:val="auto"/>
                      <w:sz w:val="21"/>
                      <w:szCs w:val="21"/>
                      <w:highlight w:val="none"/>
                      <w:lang w:val="en-US" w:eastAsia="zh-CN"/>
                    </w:rPr>
                    <w:t>复合</w:t>
                  </w:r>
                  <w:r>
                    <w:rPr>
                      <w:rFonts w:hint="default" w:ascii="Times New Roman" w:hAnsi="Times New Roman" w:cs="Times New Roman"/>
                      <w:b w:val="0"/>
                      <w:bCs w:val="0"/>
                      <w:color w:val="auto"/>
                      <w:sz w:val="21"/>
                      <w:szCs w:val="21"/>
                      <w:highlight w:val="none"/>
                      <w:lang w:val="en-US" w:eastAsia="zh-CN"/>
                    </w:rPr>
                    <w:t>氯</w:t>
                  </w:r>
                  <w:r>
                    <w:rPr>
                      <w:rFonts w:hint="default" w:ascii="Times New Roman" w:hAnsi="Times New Roman" w:eastAsia="宋体" w:cs="Times New Roman"/>
                      <w:b w:val="0"/>
                      <w:bCs w:val="0"/>
                      <w:color w:val="auto"/>
                      <w:sz w:val="21"/>
                      <w:szCs w:val="21"/>
                      <w:highlight w:val="none"/>
                      <w:lang w:val="en-US" w:eastAsia="zh-CN"/>
                    </w:rPr>
                    <w:t>酸钠</w:t>
                  </w:r>
                  <w:r>
                    <w:rPr>
                      <w:rFonts w:hint="eastAsia" w:ascii="Times New Roman" w:hAnsi="Times New Roman" w:eastAsia="宋体" w:cs="Times New Roman"/>
                      <w:b w:val="0"/>
                      <w:bCs w:val="0"/>
                      <w:color w:val="auto"/>
                      <w:sz w:val="21"/>
                      <w:szCs w:val="21"/>
                      <w:highlight w:val="none"/>
                      <w:lang w:val="en-US" w:eastAsia="zh-CN"/>
                    </w:rPr>
                    <w:t>、</w:t>
                  </w:r>
                  <w:r>
                    <w:rPr>
                      <w:rFonts w:hint="default" w:ascii="Times New Roman" w:hAnsi="Times New Roman" w:cs="Times New Roman"/>
                      <w:b w:val="0"/>
                      <w:bCs/>
                      <w:color w:val="auto"/>
                      <w:szCs w:val="21"/>
                      <w:highlight w:val="none"/>
                    </w:rPr>
                    <w:t>二氧化氯</w:t>
                  </w:r>
                </w:p>
              </w:tc>
            </w:tr>
            <w:tr w14:paraId="73D8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gridSpan w:val="2"/>
                  <w:tcBorders>
                    <w:tl2br w:val="nil"/>
                    <w:tr2bl w:val="nil"/>
                  </w:tcBorders>
                  <w:vAlign w:val="center"/>
                </w:tcPr>
                <w:p w14:paraId="571B9A59">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环境影响途径及危害后果（大气、地表水、地下水等）</w:t>
                  </w:r>
                </w:p>
              </w:tc>
              <w:tc>
                <w:tcPr>
                  <w:tcW w:w="4113" w:type="pct"/>
                  <w:gridSpan w:val="4"/>
                  <w:tcBorders>
                    <w:tl2br w:val="nil"/>
                    <w:tr2bl w:val="nil"/>
                  </w:tcBorders>
                  <w:vAlign w:val="center"/>
                </w:tcPr>
                <w:p w14:paraId="23345449">
                  <w:pPr>
                    <w:keepNext w:val="0"/>
                    <w:keepLines w:val="0"/>
                    <w:pageBreakBefore w:val="0"/>
                    <w:widowControl w:val="0"/>
                    <w:kinsoku/>
                    <w:wordWrap/>
                    <w:overflowPunct/>
                    <w:topLinePunct w:val="0"/>
                    <w:autoSpaceDE/>
                    <w:autoSpaceDN/>
                    <w:bidi w:val="0"/>
                    <w:adjustRightInd/>
                    <w:snapToGrid/>
                    <w:ind w:left="0" w:leftChars="0"/>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地表水环境：二氧化氯、复合氯酸钠泄漏通过地表径流或雨水管道进入地表水环境，火灾消防过程废水通过地表径流或雨水管网排入地表水环境</w:t>
                  </w:r>
                  <w:r>
                    <w:rPr>
                      <w:rFonts w:hint="eastAsia" w:ascii="Times New Roman" w:hAnsi="Times New Roman" w:eastAsia="宋体" w:cs="Times New Roman"/>
                      <w:color w:val="auto"/>
                      <w:sz w:val="21"/>
                      <w:szCs w:val="21"/>
                      <w:highlight w:val="none"/>
                      <w:lang w:eastAsia="zh-CN"/>
                    </w:rPr>
                    <w:t>。</w:t>
                  </w:r>
                </w:p>
                <w:p w14:paraId="029F1AEF">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地下水环境或土壤环境：二氧化氯、复合氯酸钠泄漏通过垂直渗透进入地下水环境或土壤环境。</w:t>
                  </w:r>
                </w:p>
              </w:tc>
            </w:tr>
            <w:tr w14:paraId="05E05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6" w:type="pct"/>
                  <w:gridSpan w:val="2"/>
                  <w:vAlign w:val="center"/>
                </w:tcPr>
                <w:p w14:paraId="64F7FA39">
                  <w:pPr>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风险防范措施要求</w:t>
                  </w:r>
                </w:p>
              </w:tc>
              <w:tc>
                <w:tcPr>
                  <w:tcW w:w="4113" w:type="pct"/>
                  <w:gridSpan w:val="4"/>
                  <w:vAlign w:val="center"/>
                </w:tcPr>
                <w:p w14:paraId="152B2BE0">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w:t>
                  </w:r>
                  <w:r>
                    <w:rPr>
                      <w:rFonts w:hint="eastAsia" w:ascii="Times New Roman" w:hAnsi="Times New Roman" w:cs="Times New Roman"/>
                      <w:color w:val="auto"/>
                      <w:sz w:val="21"/>
                      <w:szCs w:val="21"/>
                      <w:highlight w:val="none"/>
                      <w:lang w:val="en-US" w:eastAsia="zh-CN"/>
                    </w:rPr>
                    <w:t>加氯</w:t>
                  </w:r>
                  <w:r>
                    <w:rPr>
                      <w:rFonts w:hint="default" w:ascii="Times New Roman" w:hAnsi="Times New Roman" w:cs="Times New Roman"/>
                      <w:color w:val="auto"/>
                      <w:sz w:val="21"/>
                      <w:szCs w:val="21"/>
                      <w:highlight w:val="none"/>
                      <w:lang w:val="en-US" w:eastAsia="zh-CN"/>
                    </w:rPr>
                    <w:t>间</w:t>
                  </w:r>
                  <w:r>
                    <w:rPr>
                      <w:rFonts w:hint="default" w:ascii="Times New Roman" w:hAnsi="Times New Roman" w:eastAsia="宋体" w:cs="Times New Roman"/>
                      <w:color w:val="auto"/>
                      <w:sz w:val="21"/>
                      <w:szCs w:val="21"/>
                      <w:highlight w:val="none"/>
                    </w:rPr>
                    <w:t>应采取防渗措施，其中复合氯酸钠储</w:t>
                  </w:r>
                  <w:r>
                    <w:rPr>
                      <w:rFonts w:hint="eastAsia" w:ascii="Times New Roman" w:hAnsi="Times New Roman" w:eastAsia="宋体" w:cs="Times New Roman"/>
                      <w:color w:val="auto"/>
                      <w:sz w:val="21"/>
                      <w:szCs w:val="21"/>
                      <w:highlight w:val="none"/>
                      <w:lang w:val="en-US" w:eastAsia="zh-CN"/>
                    </w:rPr>
                    <w:t>罐</w:t>
                  </w:r>
                  <w:r>
                    <w:rPr>
                      <w:rFonts w:hint="default" w:ascii="Times New Roman" w:hAnsi="Times New Roman" w:eastAsia="宋体" w:cs="Times New Roman"/>
                      <w:color w:val="auto"/>
                      <w:sz w:val="21"/>
                      <w:szCs w:val="21"/>
                      <w:highlight w:val="none"/>
                    </w:rPr>
                    <w:t>区设置防渗围堰，围堰采用不渗透的材料做防渗处理，并设置</w:t>
                  </w:r>
                  <w:r>
                    <w:rPr>
                      <w:rFonts w:hint="default" w:ascii="Times New Roman" w:hAnsi="Times New Roman" w:eastAsia="宋体" w:cs="Times New Roman"/>
                      <w:color w:val="auto"/>
                      <w:sz w:val="21"/>
                      <w:szCs w:val="21"/>
                      <w:highlight w:val="none"/>
                      <w:lang w:val="en-US" w:eastAsia="zh-CN"/>
                    </w:rPr>
                    <w:t>泄漏</w:t>
                  </w:r>
                  <w:r>
                    <w:rPr>
                      <w:rFonts w:hint="default" w:ascii="Times New Roman" w:hAnsi="Times New Roman" w:eastAsia="宋体" w:cs="Times New Roman"/>
                      <w:color w:val="auto"/>
                      <w:sz w:val="21"/>
                      <w:szCs w:val="21"/>
                      <w:highlight w:val="none"/>
                    </w:rPr>
                    <w:t>收集沟和</w:t>
                  </w:r>
                  <w:r>
                    <w:rPr>
                      <w:rFonts w:hint="default" w:ascii="Times New Roman" w:hAnsi="Times New Roman" w:eastAsia="宋体" w:cs="Times New Roman"/>
                      <w:color w:val="auto"/>
                      <w:sz w:val="21"/>
                      <w:szCs w:val="21"/>
                      <w:highlight w:val="none"/>
                      <w:lang w:val="en-US" w:eastAsia="zh-CN"/>
                    </w:rPr>
                    <w:t>泄漏</w:t>
                  </w:r>
                  <w:r>
                    <w:rPr>
                      <w:rFonts w:hint="default" w:ascii="Times New Roman" w:hAnsi="Times New Roman" w:eastAsia="宋体" w:cs="Times New Roman"/>
                      <w:color w:val="auto"/>
                      <w:sz w:val="21"/>
                      <w:szCs w:val="21"/>
                      <w:highlight w:val="none"/>
                    </w:rPr>
                    <w:t>收集坑；</w:t>
                  </w:r>
                </w:p>
                <w:p w14:paraId="787F30B2">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②严格落实消防设计规范，设置警示标识，配备相应数量灭火器，开展员工安全培训；</w:t>
                  </w:r>
                </w:p>
                <w:p w14:paraId="1B6BEDCF">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③加强输水管道施工质量，密切监控供水水压变化情况，建立事故抢修队伍，成立事故应急处置机构，一旦输水管道破裂，立即暂停供水，待事故处置完毕，委托专业机构进行原水水质监测合格后，再恢复供水</w:t>
                  </w:r>
                  <w:r>
                    <w:rPr>
                      <w:rFonts w:hint="default" w:ascii="Times New Roman" w:hAnsi="Times New Roman" w:eastAsia="宋体" w:cs="Times New Roman"/>
                      <w:color w:val="auto"/>
                      <w:sz w:val="21"/>
                      <w:szCs w:val="21"/>
                      <w:highlight w:val="none"/>
                      <w:lang w:eastAsia="zh-CN"/>
                    </w:rPr>
                    <w:t>；</w:t>
                  </w:r>
                </w:p>
                <w:p w14:paraId="6CCB69DE">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④设置在线自动监测网与预警系统；委托第三方单位定期检测水厂进、出水质；</w:t>
                  </w:r>
                </w:p>
                <w:p w14:paraId="28FE20F8">
                  <w:pPr>
                    <w:keepNext w:val="0"/>
                    <w:keepLines w:val="0"/>
                    <w:pageBreakBefore w:val="0"/>
                    <w:widowControl w:val="0"/>
                    <w:kinsoku/>
                    <w:wordWrap/>
                    <w:overflowPunct/>
                    <w:topLinePunct w:val="0"/>
                    <w:autoSpaceDE/>
                    <w:autoSpaceDN/>
                    <w:bidi w:val="0"/>
                    <w:adjustRightInd/>
                    <w:snapToGrid/>
                    <w:ind w:left="0" w:leftChars="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⑤严格规范化操作、建立必要的预备系统或设备、制定事故及时处理计划、编制应急预案。</w:t>
                  </w:r>
                </w:p>
              </w:tc>
            </w:tr>
            <w:tr w14:paraId="2745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2B01B3A7">
                  <w:pPr>
                    <w:keepNext w:val="0"/>
                    <w:keepLines w:val="0"/>
                    <w:pageBreakBefore w:val="0"/>
                    <w:widowControl w:val="0"/>
                    <w:kinsoku/>
                    <w:wordWrap/>
                    <w:overflowPunct/>
                    <w:topLinePunct w:val="0"/>
                    <w:autoSpaceDE/>
                    <w:autoSpaceDN/>
                    <w:bidi w:val="0"/>
                    <w:adjustRightInd/>
                    <w:snapToGrid/>
                    <w:ind w:left="0" w:leftChars="0" w:right="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填表说明（列出项目相关信息及评价说明）：</w:t>
                  </w:r>
                </w:p>
                <w:p w14:paraId="54DE2338">
                  <w:pPr>
                    <w:keepNext w:val="0"/>
                    <w:keepLines w:val="0"/>
                    <w:pageBreakBefore w:val="0"/>
                    <w:widowControl w:val="0"/>
                    <w:kinsoku/>
                    <w:wordWrap/>
                    <w:overflowPunct/>
                    <w:topLinePunct w:val="0"/>
                    <w:autoSpaceDE/>
                    <w:autoSpaceDN/>
                    <w:bidi w:val="0"/>
                    <w:adjustRightInd/>
                    <w:snapToGrid/>
                    <w:ind w:left="0" w:leftChars="0" w:right="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本项目主要危险物质为</w:t>
                  </w:r>
                  <w:r>
                    <w:rPr>
                      <w:rFonts w:hint="default" w:ascii="Times New Roman" w:hAnsi="Times New Roman" w:eastAsia="宋体" w:cs="Times New Roman"/>
                      <w:sz w:val="21"/>
                      <w:szCs w:val="21"/>
                    </w:rPr>
                    <w:t>次氯酸钠</w:t>
                  </w:r>
                  <w:r>
                    <w:rPr>
                      <w:rFonts w:hint="default" w:ascii="Times New Roman" w:hAnsi="Times New Roman" w:cs="Times New Roman"/>
                      <w:color w:val="auto"/>
                      <w:sz w:val="21"/>
                      <w:szCs w:val="21"/>
                      <w:highlight w:val="none"/>
                      <w:lang w:val="en-US" w:eastAsia="zh-CN"/>
                    </w:rPr>
                    <w:t>，Q＜1，</w:t>
                  </w:r>
                  <w:r>
                    <w:rPr>
                      <w:rFonts w:hint="default" w:ascii="Times New Roman" w:hAnsi="Times New Roman" w:cs="Times New Roman"/>
                      <w:color w:val="auto"/>
                      <w:sz w:val="21"/>
                      <w:szCs w:val="21"/>
                      <w:highlight w:val="none"/>
                    </w:rPr>
                    <w:t>环境风险潜势为I，评价等级为简单分析，在落实环评提出的风险防范措施后，环境风险可控。</w:t>
                  </w:r>
                </w:p>
              </w:tc>
            </w:tr>
          </w:tbl>
          <w:p w14:paraId="3CA0E13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14:paraId="267F6F40">
            <w:pPr>
              <w:keepNext w:val="0"/>
              <w:keepLines w:val="0"/>
              <w:pageBreakBefore w:val="0"/>
              <w:kinsoku/>
              <w:wordWrap/>
              <w:overflowPunct w:val="0"/>
              <w:topLinePunct w:val="0"/>
              <w:autoSpaceDE w:val="0"/>
              <w:autoSpaceDN w:val="0"/>
              <w:bidi w:val="0"/>
              <w:adjustRightInd w:val="0"/>
              <w:spacing w:line="360" w:lineRule="auto"/>
              <w:ind w:left="0" w:leftChars="0" w:right="0" w:firstLine="482" w:firstLineChars="200"/>
              <w:textAlignment w:val="baseline"/>
              <w:rPr>
                <w:rFonts w:hint="default" w:ascii="Times New Roman" w:hAnsi="Times New Roman" w:cs="Times New Roman"/>
                <w:b/>
                <w:bCs w:val="0"/>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八</w:t>
            </w:r>
            <w:r>
              <w:rPr>
                <w:rFonts w:hint="default" w:ascii="Times New Roman" w:hAnsi="Times New Roman" w:cs="Times New Roman"/>
                <w:b/>
                <w:bCs/>
                <w:color w:val="auto"/>
                <w:sz w:val="24"/>
                <w:szCs w:val="24"/>
                <w:highlight w:val="none"/>
                <w:lang w:val="en-US" w:eastAsia="zh-CN"/>
              </w:rPr>
              <w:t>、</w:t>
            </w:r>
            <w:r>
              <w:rPr>
                <w:rFonts w:hint="eastAsia" w:ascii="Times New Roman" w:hAnsi="Times New Roman" w:cs="Times New Roman"/>
                <w:b/>
                <w:bCs/>
                <w:color w:val="auto"/>
                <w:sz w:val="24"/>
                <w:szCs w:val="24"/>
                <w:highlight w:val="none"/>
                <w:lang w:val="en-US" w:eastAsia="zh-CN"/>
              </w:rPr>
              <w:t>扩建</w:t>
            </w:r>
            <w:r>
              <w:rPr>
                <w:rFonts w:hint="default" w:ascii="Times New Roman" w:hAnsi="Times New Roman" w:cs="Times New Roman"/>
                <w:b/>
                <w:bCs/>
                <w:color w:val="auto"/>
                <w:sz w:val="24"/>
                <w:szCs w:val="24"/>
                <w:highlight w:val="none"/>
                <w:lang w:val="en-US" w:eastAsia="zh-CN"/>
              </w:rPr>
              <w:t>前后“三本账”计算</w:t>
            </w:r>
          </w:p>
          <w:p w14:paraId="103A0CF4">
            <w:pPr>
              <w:keepNext w:val="0"/>
              <w:keepLines w:val="0"/>
              <w:pageBreakBefore w:val="0"/>
              <w:kinsoku/>
              <w:wordWrap/>
              <w:overflowPunct w:val="0"/>
              <w:topLinePunct w:val="0"/>
              <w:autoSpaceDE w:val="0"/>
              <w:autoSpaceDN w:val="0"/>
              <w:bidi w:val="0"/>
              <w:adjustRightInd w:val="0"/>
              <w:spacing w:line="360" w:lineRule="auto"/>
              <w:ind w:left="0" w:leftChars="0" w:right="0" w:firstLine="480" w:firstLineChars="200"/>
              <w:textAlignment w:val="baseline"/>
              <w:rPr>
                <w:rFonts w:hint="default" w:ascii="Times New Roman" w:hAnsi="Times New Roman" w:eastAsia="黑体" w:cs="Times New Roman"/>
                <w:color w:val="auto"/>
                <w:sz w:val="21"/>
                <w:szCs w:val="21"/>
                <w:highlight w:val="none"/>
                <w:lang w:val="en-US" w:eastAsia="zh-CN"/>
              </w:rPr>
            </w:pPr>
            <w:r>
              <w:rPr>
                <w:rFonts w:hint="eastAsia" w:ascii="Times New Roman" w:hAnsi="Times New Roman" w:eastAsia="宋体" w:cs="Times New Roman"/>
                <w:color w:val="auto"/>
                <w:sz w:val="24"/>
                <w:szCs w:val="24"/>
                <w:highlight w:val="none"/>
                <w:lang w:val="en-US" w:eastAsia="zh-CN"/>
              </w:rPr>
              <w:t>隘口水厂扩建</w:t>
            </w:r>
            <w:r>
              <w:rPr>
                <w:rFonts w:hint="default" w:ascii="Times New Roman" w:hAnsi="Times New Roman" w:eastAsia="宋体" w:cs="Times New Roman"/>
                <w:color w:val="auto"/>
                <w:sz w:val="24"/>
                <w:szCs w:val="24"/>
                <w:highlight w:val="none"/>
                <w:lang w:val="en-US" w:eastAsia="zh-CN"/>
              </w:rPr>
              <w:t>实施后，污染物排放“三本账”汇总见下表所示</w:t>
            </w:r>
            <w:r>
              <w:rPr>
                <w:rFonts w:hint="default" w:ascii="Times New Roman" w:hAnsi="Times New Roman" w:cs="Times New Roman"/>
                <w:bCs/>
                <w:color w:val="auto"/>
                <w:sz w:val="24"/>
                <w:szCs w:val="24"/>
                <w:highlight w:val="none"/>
                <w:lang w:val="en-US" w:eastAsia="zh-CN"/>
              </w:rPr>
              <w:t>。</w:t>
            </w:r>
          </w:p>
          <w:p w14:paraId="784FF1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eastAsia="黑体" w:cs="Times New Roman"/>
                <w:color w:val="auto"/>
                <w:sz w:val="21"/>
                <w:szCs w:val="21"/>
                <w:highlight w:val="none"/>
                <w:lang w:val="en-US" w:eastAsia="zh-CN"/>
              </w:rPr>
              <w:t>表4-</w:t>
            </w:r>
            <w:r>
              <w:rPr>
                <w:rFonts w:hint="eastAsia" w:ascii="Times New Roman" w:hAnsi="Times New Roman" w:eastAsia="黑体" w:cs="Times New Roman"/>
                <w:color w:val="auto"/>
                <w:sz w:val="21"/>
                <w:szCs w:val="21"/>
                <w:highlight w:val="none"/>
                <w:lang w:val="en-US" w:eastAsia="zh-CN"/>
              </w:rPr>
              <w:t>24</w:t>
            </w:r>
            <w:r>
              <w:rPr>
                <w:rFonts w:hint="default" w:ascii="Times New Roman" w:hAnsi="Times New Roman" w:eastAsia="黑体" w:cs="Times New Roman"/>
                <w:color w:val="auto"/>
                <w:sz w:val="21"/>
                <w:szCs w:val="21"/>
                <w:highlight w:val="none"/>
                <w:lang w:val="en-US" w:eastAsia="zh-CN"/>
              </w:rPr>
              <w:t xml:space="preserve"> </w:t>
            </w:r>
            <w:r>
              <w:rPr>
                <w:rFonts w:hint="eastAsia" w:ascii="Times New Roman" w:hAnsi="Times New Roman" w:eastAsia="黑体" w:cs="Times New Roman"/>
                <w:color w:val="auto"/>
                <w:sz w:val="21"/>
                <w:szCs w:val="21"/>
                <w:highlight w:val="none"/>
                <w:lang w:val="en-US" w:eastAsia="zh-CN"/>
              </w:rPr>
              <w:t xml:space="preserve"> 隘口水厂扩建</w:t>
            </w:r>
            <w:r>
              <w:rPr>
                <w:rFonts w:hint="default" w:ascii="Times New Roman" w:hAnsi="Times New Roman" w:eastAsia="黑体" w:cs="Times New Roman"/>
                <w:color w:val="auto"/>
                <w:sz w:val="21"/>
                <w:szCs w:val="21"/>
                <w:highlight w:val="none"/>
                <w:lang w:val="en-US" w:eastAsia="zh-CN"/>
              </w:rPr>
              <w:t>前后污染物排放“三本</w:t>
            </w:r>
            <w:r>
              <w:rPr>
                <w:rFonts w:hint="eastAsia" w:ascii="Times New Roman" w:hAnsi="Times New Roman" w:eastAsia="黑体" w:cs="Times New Roman"/>
                <w:color w:val="auto"/>
                <w:sz w:val="21"/>
                <w:szCs w:val="21"/>
                <w:highlight w:val="none"/>
                <w:lang w:val="en-US" w:eastAsia="zh-CN"/>
              </w:rPr>
              <w:t>账</w:t>
            </w:r>
            <w:r>
              <w:rPr>
                <w:rFonts w:hint="default" w:ascii="Times New Roman" w:hAnsi="Times New Roman" w:eastAsia="黑体" w:cs="Times New Roman"/>
                <w:color w:val="auto"/>
                <w:sz w:val="21"/>
                <w:szCs w:val="21"/>
                <w:highlight w:val="none"/>
                <w:lang w:val="en-US" w:eastAsia="zh-CN"/>
              </w:rPr>
              <w:t>”变化情况（t/a）</w:t>
            </w:r>
          </w:p>
          <w:tbl>
            <w:tblPr>
              <w:tblStyle w:val="25"/>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41"/>
              <w:gridCol w:w="1850"/>
              <w:gridCol w:w="1095"/>
              <w:gridCol w:w="1373"/>
              <w:gridCol w:w="1034"/>
              <w:gridCol w:w="1419"/>
              <w:gridCol w:w="1516"/>
            </w:tblGrid>
            <w:tr w14:paraId="1D58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gridSpan w:val="2"/>
                  <w:noWrap w:val="0"/>
                  <w:vAlign w:val="center"/>
                </w:tcPr>
                <w:p w14:paraId="1D528905">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类别</w:t>
                  </w:r>
                </w:p>
              </w:tc>
              <w:tc>
                <w:tcPr>
                  <w:tcW w:w="987" w:type="pct"/>
                  <w:noWrap w:val="0"/>
                  <w:vAlign w:val="center"/>
                </w:tcPr>
                <w:p w14:paraId="6140A943">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污染物</w:t>
                  </w:r>
                </w:p>
              </w:tc>
              <w:tc>
                <w:tcPr>
                  <w:tcW w:w="584" w:type="pct"/>
                  <w:noWrap w:val="0"/>
                  <w:vAlign w:val="center"/>
                </w:tcPr>
                <w:p w14:paraId="4B566AF1">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rPr>
                    <w:t>现有项目排放量</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rPr>
                    <w:t>t/a</w:t>
                  </w:r>
                  <w:r>
                    <w:rPr>
                      <w:rFonts w:hint="default" w:ascii="Times New Roman" w:hAnsi="Times New Roman" w:cs="Times New Roman"/>
                      <w:b/>
                      <w:bCs/>
                      <w:color w:val="auto"/>
                      <w:kern w:val="0"/>
                      <w:sz w:val="21"/>
                      <w:szCs w:val="21"/>
                      <w:highlight w:val="none"/>
                      <w:lang w:eastAsia="zh-CN"/>
                    </w:rPr>
                    <w:t>）</w:t>
                  </w:r>
                </w:p>
              </w:tc>
              <w:tc>
                <w:tcPr>
                  <w:tcW w:w="732" w:type="pct"/>
                  <w:noWrap w:val="0"/>
                  <w:vAlign w:val="center"/>
                </w:tcPr>
                <w:p w14:paraId="45BF5D35">
                  <w:pPr>
                    <w:pageBreakBefore w:val="0"/>
                    <w:kinsoku/>
                    <w:wordWrap/>
                    <w:topLinePunct w:val="0"/>
                    <w:bidi w:val="0"/>
                    <w:adjustRightInd w:val="0"/>
                    <w:snapToGrid w:val="0"/>
                    <w:spacing w:line="240" w:lineRule="auto"/>
                    <w:ind w:left="0" w:leftChars="0" w:right="0" w:right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本项目</w:t>
                  </w:r>
                </w:p>
                <w:p w14:paraId="686B4E01">
                  <w:pPr>
                    <w:pageBreakBefore w:val="0"/>
                    <w:kinsoku/>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t>排放量</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rPr>
                    <w:t>t/a</w:t>
                  </w:r>
                  <w:r>
                    <w:rPr>
                      <w:rFonts w:hint="default" w:ascii="Times New Roman" w:hAnsi="Times New Roman" w:cs="Times New Roman"/>
                      <w:b/>
                      <w:bCs/>
                      <w:color w:val="auto"/>
                      <w:kern w:val="0"/>
                      <w:sz w:val="21"/>
                      <w:szCs w:val="21"/>
                      <w:highlight w:val="none"/>
                      <w:lang w:eastAsia="zh-CN"/>
                    </w:rPr>
                    <w:t>）</w:t>
                  </w:r>
                </w:p>
              </w:tc>
              <w:tc>
                <w:tcPr>
                  <w:tcW w:w="551" w:type="pct"/>
                  <w:noWrap w:val="0"/>
                  <w:vAlign w:val="center"/>
                </w:tcPr>
                <w:p w14:paraId="16247123">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t>“以新带老”削减量</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rPr>
                    <w:t>t/a</w:t>
                  </w:r>
                  <w:r>
                    <w:rPr>
                      <w:rFonts w:hint="default" w:ascii="Times New Roman" w:hAnsi="Times New Roman" w:cs="Times New Roman"/>
                      <w:b/>
                      <w:bCs/>
                      <w:color w:val="auto"/>
                      <w:kern w:val="0"/>
                      <w:sz w:val="21"/>
                      <w:szCs w:val="21"/>
                      <w:highlight w:val="none"/>
                      <w:lang w:eastAsia="zh-CN"/>
                    </w:rPr>
                    <w:t>）</w:t>
                  </w:r>
                </w:p>
              </w:tc>
              <w:tc>
                <w:tcPr>
                  <w:tcW w:w="757" w:type="pct"/>
                  <w:noWrap w:val="0"/>
                  <w:vAlign w:val="center"/>
                </w:tcPr>
                <w:p w14:paraId="33950B91">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改</w:t>
                  </w:r>
                  <w:r>
                    <w:rPr>
                      <w:rFonts w:hint="default" w:ascii="Times New Roman" w:hAnsi="Times New Roman" w:cs="Times New Roman"/>
                      <w:b/>
                      <w:bCs/>
                      <w:color w:val="auto"/>
                      <w:kern w:val="0"/>
                      <w:sz w:val="21"/>
                      <w:szCs w:val="21"/>
                      <w:highlight w:val="none"/>
                    </w:rPr>
                    <w:t>建后</w:t>
                  </w:r>
                </w:p>
                <w:p w14:paraId="68274198">
                  <w:pPr>
                    <w:pageBreakBefore w:val="0"/>
                    <w:kinsoku/>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cs="Times New Roman"/>
                      <w:b/>
                      <w:bCs/>
                      <w:color w:val="auto"/>
                      <w:kern w:val="0"/>
                      <w:sz w:val="21"/>
                      <w:szCs w:val="21"/>
                      <w:highlight w:val="none"/>
                    </w:rPr>
                    <w:t>排放量</w:t>
                  </w:r>
                  <w:r>
                    <w:rPr>
                      <w:rFonts w:hint="default" w:ascii="Times New Roman" w:hAnsi="Times New Roman" w:cs="Times New Roman"/>
                      <w:b/>
                      <w:bCs/>
                      <w:color w:val="auto"/>
                      <w:kern w:val="0"/>
                      <w:sz w:val="21"/>
                      <w:szCs w:val="21"/>
                      <w:highlight w:val="none"/>
                      <w:lang w:eastAsia="zh-CN"/>
                    </w:rPr>
                    <w:t>（</w:t>
                  </w:r>
                  <w:r>
                    <w:rPr>
                      <w:rFonts w:hint="default" w:ascii="Times New Roman" w:hAnsi="Times New Roman" w:cs="Times New Roman"/>
                      <w:b/>
                      <w:bCs/>
                      <w:color w:val="auto"/>
                      <w:kern w:val="0"/>
                      <w:sz w:val="21"/>
                      <w:szCs w:val="21"/>
                      <w:highlight w:val="none"/>
                    </w:rPr>
                    <w:t>t/a</w:t>
                  </w:r>
                  <w:r>
                    <w:rPr>
                      <w:rFonts w:hint="default" w:ascii="Times New Roman" w:hAnsi="Times New Roman" w:cs="Times New Roman"/>
                      <w:b/>
                      <w:bCs/>
                      <w:color w:val="auto"/>
                      <w:kern w:val="0"/>
                      <w:sz w:val="21"/>
                      <w:szCs w:val="21"/>
                      <w:highlight w:val="none"/>
                      <w:lang w:eastAsia="zh-CN"/>
                    </w:rPr>
                    <w:t>）</w:t>
                  </w:r>
                </w:p>
              </w:tc>
              <w:tc>
                <w:tcPr>
                  <w:tcW w:w="809" w:type="pct"/>
                  <w:noWrap w:val="0"/>
                  <w:vAlign w:val="center"/>
                </w:tcPr>
                <w:p w14:paraId="19C7084C">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rPr>
                    <w:t>污染物增减量变化情况</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cs="Times New Roman"/>
                      <w:b/>
                      <w:bCs/>
                      <w:color w:val="auto"/>
                      <w:kern w:val="0"/>
                      <w:sz w:val="21"/>
                      <w:szCs w:val="21"/>
                      <w:highlight w:val="none"/>
                    </w:rPr>
                    <w:t>t/a</w:t>
                  </w:r>
                  <w:r>
                    <w:rPr>
                      <w:rFonts w:hint="default" w:ascii="Times New Roman" w:hAnsi="Times New Roman" w:cs="Times New Roman"/>
                      <w:b/>
                      <w:bCs/>
                      <w:color w:val="auto"/>
                      <w:kern w:val="0"/>
                      <w:sz w:val="21"/>
                      <w:szCs w:val="21"/>
                      <w:highlight w:val="none"/>
                      <w:lang w:eastAsia="zh-CN"/>
                    </w:rPr>
                    <w:t>）</w:t>
                  </w:r>
                </w:p>
              </w:tc>
            </w:tr>
            <w:tr w14:paraId="41AB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gridSpan w:val="2"/>
                  <w:vMerge w:val="restart"/>
                  <w:noWrap w:val="0"/>
                  <w:vAlign w:val="center"/>
                </w:tcPr>
                <w:p w14:paraId="41E74ED7">
                  <w:pPr>
                    <w:pageBreakBefore w:val="0"/>
                    <w:kinsoku/>
                    <w:wordWrap/>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highlight w:val="none"/>
                    </w:rPr>
                    <w:t>水污染物</w:t>
                  </w:r>
                </w:p>
              </w:tc>
              <w:tc>
                <w:tcPr>
                  <w:tcW w:w="987" w:type="pct"/>
                  <w:noWrap w:val="0"/>
                  <w:vAlign w:val="center"/>
                </w:tcPr>
                <w:p w14:paraId="52C58D37">
                  <w:pPr>
                    <w:keepNext w:val="0"/>
                    <w:keepLines w:val="0"/>
                    <w:pageBreakBefore w:val="0"/>
                    <w:widowControl/>
                    <w:suppressLineNumbers w:val="0"/>
                    <w:kinsoku/>
                    <w:wordWrap/>
                    <w:bidi w:val="0"/>
                    <w:spacing w:line="240" w:lineRule="auto"/>
                    <w:ind w:left="0" w:leftChars="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废水量</w:t>
                  </w:r>
                </w:p>
              </w:tc>
              <w:tc>
                <w:tcPr>
                  <w:tcW w:w="584" w:type="pct"/>
                  <w:shd w:val="clear" w:color="auto" w:fill="auto"/>
                  <w:noWrap w:val="0"/>
                  <w:vAlign w:val="center"/>
                </w:tcPr>
                <w:p w14:paraId="420DD1A3">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4946.48</w:t>
                  </w:r>
                </w:p>
              </w:tc>
              <w:tc>
                <w:tcPr>
                  <w:tcW w:w="732" w:type="pct"/>
                  <w:shd w:val="clear" w:color="auto" w:fill="auto"/>
                  <w:noWrap w:val="0"/>
                  <w:vAlign w:val="center"/>
                </w:tcPr>
                <w:p w14:paraId="1F884A5B">
                  <w:pPr>
                    <w:keepNext w:val="0"/>
                    <w:keepLines w:val="0"/>
                    <w:pageBreakBefore w:val="0"/>
                    <w:widowControl/>
                    <w:suppressLineNumbers w:val="0"/>
                    <w:kinsoku/>
                    <w:wordWrap/>
                    <w:bidi w:val="0"/>
                    <w:spacing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551" w:type="pct"/>
                  <w:shd w:val="clear" w:color="auto" w:fill="auto"/>
                  <w:noWrap w:val="0"/>
                  <w:vAlign w:val="center"/>
                </w:tcPr>
                <w:p w14:paraId="3CE90090">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4946.48</w:t>
                  </w:r>
                </w:p>
              </w:tc>
              <w:tc>
                <w:tcPr>
                  <w:tcW w:w="757" w:type="pct"/>
                  <w:noWrap w:val="0"/>
                  <w:vAlign w:val="center"/>
                </w:tcPr>
                <w:p w14:paraId="587DB7CF">
                  <w:pPr>
                    <w:keepNext w:val="0"/>
                    <w:keepLines w:val="0"/>
                    <w:pageBreakBefore w:val="0"/>
                    <w:widowControl/>
                    <w:suppressLineNumbers w:val="0"/>
                    <w:kinsoku/>
                    <w:wordWrap/>
                    <w:bidi w:val="0"/>
                    <w:spacing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809" w:type="pct"/>
                  <w:shd w:val="clear" w:color="auto" w:fill="auto"/>
                  <w:noWrap w:val="0"/>
                  <w:vAlign w:val="center"/>
                </w:tcPr>
                <w:p w14:paraId="2EB36D1C">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-4946.48</w:t>
                  </w:r>
                </w:p>
              </w:tc>
            </w:tr>
            <w:tr w14:paraId="7711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gridSpan w:val="2"/>
                  <w:vMerge w:val="continue"/>
                  <w:noWrap w:val="0"/>
                  <w:vAlign w:val="center"/>
                </w:tcPr>
                <w:p w14:paraId="51DD1233">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highlight w:val="none"/>
                    </w:rPr>
                  </w:pPr>
                </w:p>
              </w:tc>
              <w:tc>
                <w:tcPr>
                  <w:tcW w:w="987" w:type="pct"/>
                  <w:noWrap w:val="0"/>
                  <w:vAlign w:val="center"/>
                </w:tcPr>
                <w:p w14:paraId="45CE561A">
                  <w:pPr>
                    <w:pageBreakBefore w:val="0"/>
                    <w:kinsoku/>
                    <w:wordWrap/>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COD</w:t>
                  </w:r>
                </w:p>
              </w:tc>
              <w:tc>
                <w:tcPr>
                  <w:tcW w:w="584" w:type="pct"/>
                  <w:shd w:val="clear" w:color="auto" w:fill="auto"/>
                  <w:noWrap w:val="0"/>
                  <w:vAlign w:val="center"/>
                </w:tcPr>
                <w:p w14:paraId="5A3DE212">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c>
                <w:tcPr>
                  <w:tcW w:w="732" w:type="pct"/>
                  <w:shd w:val="clear" w:color="auto" w:fill="auto"/>
                  <w:noWrap w:val="0"/>
                  <w:vAlign w:val="center"/>
                </w:tcPr>
                <w:p w14:paraId="0D9609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551" w:type="pct"/>
                  <w:shd w:val="clear" w:color="auto" w:fill="auto"/>
                  <w:noWrap w:val="0"/>
                  <w:vAlign w:val="center"/>
                </w:tcPr>
                <w:p w14:paraId="339CD1E6">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c>
                <w:tcPr>
                  <w:tcW w:w="757" w:type="pct"/>
                  <w:noWrap w:val="0"/>
                  <w:vAlign w:val="center"/>
                </w:tcPr>
                <w:p w14:paraId="19436EA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09" w:type="pct"/>
                  <w:shd w:val="clear" w:color="auto" w:fill="auto"/>
                  <w:noWrap w:val="0"/>
                  <w:vAlign w:val="center"/>
                </w:tcPr>
                <w:p w14:paraId="4D87AF6A">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r>
            <w:tr w14:paraId="1545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gridSpan w:val="2"/>
                  <w:vMerge w:val="continue"/>
                  <w:noWrap w:val="0"/>
                  <w:vAlign w:val="center"/>
                </w:tcPr>
                <w:p w14:paraId="719D4D8A">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kern w:val="0"/>
                      <w:sz w:val="21"/>
                      <w:szCs w:val="21"/>
                      <w:highlight w:val="none"/>
                    </w:rPr>
                  </w:pPr>
                </w:p>
              </w:tc>
              <w:tc>
                <w:tcPr>
                  <w:tcW w:w="987" w:type="pct"/>
                  <w:noWrap w:val="0"/>
                  <w:vAlign w:val="center"/>
                </w:tcPr>
                <w:p w14:paraId="4C189E40">
                  <w:pPr>
                    <w:pageBreakBefore w:val="0"/>
                    <w:kinsoku/>
                    <w:wordWrap/>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rPr>
                    <w:t>NH</w:t>
                  </w:r>
                  <w:r>
                    <w:rPr>
                      <w:rFonts w:hint="default" w:ascii="Times New Roman" w:hAnsi="Times New Roman" w:cs="Times New Roman"/>
                      <w:bCs/>
                      <w:color w:val="auto"/>
                      <w:sz w:val="21"/>
                      <w:szCs w:val="21"/>
                      <w:highlight w:val="none"/>
                      <w:vertAlign w:val="subscript"/>
                    </w:rPr>
                    <w:t>3</w:t>
                  </w:r>
                  <w:r>
                    <w:rPr>
                      <w:rFonts w:hint="default" w:ascii="Times New Roman" w:hAnsi="Times New Roman" w:cs="Times New Roman"/>
                      <w:bCs/>
                      <w:color w:val="auto"/>
                      <w:sz w:val="21"/>
                      <w:szCs w:val="21"/>
                      <w:highlight w:val="none"/>
                    </w:rPr>
                    <w:t>-N</w:t>
                  </w:r>
                </w:p>
              </w:tc>
              <w:tc>
                <w:tcPr>
                  <w:tcW w:w="584" w:type="pct"/>
                  <w:shd w:val="clear" w:color="auto" w:fill="auto"/>
                  <w:noWrap w:val="0"/>
                  <w:vAlign w:val="center"/>
                </w:tcPr>
                <w:p w14:paraId="1CB74855">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732" w:type="pct"/>
                  <w:shd w:val="clear" w:color="auto" w:fill="auto"/>
                  <w:noWrap w:val="0"/>
                  <w:vAlign w:val="center"/>
                </w:tcPr>
                <w:p w14:paraId="7B2CEA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551" w:type="pct"/>
                  <w:shd w:val="clear" w:color="auto" w:fill="auto"/>
                  <w:noWrap w:val="0"/>
                  <w:vAlign w:val="center"/>
                </w:tcPr>
                <w:p w14:paraId="474772AA">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757" w:type="pct"/>
                  <w:noWrap w:val="0"/>
                  <w:vAlign w:val="center"/>
                </w:tcPr>
                <w:p w14:paraId="38E83F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09" w:type="pct"/>
                  <w:shd w:val="clear" w:color="auto" w:fill="auto"/>
                  <w:noWrap w:val="0"/>
                  <w:vAlign w:val="center"/>
                </w:tcPr>
                <w:p w14:paraId="117C50F3">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r>
            <w:tr w14:paraId="5870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gridSpan w:val="2"/>
                  <w:vMerge w:val="continue"/>
                  <w:noWrap w:val="0"/>
                  <w:vAlign w:val="center"/>
                </w:tcPr>
                <w:p w14:paraId="69762D2B">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kern w:val="0"/>
                      <w:sz w:val="21"/>
                      <w:szCs w:val="21"/>
                      <w:highlight w:val="none"/>
                    </w:rPr>
                  </w:pPr>
                </w:p>
              </w:tc>
              <w:tc>
                <w:tcPr>
                  <w:tcW w:w="987" w:type="pct"/>
                  <w:noWrap w:val="0"/>
                  <w:vAlign w:val="center"/>
                </w:tcPr>
                <w:p w14:paraId="0DBBE80F">
                  <w:pPr>
                    <w:pageBreakBefore w:val="0"/>
                    <w:kinsoku/>
                    <w:wordWrap/>
                    <w:bidi w:val="0"/>
                    <w:spacing w:line="240" w:lineRule="auto"/>
                    <w:ind w:left="0" w:leftChars="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TP</w:t>
                  </w:r>
                </w:p>
              </w:tc>
              <w:tc>
                <w:tcPr>
                  <w:tcW w:w="584" w:type="pct"/>
                  <w:shd w:val="clear" w:color="auto" w:fill="auto"/>
                  <w:noWrap w:val="0"/>
                  <w:vAlign w:val="center"/>
                </w:tcPr>
                <w:p w14:paraId="26862919">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732" w:type="pct"/>
                  <w:shd w:val="clear" w:color="auto" w:fill="auto"/>
                  <w:noWrap w:val="0"/>
                  <w:vAlign w:val="center"/>
                </w:tcPr>
                <w:p w14:paraId="1649768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551" w:type="pct"/>
                  <w:shd w:val="clear" w:color="auto" w:fill="auto"/>
                  <w:noWrap w:val="0"/>
                  <w:vAlign w:val="center"/>
                </w:tcPr>
                <w:p w14:paraId="1B36F8B6">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757" w:type="pct"/>
                  <w:noWrap w:val="0"/>
                  <w:vAlign w:val="center"/>
                </w:tcPr>
                <w:p w14:paraId="6DC922C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w:t>
                  </w:r>
                </w:p>
              </w:tc>
              <w:tc>
                <w:tcPr>
                  <w:tcW w:w="809" w:type="pct"/>
                  <w:shd w:val="clear" w:color="auto" w:fill="auto"/>
                  <w:noWrap w:val="0"/>
                  <w:vAlign w:val="center"/>
                </w:tcPr>
                <w:p w14:paraId="048D3C57">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r>
            <w:tr w14:paraId="57C5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restart"/>
                  <w:noWrap w:val="0"/>
                  <w:vAlign w:val="center"/>
                </w:tcPr>
                <w:p w14:paraId="579C11DF">
                  <w:pPr>
                    <w:pageBreakBefore w:val="0"/>
                    <w:kinsoku/>
                    <w:wordWrap/>
                    <w:bidi w:val="0"/>
                    <w:spacing w:line="276" w:lineRule="auto"/>
                    <w:ind w:left="0" w:leftChars="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w:t>
                  </w:r>
                </w:p>
                <w:p w14:paraId="22368DDF">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rPr>
                    <w:t>废物</w:t>
                  </w:r>
                </w:p>
              </w:tc>
              <w:tc>
                <w:tcPr>
                  <w:tcW w:w="288" w:type="pct"/>
                  <w:vMerge w:val="restart"/>
                  <w:noWrap w:val="0"/>
                  <w:vAlign w:val="center"/>
                </w:tcPr>
                <w:p w14:paraId="12E0A0D2">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一般废物</w:t>
                  </w:r>
                </w:p>
              </w:tc>
              <w:tc>
                <w:tcPr>
                  <w:tcW w:w="987" w:type="pct"/>
                  <w:shd w:val="clear" w:color="auto" w:fill="auto"/>
                  <w:noWrap w:val="0"/>
                  <w:vAlign w:val="center"/>
                </w:tcPr>
                <w:p w14:paraId="797CA1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584" w:type="pct"/>
                  <w:shd w:val="clear" w:color="auto" w:fill="auto"/>
                  <w:noWrap w:val="0"/>
                  <w:vAlign w:val="center"/>
                </w:tcPr>
                <w:p w14:paraId="3266AD99">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0.365</w:t>
                  </w:r>
                </w:p>
              </w:tc>
              <w:tc>
                <w:tcPr>
                  <w:tcW w:w="732" w:type="pct"/>
                  <w:shd w:val="clear" w:color="auto" w:fill="auto"/>
                  <w:noWrap w:val="0"/>
                  <w:vAlign w:val="center"/>
                </w:tcPr>
                <w:p w14:paraId="1B205914">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0.73</w:t>
                  </w:r>
                </w:p>
              </w:tc>
              <w:tc>
                <w:tcPr>
                  <w:tcW w:w="551" w:type="pct"/>
                  <w:shd w:val="clear" w:color="auto" w:fill="auto"/>
                  <w:noWrap w:val="0"/>
                  <w:vAlign w:val="center"/>
                </w:tcPr>
                <w:p w14:paraId="76D0C7B8">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0.365</w:t>
                  </w:r>
                </w:p>
              </w:tc>
              <w:tc>
                <w:tcPr>
                  <w:tcW w:w="757" w:type="pct"/>
                  <w:shd w:val="clear" w:color="auto" w:fill="auto"/>
                  <w:noWrap w:val="0"/>
                  <w:vAlign w:val="center"/>
                </w:tcPr>
                <w:p w14:paraId="5C194654">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0.73</w:t>
                  </w:r>
                </w:p>
              </w:tc>
              <w:tc>
                <w:tcPr>
                  <w:tcW w:w="809" w:type="pct"/>
                  <w:noWrap w:val="0"/>
                  <w:vAlign w:val="center"/>
                </w:tcPr>
                <w:p w14:paraId="2A6DEB15">
                  <w:pPr>
                    <w:adjustRightInd w:val="0"/>
                    <w:snapToGrid w:val="0"/>
                    <w:spacing w:line="25"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default" w:ascii="Times New Roman" w:hAnsi="Times New Roman" w:cs="Times New Roman"/>
                      <w:color w:val="auto"/>
                      <w:sz w:val="21"/>
                      <w:szCs w:val="21"/>
                      <w:highlight w:val="none"/>
                      <w:lang w:val="en-US" w:eastAsia="zh-CN"/>
                    </w:rPr>
                    <w:t>0.365</w:t>
                  </w:r>
                </w:p>
              </w:tc>
            </w:tr>
            <w:tr w14:paraId="6FB8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noWrap w:val="0"/>
                  <w:vAlign w:val="center"/>
                </w:tcPr>
                <w:p w14:paraId="3FED2769">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288" w:type="pct"/>
                  <w:vMerge w:val="continue"/>
                  <w:noWrap w:val="0"/>
                  <w:vAlign w:val="center"/>
                </w:tcPr>
                <w:p w14:paraId="51FC6370">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987" w:type="pct"/>
                  <w:shd w:val="clear" w:color="auto" w:fill="auto"/>
                  <w:noWrap w:val="0"/>
                  <w:vAlign w:val="center"/>
                </w:tcPr>
                <w:p w14:paraId="6CD342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栅渣及沉砂</w:t>
                  </w:r>
                </w:p>
              </w:tc>
              <w:tc>
                <w:tcPr>
                  <w:tcW w:w="584" w:type="pct"/>
                  <w:shd w:val="clear" w:color="auto" w:fill="auto"/>
                  <w:noWrap w:val="0"/>
                  <w:vAlign w:val="center"/>
                </w:tcPr>
                <w:p w14:paraId="577832D2">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8.5</w:t>
                  </w:r>
                </w:p>
              </w:tc>
              <w:tc>
                <w:tcPr>
                  <w:tcW w:w="732" w:type="pct"/>
                  <w:shd w:val="clear" w:color="auto" w:fill="auto"/>
                  <w:noWrap w:val="0"/>
                  <w:vAlign w:val="center"/>
                </w:tcPr>
                <w:p w14:paraId="3D77DB3E">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77.088</w:t>
                  </w:r>
                </w:p>
              </w:tc>
              <w:tc>
                <w:tcPr>
                  <w:tcW w:w="551" w:type="pct"/>
                  <w:shd w:val="clear" w:color="auto" w:fill="auto"/>
                  <w:noWrap w:val="0"/>
                  <w:vAlign w:val="center"/>
                </w:tcPr>
                <w:p w14:paraId="631868F0">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8.5</w:t>
                  </w:r>
                </w:p>
              </w:tc>
              <w:tc>
                <w:tcPr>
                  <w:tcW w:w="757" w:type="pct"/>
                  <w:shd w:val="clear" w:color="auto" w:fill="auto"/>
                  <w:noWrap w:val="0"/>
                  <w:vAlign w:val="center"/>
                </w:tcPr>
                <w:p w14:paraId="4465D3C2">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77.088</w:t>
                  </w:r>
                </w:p>
              </w:tc>
              <w:tc>
                <w:tcPr>
                  <w:tcW w:w="809" w:type="pct"/>
                  <w:noWrap w:val="0"/>
                  <w:vAlign w:val="center"/>
                </w:tcPr>
                <w:p w14:paraId="7DE49495">
                  <w:pPr>
                    <w:adjustRightInd w:val="0"/>
                    <w:snapToGrid w:val="0"/>
                    <w:spacing w:line="25" w:lineRule="atLeas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+68.588</w:t>
                  </w:r>
                </w:p>
              </w:tc>
            </w:tr>
            <w:tr w14:paraId="18F1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noWrap w:val="0"/>
                  <w:vAlign w:val="center"/>
                </w:tcPr>
                <w:p w14:paraId="3B9017D7">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288" w:type="pct"/>
                  <w:vMerge w:val="continue"/>
                  <w:noWrap w:val="0"/>
                  <w:vAlign w:val="center"/>
                </w:tcPr>
                <w:p w14:paraId="43B933F3">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987" w:type="pct"/>
                  <w:shd w:val="clear" w:color="auto" w:fill="auto"/>
                  <w:noWrap w:val="0"/>
                  <w:vAlign w:val="center"/>
                </w:tcPr>
                <w:p w14:paraId="2CC0FF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污泥</w:t>
                  </w:r>
                </w:p>
              </w:tc>
              <w:tc>
                <w:tcPr>
                  <w:tcW w:w="584" w:type="pct"/>
                  <w:shd w:val="clear" w:color="auto" w:fill="auto"/>
                  <w:noWrap w:val="0"/>
                  <w:vAlign w:val="center"/>
                </w:tcPr>
                <w:p w14:paraId="4F0C7BAF">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90</w:t>
                  </w:r>
                </w:p>
              </w:tc>
              <w:tc>
                <w:tcPr>
                  <w:tcW w:w="732" w:type="pct"/>
                  <w:shd w:val="clear" w:color="auto" w:fill="auto"/>
                  <w:noWrap w:val="0"/>
                  <w:vAlign w:val="center"/>
                </w:tcPr>
                <w:p w14:paraId="49AE0033">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00</w:t>
                  </w:r>
                </w:p>
              </w:tc>
              <w:tc>
                <w:tcPr>
                  <w:tcW w:w="551" w:type="pct"/>
                  <w:shd w:val="clear" w:color="auto" w:fill="auto"/>
                  <w:noWrap w:val="0"/>
                  <w:vAlign w:val="center"/>
                </w:tcPr>
                <w:p w14:paraId="62CD3A6C">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90</w:t>
                  </w:r>
                </w:p>
              </w:tc>
              <w:tc>
                <w:tcPr>
                  <w:tcW w:w="757" w:type="pct"/>
                  <w:shd w:val="clear" w:color="auto" w:fill="auto"/>
                  <w:noWrap w:val="0"/>
                  <w:vAlign w:val="center"/>
                </w:tcPr>
                <w:p w14:paraId="3C04D2D7">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00</w:t>
                  </w:r>
                </w:p>
              </w:tc>
              <w:tc>
                <w:tcPr>
                  <w:tcW w:w="809" w:type="pct"/>
                  <w:noWrap w:val="0"/>
                  <w:vAlign w:val="center"/>
                </w:tcPr>
                <w:p w14:paraId="31541BB0">
                  <w:pPr>
                    <w:adjustRightInd w:val="0"/>
                    <w:snapToGrid w:val="0"/>
                    <w:spacing w:line="25"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710</w:t>
                  </w:r>
                </w:p>
              </w:tc>
            </w:tr>
            <w:tr w14:paraId="3F5F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noWrap w:val="0"/>
                  <w:vAlign w:val="center"/>
                </w:tcPr>
                <w:p w14:paraId="0E1713FE">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288" w:type="pct"/>
                  <w:vMerge w:val="continue"/>
                  <w:noWrap w:val="0"/>
                  <w:vAlign w:val="center"/>
                </w:tcPr>
                <w:p w14:paraId="78FC1757">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987" w:type="pct"/>
                  <w:shd w:val="clear" w:color="auto" w:fill="auto"/>
                  <w:noWrap w:val="0"/>
                  <w:vAlign w:val="center"/>
                </w:tcPr>
                <w:p w14:paraId="731ADC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废滤料</w:t>
                  </w:r>
                  <w:r>
                    <w:rPr>
                      <w:rFonts w:hint="eastAsia" w:ascii="Times New Roman" w:hAnsi="Times New Roman" w:cs="Times New Roman"/>
                      <w:b w:val="0"/>
                      <w:bCs w:val="0"/>
                      <w:color w:val="auto"/>
                      <w:sz w:val="21"/>
                      <w:szCs w:val="21"/>
                      <w:highlight w:val="none"/>
                      <w:lang w:val="en-US" w:eastAsia="zh-CN"/>
                    </w:rPr>
                    <w:t>（废填料）</w:t>
                  </w:r>
                </w:p>
              </w:tc>
              <w:tc>
                <w:tcPr>
                  <w:tcW w:w="584" w:type="pct"/>
                  <w:shd w:val="clear" w:color="auto" w:fill="auto"/>
                  <w:noWrap w:val="0"/>
                  <w:vAlign w:val="center"/>
                </w:tcPr>
                <w:p w14:paraId="5AC6B5CC">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w:t>
                  </w:r>
                </w:p>
              </w:tc>
              <w:tc>
                <w:tcPr>
                  <w:tcW w:w="732" w:type="pct"/>
                  <w:shd w:val="clear" w:color="auto" w:fill="auto"/>
                  <w:noWrap w:val="0"/>
                  <w:vAlign w:val="center"/>
                </w:tcPr>
                <w:p w14:paraId="6138AF59">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w:t>
                  </w:r>
                </w:p>
              </w:tc>
              <w:tc>
                <w:tcPr>
                  <w:tcW w:w="551" w:type="pct"/>
                  <w:shd w:val="clear" w:color="auto" w:fill="auto"/>
                  <w:noWrap w:val="0"/>
                  <w:vAlign w:val="center"/>
                </w:tcPr>
                <w:p w14:paraId="731A558C">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w:t>
                  </w:r>
                </w:p>
              </w:tc>
              <w:tc>
                <w:tcPr>
                  <w:tcW w:w="757" w:type="pct"/>
                  <w:shd w:val="clear" w:color="auto" w:fill="auto"/>
                  <w:noWrap w:val="0"/>
                  <w:vAlign w:val="center"/>
                </w:tcPr>
                <w:p w14:paraId="225612C3">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w:t>
                  </w:r>
                </w:p>
              </w:tc>
              <w:tc>
                <w:tcPr>
                  <w:tcW w:w="809" w:type="pct"/>
                  <w:noWrap w:val="0"/>
                  <w:vAlign w:val="center"/>
                </w:tcPr>
                <w:p w14:paraId="7BCEEB4F">
                  <w:pPr>
                    <w:adjustRightInd w:val="0"/>
                    <w:snapToGrid w:val="0"/>
                    <w:spacing w:line="25" w:lineRule="atLeast"/>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+14</w:t>
                  </w:r>
                </w:p>
              </w:tc>
            </w:tr>
            <w:tr w14:paraId="47A7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8" w:type="pct"/>
                  <w:vMerge w:val="continue"/>
                  <w:noWrap w:val="0"/>
                  <w:vAlign w:val="center"/>
                </w:tcPr>
                <w:p w14:paraId="78FE0B20">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288" w:type="pct"/>
                  <w:vMerge w:val="continue"/>
                  <w:noWrap w:val="0"/>
                  <w:vAlign w:val="center"/>
                </w:tcPr>
                <w:p w14:paraId="579CE374">
                  <w:pPr>
                    <w:pageBreakBefore w:val="0"/>
                    <w:widowControl/>
                    <w:kinsoku/>
                    <w:wordWrap/>
                    <w:topLinePunct w:val="0"/>
                    <w:bidi w:val="0"/>
                    <w:adjustRightInd w:val="0"/>
                    <w:snapToGrid w:val="0"/>
                    <w:spacing w:line="240" w:lineRule="auto"/>
                    <w:ind w:left="0" w:leftChars="0" w:right="0" w:rightChars="0"/>
                    <w:jc w:val="center"/>
                    <w:rPr>
                      <w:rFonts w:hint="default" w:ascii="Times New Roman" w:hAnsi="Times New Roman" w:cs="Times New Roman"/>
                      <w:color w:val="auto"/>
                      <w:sz w:val="21"/>
                      <w:szCs w:val="21"/>
                    </w:rPr>
                  </w:pPr>
                </w:p>
              </w:tc>
              <w:tc>
                <w:tcPr>
                  <w:tcW w:w="987" w:type="pct"/>
                  <w:shd w:val="clear" w:color="auto" w:fill="auto"/>
                  <w:noWrap w:val="0"/>
                  <w:vAlign w:val="center"/>
                </w:tcPr>
                <w:p w14:paraId="1C61BD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废包装材料</w:t>
                  </w:r>
                </w:p>
              </w:tc>
              <w:tc>
                <w:tcPr>
                  <w:tcW w:w="584" w:type="pct"/>
                  <w:shd w:val="clear" w:color="auto" w:fill="auto"/>
                  <w:noWrap w:val="0"/>
                  <w:vAlign w:val="center"/>
                </w:tcPr>
                <w:p w14:paraId="22B8592A">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0.02</w:t>
                  </w:r>
                </w:p>
              </w:tc>
              <w:tc>
                <w:tcPr>
                  <w:tcW w:w="732" w:type="pct"/>
                  <w:shd w:val="clear" w:color="auto" w:fill="auto"/>
                  <w:noWrap w:val="0"/>
                  <w:vAlign w:val="center"/>
                </w:tcPr>
                <w:p w14:paraId="0550FF02">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551" w:type="pct"/>
                  <w:shd w:val="clear" w:color="auto" w:fill="auto"/>
                  <w:noWrap w:val="0"/>
                  <w:vAlign w:val="center"/>
                </w:tcPr>
                <w:p w14:paraId="1C9BC8E7">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0.02</w:t>
                  </w:r>
                </w:p>
              </w:tc>
              <w:tc>
                <w:tcPr>
                  <w:tcW w:w="757" w:type="pct"/>
                  <w:shd w:val="clear" w:color="auto" w:fill="auto"/>
                  <w:noWrap w:val="0"/>
                  <w:vAlign w:val="center"/>
                </w:tcPr>
                <w:p w14:paraId="16696578">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809" w:type="pct"/>
                  <w:noWrap w:val="0"/>
                  <w:vAlign w:val="center"/>
                </w:tcPr>
                <w:p w14:paraId="04FF42B0">
                  <w:pPr>
                    <w:adjustRightInd w:val="0"/>
                    <w:snapToGrid w:val="0"/>
                    <w:spacing w:line="25" w:lineRule="atLeast"/>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+0.03</w:t>
                  </w:r>
                </w:p>
              </w:tc>
            </w:tr>
          </w:tbl>
          <w:p w14:paraId="13942081">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九</w:t>
            </w:r>
            <w:r>
              <w:rPr>
                <w:rFonts w:hint="default" w:ascii="Times New Roman" w:hAnsi="Times New Roman" w:cs="Times New Roman"/>
                <w:b/>
                <w:bCs/>
                <w:color w:val="auto"/>
                <w:sz w:val="24"/>
                <w:szCs w:val="24"/>
                <w:highlight w:val="none"/>
                <w:lang w:val="en-US" w:eastAsia="zh-CN"/>
              </w:rPr>
              <w:t>、环保投资</w:t>
            </w:r>
          </w:p>
          <w:p w14:paraId="0F4815C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本项目总投资</w:t>
            </w:r>
            <w:r>
              <w:rPr>
                <w:rFonts w:hint="eastAsia" w:ascii="Times New Roman" w:hAnsi="Times New Roman" w:eastAsia="宋体" w:cs="Times New Roman"/>
                <w:color w:val="auto"/>
                <w:kern w:val="2"/>
                <w:sz w:val="24"/>
                <w:szCs w:val="24"/>
                <w:highlight w:val="none"/>
                <w:lang w:val="en-US" w:eastAsia="zh-CN" w:bidi="ar-SA"/>
              </w:rPr>
              <w:t>7200</w:t>
            </w:r>
            <w:r>
              <w:rPr>
                <w:rFonts w:hint="default" w:ascii="Times New Roman" w:hAnsi="Times New Roman" w:cs="Times New Roman"/>
                <w:color w:val="auto"/>
                <w:sz w:val="24"/>
                <w:szCs w:val="24"/>
                <w:highlight w:val="none"/>
                <w:lang w:val="en-US" w:eastAsia="zh-CN"/>
              </w:rPr>
              <w:t>万元，环保投资约</w:t>
            </w:r>
            <w:r>
              <w:rPr>
                <w:rFonts w:hint="eastAsia" w:ascii="Times New Roman" w:hAnsi="Times New Roman" w:cs="Times New Roman"/>
                <w:color w:val="auto"/>
                <w:sz w:val="24"/>
                <w:szCs w:val="24"/>
                <w:highlight w:val="none"/>
                <w:lang w:val="en-US" w:eastAsia="zh-CN"/>
              </w:rPr>
              <w:t>106</w:t>
            </w:r>
            <w:r>
              <w:rPr>
                <w:rFonts w:hint="default" w:ascii="Times New Roman" w:hAnsi="Times New Roman" w:cs="Times New Roman"/>
                <w:color w:val="auto"/>
                <w:sz w:val="24"/>
                <w:szCs w:val="24"/>
                <w:highlight w:val="none"/>
                <w:lang w:val="en-US" w:eastAsia="zh-CN"/>
              </w:rPr>
              <w:t>万元，占总投资的</w:t>
            </w:r>
            <w:r>
              <w:rPr>
                <w:rFonts w:hint="eastAsia" w:ascii="Times New Roman" w:hAnsi="Times New Roman" w:cs="Times New Roman"/>
                <w:color w:val="auto"/>
                <w:sz w:val="24"/>
                <w:szCs w:val="24"/>
                <w:highlight w:val="none"/>
                <w:lang w:val="en-US" w:eastAsia="zh-CN"/>
              </w:rPr>
              <w:t>1.472</w:t>
            </w:r>
            <w:r>
              <w:rPr>
                <w:rFonts w:hint="default" w:ascii="Times New Roman" w:hAnsi="Times New Roman" w:cs="Times New Roman"/>
                <w:color w:val="auto"/>
                <w:sz w:val="24"/>
                <w:szCs w:val="24"/>
                <w:highlight w:val="none"/>
                <w:lang w:val="en-US" w:eastAsia="zh-CN"/>
              </w:rPr>
              <w:t>%，主要环保措施及投资估算见表。</w:t>
            </w:r>
          </w:p>
          <w:p w14:paraId="2FA6F232">
            <w:pPr>
              <w:keepNext w:val="0"/>
              <w:keepLines w:val="0"/>
              <w:pageBreakBefore w:val="0"/>
              <w:kinsoku/>
              <w:wordWrap/>
              <w:topLinePunct w:val="0"/>
              <w:bidi w:val="0"/>
              <w:spacing w:line="276" w:lineRule="auto"/>
              <w:ind w:left="0" w:leftChars="0"/>
              <w:jc w:val="center"/>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表4-2</w:t>
            </w:r>
            <w:r>
              <w:rPr>
                <w:rFonts w:hint="eastAsia" w:ascii="Times New Roman" w:hAnsi="Times New Roman" w:eastAsia="黑体" w:cs="Times New Roman"/>
                <w:b w:val="0"/>
                <w:bCs/>
                <w:color w:val="auto"/>
                <w:kern w:val="2"/>
                <w:sz w:val="21"/>
                <w:szCs w:val="21"/>
                <w:highlight w:val="none"/>
                <w:lang w:val="en-US" w:eastAsia="zh-CN" w:bidi="ar-SA"/>
              </w:rPr>
              <w:t xml:space="preserve">5 </w:t>
            </w:r>
            <w:r>
              <w:rPr>
                <w:rFonts w:hint="default" w:ascii="Times New Roman" w:hAnsi="Times New Roman" w:eastAsia="黑体" w:cs="Times New Roman"/>
                <w:b w:val="0"/>
                <w:bCs/>
                <w:color w:val="auto"/>
                <w:kern w:val="2"/>
                <w:sz w:val="21"/>
                <w:szCs w:val="21"/>
                <w:highlight w:val="none"/>
                <w:lang w:val="en-US" w:eastAsia="zh-CN" w:bidi="ar-SA"/>
              </w:rPr>
              <w:t>环保投资估算一览表</w:t>
            </w:r>
          </w:p>
          <w:tbl>
            <w:tblPr>
              <w:tblStyle w:val="2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27"/>
              <w:gridCol w:w="6236"/>
              <w:gridCol w:w="1061"/>
            </w:tblGrid>
            <w:tr w14:paraId="122A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14:paraId="39306B72">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3821" w:type="pct"/>
                  <w:gridSpan w:val="2"/>
                  <w:tcBorders>
                    <w:tl2br w:val="nil"/>
                    <w:tr2bl w:val="nil"/>
                  </w:tcBorders>
                  <w:noWrap w:val="0"/>
                  <w:vAlign w:val="center"/>
                </w:tcPr>
                <w:p w14:paraId="06C9746E">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内容</w:t>
                  </w:r>
                </w:p>
              </w:tc>
              <w:tc>
                <w:tcPr>
                  <w:tcW w:w="565" w:type="pct"/>
                  <w:tcBorders>
                    <w:tl2br w:val="nil"/>
                    <w:tr2bl w:val="nil"/>
                  </w:tcBorders>
                  <w:noWrap w:val="0"/>
                  <w:vAlign w:val="center"/>
                </w:tcPr>
                <w:p w14:paraId="5E01CA17">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投资</w:t>
                  </w:r>
                </w:p>
                <w:p w14:paraId="71BD48F7">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万元</w:t>
                  </w:r>
                  <w:r>
                    <w:rPr>
                      <w:rFonts w:hint="default" w:ascii="Times New Roman" w:hAnsi="Times New Roman" w:cs="Times New Roman"/>
                      <w:b/>
                      <w:bCs/>
                      <w:color w:val="auto"/>
                      <w:sz w:val="21"/>
                      <w:szCs w:val="21"/>
                      <w:highlight w:val="none"/>
                      <w:lang w:eastAsia="zh-CN"/>
                    </w:rPr>
                    <w:t>）</w:t>
                  </w:r>
                </w:p>
              </w:tc>
            </w:tr>
            <w:tr w14:paraId="6A09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tl2br w:val="nil"/>
                    <w:tr2bl w:val="nil"/>
                  </w:tcBorders>
                  <w:noWrap w:val="0"/>
                  <w:vAlign w:val="center"/>
                </w:tcPr>
                <w:p w14:paraId="73240E29">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废气治理</w:t>
                  </w:r>
                </w:p>
              </w:tc>
              <w:tc>
                <w:tcPr>
                  <w:tcW w:w="494" w:type="pct"/>
                  <w:tcBorders>
                    <w:tl2br w:val="nil"/>
                    <w:tr2bl w:val="nil"/>
                  </w:tcBorders>
                  <w:noWrap w:val="0"/>
                  <w:vAlign w:val="center"/>
                </w:tcPr>
                <w:p w14:paraId="61D6942D">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施工期</w:t>
                  </w:r>
                </w:p>
              </w:tc>
              <w:tc>
                <w:tcPr>
                  <w:tcW w:w="3326" w:type="pct"/>
                  <w:tcBorders>
                    <w:tl2br w:val="nil"/>
                    <w:tr2bl w:val="nil"/>
                  </w:tcBorders>
                  <w:noWrap w:val="0"/>
                  <w:vAlign w:val="center"/>
                </w:tcPr>
                <w:p w14:paraId="11668ABA">
                  <w:pPr>
                    <w:pStyle w:val="39"/>
                    <w:keepNext w:val="0"/>
                    <w:keepLines w:val="0"/>
                    <w:pageBreakBefore w:val="0"/>
                    <w:kinsoku/>
                    <w:wordWrap/>
                    <w:topLinePunct w:val="0"/>
                    <w:bidi w:val="0"/>
                    <w:ind w:left="0" w:leftChars="0" w:firstLine="0" w:firstLineChars="0"/>
                    <w:jc w:val="left"/>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供</w:t>
                  </w:r>
                  <w:r>
                    <w:rPr>
                      <w:rFonts w:hint="default" w:ascii="Times New Roman" w:hAnsi="Times New Roman" w:eastAsia="宋体" w:cs="Times New Roman"/>
                      <w:color w:val="auto"/>
                      <w:sz w:val="21"/>
                      <w:szCs w:val="21"/>
                      <w:highlight w:val="none"/>
                      <w:lang w:val="en-US" w:eastAsia="zh-CN"/>
                    </w:rPr>
                    <w:t>水厂</w:t>
                  </w:r>
                  <w:r>
                    <w:rPr>
                      <w:rFonts w:hint="default" w:ascii="Times New Roman" w:hAnsi="Times New Roman" w:eastAsia="宋体" w:cs="Times New Roman"/>
                      <w:color w:val="auto"/>
                      <w:sz w:val="21"/>
                      <w:szCs w:val="21"/>
                      <w:highlight w:val="none"/>
                    </w:rPr>
                    <w:t>施工现场设不低于2.5m高封闭围挡、设置雾状喷淋，</w:t>
                  </w:r>
                  <w:r>
                    <w:rPr>
                      <w:rFonts w:hint="default" w:ascii="Times New Roman" w:hAnsi="Times New Roman" w:eastAsia="宋体" w:cs="Times New Roman"/>
                      <w:color w:val="auto"/>
                      <w:sz w:val="21"/>
                      <w:szCs w:val="21"/>
                      <w:highlight w:val="none"/>
                      <w:lang w:val="en-US" w:eastAsia="zh-CN"/>
                    </w:rPr>
                    <w:t>设</w:t>
                  </w:r>
                  <w:r>
                    <w:rPr>
                      <w:rFonts w:hint="default" w:ascii="Times New Roman" w:hAnsi="Times New Roman" w:eastAsia="宋体" w:cs="Times New Roman"/>
                      <w:color w:val="auto"/>
                      <w:sz w:val="21"/>
                      <w:szCs w:val="21"/>
                      <w:highlight w:val="none"/>
                    </w:rPr>
                    <w:t>高压冲洗设施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车辆密闭运输</w:t>
                  </w:r>
                  <w:r>
                    <w:rPr>
                      <w:rFonts w:hint="default" w:ascii="Times New Roman" w:hAnsi="Times New Roman" w:cs="Times New Roman"/>
                      <w:color w:val="auto"/>
                      <w:kern w:val="2"/>
                      <w:sz w:val="21"/>
                      <w:szCs w:val="21"/>
                      <w:highlight w:val="none"/>
                    </w:rPr>
                    <w:t>（使用防尘布覆盖）</w:t>
                  </w:r>
                  <w:r>
                    <w:rPr>
                      <w:rFonts w:hint="default" w:ascii="Times New Roman" w:hAnsi="Times New Roman" w:cs="Times New Roman"/>
                      <w:bCs/>
                      <w:color w:val="auto"/>
                      <w:sz w:val="21"/>
                      <w:szCs w:val="21"/>
                      <w:highlight w:val="none"/>
                      <w:lang w:bidi="ar"/>
                    </w:rPr>
                    <w:t>、及时清扫路面尘土、对裸露地面</w:t>
                  </w:r>
                  <w:r>
                    <w:rPr>
                      <w:rFonts w:hint="default" w:ascii="Times New Roman" w:hAnsi="Times New Roman" w:eastAsia="宋体" w:cs="Times New Roman"/>
                      <w:bCs/>
                      <w:color w:val="auto"/>
                      <w:sz w:val="21"/>
                      <w:szCs w:val="21"/>
                      <w:highlight w:val="none"/>
                      <w:lang w:val="en-US" w:eastAsia="zh-CN" w:bidi="ar"/>
                    </w:rPr>
                    <w:t>临时堆场</w:t>
                  </w:r>
                  <w:r>
                    <w:rPr>
                      <w:rFonts w:hint="default" w:ascii="Times New Roman" w:hAnsi="Times New Roman" w:cs="Times New Roman"/>
                      <w:bCs/>
                      <w:color w:val="auto"/>
                      <w:sz w:val="21"/>
                      <w:szCs w:val="21"/>
                      <w:highlight w:val="none"/>
                      <w:lang w:bidi="ar"/>
                    </w:rPr>
                    <w:t>覆盖防尘布或防尘网等</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5C7E2C94">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8.0</w:t>
                  </w:r>
                </w:p>
              </w:tc>
            </w:tr>
            <w:tr w14:paraId="3F88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421A28B2">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tcBorders>
                    <w:tl2br w:val="nil"/>
                    <w:tr2bl w:val="nil"/>
                  </w:tcBorders>
                  <w:noWrap w:val="0"/>
                  <w:vAlign w:val="center"/>
                </w:tcPr>
                <w:p w14:paraId="0320E310">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noWrap w:val="0"/>
                  <w:vAlign w:val="center"/>
                </w:tcPr>
                <w:p w14:paraId="009DE80B">
                  <w:pPr>
                    <w:keepNext w:val="0"/>
                    <w:keepLines w:val="0"/>
                    <w:pageBreakBefore w:val="0"/>
                    <w:kinsoku/>
                    <w:wordWrap/>
                    <w:overflowPunct/>
                    <w:topLinePunct w:val="0"/>
                    <w:autoSpaceDE/>
                    <w:autoSpaceDN/>
                    <w:bidi w:val="0"/>
                    <w:ind w:left="0" w:leftChars="0"/>
                    <w:jc w:val="left"/>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不涉及废气排放。</w:t>
                  </w:r>
                </w:p>
              </w:tc>
              <w:tc>
                <w:tcPr>
                  <w:tcW w:w="565" w:type="pct"/>
                  <w:tcBorders>
                    <w:tl2br w:val="nil"/>
                    <w:tr2bl w:val="nil"/>
                  </w:tcBorders>
                  <w:noWrap w:val="0"/>
                  <w:vAlign w:val="center"/>
                </w:tcPr>
                <w:p w14:paraId="42822C64">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r>
            <w:tr w14:paraId="51C6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tl2br w:val="nil"/>
                    <w:tr2bl w:val="nil"/>
                  </w:tcBorders>
                  <w:noWrap w:val="0"/>
                  <w:vAlign w:val="center"/>
                </w:tcPr>
                <w:p w14:paraId="360159DE">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废水治理</w:t>
                  </w:r>
                </w:p>
              </w:tc>
              <w:tc>
                <w:tcPr>
                  <w:tcW w:w="494" w:type="pct"/>
                  <w:vMerge w:val="restart"/>
                  <w:tcBorders>
                    <w:tl2br w:val="nil"/>
                    <w:tr2bl w:val="nil"/>
                  </w:tcBorders>
                  <w:noWrap w:val="0"/>
                  <w:vAlign w:val="center"/>
                </w:tcPr>
                <w:p w14:paraId="61DEA4AB">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326" w:type="pct"/>
                  <w:tcBorders>
                    <w:tl2br w:val="nil"/>
                    <w:tr2bl w:val="nil"/>
                  </w:tcBorders>
                  <w:noWrap w:val="0"/>
                  <w:vAlign w:val="center"/>
                </w:tcPr>
                <w:p w14:paraId="79EAC9BB">
                  <w:pPr>
                    <w:keepNext w:val="0"/>
                    <w:keepLines w:val="0"/>
                    <w:pageBreakBefore w:val="0"/>
                    <w:kinsoku/>
                    <w:wordWrap/>
                    <w:overflowPunct/>
                    <w:topLinePunct w:val="0"/>
                    <w:autoSpaceDE/>
                    <w:autoSpaceDN/>
                    <w:bidi w:val="0"/>
                    <w:ind w:left="0" w:left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生活污水依托</w:t>
                  </w:r>
                  <w:r>
                    <w:rPr>
                      <w:rFonts w:hint="default" w:ascii="Times New Roman" w:hAnsi="Times New Roman" w:cs="Times New Roman"/>
                      <w:color w:val="auto"/>
                      <w:sz w:val="21"/>
                      <w:szCs w:val="21"/>
                      <w:highlight w:val="none"/>
                      <w:lang w:val="en-US" w:eastAsia="zh-CN"/>
                    </w:rPr>
                    <w:t>周边</w:t>
                  </w:r>
                  <w:r>
                    <w:rPr>
                      <w:rFonts w:hint="default" w:ascii="Times New Roman" w:hAnsi="Times New Roman" w:eastAsia="宋体" w:cs="Times New Roman"/>
                      <w:color w:val="auto"/>
                      <w:sz w:val="21"/>
                      <w:szCs w:val="21"/>
                      <w:highlight w:val="none"/>
                    </w:rPr>
                    <w:t>民房现有的污水处理设施</w:t>
                  </w:r>
                  <w:r>
                    <w:rPr>
                      <w:rFonts w:hint="eastAsia" w:ascii="Times New Roman" w:hAnsi="Times New Roman" w:eastAsia="宋体" w:cs="Times New Roman"/>
                      <w:color w:val="auto"/>
                      <w:sz w:val="21"/>
                      <w:szCs w:val="21"/>
                      <w:highlight w:val="none"/>
                      <w:lang w:val="en-US" w:eastAsia="zh-CN"/>
                    </w:rPr>
                    <w:t>或现有化粪池</w:t>
                  </w:r>
                  <w:r>
                    <w:rPr>
                      <w:rFonts w:hint="default" w:ascii="Times New Roman" w:hAnsi="Times New Roman" w:eastAsia="宋体" w:cs="Times New Roman"/>
                      <w:color w:val="auto"/>
                      <w:sz w:val="21"/>
                      <w:szCs w:val="21"/>
                      <w:highlight w:val="none"/>
                    </w:rPr>
                    <w:t>进行处理</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3C7E4680">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0C25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69543AAF">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14:paraId="0611CB64">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noWrap w:val="0"/>
                  <w:vAlign w:val="center"/>
                </w:tcPr>
                <w:p w14:paraId="6FC8B914">
                  <w:pPr>
                    <w:keepNext w:val="0"/>
                    <w:keepLines w:val="0"/>
                    <w:pageBreakBefore w:val="0"/>
                    <w:kinsoku/>
                    <w:wordWrap/>
                    <w:topLinePunct w:val="0"/>
                    <w:bidi w:val="0"/>
                    <w:ind w:left="0" w:lef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w:t>
                  </w:r>
                  <w:r>
                    <w:rPr>
                      <w:rFonts w:hint="eastAsia" w:ascii="Times New Roman" w:hAnsi="Times New Roman" w:cs="Times New Roman"/>
                      <w:color w:val="auto"/>
                      <w:sz w:val="21"/>
                      <w:szCs w:val="21"/>
                      <w:highlight w:val="none"/>
                      <w:lang w:val="en-US" w:eastAsia="zh-CN"/>
                    </w:rPr>
                    <w:t>隔油</w:t>
                  </w:r>
                  <w:r>
                    <w:rPr>
                      <w:rFonts w:hint="default" w:ascii="Times New Roman" w:hAnsi="Times New Roman" w:cs="Times New Roman"/>
                      <w:color w:val="auto"/>
                      <w:sz w:val="21"/>
                      <w:szCs w:val="21"/>
                      <w:highlight w:val="none"/>
                    </w:rPr>
                    <w:t>沉淀池设施及配套排水沟</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5A8C36B6">
                  <w:pPr>
                    <w:keepNext w:val="0"/>
                    <w:keepLines w:val="0"/>
                    <w:pageBreakBefore w:val="0"/>
                    <w:kinsoku/>
                    <w:wordWrap/>
                    <w:topLinePunct w:val="0"/>
                    <w:bidi w:val="0"/>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w:t>
                  </w:r>
                  <w:r>
                    <w:rPr>
                      <w:rFonts w:hint="default" w:ascii="Times New Roman" w:hAnsi="Times New Roman" w:cs="Times New Roman"/>
                      <w:color w:val="auto"/>
                      <w:kern w:val="2"/>
                      <w:sz w:val="21"/>
                      <w:szCs w:val="21"/>
                      <w:highlight w:val="none"/>
                      <w:lang w:val="en-US" w:eastAsia="zh-CN" w:bidi="ar-SA"/>
                    </w:rPr>
                    <w:t>.0</w:t>
                  </w:r>
                </w:p>
              </w:tc>
            </w:tr>
            <w:tr w14:paraId="3990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42CA67AC">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restart"/>
                  <w:tcBorders>
                    <w:tl2br w:val="nil"/>
                    <w:tr2bl w:val="nil"/>
                  </w:tcBorders>
                  <w:noWrap w:val="0"/>
                  <w:vAlign w:val="center"/>
                </w:tcPr>
                <w:p w14:paraId="601AF1D6">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noWrap w:val="0"/>
                  <w:vAlign w:val="center"/>
                </w:tcPr>
                <w:p w14:paraId="3C61F88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right="0"/>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排泥水</w:t>
                  </w:r>
                  <w:r>
                    <w:rPr>
                      <w:rFonts w:hint="eastAsia"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vertAlign w:val="baseline"/>
                      <w:lang w:val="en-US" w:eastAsia="zh-CN"/>
                    </w:rPr>
                    <w:t>排泥水</w:t>
                  </w:r>
                  <w:r>
                    <w:rPr>
                      <w:rFonts w:hint="eastAsia" w:ascii="Times New Roman" w:hAnsi="Times New Roman" w:cs="Times New Roman"/>
                      <w:b w:val="0"/>
                      <w:bCs w:val="0"/>
                      <w:color w:val="auto"/>
                      <w:sz w:val="21"/>
                      <w:szCs w:val="21"/>
                      <w:highlight w:val="none"/>
                      <w:vertAlign w:val="baseline"/>
                      <w:lang w:val="en-US" w:eastAsia="zh-CN"/>
                    </w:rPr>
                    <w:t>经沉淀后回用于厂区绿化。</w:t>
                  </w:r>
                </w:p>
              </w:tc>
              <w:tc>
                <w:tcPr>
                  <w:tcW w:w="565" w:type="pct"/>
                  <w:tcBorders>
                    <w:tl2br w:val="nil"/>
                    <w:tr2bl w:val="nil"/>
                  </w:tcBorders>
                  <w:noWrap w:val="0"/>
                  <w:vAlign w:val="center"/>
                </w:tcPr>
                <w:p w14:paraId="1CFAEE3C">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r>
            <w:tr w14:paraId="0AFC1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4058AAE1">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14:paraId="15CADC85">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noWrap w:val="0"/>
                  <w:vAlign w:val="center"/>
                </w:tcPr>
                <w:p w14:paraId="31E1EEEE">
                  <w:pPr>
                    <w:pStyle w:val="39"/>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反冲洗水</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vertAlign w:val="baseline"/>
                      <w:lang w:val="en-US" w:eastAsia="zh-CN"/>
                    </w:rPr>
                    <w:t>反冲洗水</w:t>
                  </w:r>
                  <w:r>
                    <w:rPr>
                      <w:rFonts w:hint="eastAsia" w:ascii="Times New Roman" w:hAnsi="Times New Roman" w:cs="Times New Roman"/>
                      <w:b w:val="0"/>
                      <w:bCs w:val="0"/>
                      <w:color w:val="auto"/>
                      <w:sz w:val="21"/>
                      <w:szCs w:val="21"/>
                      <w:highlight w:val="none"/>
                      <w:vertAlign w:val="baseline"/>
                      <w:lang w:val="en-US" w:eastAsia="zh-CN"/>
                    </w:rPr>
                    <w:t>经排水池收集后全部返回供水厂净水设施处理。</w:t>
                  </w:r>
                </w:p>
              </w:tc>
              <w:tc>
                <w:tcPr>
                  <w:tcW w:w="565" w:type="pct"/>
                  <w:tcBorders>
                    <w:tl2br w:val="nil"/>
                    <w:tr2bl w:val="nil"/>
                  </w:tcBorders>
                  <w:noWrap w:val="0"/>
                  <w:vAlign w:val="center"/>
                </w:tcPr>
                <w:p w14:paraId="6573BB22">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EB7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5F3C578D">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14:paraId="17BCF0F6">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noWrap w:val="0"/>
                  <w:vAlign w:val="center"/>
                </w:tcPr>
                <w:p w14:paraId="7B6F6463">
                  <w:pPr>
                    <w:pStyle w:val="39"/>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w:t>
                  </w:r>
                  <w:r>
                    <w:rPr>
                      <w:rFonts w:hint="default" w:ascii="Times New Roman" w:hAnsi="Times New Roman" w:eastAsia="宋体" w:cs="Times New Roman"/>
                      <w:color w:val="auto"/>
                      <w:sz w:val="21"/>
                      <w:szCs w:val="21"/>
                      <w:highlight w:val="none"/>
                    </w:rPr>
                    <w:t>设</w:t>
                  </w:r>
                  <w:r>
                    <w:rPr>
                      <w:rFonts w:hint="default" w:ascii="Times New Roman" w:hAnsi="Times New Roman" w:eastAsia="宋体" w:cs="Times New Roman"/>
                      <w:color w:val="auto"/>
                      <w:sz w:val="21"/>
                      <w:szCs w:val="21"/>
                      <w:highlight w:val="none"/>
                      <w:lang w:val="en-US" w:eastAsia="zh-CN"/>
                    </w:rPr>
                    <w:t>化粪池</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隘口水厂</w:t>
                  </w:r>
                  <w:r>
                    <w:rPr>
                      <w:rFonts w:hint="default" w:ascii="Times New Roman" w:hAnsi="Times New Roman" w:eastAsia="宋体" w:cs="Times New Roman"/>
                      <w:color w:val="auto"/>
                      <w:sz w:val="21"/>
                      <w:szCs w:val="21"/>
                      <w:highlight w:val="none"/>
                    </w:rPr>
                    <w:t>容积</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eastAsia" w:ascii="Times New Roman" w:hAnsi="Times New Roman" w:eastAsia="宋体"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马渡关水厂容积4m</w:t>
                  </w:r>
                  <w:r>
                    <w:rPr>
                      <w:rFonts w:hint="eastAsia"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2D5CCFB0">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w:t>
                  </w:r>
                </w:p>
              </w:tc>
            </w:tr>
            <w:tr w14:paraId="6145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tl2br w:val="nil"/>
                    <w:tr2bl w:val="nil"/>
                  </w:tcBorders>
                  <w:noWrap w:val="0"/>
                  <w:vAlign w:val="center"/>
                </w:tcPr>
                <w:p w14:paraId="166F8A33">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494" w:type="pct"/>
                  <w:tcBorders>
                    <w:tl2br w:val="nil"/>
                    <w:tr2bl w:val="nil"/>
                  </w:tcBorders>
                  <w:noWrap w:val="0"/>
                  <w:vAlign w:val="center"/>
                </w:tcPr>
                <w:p w14:paraId="74DA2B97">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326" w:type="pct"/>
                  <w:tcBorders>
                    <w:tl2br w:val="nil"/>
                    <w:tr2bl w:val="nil"/>
                  </w:tcBorders>
                  <w:noWrap w:val="0"/>
                  <w:vAlign w:val="center"/>
                </w:tcPr>
                <w:p w14:paraId="7651B6BE">
                  <w:pPr>
                    <w:pStyle w:val="39"/>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选低噪声设备，合理安排施工时间，文明施工，合理布置施工平面，车辆限速、禁鸣等</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38373F4A">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w:t>
                  </w:r>
                </w:p>
              </w:tc>
            </w:tr>
            <w:tr w14:paraId="1402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445B57A0">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tcBorders>
                    <w:tl2br w:val="nil"/>
                    <w:tr2bl w:val="nil"/>
                  </w:tcBorders>
                  <w:noWrap w:val="0"/>
                  <w:vAlign w:val="center"/>
                </w:tcPr>
                <w:p w14:paraId="77249F22">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noWrap w:val="0"/>
                  <w:vAlign w:val="center"/>
                </w:tcPr>
                <w:p w14:paraId="67997DA8">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选用低噪声设备；各类水泵采用潜水泵，噪声源位于液面以下；安装设备减震器，加强管理，通过隔声和距离衰减使噪声达标</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3ED6AF87">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w:t>
                  </w:r>
                </w:p>
              </w:tc>
            </w:tr>
            <w:tr w14:paraId="6E2A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tl2br w:val="nil"/>
                    <w:tr2bl w:val="nil"/>
                  </w:tcBorders>
                  <w:noWrap w:val="0"/>
                  <w:vAlign w:val="center"/>
                </w:tcPr>
                <w:p w14:paraId="1824D663">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494" w:type="pct"/>
                  <w:tcBorders>
                    <w:tl2br w:val="nil"/>
                    <w:tr2bl w:val="nil"/>
                  </w:tcBorders>
                  <w:noWrap w:val="0"/>
                  <w:vAlign w:val="center"/>
                </w:tcPr>
                <w:p w14:paraId="609A5EDB">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施工期</w:t>
                  </w:r>
                </w:p>
              </w:tc>
              <w:tc>
                <w:tcPr>
                  <w:tcW w:w="3326" w:type="pct"/>
                  <w:tcBorders>
                    <w:tl2br w:val="nil"/>
                    <w:tr2bl w:val="nil"/>
                  </w:tcBorders>
                  <w:noWrap w:val="0"/>
                  <w:vAlign w:val="center"/>
                </w:tcPr>
                <w:p w14:paraId="6DBD3710">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开挖土石方及时回填、覆土</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cs="Times New Roman"/>
                      <w:color w:val="auto"/>
                      <w:sz w:val="21"/>
                      <w:szCs w:val="21"/>
                      <w:highlight w:val="none"/>
                      <w:lang w:val="en-US" w:eastAsia="zh-CN"/>
                    </w:rPr>
                    <w:t>剥离的表土全部用于植物绿化的表土回覆</w:t>
                  </w:r>
                  <w:r>
                    <w:rPr>
                      <w:rFonts w:hint="default" w:ascii="Times New Roman" w:hAnsi="Times New Roman" w:eastAsia="宋体" w:cs="Times New Roman"/>
                      <w:color w:val="auto"/>
                      <w:kern w:val="2"/>
                      <w:sz w:val="21"/>
                      <w:szCs w:val="21"/>
                      <w:highlight w:val="none"/>
                      <w:lang w:val="en-US" w:eastAsia="zh-CN" w:bidi="ar-SA"/>
                    </w:rPr>
                    <w:t>；建筑垃圾分类处理，不能回收的运至建筑垃圾处置场；生活垃圾由环卫部门统一处理</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6D234832">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r>
            <w:tr w14:paraId="661E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78B242C2">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restart"/>
                  <w:tcBorders>
                    <w:tl2br w:val="nil"/>
                    <w:tr2bl w:val="nil"/>
                  </w:tcBorders>
                  <w:noWrap w:val="0"/>
                  <w:vAlign w:val="center"/>
                </w:tcPr>
                <w:p w14:paraId="7901F906">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营运期</w:t>
                  </w:r>
                </w:p>
              </w:tc>
              <w:tc>
                <w:tcPr>
                  <w:tcW w:w="3326" w:type="pct"/>
                  <w:tcBorders>
                    <w:tl2br w:val="nil"/>
                    <w:tr2bl w:val="nil"/>
                  </w:tcBorders>
                  <w:shd w:val="clear" w:color="auto" w:fill="auto"/>
                  <w:noWrap w:val="0"/>
                  <w:vAlign w:val="center"/>
                </w:tcPr>
                <w:p w14:paraId="20316C55">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经装袋收集后定期运至村上设置的垃圾收集池暂存，最终交由乡镇环卫统一处理。</w:t>
                  </w:r>
                </w:p>
              </w:tc>
              <w:tc>
                <w:tcPr>
                  <w:tcW w:w="565" w:type="pct"/>
                  <w:tcBorders>
                    <w:tl2br w:val="nil"/>
                    <w:tr2bl w:val="nil"/>
                  </w:tcBorders>
                  <w:noWrap w:val="0"/>
                  <w:vAlign w:val="center"/>
                </w:tcPr>
                <w:p w14:paraId="1AD473C9">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p>
              </w:tc>
            </w:tr>
            <w:tr w14:paraId="2B24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1AFC480D">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14:paraId="0CF3D72F">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shd w:val="clear" w:color="auto" w:fill="auto"/>
                  <w:noWrap w:val="0"/>
                  <w:vAlign w:val="center"/>
                </w:tcPr>
                <w:p w14:paraId="439794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栅渣及沉砂</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定期还田处理</w:t>
                  </w:r>
                  <w:r>
                    <w:rPr>
                      <w:rFonts w:hint="eastAsia" w:ascii="Times New Roman" w:hAnsi="Times New Roman" w:cs="Times New Roman"/>
                      <w:color w:val="auto"/>
                      <w:sz w:val="21"/>
                      <w:szCs w:val="21"/>
                      <w:highlight w:val="none"/>
                      <w:lang w:val="en-US" w:eastAsia="zh-CN"/>
                    </w:rPr>
                    <w:t>。</w:t>
                  </w:r>
                </w:p>
              </w:tc>
              <w:tc>
                <w:tcPr>
                  <w:tcW w:w="565" w:type="pct"/>
                  <w:tcBorders>
                    <w:tl2br w:val="nil"/>
                    <w:tr2bl w:val="nil"/>
                  </w:tcBorders>
                  <w:noWrap w:val="0"/>
                  <w:vAlign w:val="center"/>
                </w:tcPr>
                <w:p w14:paraId="2D2293C3">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8EE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21D7E2DA">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14:paraId="42E4AE7D">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shd w:val="clear" w:color="auto" w:fill="auto"/>
                  <w:noWrap w:val="0"/>
                  <w:vAlign w:val="center"/>
                </w:tcPr>
                <w:p w14:paraId="4BF6BC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污泥</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干化后</w:t>
                  </w:r>
                  <w:r>
                    <w:rPr>
                      <w:rFonts w:hint="default" w:ascii="Times New Roman" w:hAnsi="Times New Roman" w:cs="Times New Roman"/>
                      <w:color w:val="auto"/>
                      <w:sz w:val="21"/>
                      <w:szCs w:val="21"/>
                      <w:highlight w:val="none"/>
                      <w:lang w:val="en-US" w:eastAsia="zh-CN"/>
                    </w:rPr>
                    <w:t>含水率＜60%</w:t>
                  </w:r>
                  <w:r>
                    <w:rPr>
                      <w:rFonts w:hint="eastAsia" w:ascii="宋体" w:hAnsi="宋体" w:eastAsia="宋体" w:cs="宋体"/>
                      <w:color w:val="auto"/>
                      <w:kern w:val="0"/>
                      <w:sz w:val="21"/>
                      <w:szCs w:val="21"/>
                      <w:lang w:val="en-US" w:eastAsia="zh-CN" w:bidi="ar"/>
                    </w:rPr>
                    <w:t>送</w:t>
                  </w:r>
                  <w:r>
                    <w:rPr>
                      <w:rFonts w:hint="eastAsia" w:ascii="宋体" w:hAnsi="宋体" w:eastAsia="宋体" w:cs="宋体"/>
                      <w:color w:val="auto"/>
                      <w:sz w:val="21"/>
                      <w:szCs w:val="21"/>
                    </w:rPr>
                    <w:t>宣汉海诺尔环保发电有限公司焚烧处理</w:t>
                  </w:r>
                  <w:r>
                    <w:rPr>
                      <w:rFonts w:hint="eastAsia" w:ascii="Times New Roman" w:hAnsi="Times New Roman" w:cs="Times New Roman"/>
                      <w:color w:val="auto"/>
                      <w:sz w:val="21"/>
                      <w:szCs w:val="21"/>
                      <w:lang w:eastAsia="zh-CN"/>
                    </w:rPr>
                    <w:t>。</w:t>
                  </w:r>
                </w:p>
              </w:tc>
              <w:tc>
                <w:tcPr>
                  <w:tcW w:w="565" w:type="pct"/>
                  <w:tcBorders>
                    <w:tl2br w:val="nil"/>
                    <w:tr2bl w:val="nil"/>
                  </w:tcBorders>
                  <w:noWrap w:val="0"/>
                  <w:vAlign w:val="center"/>
                </w:tcPr>
                <w:p w14:paraId="4C40A43D">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8.0</w:t>
                  </w:r>
                </w:p>
              </w:tc>
            </w:tr>
            <w:tr w14:paraId="6AFF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79F3D788">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14:paraId="6B24920F">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shd w:val="clear" w:color="auto" w:fill="auto"/>
                  <w:noWrap w:val="0"/>
                  <w:vAlign w:val="center"/>
                </w:tcPr>
                <w:p w14:paraId="14FDBB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w:t>
                  </w:r>
                  <w:r>
                    <w:rPr>
                      <w:rFonts w:hint="eastAsia" w:ascii="Times New Roman" w:hAnsi="Times New Roman" w:cs="Times New Roman"/>
                      <w:color w:val="auto"/>
                      <w:sz w:val="21"/>
                      <w:szCs w:val="21"/>
                      <w:highlight w:val="none"/>
                      <w:lang w:val="en-US" w:eastAsia="zh-CN"/>
                    </w:rPr>
                    <w:t>填料：</w:t>
                  </w:r>
                  <w:r>
                    <w:rPr>
                      <w:rFonts w:hint="default" w:ascii="Times New Roman" w:hAnsi="Times New Roman" w:cs="Times New Roman"/>
                      <w:color w:val="auto"/>
                      <w:sz w:val="21"/>
                      <w:szCs w:val="21"/>
                      <w:highlight w:val="none"/>
                      <w:lang w:eastAsia="zh-CN"/>
                    </w:rPr>
                    <w:t>交由厂商回收处理</w:t>
                  </w:r>
                  <w:r>
                    <w:rPr>
                      <w:rFonts w:hint="eastAsia" w:ascii="Times New Roman" w:hAnsi="Times New Roman" w:cs="Times New Roman"/>
                      <w:color w:val="auto"/>
                      <w:sz w:val="21"/>
                      <w:szCs w:val="21"/>
                      <w:highlight w:val="none"/>
                      <w:lang w:eastAsia="zh-CN"/>
                    </w:rPr>
                    <w:t>。</w:t>
                  </w:r>
                </w:p>
              </w:tc>
              <w:tc>
                <w:tcPr>
                  <w:tcW w:w="565" w:type="pct"/>
                  <w:tcBorders>
                    <w:tl2br w:val="nil"/>
                    <w:tr2bl w:val="nil"/>
                  </w:tcBorders>
                  <w:noWrap w:val="0"/>
                  <w:vAlign w:val="center"/>
                </w:tcPr>
                <w:p w14:paraId="19FD8D1B">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971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7ED68361">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494" w:type="pct"/>
                  <w:vMerge w:val="continue"/>
                  <w:tcBorders>
                    <w:tl2br w:val="nil"/>
                    <w:tr2bl w:val="nil"/>
                  </w:tcBorders>
                  <w:noWrap w:val="0"/>
                  <w:vAlign w:val="center"/>
                </w:tcPr>
                <w:p w14:paraId="7F6836C5">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p>
              </w:tc>
              <w:tc>
                <w:tcPr>
                  <w:tcW w:w="3326" w:type="pct"/>
                  <w:tcBorders>
                    <w:tl2br w:val="nil"/>
                    <w:tr2bl w:val="nil"/>
                  </w:tcBorders>
                  <w:shd w:val="clear" w:color="auto" w:fill="auto"/>
                  <w:noWrap w:val="0"/>
                  <w:vAlign w:val="center"/>
                </w:tcPr>
                <w:p w14:paraId="0CDD7E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废包装材料</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交由废品收购站回收</w:t>
                  </w:r>
                  <w:r>
                    <w:rPr>
                      <w:rFonts w:hint="eastAsia" w:ascii="Times New Roman" w:hAnsi="Times New Roman" w:cs="Times New Roman"/>
                      <w:color w:val="auto"/>
                      <w:sz w:val="21"/>
                      <w:szCs w:val="21"/>
                      <w:highlight w:val="none"/>
                      <w:lang w:val="en-US" w:eastAsia="zh-CN"/>
                    </w:rPr>
                    <w:t>。</w:t>
                  </w:r>
                </w:p>
              </w:tc>
              <w:tc>
                <w:tcPr>
                  <w:tcW w:w="565" w:type="pct"/>
                  <w:tcBorders>
                    <w:tl2br w:val="nil"/>
                    <w:tr2bl w:val="nil"/>
                  </w:tcBorders>
                  <w:noWrap w:val="0"/>
                  <w:vAlign w:val="center"/>
                </w:tcPr>
                <w:p w14:paraId="2E5358D0">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39E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restart"/>
                  <w:tcBorders>
                    <w:tl2br w:val="nil"/>
                    <w:tr2bl w:val="nil"/>
                  </w:tcBorders>
                  <w:noWrap w:val="0"/>
                  <w:vAlign w:val="center"/>
                </w:tcPr>
                <w:p w14:paraId="51434248">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地下水</w:t>
                  </w:r>
                </w:p>
              </w:tc>
              <w:tc>
                <w:tcPr>
                  <w:tcW w:w="3821" w:type="pct"/>
                  <w:gridSpan w:val="2"/>
                  <w:tcBorders>
                    <w:tl2br w:val="nil"/>
                    <w:tr2bl w:val="nil"/>
                  </w:tcBorders>
                  <w:noWrap w:val="0"/>
                  <w:vAlign w:val="center"/>
                </w:tcPr>
                <w:p w14:paraId="3FDFADC9">
                  <w:pPr>
                    <w:keepNext w:val="0"/>
                    <w:keepLines w:val="0"/>
                    <w:pageBreakBefore w:val="0"/>
                    <w:kinsoku/>
                    <w:wordWrap/>
                    <w:overflowPunct/>
                    <w:topLinePunct w:val="0"/>
                    <w:autoSpaceDE/>
                    <w:autoSpaceDN/>
                    <w:bidi w:val="0"/>
                    <w:spacing w:line="240" w:lineRule="auto"/>
                    <w:ind w:left="0" w:leftChars="0"/>
                    <w:jc w:val="both"/>
                    <w:rPr>
                      <w:rFonts w:hint="eastAsia"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一般防渗区</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包括</w:t>
                  </w:r>
                  <w:r>
                    <w:rPr>
                      <w:rFonts w:hint="eastAsia" w:ascii="Times New Roman" w:hAnsi="Times New Roman" w:eastAsia="宋体" w:cs="Times New Roman"/>
                      <w:color w:val="auto"/>
                      <w:sz w:val="21"/>
                      <w:szCs w:val="21"/>
                      <w:highlight w:val="none"/>
                      <w:vertAlign w:val="baseline"/>
                      <w:lang w:val="en-US" w:eastAsia="zh-CN"/>
                    </w:rPr>
                    <w:t>净水</w:t>
                  </w:r>
                  <w:r>
                    <w:rPr>
                      <w:rFonts w:hint="default" w:ascii="Times New Roman" w:hAnsi="Times New Roman" w:eastAsia="宋体" w:cs="Times New Roman"/>
                      <w:color w:val="auto"/>
                      <w:sz w:val="21"/>
                      <w:szCs w:val="21"/>
                      <w:highlight w:val="none"/>
                      <w:vertAlign w:val="baseline"/>
                      <w:lang w:val="en-US" w:eastAsia="zh-CN"/>
                    </w:rPr>
                    <w:t>一体化设备</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清水池、排水排泥池、送水泵房</w:t>
                  </w:r>
                  <w:r>
                    <w:rPr>
                      <w:rFonts w:hint="default" w:ascii="Times New Roman" w:hAnsi="Times New Roman" w:eastAsia="宋体" w:cs="Times New Roman"/>
                      <w:color w:val="auto"/>
                      <w:sz w:val="21"/>
                      <w:szCs w:val="21"/>
                      <w:highlight w:val="none"/>
                      <w:lang w:val="en-US" w:eastAsia="zh-CN"/>
                    </w:rPr>
                    <w:t>等</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采用</w:t>
                  </w:r>
                  <w:r>
                    <w:rPr>
                      <w:rFonts w:hint="default" w:ascii="Times New Roman" w:hAnsi="Times New Roman" w:cs="Times New Roman"/>
                      <w:color w:val="auto"/>
                      <w:sz w:val="21"/>
                      <w:szCs w:val="21"/>
                      <w:highlight w:val="none"/>
                      <w:lang w:val="en-US" w:eastAsia="zh-CN" w:bidi="ar"/>
                    </w:rPr>
                    <w:t>25cmC30</w:t>
                  </w:r>
                  <w:r>
                    <w:rPr>
                      <w:rFonts w:hint="default" w:ascii="Times New Roman" w:hAnsi="Times New Roman" w:cs="Times New Roman" w:eastAsiaTheme="minorEastAsia"/>
                      <w:color w:val="auto"/>
                      <w:sz w:val="21"/>
                      <w:szCs w:val="21"/>
                      <w:highlight w:val="none"/>
                    </w:rPr>
                    <w:t>防渗混凝土+黏土防渗层</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rPr>
                    <w:t>确保防渗性能与1.5m厚黏土防渗层等效，防渗系数K≤1×10</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eastAsia" w:ascii="Times New Roman" w:hAnsi="Times New Roman" w:cs="Times New Roman"/>
                      <w:color w:val="auto"/>
                      <w:sz w:val="21"/>
                      <w:szCs w:val="21"/>
                      <w:lang w:eastAsia="zh-CN"/>
                    </w:rPr>
                    <w:t>。</w:t>
                  </w:r>
                </w:p>
              </w:tc>
              <w:tc>
                <w:tcPr>
                  <w:tcW w:w="565" w:type="pct"/>
                  <w:vMerge w:val="restart"/>
                  <w:tcBorders>
                    <w:tl2br w:val="nil"/>
                    <w:tr2bl w:val="nil"/>
                  </w:tcBorders>
                  <w:noWrap w:val="0"/>
                  <w:vAlign w:val="center"/>
                </w:tcPr>
                <w:p w14:paraId="47007D26">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w:t>
                  </w:r>
                </w:p>
              </w:tc>
            </w:tr>
            <w:tr w14:paraId="4543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vMerge w:val="continue"/>
                  <w:tcBorders>
                    <w:tl2br w:val="nil"/>
                    <w:tr2bl w:val="nil"/>
                  </w:tcBorders>
                  <w:noWrap w:val="0"/>
                  <w:vAlign w:val="center"/>
                </w:tcPr>
                <w:p w14:paraId="3E872D8E">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p>
              </w:tc>
              <w:tc>
                <w:tcPr>
                  <w:tcW w:w="3821" w:type="pct"/>
                  <w:gridSpan w:val="2"/>
                  <w:tcBorders>
                    <w:tl2br w:val="nil"/>
                    <w:tr2bl w:val="nil"/>
                  </w:tcBorders>
                  <w:noWrap w:val="0"/>
                  <w:vAlign w:val="center"/>
                </w:tcPr>
                <w:p w14:paraId="54329C1E">
                  <w:pPr>
                    <w:keepNext w:val="0"/>
                    <w:keepLines w:val="0"/>
                    <w:pageBreakBefore w:val="0"/>
                    <w:kinsoku/>
                    <w:wordWrap/>
                    <w:overflowPunct/>
                    <w:topLinePunct w:val="0"/>
                    <w:autoSpaceDE/>
                    <w:autoSpaceDN/>
                    <w:bidi w:val="0"/>
                    <w:spacing w:line="240" w:lineRule="auto"/>
                    <w:ind w:left="0" w:leftChars="0"/>
                    <w:jc w:val="both"/>
                    <w:rPr>
                      <w:rFonts w:hint="eastAsia"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简单防渗区</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采取</w:t>
                  </w:r>
                  <w:r>
                    <w:rPr>
                      <w:rFonts w:hint="default" w:ascii="Times New Roman" w:hAnsi="Times New Roman" w:cs="Times New Roman"/>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rPr>
                    <w:t>地面硬化</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包括</w:t>
                  </w:r>
                  <w:r>
                    <w:rPr>
                      <w:rFonts w:hint="eastAsia" w:ascii="Times New Roman" w:hAnsi="Times New Roman" w:cs="Times New Roman"/>
                      <w:color w:val="auto"/>
                      <w:sz w:val="21"/>
                      <w:szCs w:val="21"/>
                      <w:highlight w:val="none"/>
                      <w:lang w:val="en-US" w:eastAsia="zh-CN"/>
                    </w:rPr>
                    <w:t>管理用房</w:t>
                  </w:r>
                  <w:r>
                    <w:rPr>
                      <w:rFonts w:hint="default" w:ascii="Times New Roman" w:hAnsi="Times New Roman" w:cs="Times New Roman"/>
                      <w:color w:val="auto"/>
                      <w:sz w:val="21"/>
                      <w:szCs w:val="21"/>
                      <w:highlight w:val="none"/>
                      <w:lang w:val="en-US" w:eastAsia="zh-CN"/>
                    </w:rPr>
                    <w:t>、厂区道路、除一般防渗区以外的区域</w:t>
                  </w:r>
                  <w:r>
                    <w:rPr>
                      <w:rFonts w:hint="default" w:ascii="Times New Roman" w:hAnsi="Times New Roman" w:cs="Times New Roman"/>
                      <w:color w:val="auto"/>
                      <w:sz w:val="21"/>
                      <w:szCs w:val="21"/>
                      <w:highlight w:val="none"/>
                      <w:lang w:eastAsia="zh-CN"/>
                    </w:rPr>
                    <w:t>。</w:t>
                  </w:r>
                </w:p>
              </w:tc>
              <w:tc>
                <w:tcPr>
                  <w:tcW w:w="565" w:type="pct"/>
                  <w:vMerge w:val="continue"/>
                  <w:tcBorders>
                    <w:tl2br w:val="nil"/>
                    <w:tr2bl w:val="nil"/>
                  </w:tcBorders>
                  <w:noWrap w:val="0"/>
                  <w:vAlign w:val="center"/>
                </w:tcPr>
                <w:p w14:paraId="6F44F417">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p>
              </w:tc>
            </w:tr>
            <w:tr w14:paraId="25CD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14:paraId="01565831">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3821" w:type="pct"/>
                  <w:gridSpan w:val="2"/>
                  <w:tcBorders>
                    <w:tl2br w:val="nil"/>
                    <w:tr2bl w:val="nil"/>
                  </w:tcBorders>
                  <w:noWrap w:val="0"/>
                  <w:vAlign w:val="center"/>
                </w:tcPr>
                <w:p w14:paraId="0B682962">
                  <w:pPr>
                    <w:keepNext w:val="0"/>
                    <w:keepLines w:val="0"/>
                    <w:pageBreakBefore w:val="0"/>
                    <w:kinsoku/>
                    <w:wordWrap/>
                    <w:overflowPunct/>
                    <w:topLinePunct w:val="0"/>
                    <w:autoSpaceDE/>
                    <w:autoSpaceDN/>
                    <w:bidi w:val="0"/>
                    <w:ind w:left="0" w:leftChars="0"/>
                    <w:jc w:val="both"/>
                    <w:rPr>
                      <w:rFonts w:hint="eastAsia"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rPr>
                    <w:t>规范化操作、建立必要的预备系统或设备、</w:t>
                  </w:r>
                  <w:r>
                    <w:rPr>
                      <w:rFonts w:hint="default" w:ascii="Times New Roman" w:hAnsi="Times New Roman" w:eastAsia="宋体" w:cs="Times New Roman"/>
                      <w:color w:val="auto"/>
                      <w:sz w:val="21"/>
                      <w:szCs w:val="21"/>
                      <w:highlight w:val="none"/>
                      <w:lang w:val="en-US" w:eastAsia="zh-CN"/>
                    </w:rPr>
                    <w:t>配备相应品种和数量的消防器材、</w:t>
                  </w:r>
                  <w:r>
                    <w:rPr>
                      <w:rFonts w:hint="default" w:ascii="Times New Roman" w:hAnsi="Times New Roman" w:cs="Times New Roman"/>
                      <w:color w:val="auto"/>
                      <w:sz w:val="21"/>
                      <w:szCs w:val="21"/>
                      <w:highlight w:val="none"/>
                    </w:rPr>
                    <w:t>制定事故及时处理计划、编制应急预案，制定高效的应急措施、地下水和土壤环境防渗</w:t>
                  </w:r>
                  <w:r>
                    <w:rPr>
                      <w:rFonts w:hint="eastAsia" w:ascii="Times New Roman" w:hAnsi="Times New Roman" w:cs="Times New Roman"/>
                      <w:color w:val="auto"/>
                      <w:sz w:val="21"/>
                      <w:szCs w:val="21"/>
                      <w:highlight w:val="none"/>
                      <w:lang w:eastAsia="zh-CN"/>
                    </w:rPr>
                    <w:t>。</w:t>
                  </w:r>
                </w:p>
              </w:tc>
              <w:tc>
                <w:tcPr>
                  <w:tcW w:w="565" w:type="pct"/>
                  <w:tcBorders>
                    <w:tl2br w:val="nil"/>
                    <w:tr2bl w:val="nil"/>
                  </w:tcBorders>
                  <w:noWrap w:val="0"/>
                  <w:vAlign w:val="center"/>
                </w:tcPr>
                <w:p w14:paraId="10641025">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20.0</w:t>
                  </w:r>
                </w:p>
              </w:tc>
            </w:tr>
            <w:tr w14:paraId="7241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14:paraId="3C441581">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color w:val="auto"/>
                      <w:sz w:val="21"/>
                      <w:szCs w:val="21"/>
                      <w:highlight w:val="none"/>
                    </w:rPr>
                    <w:t>生态保护</w:t>
                  </w:r>
                </w:p>
              </w:tc>
              <w:tc>
                <w:tcPr>
                  <w:tcW w:w="3821" w:type="pct"/>
                  <w:gridSpan w:val="2"/>
                  <w:tcBorders>
                    <w:tl2br w:val="nil"/>
                    <w:tr2bl w:val="nil"/>
                  </w:tcBorders>
                  <w:noWrap w:val="0"/>
                  <w:vAlign w:val="center"/>
                </w:tcPr>
                <w:p w14:paraId="1D4FFB41">
                  <w:pPr>
                    <w:keepNext w:val="0"/>
                    <w:keepLines w:val="0"/>
                    <w:pageBreakBefore w:val="0"/>
                    <w:kinsoku/>
                    <w:wordWrap/>
                    <w:overflowPunct/>
                    <w:topLinePunct w:val="0"/>
                    <w:autoSpaceDE/>
                    <w:autoSpaceDN/>
                    <w:bidi w:val="0"/>
                    <w:ind w:left="0" w:leftChars="0"/>
                    <w:jc w:val="both"/>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eastAsiaTheme="minorEastAsia"/>
                      <w:color w:val="auto"/>
                      <w:sz w:val="21"/>
                      <w:szCs w:val="21"/>
                      <w:highlight w:val="none"/>
                    </w:rPr>
                    <w:t>妥善处理施工期产生的各类污染物，防止对重点地段的生态环境造成较大的污染</w:t>
                  </w:r>
                  <w:r>
                    <w:rPr>
                      <w:rFonts w:hint="default" w:ascii="Times New Roman" w:hAnsi="Times New Roman" w:cs="Times New Roman" w:eastAsiaTheme="minorEastAsia"/>
                      <w:color w:val="auto"/>
                      <w:sz w:val="21"/>
                      <w:szCs w:val="21"/>
                      <w:highlight w:val="none"/>
                      <w:lang w:eastAsia="zh-CN"/>
                    </w:rPr>
                    <w:t>；</w:t>
                  </w:r>
                  <w:r>
                    <w:rPr>
                      <w:rFonts w:hint="default" w:ascii="Times New Roman" w:hAnsi="Times New Roman" w:cs="Times New Roman" w:eastAsiaTheme="minorEastAsia"/>
                      <w:color w:val="auto"/>
                      <w:sz w:val="21"/>
                      <w:szCs w:val="21"/>
                      <w:highlight w:val="none"/>
                      <w:lang w:val="en-US" w:eastAsia="zh-CN"/>
                    </w:rPr>
                    <w:t>做好迹地恢复</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eastAsiaTheme="minorEastAsia"/>
                      <w:color w:val="auto"/>
                      <w:sz w:val="21"/>
                      <w:szCs w:val="21"/>
                      <w:highlight w:val="none"/>
                      <w:lang w:val="en-US" w:eastAsia="zh-CN"/>
                    </w:rPr>
                    <w:t>植被恢复</w:t>
                  </w:r>
                  <w:r>
                    <w:rPr>
                      <w:rFonts w:hint="default" w:ascii="Times New Roman" w:hAnsi="Times New Roman" w:cs="Times New Roman"/>
                      <w:color w:val="auto"/>
                      <w:sz w:val="21"/>
                      <w:szCs w:val="21"/>
                      <w:highlight w:val="none"/>
                      <w:lang w:val="en-US" w:eastAsia="zh-CN"/>
                    </w:rPr>
                    <w:t>等</w:t>
                  </w:r>
                  <w:r>
                    <w:rPr>
                      <w:rFonts w:hint="default" w:ascii="Times New Roman" w:hAnsi="Times New Roman" w:cs="Times New Roman" w:eastAsiaTheme="minorEastAsia"/>
                      <w:color w:val="auto"/>
                      <w:sz w:val="21"/>
                      <w:szCs w:val="21"/>
                      <w:highlight w:val="none"/>
                      <w:lang w:val="en-US" w:eastAsia="zh-CN"/>
                    </w:rPr>
                    <w:t>。</w:t>
                  </w:r>
                </w:p>
              </w:tc>
              <w:tc>
                <w:tcPr>
                  <w:tcW w:w="565" w:type="pct"/>
                  <w:tcBorders>
                    <w:tl2br w:val="nil"/>
                    <w:tr2bl w:val="nil"/>
                  </w:tcBorders>
                  <w:noWrap w:val="0"/>
                  <w:vAlign w:val="center"/>
                </w:tcPr>
                <w:p w14:paraId="30510CC9">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w:t>
                  </w:r>
                </w:p>
              </w:tc>
            </w:tr>
            <w:tr w14:paraId="44BF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14:paraId="47E6D36B">
                  <w:pPr>
                    <w:pStyle w:val="39"/>
                    <w:keepNext w:val="0"/>
                    <w:keepLines w:val="0"/>
                    <w:pageBreakBefore w:val="0"/>
                    <w:kinsoku/>
                    <w:wordWrap/>
                    <w:topLinePunct w:val="0"/>
                    <w:bidi w:val="0"/>
                    <w:ind w:left="0" w:leftChars="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环境监测</w:t>
                  </w:r>
                </w:p>
              </w:tc>
              <w:tc>
                <w:tcPr>
                  <w:tcW w:w="3821" w:type="pct"/>
                  <w:gridSpan w:val="2"/>
                  <w:tcBorders>
                    <w:tl2br w:val="nil"/>
                    <w:tr2bl w:val="nil"/>
                  </w:tcBorders>
                  <w:noWrap w:val="0"/>
                  <w:vAlign w:val="center"/>
                </w:tcPr>
                <w:p w14:paraId="2093B846">
                  <w:pPr>
                    <w:keepNext w:val="0"/>
                    <w:keepLines w:val="0"/>
                    <w:pageBreakBefore w:val="0"/>
                    <w:kinsoku/>
                    <w:wordWrap/>
                    <w:topLinePunct w:val="0"/>
                    <w:bidi w:val="0"/>
                    <w:ind w:left="0" w:leftChars="0"/>
                    <w:jc w:val="both"/>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制定自行监测方案，定期开展污染源监测</w:t>
                  </w:r>
                  <w:r>
                    <w:rPr>
                      <w:rFonts w:hint="eastAsia" w:ascii="Times New Roman" w:hAnsi="Times New Roman" w:cs="Times New Roman"/>
                      <w:color w:val="auto"/>
                      <w:sz w:val="21"/>
                      <w:szCs w:val="21"/>
                      <w:highlight w:val="none"/>
                      <w:lang w:eastAsia="zh-CN"/>
                    </w:rPr>
                    <w:t>。</w:t>
                  </w:r>
                </w:p>
              </w:tc>
              <w:tc>
                <w:tcPr>
                  <w:tcW w:w="565" w:type="pct"/>
                  <w:tcBorders>
                    <w:tl2br w:val="nil"/>
                    <w:tr2bl w:val="nil"/>
                  </w:tcBorders>
                  <w:noWrap w:val="0"/>
                  <w:vAlign w:val="center"/>
                </w:tcPr>
                <w:p w14:paraId="7B795DA4">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6.0</w:t>
                  </w:r>
                </w:p>
              </w:tc>
            </w:tr>
            <w:tr w14:paraId="7C2F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2" w:type="pct"/>
                  <w:tcBorders>
                    <w:tl2br w:val="nil"/>
                    <w:tr2bl w:val="nil"/>
                  </w:tcBorders>
                  <w:noWrap w:val="0"/>
                  <w:vAlign w:val="center"/>
                </w:tcPr>
                <w:p w14:paraId="31194693">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3821" w:type="pct"/>
                  <w:gridSpan w:val="2"/>
                  <w:tcBorders>
                    <w:tl2br w:val="nil"/>
                    <w:tr2bl w:val="nil"/>
                  </w:tcBorders>
                  <w:noWrap w:val="0"/>
                  <w:vAlign w:val="center"/>
                </w:tcPr>
                <w:p w14:paraId="530247B6">
                  <w:pPr>
                    <w:keepNext w:val="0"/>
                    <w:keepLines w:val="0"/>
                    <w:pageBreakBefore w:val="0"/>
                    <w:kinsoku/>
                    <w:wordWrap/>
                    <w:overflowPunct/>
                    <w:topLinePunct w:val="0"/>
                    <w:autoSpaceDE/>
                    <w:autoSpaceDN/>
                    <w:bidi w:val="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65" w:type="pct"/>
                  <w:tcBorders>
                    <w:tl2br w:val="nil"/>
                    <w:tr2bl w:val="nil"/>
                  </w:tcBorders>
                  <w:noWrap w:val="0"/>
                  <w:vAlign w:val="center"/>
                </w:tcPr>
                <w:p w14:paraId="21FA6FEC">
                  <w:pPr>
                    <w:keepNext w:val="0"/>
                    <w:keepLines w:val="0"/>
                    <w:pageBreakBefore w:val="0"/>
                    <w:kinsoku/>
                    <w:wordWrap/>
                    <w:overflowPunct/>
                    <w:topLinePunct w:val="0"/>
                    <w:autoSpaceDE/>
                    <w:autoSpaceDN/>
                    <w:bidi w:val="0"/>
                    <w:ind w:left="0" w:lef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106</w:t>
                  </w:r>
                </w:p>
              </w:tc>
            </w:tr>
          </w:tbl>
          <w:p w14:paraId="78FBBA7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379F5E0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4456B35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1936014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28A31DC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3E13B8D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right="0"/>
              <w:textAlignment w:val="auto"/>
              <w:rPr>
                <w:rFonts w:hint="default" w:ascii="Times New Roman" w:hAnsi="Times New Roman" w:cs="Times New Roman"/>
                <w:color w:val="auto"/>
                <w:sz w:val="24"/>
                <w:szCs w:val="24"/>
                <w:highlight w:val="none"/>
                <w:lang w:val="en-US" w:eastAsia="zh-CN"/>
              </w:rPr>
            </w:pPr>
          </w:p>
          <w:p w14:paraId="4F6D36C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7A2C1A8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1A6AFFA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066F960F">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1F69538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63C125C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6B87547C">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011F0157">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5C7F60E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0936AA0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77F7180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4A5B78C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2F73785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3D8BEBB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p>
          <w:p w14:paraId="67CF4E6B">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vertAlign w:val="baseline"/>
                <w:lang w:eastAsia="zh-CN"/>
              </w:rPr>
            </w:pPr>
          </w:p>
        </w:tc>
      </w:tr>
    </w:tbl>
    <w:p w14:paraId="4DD08379">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lang w:eastAsia="zh-CN"/>
        </w:rPr>
      </w:pPr>
    </w:p>
    <w:p w14:paraId="0235C49C">
      <w:pPr>
        <w:pStyle w:val="30"/>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9CED812">
      <w:pPr>
        <w:pStyle w:val="30"/>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五、环境保护措施监督检查清单</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320"/>
        <w:gridCol w:w="1848"/>
        <w:gridCol w:w="1376"/>
        <w:gridCol w:w="3333"/>
        <w:gridCol w:w="1984"/>
      </w:tblGrid>
      <w:tr w14:paraId="46DA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tcBorders>
              <w:tl2br w:val="single" w:color="auto" w:sz="4" w:space="0"/>
            </w:tcBorders>
            <w:vAlign w:val="center"/>
          </w:tcPr>
          <w:p w14:paraId="783D817C">
            <w:pPr>
              <w:keepNext w:val="0"/>
              <w:keepLines w:val="0"/>
              <w:pageBreakBefore w:val="0"/>
              <w:kinsoku/>
              <w:wordWrap/>
              <w:topLinePunct w:val="0"/>
              <w:bidi w:val="0"/>
              <w:spacing w:line="240" w:lineRule="auto"/>
              <w:ind w:left="0" w:leftChars="0"/>
              <w:jc w:val="right"/>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内容</w:t>
            </w:r>
          </w:p>
          <w:p w14:paraId="05A5700D">
            <w:pPr>
              <w:keepNext w:val="0"/>
              <w:keepLines w:val="0"/>
              <w:pageBreakBefore w:val="0"/>
              <w:kinsoku/>
              <w:wordWrap/>
              <w:topLinePunct w:val="0"/>
              <w:bidi w:val="0"/>
              <w:spacing w:line="240" w:lineRule="auto"/>
              <w:ind w:left="0" w:leftChars="0"/>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要素</w:t>
            </w:r>
          </w:p>
        </w:tc>
        <w:tc>
          <w:tcPr>
            <w:tcW w:w="937" w:type="pct"/>
            <w:vAlign w:val="center"/>
          </w:tcPr>
          <w:p w14:paraId="388C43AD">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排放口（编号、名称）/污染源</w:t>
            </w:r>
          </w:p>
        </w:tc>
        <w:tc>
          <w:tcPr>
            <w:tcW w:w="697" w:type="pct"/>
            <w:vAlign w:val="center"/>
          </w:tcPr>
          <w:p w14:paraId="4132B6DF">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污染物项目</w:t>
            </w:r>
          </w:p>
        </w:tc>
        <w:tc>
          <w:tcPr>
            <w:tcW w:w="1689" w:type="pct"/>
            <w:vAlign w:val="center"/>
          </w:tcPr>
          <w:p w14:paraId="2C7BB6B2">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环境保护措施</w:t>
            </w:r>
          </w:p>
        </w:tc>
        <w:tc>
          <w:tcPr>
            <w:tcW w:w="1005" w:type="pct"/>
            <w:vAlign w:val="center"/>
          </w:tcPr>
          <w:p w14:paraId="7D744E56">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执行标准</w:t>
            </w:r>
          </w:p>
        </w:tc>
      </w:tr>
      <w:tr w14:paraId="4453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14:paraId="6752D6A5">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大气环境</w:t>
            </w:r>
          </w:p>
        </w:tc>
        <w:tc>
          <w:tcPr>
            <w:tcW w:w="937" w:type="pct"/>
            <w:vAlign w:val="center"/>
          </w:tcPr>
          <w:p w14:paraId="44F3A9F7">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w:t>
            </w:r>
          </w:p>
        </w:tc>
        <w:tc>
          <w:tcPr>
            <w:tcW w:w="697" w:type="pct"/>
            <w:vAlign w:val="center"/>
          </w:tcPr>
          <w:p w14:paraId="369B40FC">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1689" w:type="pct"/>
            <w:vAlign w:val="center"/>
          </w:tcPr>
          <w:p w14:paraId="73779727">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
              </w:rPr>
              <w:t>/</w:t>
            </w:r>
          </w:p>
        </w:tc>
        <w:tc>
          <w:tcPr>
            <w:tcW w:w="1005" w:type="pct"/>
            <w:vAlign w:val="center"/>
          </w:tcPr>
          <w:p w14:paraId="15E58B53">
            <w:pPr>
              <w:keepNext w:val="0"/>
              <w:keepLines w:val="0"/>
              <w:pageBreakBefore w:val="0"/>
              <w:kinsoku/>
              <w:wordWrap/>
              <w:topLinePunct w:val="0"/>
              <w:bidi w:val="0"/>
              <w:spacing w:line="240"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w:t>
            </w:r>
          </w:p>
        </w:tc>
      </w:tr>
      <w:tr w14:paraId="17C0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7" w:hRule="atLeast"/>
          <w:jc w:val="center"/>
        </w:trPr>
        <w:tc>
          <w:tcPr>
            <w:tcW w:w="669" w:type="pct"/>
            <w:vMerge w:val="restart"/>
            <w:vAlign w:val="center"/>
          </w:tcPr>
          <w:p w14:paraId="4A0986B9">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地表水环境</w:t>
            </w:r>
          </w:p>
        </w:tc>
        <w:tc>
          <w:tcPr>
            <w:tcW w:w="937" w:type="pct"/>
            <w:vAlign w:val="center"/>
          </w:tcPr>
          <w:p w14:paraId="3A3A0499">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生活污水</w:t>
            </w:r>
          </w:p>
        </w:tc>
        <w:tc>
          <w:tcPr>
            <w:tcW w:w="697" w:type="pct"/>
            <w:vAlign w:val="center"/>
          </w:tcPr>
          <w:p w14:paraId="7E88DB91">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pH、COD、BOD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TP</w:t>
            </w:r>
            <w:r>
              <w:rPr>
                <w:rFonts w:hint="default" w:ascii="Times New Roman" w:hAnsi="Times New Roman" w:cs="Times New Roman"/>
                <w:color w:val="auto"/>
                <w:sz w:val="21"/>
                <w:szCs w:val="21"/>
                <w:highlight w:val="none"/>
                <w:lang w:val="en-US" w:eastAsia="zh-CN"/>
              </w:rPr>
              <w:t>等</w:t>
            </w:r>
          </w:p>
        </w:tc>
        <w:tc>
          <w:tcPr>
            <w:tcW w:w="1689" w:type="pct"/>
            <w:vAlign w:val="center"/>
          </w:tcPr>
          <w:p w14:paraId="2B0A4C21">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经</w:t>
            </w:r>
            <w:r>
              <w:rPr>
                <w:rFonts w:hint="default" w:ascii="Times New Roman" w:hAnsi="Times New Roman" w:cs="Times New Roman"/>
                <w:bCs/>
                <w:color w:val="auto"/>
                <w:sz w:val="21"/>
                <w:szCs w:val="21"/>
                <w:highlight w:val="none"/>
                <w:lang w:val="en-US" w:eastAsia="zh-CN"/>
              </w:rPr>
              <w:t>化粪池</w:t>
            </w:r>
            <w:r>
              <w:rPr>
                <w:rFonts w:hint="default" w:ascii="Times New Roman" w:hAnsi="Times New Roman" w:cs="Times New Roman"/>
                <w:color w:val="auto"/>
                <w:sz w:val="21"/>
                <w:szCs w:val="21"/>
                <w:highlight w:val="none"/>
                <w:lang w:val="en-US" w:eastAsia="zh-CN"/>
              </w:rPr>
              <w:t>处理后用于农肥</w:t>
            </w:r>
            <w:r>
              <w:rPr>
                <w:rFonts w:hint="eastAsia" w:ascii="Times New Roman" w:hAnsi="Times New Roman" w:cs="Times New Roman"/>
                <w:color w:val="auto"/>
                <w:sz w:val="21"/>
                <w:szCs w:val="21"/>
                <w:highlight w:val="none"/>
                <w:lang w:val="en-US" w:eastAsia="zh-CN"/>
              </w:rPr>
              <w:t>。</w:t>
            </w:r>
          </w:p>
        </w:tc>
        <w:tc>
          <w:tcPr>
            <w:tcW w:w="1005" w:type="pct"/>
            <w:vAlign w:val="center"/>
          </w:tcPr>
          <w:p w14:paraId="60B9E368">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3586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7" w:hRule="atLeast"/>
          <w:jc w:val="center"/>
        </w:trPr>
        <w:tc>
          <w:tcPr>
            <w:tcW w:w="669" w:type="pct"/>
            <w:vMerge w:val="continue"/>
            <w:vAlign w:val="center"/>
          </w:tcPr>
          <w:p w14:paraId="7F3BB408">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p>
        </w:tc>
        <w:tc>
          <w:tcPr>
            <w:tcW w:w="937" w:type="pct"/>
            <w:vAlign w:val="center"/>
          </w:tcPr>
          <w:p w14:paraId="5A920D24">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SA"/>
              </w:rPr>
              <w:t>排泥水</w:t>
            </w:r>
          </w:p>
        </w:tc>
        <w:tc>
          <w:tcPr>
            <w:tcW w:w="697" w:type="pct"/>
            <w:vMerge w:val="restart"/>
            <w:vAlign w:val="center"/>
          </w:tcPr>
          <w:p w14:paraId="3A5934BD">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lang w:val="en-US" w:eastAsia="zh-CN"/>
              </w:rPr>
              <w:t>SS</w:t>
            </w: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TN、TP等</w:t>
            </w:r>
          </w:p>
        </w:tc>
        <w:tc>
          <w:tcPr>
            <w:tcW w:w="1689" w:type="pct"/>
            <w:vAlign w:val="center"/>
          </w:tcPr>
          <w:p w14:paraId="5E712240">
            <w:pPr>
              <w:keepNext w:val="0"/>
              <w:keepLines w:val="0"/>
              <w:pageBreakBefore w:val="0"/>
              <w:kinsoku/>
              <w:wordWrap/>
              <w:topLinePunct w:val="0"/>
              <w:bidi w:val="0"/>
              <w:spacing w:line="240" w:lineRule="auto"/>
              <w:ind w:left="0" w:leftChars="0"/>
              <w:jc w:val="center"/>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沉淀后回用于厂区绿化</w:t>
            </w:r>
            <w:r>
              <w:rPr>
                <w:rFonts w:hint="default" w:ascii="Times New Roman" w:hAnsi="Times New Roman" w:cs="Times New Roman"/>
                <w:color w:val="auto"/>
                <w:sz w:val="21"/>
                <w:szCs w:val="21"/>
                <w:highlight w:val="none"/>
                <w:vertAlign w:val="baseline"/>
                <w:lang w:val="en-US" w:eastAsia="zh-CN"/>
              </w:rPr>
              <w:t>。</w:t>
            </w:r>
          </w:p>
        </w:tc>
        <w:tc>
          <w:tcPr>
            <w:tcW w:w="1005" w:type="pct"/>
            <w:vAlign w:val="center"/>
          </w:tcPr>
          <w:p w14:paraId="34B7F3A9">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3D6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87" w:hRule="atLeast"/>
          <w:jc w:val="center"/>
        </w:trPr>
        <w:tc>
          <w:tcPr>
            <w:tcW w:w="669" w:type="pct"/>
            <w:vMerge w:val="continue"/>
            <w:vAlign w:val="center"/>
          </w:tcPr>
          <w:p w14:paraId="15986043">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p>
        </w:tc>
        <w:tc>
          <w:tcPr>
            <w:tcW w:w="937" w:type="pct"/>
            <w:vAlign w:val="center"/>
          </w:tcPr>
          <w:p w14:paraId="01783E75">
            <w:pPr>
              <w:keepNext w:val="0"/>
              <w:keepLines w:val="0"/>
              <w:pageBreakBefore w:val="0"/>
              <w:tabs>
                <w:tab w:val="left" w:pos="993"/>
                <w:tab w:val="left" w:pos="1134"/>
              </w:tabs>
              <w:kinsoku/>
              <w:wordWrap/>
              <w:overflowPunct/>
              <w:topLinePunct w:val="0"/>
              <w:bidi w:val="0"/>
              <w:snapToGrid/>
              <w:spacing w:line="240" w:lineRule="auto"/>
              <w:ind w:left="0" w:left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反冲洗水</w:t>
            </w:r>
          </w:p>
        </w:tc>
        <w:tc>
          <w:tcPr>
            <w:tcW w:w="697" w:type="pct"/>
            <w:vMerge w:val="continue"/>
            <w:vAlign w:val="center"/>
          </w:tcPr>
          <w:p w14:paraId="4CF95C7C">
            <w:pPr>
              <w:keepNext w:val="0"/>
              <w:keepLines w:val="0"/>
              <w:pageBreakBefore w:val="0"/>
              <w:kinsoku/>
              <w:wordWrap/>
              <w:topLinePunct w:val="0"/>
              <w:bidi w:val="0"/>
              <w:spacing w:line="240" w:lineRule="auto"/>
              <w:ind w:left="0" w:leftChars="0"/>
              <w:jc w:val="center"/>
              <w:rPr>
                <w:rFonts w:hint="default" w:ascii="Times New Roman" w:hAnsi="Times New Roman" w:cs="Times New Roman"/>
                <w:color w:val="auto"/>
                <w:sz w:val="21"/>
                <w:szCs w:val="21"/>
                <w:highlight w:val="none"/>
              </w:rPr>
            </w:pPr>
          </w:p>
        </w:tc>
        <w:tc>
          <w:tcPr>
            <w:tcW w:w="1689" w:type="pct"/>
            <w:vAlign w:val="center"/>
          </w:tcPr>
          <w:p w14:paraId="63D31EF7">
            <w:pPr>
              <w:keepNext w:val="0"/>
              <w:keepLines w:val="0"/>
              <w:pageBreakBefore w:val="0"/>
              <w:kinsoku/>
              <w:wordWrap/>
              <w:topLinePunct w:val="0"/>
              <w:bidi w:val="0"/>
              <w:spacing w:line="240" w:lineRule="auto"/>
              <w:ind w:left="0" w:leftChars="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color w:val="auto"/>
                <w:sz w:val="21"/>
                <w:szCs w:val="21"/>
                <w:highlight w:val="none"/>
                <w:vertAlign w:val="baseline"/>
                <w:lang w:val="en-US" w:eastAsia="zh-CN"/>
              </w:rPr>
              <w:t>反冲洗水经排水池收集后全部返回供水厂净水设施处理。</w:t>
            </w:r>
          </w:p>
        </w:tc>
        <w:tc>
          <w:tcPr>
            <w:tcW w:w="1005" w:type="pct"/>
            <w:vAlign w:val="center"/>
          </w:tcPr>
          <w:p w14:paraId="0F9A6FA9">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C32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14:paraId="71E64198">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声环境</w:t>
            </w:r>
          </w:p>
        </w:tc>
        <w:tc>
          <w:tcPr>
            <w:tcW w:w="937" w:type="pct"/>
            <w:vAlign w:val="center"/>
          </w:tcPr>
          <w:p w14:paraId="4DB0DCFF">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设备噪声</w:t>
            </w:r>
          </w:p>
        </w:tc>
        <w:tc>
          <w:tcPr>
            <w:tcW w:w="697" w:type="pct"/>
            <w:vAlign w:val="center"/>
          </w:tcPr>
          <w:p w14:paraId="000CA886">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噪声</w:t>
            </w:r>
          </w:p>
        </w:tc>
        <w:tc>
          <w:tcPr>
            <w:tcW w:w="1689" w:type="pct"/>
            <w:vAlign w:val="center"/>
          </w:tcPr>
          <w:p w14:paraId="7930B5B9">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选用低噪声设备；各类污水泵采用潜水泵，噪声源位于液面以下；安装设备减震器，加强管理，通过隔声和距离衰减使噪声达标。</w:t>
            </w:r>
          </w:p>
        </w:tc>
        <w:tc>
          <w:tcPr>
            <w:tcW w:w="1005" w:type="pct"/>
            <w:vAlign w:val="center"/>
          </w:tcPr>
          <w:p w14:paraId="6FBEDA29">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《工业企业厂界环境噪声排放标准》（GB12348-2008）</w:t>
            </w:r>
            <w:r>
              <w:rPr>
                <w:rFonts w:hint="default" w:ascii="Times New Roman" w:hAnsi="Times New Roman" w:cs="Times New Roman" w:eastAsiaTheme="minorEastAsia"/>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rPr>
              <w:t>类标准</w:t>
            </w:r>
          </w:p>
        </w:tc>
      </w:tr>
      <w:tr w14:paraId="244B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14:paraId="29FCE274">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电磁辐射</w:t>
            </w:r>
          </w:p>
        </w:tc>
        <w:tc>
          <w:tcPr>
            <w:tcW w:w="937" w:type="pct"/>
            <w:vAlign w:val="center"/>
          </w:tcPr>
          <w:p w14:paraId="02279CCF">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697" w:type="pct"/>
            <w:vAlign w:val="center"/>
          </w:tcPr>
          <w:p w14:paraId="6AED30FE">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1689" w:type="pct"/>
            <w:vAlign w:val="center"/>
          </w:tcPr>
          <w:p w14:paraId="46ABF91D">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c>
          <w:tcPr>
            <w:tcW w:w="1005" w:type="pct"/>
            <w:vAlign w:val="center"/>
          </w:tcPr>
          <w:p w14:paraId="6D9FDA55">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w:t>
            </w:r>
          </w:p>
        </w:tc>
      </w:tr>
      <w:tr w14:paraId="1249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14:paraId="1116228C">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固体废物</w:t>
            </w:r>
          </w:p>
        </w:tc>
        <w:tc>
          <w:tcPr>
            <w:tcW w:w="4330" w:type="pct"/>
            <w:gridSpan w:val="4"/>
            <w:vAlign w:val="center"/>
          </w:tcPr>
          <w:p w14:paraId="7E23FFAD">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Cs w:val="21"/>
                <w:highlight w:val="none"/>
              </w:rPr>
              <w:t>生活垃圾</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经装袋收集后定期运至村上设置的垃圾收集池暂存，最终交由乡镇环卫统一处理</w:t>
            </w: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lang w:val="en-US" w:eastAsia="zh-CN"/>
                <w14:textFill>
                  <w14:solidFill>
                    <w14:schemeClr w14:val="tx1"/>
                  </w14:solidFill>
                </w14:textFill>
              </w:rPr>
              <w:t>栅渣及沉砂</w:t>
            </w:r>
            <w:r>
              <w:rPr>
                <w:rFonts w:hint="default" w:ascii="Times New Roman" w:hAnsi="Times New Roman" w:cs="Times New Roman"/>
                <w:color w:val="auto"/>
                <w:szCs w:val="21"/>
                <w:highlight w:val="none"/>
              </w:rPr>
              <w:t>定期还田处理</w:t>
            </w:r>
            <w:r>
              <w:rPr>
                <w:rFonts w:hint="default" w:ascii="Times New Roman" w:hAnsi="Times New Roman" w:cs="Times New Roman"/>
                <w:color w:val="auto"/>
                <w:szCs w:val="21"/>
                <w:highlight w:val="none"/>
                <w:lang w:val="en-US" w:eastAsia="zh-CN"/>
              </w:rPr>
              <w:t>；</w:t>
            </w:r>
            <w:r>
              <w:rPr>
                <w:rFonts w:hint="eastAsia" w:ascii="Times New Roman" w:hAnsi="Times New Roman" w:cs="Times New Roman"/>
                <w:color w:val="auto"/>
                <w:szCs w:val="21"/>
                <w:highlight w:val="none"/>
                <w:lang w:val="en-US" w:eastAsia="zh-CN"/>
              </w:rPr>
              <w:t>污泥干化后</w:t>
            </w:r>
            <w:r>
              <w:rPr>
                <w:rFonts w:hint="default" w:ascii="Times New Roman" w:hAnsi="Times New Roman" w:cs="Times New Roman"/>
                <w:color w:val="auto"/>
                <w:sz w:val="21"/>
                <w:szCs w:val="21"/>
                <w:highlight w:val="none"/>
                <w:lang w:val="en-US" w:eastAsia="zh-CN"/>
              </w:rPr>
              <w:t>含水率＜60%</w:t>
            </w:r>
            <w:r>
              <w:rPr>
                <w:rFonts w:hint="eastAsia" w:ascii="宋体" w:hAnsi="宋体" w:eastAsia="宋体" w:cs="宋体"/>
                <w:color w:val="auto"/>
                <w:kern w:val="0"/>
                <w:sz w:val="21"/>
                <w:szCs w:val="21"/>
                <w:lang w:val="en-US" w:eastAsia="zh-CN" w:bidi="ar"/>
              </w:rPr>
              <w:t>送</w:t>
            </w:r>
            <w:r>
              <w:rPr>
                <w:rFonts w:hint="eastAsia" w:ascii="宋体" w:hAnsi="宋体" w:eastAsia="宋体" w:cs="宋体"/>
                <w:color w:val="auto"/>
                <w:sz w:val="21"/>
                <w:szCs w:val="21"/>
              </w:rPr>
              <w:t>宣汉海诺尔环保发电有限公司焚烧处理</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Cs w:val="21"/>
                <w:highlight w:val="none"/>
                <w:lang w:val="en-US" w:eastAsia="zh-CN"/>
              </w:rPr>
              <w:t>废</w:t>
            </w:r>
            <w:r>
              <w:rPr>
                <w:rFonts w:hint="eastAsia" w:ascii="Times New Roman" w:hAnsi="Times New Roman" w:cs="Times New Roman"/>
                <w:color w:val="auto"/>
                <w:sz w:val="21"/>
                <w:szCs w:val="21"/>
                <w:highlight w:val="none"/>
                <w:lang w:val="en-US" w:eastAsia="zh-CN"/>
              </w:rPr>
              <w:t>填料</w:t>
            </w:r>
            <w:r>
              <w:rPr>
                <w:rFonts w:hint="default" w:ascii="Times New Roman" w:hAnsi="Times New Roman" w:cs="Times New Roman"/>
                <w:color w:val="auto"/>
                <w:szCs w:val="21"/>
                <w:highlight w:val="none"/>
                <w:lang w:eastAsia="zh-CN"/>
              </w:rPr>
              <w:t>交由厂商回收处理；</w:t>
            </w:r>
            <w:r>
              <w:rPr>
                <w:rFonts w:hint="default" w:ascii="Times New Roman" w:hAnsi="Times New Roman" w:cs="Times New Roman"/>
                <w:color w:val="auto"/>
                <w:szCs w:val="21"/>
                <w:highlight w:val="none"/>
              </w:rPr>
              <w:t>废包装材料</w:t>
            </w:r>
            <w:r>
              <w:rPr>
                <w:rFonts w:hint="default" w:ascii="Times New Roman" w:hAnsi="Times New Roman" w:cs="Times New Roman"/>
                <w:color w:val="auto"/>
                <w:szCs w:val="21"/>
                <w:highlight w:val="none"/>
                <w:lang w:eastAsia="zh-CN"/>
              </w:rPr>
              <w:t>定期交由废品收购站回收</w:t>
            </w:r>
            <w:r>
              <w:rPr>
                <w:rFonts w:hint="default" w:ascii="Times New Roman" w:hAnsi="Times New Roman" w:cs="Times New Roman"/>
                <w:color w:val="auto"/>
                <w:sz w:val="21"/>
                <w:szCs w:val="21"/>
                <w:highlight w:val="none"/>
                <w:lang w:val="en-US" w:eastAsia="zh-CN"/>
              </w:rPr>
              <w:t>。</w:t>
            </w:r>
          </w:p>
        </w:tc>
      </w:tr>
      <w:tr w14:paraId="10B5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14:paraId="5ED989AC">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土壤及地下水污染防治措施</w:t>
            </w:r>
          </w:p>
        </w:tc>
        <w:tc>
          <w:tcPr>
            <w:tcW w:w="4330" w:type="pct"/>
            <w:gridSpan w:val="4"/>
            <w:vAlign w:val="center"/>
          </w:tcPr>
          <w:p w14:paraId="159CFBC9">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highlight w:val="none"/>
                <w:lang w:val="en-US" w:eastAsia="zh-CN"/>
              </w:rPr>
              <w:t>一</w:t>
            </w:r>
            <w:r>
              <w:rPr>
                <w:rFonts w:hint="default" w:ascii="Times New Roman" w:hAnsi="Times New Roman" w:cs="Times New Roman" w:eastAsiaTheme="minorEastAsia"/>
                <w:color w:val="auto"/>
                <w:sz w:val="21"/>
                <w:szCs w:val="21"/>
                <w:highlight w:val="none"/>
              </w:rPr>
              <w:t>般防渗区</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包括</w:t>
            </w:r>
            <w:r>
              <w:rPr>
                <w:rFonts w:hint="eastAsia" w:ascii="Times New Roman" w:hAnsi="Times New Roman" w:eastAsia="宋体" w:cs="Times New Roman"/>
                <w:color w:val="auto"/>
                <w:sz w:val="21"/>
                <w:szCs w:val="21"/>
                <w:highlight w:val="none"/>
                <w:vertAlign w:val="baseline"/>
                <w:lang w:val="en-US" w:eastAsia="zh-CN"/>
              </w:rPr>
              <w:t>净水</w:t>
            </w:r>
            <w:r>
              <w:rPr>
                <w:rFonts w:hint="default" w:ascii="Times New Roman" w:hAnsi="Times New Roman" w:eastAsia="宋体" w:cs="Times New Roman"/>
                <w:color w:val="auto"/>
                <w:sz w:val="21"/>
                <w:szCs w:val="21"/>
                <w:highlight w:val="none"/>
                <w:vertAlign w:val="baseline"/>
                <w:lang w:val="en-US" w:eastAsia="zh-CN"/>
              </w:rPr>
              <w:t>一体化设备</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清水池、排水排泥池、送水泵房</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采用</w:t>
            </w:r>
            <w:r>
              <w:rPr>
                <w:rFonts w:hint="default" w:ascii="Times New Roman" w:hAnsi="Times New Roman" w:cs="Times New Roman"/>
                <w:color w:val="auto"/>
                <w:sz w:val="21"/>
                <w:szCs w:val="21"/>
                <w:highlight w:val="none"/>
                <w:lang w:val="en-US" w:eastAsia="zh-CN" w:bidi="ar"/>
              </w:rPr>
              <w:t>25cmC30</w:t>
            </w:r>
            <w:r>
              <w:rPr>
                <w:rFonts w:hint="default" w:ascii="Times New Roman" w:hAnsi="Times New Roman" w:cs="Times New Roman" w:eastAsiaTheme="minorEastAsia"/>
                <w:color w:val="auto"/>
                <w:sz w:val="21"/>
                <w:szCs w:val="21"/>
                <w:highlight w:val="none"/>
              </w:rPr>
              <w:t>防渗混凝土+黏土防渗层</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rPr>
              <w:t>确保防渗性能与1.5m厚黏土防渗层等效，防渗系数K≤1×10</w:t>
            </w:r>
            <w:r>
              <w:rPr>
                <w:rFonts w:hint="default" w:ascii="Times New Roman" w:hAnsi="Times New Roman" w:cs="Times New Roman"/>
                <w:color w:val="auto"/>
                <w:sz w:val="21"/>
                <w:szCs w:val="21"/>
                <w:vertAlign w:val="superscript"/>
                <w:lang w:val="en-US" w:eastAsia="zh-CN"/>
              </w:rPr>
              <w:t>-</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p w14:paraId="4231C37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简单防渗区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eastAsiaTheme="minorEastAsia"/>
                <w:color w:val="auto"/>
                <w:sz w:val="21"/>
                <w:szCs w:val="21"/>
                <w:highlight w:val="none"/>
              </w:rPr>
              <w:t>采取</w:t>
            </w:r>
            <w:r>
              <w:rPr>
                <w:rFonts w:hint="default" w:ascii="Times New Roman" w:hAnsi="Times New Roman" w:cs="Times New Roman"/>
                <w:color w:val="auto"/>
                <w:sz w:val="21"/>
                <w:szCs w:val="21"/>
                <w:highlight w:val="none"/>
                <w:lang w:val="en-US" w:eastAsia="zh-CN"/>
              </w:rPr>
              <w:t>混凝土</w:t>
            </w:r>
            <w:r>
              <w:rPr>
                <w:rFonts w:hint="default" w:ascii="Times New Roman" w:hAnsi="Times New Roman" w:cs="Times New Roman" w:eastAsiaTheme="minorEastAsia"/>
                <w:color w:val="auto"/>
                <w:sz w:val="21"/>
                <w:szCs w:val="21"/>
                <w:highlight w:val="none"/>
              </w:rPr>
              <w:t>地面硬化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包括</w:t>
            </w:r>
            <w:r>
              <w:rPr>
                <w:rFonts w:hint="eastAsia" w:ascii="Times New Roman" w:hAnsi="Times New Roman" w:cs="Times New Roman"/>
                <w:color w:val="auto"/>
                <w:sz w:val="21"/>
                <w:szCs w:val="21"/>
                <w:highlight w:val="none"/>
                <w:lang w:val="en-US" w:eastAsia="zh-CN"/>
              </w:rPr>
              <w:t>管理</w:t>
            </w:r>
            <w:r>
              <w:rPr>
                <w:rFonts w:hint="default" w:ascii="Times New Roman" w:hAnsi="Times New Roman" w:cs="Times New Roman"/>
                <w:color w:val="auto"/>
                <w:sz w:val="21"/>
                <w:szCs w:val="21"/>
                <w:highlight w:val="none"/>
                <w:lang w:val="en-US" w:eastAsia="zh-CN"/>
              </w:rPr>
              <w:t>用房、厂区道路、除一般防渗区以外的区域</w:t>
            </w:r>
            <w:r>
              <w:rPr>
                <w:rFonts w:hint="default" w:ascii="Times New Roman" w:hAnsi="Times New Roman" w:cs="Times New Roman"/>
                <w:color w:val="auto"/>
                <w:sz w:val="21"/>
                <w:szCs w:val="21"/>
                <w:highlight w:val="none"/>
                <w:lang w:eastAsia="zh-CN"/>
              </w:rPr>
              <w:t>。</w:t>
            </w:r>
          </w:p>
        </w:tc>
      </w:tr>
      <w:tr w14:paraId="47DF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14:paraId="7AA42679">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生态保护措施</w:t>
            </w:r>
          </w:p>
        </w:tc>
        <w:tc>
          <w:tcPr>
            <w:tcW w:w="4330" w:type="pct"/>
            <w:gridSpan w:val="4"/>
            <w:vAlign w:val="center"/>
          </w:tcPr>
          <w:p w14:paraId="6CD0417B">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①强化施工阶段的环境管理，在施工期间，为了保证施工质量，应由质量监理部门派人进行监督，为了更好地落实环境保护措施，也应建立环境保护监理制度。</w:t>
            </w:r>
          </w:p>
          <w:p w14:paraId="73CC3969">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②加强施工队伍职工环境教育，规范施工人员行为。教育职工爱护环境，保护施工场所周围的一草一木，不随意摘花、折木，严禁砍伐、破坏施工区以外的作物和树木。</w:t>
            </w:r>
          </w:p>
          <w:p w14:paraId="42FB2620">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③严格划定施工作业范围，在施工带内施工。在保证施工顺利进行前提下，尽量减少占地面积。严格限制施工人员及施工机械活动范围。在绿化带内施工，应少用机械作业，以最大限度地减少对林木的破坏。</w:t>
            </w:r>
          </w:p>
          <w:p w14:paraId="74361F7C">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color w:val="auto"/>
                <w:sz w:val="21"/>
                <w:szCs w:val="21"/>
                <w:highlight w:val="none"/>
                <w:lang w:val="en-US" w:eastAsia="zh-CN"/>
              </w:rPr>
              <w:t>④</w:t>
            </w:r>
            <w:r>
              <w:rPr>
                <w:rFonts w:hint="default" w:ascii="Times New Roman" w:hAnsi="Times New Roman" w:cs="Times New Roman" w:eastAsiaTheme="minorEastAsia"/>
                <w:color w:val="auto"/>
                <w:sz w:val="21"/>
                <w:szCs w:val="21"/>
                <w:highlight w:val="none"/>
              </w:rPr>
              <w:t>妥善处理施工期产生的各类污染物，防止对重点地段的生态环境造成较大的污染。</w:t>
            </w:r>
          </w:p>
          <w:p w14:paraId="595379A3">
            <w:pPr>
              <w:keepNext w:val="0"/>
              <w:keepLines w:val="0"/>
              <w:pageBreakBefore w:val="0"/>
              <w:kinsoku/>
              <w:wordWrap/>
              <w:topLinePunct w:val="0"/>
              <w:bidi w:val="0"/>
              <w:spacing w:line="240" w:lineRule="auto"/>
              <w:ind w:left="0" w:leftChars="0"/>
              <w:jc w:val="left"/>
              <w:rPr>
                <w:rFonts w:hint="default" w:ascii="Times New Roman" w:hAnsi="Times New Roman" w:cs="Times New Roman" w:eastAsiaTheme="minorEastAsia"/>
                <w:color w:val="auto"/>
                <w:sz w:val="21"/>
                <w:szCs w:val="21"/>
                <w:highlight w:val="none"/>
              </w:rPr>
            </w:pPr>
            <w:r>
              <w:rPr>
                <w:rFonts w:hint="eastAsia" w:ascii="Times New Roman" w:hAnsi="Times New Roman" w:cs="Times New Roman"/>
                <w:color w:val="auto"/>
                <w:sz w:val="21"/>
                <w:szCs w:val="21"/>
                <w:highlight w:val="none"/>
                <w:lang w:val="en-US" w:eastAsia="zh-CN"/>
              </w:rPr>
              <w:t>⑤</w:t>
            </w:r>
            <w:r>
              <w:rPr>
                <w:rFonts w:hint="default" w:ascii="Times New Roman" w:hAnsi="Times New Roman" w:cs="Times New Roman" w:eastAsiaTheme="minorEastAsia"/>
                <w:color w:val="auto"/>
                <w:sz w:val="21"/>
                <w:szCs w:val="21"/>
                <w:highlight w:val="none"/>
              </w:rPr>
              <w:t>做好土地的复垦工作。施工结束后，施工单位应负责清理现场，按照国务院的《土地复垦规定》进行复垦。凡受到施工车辆、机械破坏的地方都要及时修整，恢复原貌，植被一时难以恢复的可在来年予以恢复。</w:t>
            </w:r>
          </w:p>
        </w:tc>
      </w:tr>
      <w:tr w14:paraId="3A00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669" w:type="pct"/>
            <w:vAlign w:val="center"/>
          </w:tcPr>
          <w:p w14:paraId="62E2FB70">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环境风险</w:t>
            </w:r>
          </w:p>
          <w:p w14:paraId="4EF50508">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防范措施</w:t>
            </w:r>
          </w:p>
        </w:tc>
        <w:tc>
          <w:tcPr>
            <w:tcW w:w="4330" w:type="pct"/>
            <w:gridSpan w:val="4"/>
            <w:vAlign w:val="center"/>
          </w:tcPr>
          <w:p w14:paraId="07704AD0">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lang w:val="en-US" w:eastAsia="zh-CN"/>
              </w:rPr>
              <w:t>采取</w:t>
            </w:r>
            <w:r>
              <w:rPr>
                <w:rFonts w:hint="eastAsia" w:ascii="Times New Roman" w:hAnsi="Times New Roman" w:cs="Times New Roman"/>
                <w:color w:val="auto"/>
                <w:sz w:val="21"/>
                <w:szCs w:val="21"/>
                <w:highlight w:val="none"/>
                <w:lang w:val="en-US" w:eastAsia="zh-CN"/>
              </w:rPr>
              <w:t>分区</w:t>
            </w:r>
            <w:r>
              <w:rPr>
                <w:rFonts w:hint="default" w:ascii="Times New Roman" w:hAnsi="Times New Roman" w:cs="Times New Roman"/>
                <w:color w:val="auto"/>
                <w:sz w:val="21"/>
                <w:szCs w:val="21"/>
                <w:highlight w:val="none"/>
                <w:lang w:val="en-US" w:eastAsia="zh-CN"/>
              </w:rPr>
              <w:t>防渗，</w:t>
            </w:r>
            <w:r>
              <w:rPr>
                <w:rFonts w:hint="default" w:ascii="Times New Roman" w:hAnsi="Times New Roman" w:eastAsia="宋体" w:cs="Times New Roman"/>
                <w:b w:val="0"/>
                <w:bCs w:val="0"/>
                <w:color w:val="auto"/>
                <w:sz w:val="21"/>
                <w:szCs w:val="21"/>
                <w:highlight w:val="none"/>
                <w:lang w:val="en-US" w:eastAsia="zh-CN"/>
              </w:rPr>
              <w:t>复合</w:t>
            </w:r>
            <w:r>
              <w:rPr>
                <w:rFonts w:hint="default" w:ascii="Times New Roman" w:hAnsi="Times New Roman" w:cs="Times New Roman"/>
                <w:b w:val="0"/>
                <w:bCs w:val="0"/>
                <w:color w:val="auto"/>
                <w:sz w:val="21"/>
                <w:szCs w:val="21"/>
                <w:highlight w:val="none"/>
                <w:lang w:val="en-US" w:eastAsia="zh-CN"/>
              </w:rPr>
              <w:t>氯</w:t>
            </w:r>
            <w:r>
              <w:rPr>
                <w:rFonts w:hint="default" w:ascii="Times New Roman" w:hAnsi="Times New Roman" w:eastAsia="宋体" w:cs="Times New Roman"/>
                <w:b w:val="0"/>
                <w:bCs w:val="0"/>
                <w:color w:val="auto"/>
                <w:sz w:val="21"/>
                <w:szCs w:val="21"/>
                <w:highlight w:val="none"/>
                <w:lang w:val="en-US" w:eastAsia="zh-CN"/>
              </w:rPr>
              <w:t>酸钠</w:t>
            </w:r>
            <w:r>
              <w:rPr>
                <w:rFonts w:hint="eastAsia" w:ascii="Times New Roman" w:hAnsi="Times New Roman" w:eastAsia="宋体" w:cs="Times New Roman"/>
                <w:lang w:val="en-US" w:eastAsia="zh-CN"/>
              </w:rPr>
              <w:t>储罐区</w:t>
            </w:r>
            <w:r>
              <w:rPr>
                <w:rFonts w:hint="default" w:ascii="Times New Roman" w:hAnsi="Times New Roman" w:cs="Times New Roman"/>
                <w:color w:val="auto"/>
                <w:sz w:val="21"/>
                <w:szCs w:val="21"/>
                <w:highlight w:val="none"/>
                <w:lang w:val="en-US" w:eastAsia="zh-CN"/>
              </w:rPr>
              <w:t>设置围堰，并设置</w:t>
            </w:r>
            <w:r>
              <w:rPr>
                <w:rFonts w:hint="eastAsia" w:ascii="Times New Roman" w:hAnsi="Times New Roman" w:cs="Times New Roman"/>
                <w:color w:val="auto"/>
                <w:sz w:val="21"/>
                <w:szCs w:val="21"/>
                <w:highlight w:val="none"/>
                <w:lang w:val="en-US" w:eastAsia="zh-CN"/>
              </w:rPr>
              <w:t>泄漏</w:t>
            </w:r>
            <w:r>
              <w:rPr>
                <w:rFonts w:hint="default" w:ascii="Times New Roman" w:hAnsi="Times New Roman" w:cs="Times New Roman"/>
                <w:color w:val="auto"/>
                <w:sz w:val="21"/>
                <w:szCs w:val="21"/>
                <w:highlight w:val="none"/>
                <w:lang w:val="en-US" w:eastAsia="zh-CN"/>
              </w:rPr>
              <w:t>收集沟和</w:t>
            </w:r>
            <w:r>
              <w:rPr>
                <w:rFonts w:hint="eastAsia" w:ascii="Times New Roman" w:hAnsi="Times New Roman" w:cs="Times New Roman"/>
                <w:color w:val="auto"/>
                <w:sz w:val="21"/>
                <w:szCs w:val="21"/>
                <w:highlight w:val="none"/>
                <w:lang w:val="en-US" w:eastAsia="zh-CN"/>
              </w:rPr>
              <w:t>泄漏</w:t>
            </w:r>
            <w:r>
              <w:rPr>
                <w:rFonts w:hint="default" w:ascii="Times New Roman" w:hAnsi="Times New Roman" w:cs="Times New Roman"/>
                <w:color w:val="auto"/>
                <w:sz w:val="21"/>
                <w:szCs w:val="21"/>
                <w:highlight w:val="none"/>
                <w:lang w:val="en-US" w:eastAsia="zh-CN"/>
              </w:rPr>
              <w:t>收集坑，在厂区</w:t>
            </w:r>
            <w:r>
              <w:rPr>
                <w:rFonts w:hint="default" w:ascii="Times New Roman" w:hAnsi="Times New Roman" w:eastAsia="宋体" w:cs="Times New Roman"/>
                <w:color w:val="auto"/>
                <w:sz w:val="21"/>
                <w:szCs w:val="21"/>
                <w:highlight w:val="none"/>
              </w:rPr>
              <w:t>配备相应数量灭火器，建立事故抢修队伍，成立事故应急处置机构，</w:t>
            </w:r>
            <w:r>
              <w:rPr>
                <w:rFonts w:hint="default" w:ascii="Times New Roman" w:hAnsi="Times New Roman" w:eastAsia="宋体" w:cs="Times New Roman"/>
                <w:color w:val="auto"/>
                <w:sz w:val="21"/>
                <w:szCs w:val="21"/>
                <w:highlight w:val="none"/>
                <w:lang w:val="en-US" w:eastAsia="zh-CN"/>
              </w:rPr>
              <w:t>设置</w:t>
            </w:r>
            <w:r>
              <w:rPr>
                <w:rFonts w:hint="default" w:ascii="Times New Roman" w:hAnsi="Times New Roman" w:eastAsia="宋体" w:cs="Times New Roman"/>
                <w:color w:val="auto"/>
                <w:sz w:val="21"/>
                <w:szCs w:val="21"/>
                <w:highlight w:val="none"/>
              </w:rPr>
              <w:t>水源在线自动监测网与预警系统；委托第三方单位定期检测</w:t>
            </w:r>
            <w:r>
              <w:rPr>
                <w:rFonts w:hint="default" w:ascii="Times New Roman" w:hAnsi="Times New Roman" w:eastAsia="宋体" w:cs="Times New Roman"/>
                <w:color w:val="auto"/>
                <w:sz w:val="21"/>
                <w:szCs w:val="21"/>
                <w:highlight w:val="none"/>
                <w:lang w:eastAsia="zh-CN"/>
              </w:rPr>
              <w:t>水厂</w:t>
            </w:r>
            <w:r>
              <w:rPr>
                <w:rFonts w:hint="default" w:ascii="Times New Roman" w:hAnsi="Times New Roman" w:eastAsia="宋体" w:cs="Times New Roman"/>
                <w:color w:val="auto"/>
                <w:sz w:val="21"/>
                <w:szCs w:val="21"/>
                <w:highlight w:val="none"/>
              </w:rPr>
              <w:t>进、出水质；制定环境风险应急预案</w:t>
            </w:r>
            <w:r>
              <w:rPr>
                <w:rFonts w:hint="default" w:ascii="Times New Roman" w:hAnsi="Times New Roman" w:cs="Times New Roman"/>
                <w:color w:val="auto"/>
                <w:sz w:val="21"/>
                <w:szCs w:val="21"/>
                <w:highlight w:val="none"/>
                <w:lang w:eastAsia="zh-CN"/>
              </w:rPr>
              <w:t>。</w:t>
            </w:r>
          </w:p>
        </w:tc>
      </w:tr>
      <w:tr w14:paraId="7007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69" w:type="pct"/>
            <w:vAlign w:val="center"/>
          </w:tcPr>
          <w:p w14:paraId="1140AA2E">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其他环境</w:t>
            </w:r>
          </w:p>
          <w:p w14:paraId="64403844">
            <w:pPr>
              <w:keepNext w:val="0"/>
              <w:keepLines w:val="0"/>
              <w:pageBreakBefore w:val="0"/>
              <w:kinsoku/>
              <w:wordWrap/>
              <w:topLinePunct w:val="0"/>
              <w:bidi w:val="0"/>
              <w:spacing w:line="240" w:lineRule="auto"/>
              <w:ind w:left="0" w:leftChars="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管理要求</w:t>
            </w:r>
          </w:p>
        </w:tc>
        <w:tc>
          <w:tcPr>
            <w:tcW w:w="4330" w:type="pct"/>
            <w:gridSpan w:val="4"/>
            <w:vAlign w:val="center"/>
          </w:tcPr>
          <w:p w14:paraId="59884F82">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1、竣工环境保护验收</w:t>
            </w:r>
          </w:p>
          <w:p w14:paraId="3BC248A7">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根据《建设项目竣工环境保护验收暂行办法》（国环规环评〔2017〕4号）文件，建设单位作为项目竣工环保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项目配套建设的环保设施经验收合格，方可投入生产或使用。</w:t>
            </w:r>
          </w:p>
          <w:p w14:paraId="1EEBFFB1">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2、排污许可</w:t>
            </w:r>
          </w:p>
          <w:p w14:paraId="76B48758">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根据《固定污染源排污许可分类管理名录（2019年版）》，项目属于“四十一、水的生产和供应业-46-自来水生产和供应461其他”，为登记管理范畴，应在启动生产设施或者在实际排污之前参照《排污许可证申请与核发技术规范总则》（HJ942-2018）相关要求办理排污许可登记回执，依证排污。</w:t>
            </w:r>
          </w:p>
          <w:p w14:paraId="20BF8678">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3、项目建成后应及时完成</w:t>
            </w:r>
            <w:r>
              <w:rPr>
                <w:rFonts w:hint="eastAsia" w:ascii="Times New Roman" w:hAnsi="Times New Roman" w:cs="Times New Roman"/>
                <w:b/>
                <w:bCs/>
                <w:color w:val="auto"/>
                <w:sz w:val="21"/>
                <w:szCs w:val="21"/>
                <w:highlight w:val="none"/>
                <w:lang w:val="en-US" w:eastAsia="zh-CN"/>
              </w:rPr>
              <w:t>突发环境事件</w:t>
            </w:r>
            <w:r>
              <w:rPr>
                <w:rFonts w:hint="default" w:ascii="Times New Roman" w:hAnsi="Times New Roman" w:cs="Times New Roman" w:eastAsiaTheme="minorEastAsia"/>
                <w:b/>
                <w:bCs/>
                <w:color w:val="auto"/>
                <w:sz w:val="21"/>
                <w:szCs w:val="21"/>
                <w:highlight w:val="none"/>
                <w:lang w:val="en-US" w:eastAsia="zh-CN"/>
              </w:rPr>
              <w:t>应急预案编制并备案。</w:t>
            </w:r>
          </w:p>
          <w:p w14:paraId="7BE03442">
            <w:pPr>
              <w:keepNext w:val="0"/>
              <w:keepLines w:val="0"/>
              <w:pageBreakBefore w:val="0"/>
              <w:kinsoku/>
              <w:wordWrap/>
              <w:topLinePunct w:val="0"/>
              <w:bidi w:val="0"/>
              <w:spacing w:line="240" w:lineRule="auto"/>
              <w:ind w:left="0" w:leftChars="0" w:firstLine="422" w:firstLineChars="200"/>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4、进行水源保护区的划分及保护。</w:t>
            </w:r>
          </w:p>
          <w:p w14:paraId="6E29F520">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根据《饮用水水源保护区划分技术规范》（HJ338-2018），</w:t>
            </w:r>
            <w:r>
              <w:rPr>
                <w:rFonts w:hint="eastAsia" w:ascii="Times New Roman" w:hAnsi="Times New Roman" w:cs="Times New Roman"/>
                <w:b w:val="0"/>
                <w:bCs w:val="0"/>
                <w:color w:val="auto"/>
                <w:sz w:val="21"/>
                <w:szCs w:val="21"/>
                <w:highlight w:val="none"/>
                <w:lang w:val="en-US" w:eastAsia="zh-CN"/>
              </w:rPr>
              <w:t>对隘口水厂、马渡关水厂取水水源进行</w:t>
            </w:r>
            <w:r>
              <w:rPr>
                <w:rFonts w:hint="default" w:ascii="Times New Roman" w:hAnsi="Times New Roman" w:cs="Times New Roman" w:eastAsiaTheme="minorEastAsia"/>
                <w:b w:val="0"/>
                <w:bCs w:val="0"/>
                <w:color w:val="auto"/>
                <w:sz w:val="21"/>
                <w:szCs w:val="21"/>
                <w:highlight w:val="none"/>
                <w:lang w:val="en-US" w:eastAsia="zh-CN"/>
              </w:rPr>
              <w:t>饮用水水源保护区</w:t>
            </w:r>
            <w:r>
              <w:rPr>
                <w:rFonts w:hint="eastAsia" w:ascii="Times New Roman" w:hAnsi="Times New Roman" w:cs="Times New Roman"/>
                <w:b w:val="0"/>
                <w:bCs w:val="0"/>
                <w:color w:val="auto"/>
                <w:sz w:val="21"/>
                <w:szCs w:val="21"/>
                <w:highlight w:val="none"/>
                <w:lang w:val="en-US" w:eastAsia="zh-CN"/>
              </w:rPr>
              <w:t>划分。具体划分方式，详见第四章。根据</w:t>
            </w:r>
            <w:r>
              <w:rPr>
                <w:rFonts w:hint="default" w:ascii="Times New Roman" w:hAnsi="Times New Roman" w:cs="Times New Roman"/>
                <w:b w:val="0"/>
                <w:bCs w:val="0"/>
                <w:color w:val="auto"/>
                <w:sz w:val="21"/>
                <w:szCs w:val="21"/>
                <w:highlight w:val="none"/>
                <w:vertAlign w:val="baseline"/>
                <w:lang w:val="en-US" w:eastAsia="zh-CN"/>
              </w:rPr>
              <w:t>《达州市集中式饮用水水源保护管理条例》</w:t>
            </w:r>
            <w:r>
              <w:rPr>
                <w:rFonts w:hint="eastAsia" w:ascii="Times New Roman" w:hAnsi="Times New Roman" w:cs="Times New Roman"/>
                <w:b w:val="0"/>
                <w:bCs w:val="0"/>
                <w:color w:val="auto"/>
                <w:sz w:val="21"/>
                <w:szCs w:val="21"/>
                <w:highlight w:val="none"/>
                <w:vertAlign w:val="baseline"/>
                <w:lang w:val="en-US" w:eastAsia="zh-CN"/>
              </w:rPr>
              <w:t>（2024年修正），采取</w:t>
            </w:r>
            <w:r>
              <w:rPr>
                <w:rFonts w:hint="default" w:ascii="Times New Roman" w:hAnsi="Times New Roman" w:cs="Times New Roman" w:eastAsiaTheme="minorEastAsia"/>
                <w:b w:val="0"/>
                <w:bCs w:val="0"/>
                <w:color w:val="auto"/>
                <w:sz w:val="21"/>
                <w:szCs w:val="21"/>
                <w:highlight w:val="none"/>
                <w:lang w:val="en-US" w:eastAsia="zh-CN"/>
              </w:rPr>
              <w:t>饮用水水源</w:t>
            </w:r>
            <w:r>
              <w:rPr>
                <w:rFonts w:hint="eastAsia" w:ascii="Times New Roman" w:hAnsi="Times New Roman" w:cs="Times New Roman"/>
                <w:b w:val="0"/>
                <w:bCs w:val="0"/>
                <w:color w:val="auto"/>
                <w:sz w:val="21"/>
                <w:szCs w:val="21"/>
                <w:highlight w:val="none"/>
                <w:lang w:val="en-US" w:eastAsia="zh-CN"/>
              </w:rPr>
              <w:t>保护措施，详见第四章。</w:t>
            </w:r>
          </w:p>
          <w:p w14:paraId="3B62D944">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建立饮用水水源保护区环境监察管理制度，按照“属地管理、各司其责”的原则，依据</w:t>
            </w:r>
            <w:r>
              <w:rPr>
                <w:rFonts w:hint="eastAsia"/>
                <w:color w:val="auto"/>
              </w:rPr>
              <w:t>《中华人民共和国水污染防治法》《中华人民共和国水法》</w:t>
            </w:r>
            <w:r>
              <w:rPr>
                <w:rFonts w:hint="default" w:ascii="Times New Roman" w:hAnsi="Times New Roman" w:cs="Times New Roman" w:eastAsiaTheme="minorEastAsia"/>
                <w:b w:val="0"/>
                <w:bCs w:val="0"/>
                <w:color w:val="auto"/>
                <w:sz w:val="21"/>
                <w:szCs w:val="21"/>
                <w:highlight w:val="none"/>
                <w:lang w:val="en-US" w:eastAsia="zh-CN"/>
              </w:rPr>
              <w:t>《饮用水水源保护区污染防治管理规定》</w:t>
            </w:r>
            <w:r>
              <w:rPr>
                <w:rFonts w:hint="eastAsia"/>
                <w:color w:val="auto"/>
              </w:rPr>
              <w:t>《四川省饮用水水源保护管理条例》</w:t>
            </w:r>
            <w:r>
              <w:rPr>
                <w:rFonts w:hint="default" w:ascii="Times New Roman" w:hAnsi="Times New Roman" w:cs="Times New Roman" w:eastAsiaTheme="minorEastAsia"/>
                <w:b w:val="0"/>
                <w:bCs w:val="0"/>
                <w:color w:val="auto"/>
                <w:sz w:val="21"/>
                <w:szCs w:val="21"/>
                <w:highlight w:val="none"/>
                <w:lang w:val="en-US" w:eastAsia="zh-CN"/>
              </w:rPr>
              <w:t>等相关规定，查处饮用水水源保护区内的环境违法行为。监察内容主要包括饮用水水源保护区的建设管理情况、饮用水安全应急预案制定情况以及保护区内的违法建设项目和违法行为。</w:t>
            </w:r>
          </w:p>
          <w:p w14:paraId="46E60AFF">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对检查中发现的饮用水水源保护区内的排污口要坚决取缔。</w:t>
            </w:r>
          </w:p>
          <w:p w14:paraId="626A38DB">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对保护区内违反法律规定的建设项目依法予以处罚，同时报经有批准权的人民政府批准，责令拆除或者关闭。对一级保护区内从事网箱养殖或者组织进行旅游、垂钓或者其他可能污染饮用水水体的活动的，责令停止违法行为并处罚款。</w:t>
            </w:r>
          </w:p>
          <w:p w14:paraId="29EA590A">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通过定期巡查、突击巡查、专项巡查和重点巡查等方式，监视水源保护区内的饮用水、水域、水工程及其他设施的变化状态，掌握工程的安全情况，为正确管理运行提供科学依据，及时发现工程的不正常迹象，防止事件发生，查处各类水事违法案件。对一、二级保护区污染源现场巡查每月应不少于一次，准保护区污染源现场巡查每季度应不少于一次。</w:t>
            </w:r>
            <w:r>
              <w:rPr>
                <w:rFonts w:hint="eastAsia" w:ascii="Times New Roman" w:hAnsi="Times New Roman" w:cs="Times New Roman"/>
                <w:b w:val="0"/>
                <w:bCs w:val="0"/>
                <w:color w:val="auto"/>
                <w:sz w:val="21"/>
                <w:szCs w:val="21"/>
                <w:highlight w:val="none"/>
                <w:lang w:val="en-US" w:eastAsia="zh-CN"/>
              </w:rPr>
              <w:t>在保护区内设置</w:t>
            </w:r>
            <w:r>
              <w:rPr>
                <w:rFonts w:hint="eastAsia"/>
                <w:color w:val="auto"/>
                <w:highlight w:val="none"/>
                <w:lang w:val="en-US" w:eastAsia="zh-CN"/>
              </w:rPr>
              <w:t>隔离围网、警示牌等。</w:t>
            </w:r>
          </w:p>
          <w:p w14:paraId="011BFD78">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5DC11073">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22B33F6E">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092DDDAF">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2D852F2D">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1FD33D23">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7D4DA792">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7BB8567C">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49CA26D1">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7A57DAC2">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0A3EBDA6">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4486972C">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074F4740">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71FB63C4">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31042A58">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50B06EDF">
            <w:pPr>
              <w:keepNext w:val="0"/>
              <w:keepLines w:val="0"/>
              <w:pageBreakBefore w:val="0"/>
              <w:kinsoku/>
              <w:wordWrap/>
              <w:topLinePunct w:val="0"/>
              <w:bidi w:val="0"/>
              <w:spacing w:line="240" w:lineRule="auto"/>
              <w:rPr>
                <w:rFonts w:hint="default" w:ascii="Times New Roman" w:hAnsi="Times New Roman" w:cs="Times New Roman" w:eastAsiaTheme="minorEastAsia"/>
                <w:b w:val="0"/>
                <w:bCs w:val="0"/>
                <w:color w:val="auto"/>
                <w:sz w:val="21"/>
                <w:szCs w:val="21"/>
                <w:highlight w:val="none"/>
                <w:lang w:val="en-US" w:eastAsia="zh-CN"/>
              </w:rPr>
            </w:pPr>
          </w:p>
          <w:p w14:paraId="62653BA6">
            <w:pPr>
              <w:keepNext w:val="0"/>
              <w:keepLines w:val="0"/>
              <w:pageBreakBefore w:val="0"/>
              <w:kinsoku/>
              <w:wordWrap/>
              <w:topLinePunct w:val="0"/>
              <w:bidi w:val="0"/>
              <w:spacing w:line="240" w:lineRule="auto"/>
              <w:ind w:left="0" w:leftChars="0" w:firstLine="420" w:firstLineChars="200"/>
              <w:rPr>
                <w:rFonts w:hint="default" w:ascii="Times New Roman" w:hAnsi="Times New Roman" w:cs="Times New Roman" w:eastAsiaTheme="minorEastAsia"/>
                <w:b w:val="0"/>
                <w:bCs w:val="0"/>
                <w:color w:val="auto"/>
                <w:sz w:val="21"/>
                <w:szCs w:val="21"/>
                <w:highlight w:val="none"/>
                <w:lang w:val="en-US" w:eastAsia="zh-CN"/>
              </w:rPr>
            </w:pPr>
          </w:p>
          <w:p w14:paraId="38917B07">
            <w:pPr>
              <w:keepNext w:val="0"/>
              <w:keepLines w:val="0"/>
              <w:pageBreakBefore w:val="0"/>
              <w:kinsoku/>
              <w:wordWrap/>
              <w:topLinePunct w:val="0"/>
              <w:bidi w:val="0"/>
              <w:spacing w:line="240" w:lineRule="auto"/>
              <w:rPr>
                <w:rFonts w:hint="default" w:ascii="Times New Roman" w:hAnsi="Times New Roman" w:cs="Times New Roman" w:eastAsiaTheme="minorEastAsia"/>
                <w:color w:val="auto"/>
                <w:sz w:val="21"/>
                <w:szCs w:val="21"/>
                <w:highlight w:val="none"/>
                <w:lang w:val="en-US" w:eastAsia="zh-CN"/>
              </w:rPr>
            </w:pPr>
          </w:p>
        </w:tc>
      </w:tr>
    </w:tbl>
    <w:p w14:paraId="6B47E758">
      <w:pPr>
        <w:pStyle w:val="30"/>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558BCCBA">
      <w:pPr>
        <w:pStyle w:val="30"/>
        <w:keepNext w:val="0"/>
        <w:keepLines w:val="0"/>
        <w:pageBreakBefore w:val="0"/>
        <w:kinsoku/>
        <w:wordWrap/>
        <w:topLinePunct w:val="0"/>
        <w:bidi w:val="0"/>
        <w:ind w:left="0" w:leftChars="0"/>
        <w:jc w:val="center"/>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六、结论</w:t>
      </w:r>
    </w:p>
    <w:tbl>
      <w:tblPr>
        <w:tblStyle w:val="25"/>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968"/>
      </w:tblGrid>
      <w:tr w14:paraId="795636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shd w:val="clear" w:color="auto" w:fill="auto"/>
          </w:tcPr>
          <w:p w14:paraId="7F7FC3D2">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综上所述，</w:t>
            </w:r>
            <w:r>
              <w:rPr>
                <w:rFonts w:hint="default" w:ascii="Times New Roman" w:hAnsi="Times New Roman" w:eastAsia="宋体" w:cs="Times New Roman"/>
                <w:color w:val="auto"/>
                <w:sz w:val="24"/>
                <w:szCs w:val="32"/>
                <w:highlight w:val="none"/>
                <w:vertAlign w:val="baseline"/>
                <w:lang w:eastAsia="zh-CN"/>
              </w:rPr>
              <w:t>宣汉县乡村水务试点县供水保障工程（</w:t>
            </w:r>
            <w:r>
              <w:rPr>
                <w:rFonts w:hint="eastAsia" w:ascii="Times New Roman" w:hAnsi="Times New Roman" w:eastAsia="宋体" w:cs="Times New Roman"/>
                <w:color w:val="auto"/>
                <w:sz w:val="24"/>
                <w:szCs w:val="32"/>
                <w:highlight w:val="none"/>
                <w:vertAlign w:val="baseline"/>
                <w:lang w:val="en-US" w:eastAsia="zh-CN"/>
              </w:rPr>
              <w:t>马渡关片区</w:t>
            </w:r>
            <w:r>
              <w:rPr>
                <w:rFonts w:hint="default" w:ascii="Times New Roman" w:hAnsi="Times New Roman" w:eastAsia="宋体" w:cs="Times New Roman"/>
                <w:color w:val="auto"/>
                <w:sz w:val="24"/>
                <w:szCs w:val="32"/>
                <w:highlight w:val="none"/>
                <w:vertAlign w:val="baseline"/>
                <w:lang w:eastAsia="zh-CN"/>
              </w:rPr>
              <w:t>供水工程）</w:t>
            </w:r>
            <w:r>
              <w:rPr>
                <w:rFonts w:hint="default" w:ascii="Times New Roman" w:hAnsi="Times New Roman" w:cs="Times New Roman"/>
                <w:color w:val="auto"/>
                <w:sz w:val="24"/>
                <w:szCs w:val="24"/>
                <w:highlight w:val="none"/>
              </w:rPr>
              <w:t>符合国家产业政策，选址合理，对于运营过程中产生的各类污染物，建设单位应认真落实本环评提出的污染防治措施，加强环保设施的运行管理和维护，建立和完善厂内环保机构和规范环保管理制度，保证各类污染物达标排放。在上述前提条件下，项目的建设不会使当地水环境、环境空气、声环境发生现状质量级别的改变。因此，从环境保护角度考虑，该项目的建设是可行的。</w:t>
            </w:r>
          </w:p>
          <w:p w14:paraId="65256412">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6D29EB6C">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6275082B">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2E7D4B4C">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7A414DB0">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594539E2">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61D8E4C8">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32A9C6F1">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45A42B66">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334B8F69">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0A04EF6C">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07BFF161">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030D94B4">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0FE9EDA3">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61F9F7D9">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7D6CCABE">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1D57DAD9">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5A068F04">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56A0126E">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7694256D">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694D776D">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p w14:paraId="6B66A5D1">
            <w:pPr>
              <w:keepNext w:val="0"/>
              <w:keepLines w:val="0"/>
              <w:pageBreakBefore w:val="0"/>
              <w:kinsoku/>
              <w:wordWrap/>
              <w:topLinePunct w:val="0"/>
              <w:bidi w:val="0"/>
              <w:spacing w:line="360" w:lineRule="auto"/>
              <w:ind w:left="0" w:leftChars="0" w:firstLine="480" w:firstLineChars="200"/>
              <w:rPr>
                <w:rFonts w:hint="default" w:ascii="Times New Roman" w:hAnsi="Times New Roman" w:cs="Times New Roman"/>
                <w:color w:val="auto"/>
                <w:sz w:val="24"/>
                <w:szCs w:val="24"/>
                <w:highlight w:val="none"/>
              </w:rPr>
            </w:pPr>
          </w:p>
        </w:tc>
      </w:tr>
    </w:tbl>
    <w:p w14:paraId="54EE7EE5">
      <w:pPr>
        <w:pStyle w:val="30"/>
        <w:keepNext w:val="0"/>
        <w:keepLines w:val="0"/>
        <w:pageBreakBefore w:val="0"/>
        <w:kinsoku/>
        <w:wordWrap/>
        <w:topLinePunct w:val="0"/>
        <w:bidi w:val="0"/>
        <w:ind w:left="0" w:leftChars="0"/>
        <w:jc w:val="center"/>
        <w:outlineLvl w:val="9"/>
        <w:rPr>
          <w:rFonts w:hint="default" w:ascii="Times New Roman" w:hAnsi="Times New Roman" w:cs="Times New Roman"/>
          <w:color w:val="auto"/>
          <w:sz w:val="24"/>
          <w:szCs w:val="32"/>
          <w:highlight w:val="none"/>
          <w:lang w:eastAsia="zh-CN"/>
        </w:rPr>
        <w:sectPr>
          <w:pgSz w:w="11906" w:h="16838"/>
          <w:pgMar w:top="1440" w:right="1077" w:bottom="1440" w:left="107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5358E9B1">
      <w:pPr>
        <w:pStyle w:val="30"/>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hint="default" w:ascii="Times New Roman" w:hAnsi="Times New Roman" w:eastAsia="黑体" w:cs="Times New Roman"/>
          <w:b w:val="0"/>
          <w:color w:val="auto"/>
          <w:sz w:val="30"/>
          <w:szCs w:val="30"/>
          <w:highlight w:val="none"/>
        </w:rPr>
      </w:pPr>
      <w:r>
        <w:rPr>
          <w:rFonts w:hint="default" w:ascii="Times New Roman" w:hAnsi="Times New Roman" w:eastAsia="黑体" w:cs="Times New Roman"/>
          <w:b w:val="0"/>
          <w:color w:val="auto"/>
          <w:sz w:val="30"/>
          <w:szCs w:val="30"/>
          <w:highlight w:val="none"/>
        </w:rPr>
        <w:t>附表</w:t>
      </w:r>
    </w:p>
    <w:p w14:paraId="4226AAE4">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方正小标宋_GBK" w:cs="Times New Roman"/>
          <w:color w:val="auto"/>
          <w:sz w:val="36"/>
          <w:szCs w:val="36"/>
          <w:highlight w:val="none"/>
        </w:rPr>
      </w:pPr>
      <w:r>
        <w:rPr>
          <w:rFonts w:hint="default" w:ascii="Times New Roman" w:hAnsi="Times New Roman" w:eastAsia="方正小标宋_GBK" w:cs="Times New Roman"/>
          <w:color w:val="auto"/>
          <w:sz w:val="36"/>
          <w:szCs w:val="36"/>
          <w:highlight w:val="none"/>
        </w:rPr>
        <w:t>建设项目污染物排放量汇总表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688"/>
        <w:gridCol w:w="1362"/>
        <w:gridCol w:w="1710"/>
        <w:gridCol w:w="1525"/>
        <w:gridCol w:w="1708"/>
        <w:gridCol w:w="1709"/>
        <w:gridCol w:w="1589"/>
        <w:gridCol w:w="1831"/>
        <w:gridCol w:w="974"/>
      </w:tblGrid>
      <w:tr w14:paraId="0901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tcBorders>
              <w:tl2br w:val="single" w:color="auto" w:sz="4" w:space="0"/>
            </w:tcBorders>
            <w:vAlign w:val="center"/>
          </w:tcPr>
          <w:p w14:paraId="77C3B5E9">
            <w:pPr>
              <w:keepNext w:val="0"/>
              <w:keepLines w:val="0"/>
              <w:pageBreakBefore w:val="0"/>
              <w:kinsoku/>
              <w:wordWrap/>
              <w:topLinePunct w:val="0"/>
              <w:bidi w:val="0"/>
              <w:spacing w:line="276" w:lineRule="auto"/>
              <w:ind w:left="0" w:leftChars="0"/>
              <w:jc w:val="righ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p w14:paraId="3C494E7D">
            <w:pPr>
              <w:keepNext w:val="0"/>
              <w:keepLines w:val="0"/>
              <w:pageBreakBefore w:val="0"/>
              <w:kinsoku/>
              <w:wordWrap/>
              <w:topLinePunct w:val="0"/>
              <w:bidi w:val="0"/>
              <w:spacing w:line="276" w:lineRule="auto"/>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分类</w:t>
            </w:r>
          </w:p>
        </w:tc>
        <w:tc>
          <w:tcPr>
            <w:tcW w:w="2050" w:type="dxa"/>
            <w:gridSpan w:val="2"/>
            <w:vAlign w:val="center"/>
          </w:tcPr>
          <w:p w14:paraId="2284228E">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1710" w:type="dxa"/>
            <w:vAlign w:val="center"/>
          </w:tcPr>
          <w:p w14:paraId="0B703D30">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现有工程</w:t>
            </w:r>
          </w:p>
          <w:p w14:paraId="50AD416B">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排放量（固体废物产生量）①</w:t>
            </w:r>
          </w:p>
        </w:tc>
        <w:tc>
          <w:tcPr>
            <w:tcW w:w="1525" w:type="dxa"/>
            <w:vAlign w:val="center"/>
          </w:tcPr>
          <w:p w14:paraId="48FC50EE">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现有工程</w:t>
            </w:r>
          </w:p>
          <w:p w14:paraId="2846DDF2">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许可排放量②</w:t>
            </w:r>
          </w:p>
        </w:tc>
        <w:tc>
          <w:tcPr>
            <w:tcW w:w="1708" w:type="dxa"/>
            <w:vAlign w:val="center"/>
          </w:tcPr>
          <w:p w14:paraId="4C49DE46">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在建工程</w:t>
            </w:r>
          </w:p>
          <w:p w14:paraId="2867D43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排放量（固体废物产生量）③</w:t>
            </w:r>
          </w:p>
        </w:tc>
        <w:tc>
          <w:tcPr>
            <w:tcW w:w="1709" w:type="dxa"/>
            <w:vAlign w:val="center"/>
          </w:tcPr>
          <w:p w14:paraId="6C4E548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p>
          <w:p w14:paraId="1A720C65">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排放量（固体废物产生量）④</w:t>
            </w:r>
          </w:p>
        </w:tc>
        <w:tc>
          <w:tcPr>
            <w:tcW w:w="1589" w:type="dxa"/>
            <w:vAlign w:val="center"/>
          </w:tcPr>
          <w:p w14:paraId="001CFCE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以新带老削减量（新建项目不填）⑤</w:t>
            </w:r>
          </w:p>
        </w:tc>
        <w:tc>
          <w:tcPr>
            <w:tcW w:w="1831" w:type="dxa"/>
            <w:vAlign w:val="center"/>
          </w:tcPr>
          <w:p w14:paraId="5ED4BEA1">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本项目建成后</w:t>
            </w:r>
          </w:p>
          <w:p w14:paraId="21EA4862">
            <w:pPr>
              <w:keepNext w:val="0"/>
              <w:keepLines w:val="0"/>
              <w:pageBreakBefore w:val="0"/>
              <w:kinsoku/>
              <w:wordWrap/>
              <w:topLinePunct w:val="0"/>
              <w:bidi w:val="0"/>
              <w:spacing w:line="276" w:lineRule="auto"/>
              <w:ind w:left="0" w:left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全厂排放量（固体废物产生量）⑥</w:t>
            </w:r>
          </w:p>
        </w:tc>
        <w:tc>
          <w:tcPr>
            <w:tcW w:w="974" w:type="dxa"/>
            <w:vAlign w:val="center"/>
          </w:tcPr>
          <w:p w14:paraId="55B474C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变化量</w:t>
            </w:r>
          </w:p>
          <w:p w14:paraId="31E5FA67">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⑦</w:t>
            </w:r>
          </w:p>
        </w:tc>
      </w:tr>
      <w:tr w14:paraId="3C3D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restart"/>
            <w:vAlign w:val="center"/>
          </w:tcPr>
          <w:p w14:paraId="3818E1D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2050" w:type="dxa"/>
            <w:gridSpan w:val="2"/>
            <w:vAlign w:val="center"/>
          </w:tcPr>
          <w:p w14:paraId="1CF0A53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1710" w:type="dxa"/>
            <w:vAlign w:val="center"/>
          </w:tcPr>
          <w:p w14:paraId="243A0D52">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14:paraId="0B85A792">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3F8AA861">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14:paraId="0398B02D">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14:paraId="5793E72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14:paraId="1EAF0A4E">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14:paraId="0CB60911">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2"/>
                <w:sz w:val="21"/>
                <w:szCs w:val="21"/>
                <w:highlight w:val="none"/>
                <w:lang w:val="en-US" w:eastAsia="zh-CN" w:bidi="ar-SA"/>
              </w:rPr>
              <w:t>0</w:t>
            </w:r>
          </w:p>
        </w:tc>
      </w:tr>
      <w:tr w14:paraId="1B08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0C4BC8AD">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gridSpan w:val="2"/>
            <w:vAlign w:val="center"/>
          </w:tcPr>
          <w:p w14:paraId="661652F9">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二氧化硫</w:t>
            </w:r>
          </w:p>
        </w:tc>
        <w:tc>
          <w:tcPr>
            <w:tcW w:w="1710" w:type="dxa"/>
            <w:vAlign w:val="center"/>
          </w:tcPr>
          <w:p w14:paraId="2EAC4746">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14:paraId="08463AC9">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22F49FCE">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14:paraId="77B44F42">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14:paraId="3CE6AAA1">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14:paraId="0684B3B6">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14:paraId="76995238">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14:paraId="02F6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480048AF">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gridSpan w:val="2"/>
            <w:vAlign w:val="center"/>
          </w:tcPr>
          <w:p w14:paraId="1FFAF672">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氮氧化物</w:t>
            </w:r>
          </w:p>
        </w:tc>
        <w:tc>
          <w:tcPr>
            <w:tcW w:w="1710" w:type="dxa"/>
            <w:vAlign w:val="center"/>
          </w:tcPr>
          <w:p w14:paraId="12EF0F53">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14:paraId="12789262">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397388A2">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14:paraId="00FA96EE">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14:paraId="5EBC6DE8">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14:paraId="0AA3720A">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14:paraId="3596381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14:paraId="6006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18E0C572">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2050" w:type="dxa"/>
            <w:gridSpan w:val="2"/>
            <w:vAlign w:val="center"/>
          </w:tcPr>
          <w:p w14:paraId="3AA446B0">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VOCs</w:t>
            </w:r>
          </w:p>
        </w:tc>
        <w:tc>
          <w:tcPr>
            <w:tcW w:w="1710" w:type="dxa"/>
            <w:vAlign w:val="center"/>
          </w:tcPr>
          <w:p w14:paraId="18C25741">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vAlign w:val="center"/>
          </w:tcPr>
          <w:p w14:paraId="76134068">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2D8EAEC1">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14:paraId="1E874D31">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89" w:type="dxa"/>
            <w:vAlign w:val="center"/>
          </w:tcPr>
          <w:p w14:paraId="4BBD63E9">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831" w:type="dxa"/>
            <w:vAlign w:val="center"/>
          </w:tcPr>
          <w:p w14:paraId="378757AA">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vAlign w:val="center"/>
          </w:tcPr>
          <w:p w14:paraId="0D96153E">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r>
      <w:tr w14:paraId="3782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restart"/>
            <w:vAlign w:val="center"/>
          </w:tcPr>
          <w:p w14:paraId="7F872947">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688" w:type="dxa"/>
            <w:vMerge w:val="restart"/>
            <w:vAlign w:val="center"/>
          </w:tcPr>
          <w:p w14:paraId="69F8F469">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隘口水厂</w:t>
            </w:r>
          </w:p>
        </w:tc>
        <w:tc>
          <w:tcPr>
            <w:tcW w:w="1362" w:type="dxa"/>
            <w:shd w:val="clear" w:color="auto" w:fill="auto"/>
            <w:vAlign w:val="center"/>
          </w:tcPr>
          <w:p w14:paraId="67F33311">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废水量</w:t>
            </w:r>
          </w:p>
        </w:tc>
        <w:tc>
          <w:tcPr>
            <w:tcW w:w="1710" w:type="dxa"/>
            <w:shd w:val="clear" w:color="auto" w:fill="auto"/>
            <w:vAlign w:val="center"/>
          </w:tcPr>
          <w:p w14:paraId="1F0A0D62">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4946.48</w:t>
            </w:r>
          </w:p>
        </w:tc>
        <w:tc>
          <w:tcPr>
            <w:tcW w:w="1525" w:type="dxa"/>
            <w:vAlign w:val="center"/>
          </w:tcPr>
          <w:p w14:paraId="5661C89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708" w:type="dxa"/>
            <w:vAlign w:val="center"/>
          </w:tcPr>
          <w:p w14:paraId="66403E2E">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709" w:type="dxa"/>
            <w:vAlign w:val="center"/>
          </w:tcPr>
          <w:p w14:paraId="1CE38E6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589" w:type="dxa"/>
            <w:shd w:val="clear" w:color="auto" w:fill="auto"/>
            <w:vAlign w:val="center"/>
          </w:tcPr>
          <w:p w14:paraId="5B282311">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4946.48</w:t>
            </w:r>
          </w:p>
        </w:tc>
        <w:tc>
          <w:tcPr>
            <w:tcW w:w="1831" w:type="dxa"/>
            <w:vAlign w:val="center"/>
          </w:tcPr>
          <w:p w14:paraId="33C88C60">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974" w:type="dxa"/>
            <w:shd w:val="clear" w:color="auto" w:fill="auto"/>
            <w:vAlign w:val="center"/>
          </w:tcPr>
          <w:p w14:paraId="4FE7C95E">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-4946.48</w:t>
            </w:r>
          </w:p>
        </w:tc>
      </w:tr>
      <w:tr w14:paraId="44F46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76064A2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vAlign w:val="center"/>
          </w:tcPr>
          <w:p w14:paraId="55CFCA8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1362" w:type="dxa"/>
            <w:shd w:val="clear" w:color="auto" w:fill="auto"/>
            <w:vAlign w:val="center"/>
          </w:tcPr>
          <w:p w14:paraId="1A86AE86">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COD</w:t>
            </w:r>
          </w:p>
        </w:tc>
        <w:tc>
          <w:tcPr>
            <w:tcW w:w="1710" w:type="dxa"/>
            <w:shd w:val="clear" w:color="auto" w:fill="auto"/>
            <w:vAlign w:val="center"/>
          </w:tcPr>
          <w:p w14:paraId="06327128">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c>
          <w:tcPr>
            <w:tcW w:w="1525" w:type="dxa"/>
            <w:vAlign w:val="center"/>
          </w:tcPr>
          <w:p w14:paraId="6DFCE8BF">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46890077">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14:paraId="73BFA76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589" w:type="dxa"/>
            <w:shd w:val="clear" w:color="auto" w:fill="auto"/>
            <w:vAlign w:val="center"/>
          </w:tcPr>
          <w:p w14:paraId="6931418D">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c>
          <w:tcPr>
            <w:tcW w:w="1831" w:type="dxa"/>
            <w:vAlign w:val="center"/>
          </w:tcPr>
          <w:p w14:paraId="19CAD5E8">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shd w:val="clear" w:color="auto" w:fill="auto"/>
            <w:vAlign w:val="center"/>
          </w:tcPr>
          <w:p w14:paraId="0A3BA441">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-0.091</w:t>
            </w:r>
          </w:p>
        </w:tc>
      </w:tr>
      <w:tr w14:paraId="1897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72F54ED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vAlign w:val="center"/>
          </w:tcPr>
          <w:p w14:paraId="7677EB6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1362" w:type="dxa"/>
            <w:shd w:val="clear" w:color="auto" w:fill="auto"/>
            <w:vAlign w:val="center"/>
          </w:tcPr>
          <w:p w14:paraId="00C309F1">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710" w:type="dxa"/>
            <w:shd w:val="clear" w:color="auto" w:fill="auto"/>
            <w:vAlign w:val="center"/>
          </w:tcPr>
          <w:p w14:paraId="09BE5301">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1525" w:type="dxa"/>
            <w:vAlign w:val="center"/>
          </w:tcPr>
          <w:p w14:paraId="6ACD8E69">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173B139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14:paraId="02B1206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589" w:type="dxa"/>
            <w:shd w:val="clear" w:color="auto" w:fill="auto"/>
            <w:vAlign w:val="center"/>
          </w:tcPr>
          <w:p w14:paraId="0F933F11">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1831" w:type="dxa"/>
            <w:vAlign w:val="center"/>
          </w:tcPr>
          <w:p w14:paraId="660DE9F2">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shd w:val="clear" w:color="auto" w:fill="auto"/>
            <w:vAlign w:val="center"/>
          </w:tcPr>
          <w:p w14:paraId="232EA1D3">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r>
      <w:tr w14:paraId="53A1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7A048884">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vAlign w:val="center"/>
          </w:tcPr>
          <w:p w14:paraId="1127CBD5">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1362" w:type="dxa"/>
            <w:shd w:val="clear" w:color="auto" w:fill="auto"/>
            <w:vAlign w:val="center"/>
          </w:tcPr>
          <w:p w14:paraId="6562436C">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TP</w:t>
            </w:r>
          </w:p>
        </w:tc>
        <w:tc>
          <w:tcPr>
            <w:tcW w:w="1710" w:type="dxa"/>
            <w:shd w:val="clear" w:color="auto" w:fill="auto"/>
            <w:vAlign w:val="center"/>
          </w:tcPr>
          <w:p w14:paraId="260303D8">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1525" w:type="dxa"/>
            <w:vAlign w:val="center"/>
          </w:tcPr>
          <w:p w14:paraId="65760F27">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1797066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vAlign w:val="center"/>
          </w:tcPr>
          <w:p w14:paraId="4D22BC65">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589" w:type="dxa"/>
            <w:shd w:val="clear" w:color="auto" w:fill="auto"/>
            <w:vAlign w:val="center"/>
          </w:tcPr>
          <w:p w14:paraId="1E010615">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c>
          <w:tcPr>
            <w:tcW w:w="1831" w:type="dxa"/>
            <w:vAlign w:val="center"/>
          </w:tcPr>
          <w:p w14:paraId="30CD1A07">
            <w:pPr>
              <w:keepNext w:val="0"/>
              <w:keepLines w:val="0"/>
              <w:pageBreakBefore w:val="0"/>
              <w:kinsoku/>
              <w:wordWrap/>
              <w:topLinePunct w:val="0"/>
              <w:bidi w:val="0"/>
              <w:spacing w:line="276" w:lineRule="auto"/>
              <w:ind w:left="0" w:lef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974" w:type="dxa"/>
            <w:shd w:val="clear" w:color="auto" w:fill="auto"/>
            <w:vAlign w:val="center"/>
          </w:tcPr>
          <w:p w14:paraId="2055F76B">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-0.002</w:t>
            </w:r>
          </w:p>
        </w:tc>
      </w:tr>
      <w:tr w14:paraId="4DB8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restart"/>
            <w:vAlign w:val="center"/>
          </w:tcPr>
          <w:p w14:paraId="17F7720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一般工业</w:t>
            </w:r>
          </w:p>
          <w:p w14:paraId="7F29AE35">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688" w:type="dxa"/>
            <w:vMerge w:val="restart"/>
            <w:shd w:val="clear" w:color="auto" w:fill="auto"/>
            <w:vAlign w:val="center"/>
          </w:tcPr>
          <w:p w14:paraId="2C4658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隘口水厂</w:t>
            </w:r>
          </w:p>
        </w:tc>
        <w:tc>
          <w:tcPr>
            <w:tcW w:w="1362" w:type="dxa"/>
            <w:shd w:val="clear" w:color="auto" w:fill="auto"/>
            <w:vAlign w:val="center"/>
          </w:tcPr>
          <w:p w14:paraId="29A86A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1710" w:type="dxa"/>
            <w:shd w:val="clear" w:color="auto" w:fill="auto"/>
            <w:vAlign w:val="center"/>
          </w:tcPr>
          <w:p w14:paraId="180A9126">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0.365</w:t>
            </w:r>
          </w:p>
        </w:tc>
        <w:tc>
          <w:tcPr>
            <w:tcW w:w="1525" w:type="dxa"/>
            <w:vAlign w:val="center"/>
          </w:tcPr>
          <w:p w14:paraId="56F8F38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08D096AD">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shd w:val="clear" w:color="auto" w:fill="auto"/>
            <w:vAlign w:val="center"/>
          </w:tcPr>
          <w:p w14:paraId="29CAF795">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0.73</w:t>
            </w:r>
          </w:p>
        </w:tc>
        <w:tc>
          <w:tcPr>
            <w:tcW w:w="1589" w:type="dxa"/>
            <w:shd w:val="clear" w:color="auto" w:fill="auto"/>
            <w:vAlign w:val="center"/>
          </w:tcPr>
          <w:p w14:paraId="27E79370">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color w:val="auto"/>
                <w:sz w:val="21"/>
                <w:szCs w:val="21"/>
                <w:highlight w:val="none"/>
                <w:lang w:val="en-US" w:eastAsia="zh-CN"/>
              </w:rPr>
              <w:t>0.365</w:t>
            </w:r>
          </w:p>
        </w:tc>
        <w:tc>
          <w:tcPr>
            <w:tcW w:w="1831" w:type="dxa"/>
            <w:shd w:val="clear" w:color="auto" w:fill="auto"/>
            <w:vAlign w:val="center"/>
          </w:tcPr>
          <w:p w14:paraId="026CF5CE">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0.73</w:t>
            </w:r>
          </w:p>
        </w:tc>
        <w:tc>
          <w:tcPr>
            <w:tcW w:w="974" w:type="dxa"/>
            <w:shd w:val="clear" w:color="auto" w:fill="auto"/>
            <w:vAlign w:val="center"/>
          </w:tcPr>
          <w:p w14:paraId="745206C9">
            <w:pPr>
              <w:adjustRightInd w:val="0"/>
              <w:snapToGrid w:val="0"/>
              <w:spacing w:line="25"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default" w:ascii="Times New Roman" w:hAnsi="Times New Roman" w:cs="Times New Roman"/>
                <w:color w:val="auto"/>
                <w:sz w:val="21"/>
                <w:szCs w:val="21"/>
                <w:highlight w:val="none"/>
                <w:lang w:val="en-US" w:eastAsia="zh-CN"/>
              </w:rPr>
              <w:t>0.365</w:t>
            </w:r>
          </w:p>
        </w:tc>
      </w:tr>
      <w:tr w14:paraId="799E3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54D50EE7">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69CC58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362" w:type="dxa"/>
            <w:shd w:val="clear" w:color="auto" w:fill="auto"/>
            <w:vAlign w:val="center"/>
          </w:tcPr>
          <w:p w14:paraId="514569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栅渣及沉砂</w:t>
            </w:r>
          </w:p>
        </w:tc>
        <w:tc>
          <w:tcPr>
            <w:tcW w:w="1710" w:type="dxa"/>
            <w:shd w:val="clear" w:color="auto" w:fill="auto"/>
            <w:vAlign w:val="center"/>
          </w:tcPr>
          <w:p w14:paraId="38B9C542">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8.5</w:t>
            </w:r>
          </w:p>
        </w:tc>
        <w:tc>
          <w:tcPr>
            <w:tcW w:w="1525" w:type="dxa"/>
            <w:vAlign w:val="center"/>
          </w:tcPr>
          <w:p w14:paraId="31706B5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2835D5C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709" w:type="dxa"/>
            <w:shd w:val="clear" w:color="auto" w:fill="auto"/>
            <w:vAlign w:val="center"/>
          </w:tcPr>
          <w:p w14:paraId="604F38EC">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77.088</w:t>
            </w:r>
          </w:p>
        </w:tc>
        <w:tc>
          <w:tcPr>
            <w:tcW w:w="1589" w:type="dxa"/>
            <w:shd w:val="clear" w:color="auto" w:fill="auto"/>
            <w:vAlign w:val="center"/>
          </w:tcPr>
          <w:p w14:paraId="1453ABA2">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8.5</w:t>
            </w:r>
          </w:p>
        </w:tc>
        <w:tc>
          <w:tcPr>
            <w:tcW w:w="1831" w:type="dxa"/>
            <w:shd w:val="clear" w:color="auto" w:fill="auto"/>
            <w:vAlign w:val="center"/>
          </w:tcPr>
          <w:p w14:paraId="299EAE69">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77.088</w:t>
            </w:r>
          </w:p>
        </w:tc>
        <w:tc>
          <w:tcPr>
            <w:tcW w:w="974" w:type="dxa"/>
            <w:shd w:val="clear" w:color="auto" w:fill="auto"/>
            <w:vAlign w:val="center"/>
          </w:tcPr>
          <w:p w14:paraId="513316E1">
            <w:pPr>
              <w:adjustRightInd w:val="0"/>
              <w:snapToGrid w:val="0"/>
              <w:spacing w:line="25" w:lineRule="atLeast"/>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+68.588</w:t>
            </w:r>
          </w:p>
        </w:tc>
      </w:tr>
      <w:tr w14:paraId="5D14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223A9F55">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06CF32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1362" w:type="dxa"/>
            <w:shd w:val="clear" w:color="auto" w:fill="auto"/>
            <w:vAlign w:val="center"/>
          </w:tcPr>
          <w:p w14:paraId="59883D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污泥</w:t>
            </w:r>
          </w:p>
        </w:tc>
        <w:tc>
          <w:tcPr>
            <w:tcW w:w="1710" w:type="dxa"/>
            <w:shd w:val="clear" w:color="auto" w:fill="auto"/>
            <w:vAlign w:val="center"/>
          </w:tcPr>
          <w:p w14:paraId="1E72FDD0">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90</w:t>
            </w:r>
          </w:p>
        </w:tc>
        <w:tc>
          <w:tcPr>
            <w:tcW w:w="1525" w:type="dxa"/>
            <w:vAlign w:val="center"/>
          </w:tcPr>
          <w:p w14:paraId="4E99AA3F">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8" w:type="dxa"/>
            <w:vAlign w:val="center"/>
          </w:tcPr>
          <w:p w14:paraId="3D2D3946">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1709" w:type="dxa"/>
            <w:shd w:val="clear" w:color="auto" w:fill="auto"/>
            <w:vAlign w:val="center"/>
          </w:tcPr>
          <w:p w14:paraId="347E67A3">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00</w:t>
            </w:r>
          </w:p>
        </w:tc>
        <w:tc>
          <w:tcPr>
            <w:tcW w:w="1589" w:type="dxa"/>
            <w:shd w:val="clear" w:color="auto" w:fill="auto"/>
            <w:vAlign w:val="center"/>
          </w:tcPr>
          <w:p w14:paraId="09942F0B">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90</w:t>
            </w:r>
          </w:p>
        </w:tc>
        <w:tc>
          <w:tcPr>
            <w:tcW w:w="1831" w:type="dxa"/>
            <w:shd w:val="clear" w:color="auto" w:fill="auto"/>
            <w:vAlign w:val="center"/>
          </w:tcPr>
          <w:p w14:paraId="40D7B7D7">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00</w:t>
            </w:r>
          </w:p>
        </w:tc>
        <w:tc>
          <w:tcPr>
            <w:tcW w:w="974" w:type="dxa"/>
            <w:shd w:val="clear" w:color="auto" w:fill="auto"/>
            <w:vAlign w:val="center"/>
          </w:tcPr>
          <w:p w14:paraId="5715554D">
            <w:pPr>
              <w:adjustRightInd w:val="0"/>
              <w:snapToGrid w:val="0"/>
              <w:spacing w:line="25"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710</w:t>
            </w:r>
          </w:p>
        </w:tc>
      </w:tr>
      <w:tr w14:paraId="2479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vAlign w:val="center"/>
          </w:tcPr>
          <w:p w14:paraId="23F60921">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0E8740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p>
        </w:tc>
        <w:tc>
          <w:tcPr>
            <w:tcW w:w="1362" w:type="dxa"/>
            <w:shd w:val="clear" w:color="auto" w:fill="auto"/>
            <w:vAlign w:val="center"/>
          </w:tcPr>
          <w:p w14:paraId="573CE3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val="en-US" w:eastAsia="zh-CN"/>
              </w:rPr>
              <w:t>废滤料（废填料）</w:t>
            </w:r>
          </w:p>
        </w:tc>
        <w:tc>
          <w:tcPr>
            <w:tcW w:w="1710" w:type="dxa"/>
            <w:shd w:val="clear" w:color="auto" w:fill="auto"/>
            <w:vAlign w:val="center"/>
          </w:tcPr>
          <w:p w14:paraId="25981F5F">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w:t>
            </w:r>
          </w:p>
        </w:tc>
        <w:tc>
          <w:tcPr>
            <w:tcW w:w="1525" w:type="dxa"/>
            <w:vAlign w:val="center"/>
          </w:tcPr>
          <w:p w14:paraId="4934697F">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708" w:type="dxa"/>
            <w:vAlign w:val="center"/>
          </w:tcPr>
          <w:p w14:paraId="44117047">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709" w:type="dxa"/>
            <w:shd w:val="clear" w:color="auto" w:fill="auto"/>
            <w:vAlign w:val="center"/>
          </w:tcPr>
          <w:p w14:paraId="22D628AB">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w:t>
            </w:r>
          </w:p>
        </w:tc>
        <w:tc>
          <w:tcPr>
            <w:tcW w:w="1589" w:type="dxa"/>
            <w:shd w:val="clear" w:color="auto" w:fill="auto"/>
            <w:vAlign w:val="center"/>
          </w:tcPr>
          <w:p w14:paraId="2DBF2CF2">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w:t>
            </w:r>
          </w:p>
        </w:tc>
        <w:tc>
          <w:tcPr>
            <w:tcW w:w="1831" w:type="dxa"/>
            <w:shd w:val="clear" w:color="auto" w:fill="auto"/>
            <w:vAlign w:val="center"/>
          </w:tcPr>
          <w:p w14:paraId="6F5A1AAA">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20</w:t>
            </w:r>
          </w:p>
        </w:tc>
        <w:tc>
          <w:tcPr>
            <w:tcW w:w="974" w:type="dxa"/>
            <w:shd w:val="clear" w:color="auto" w:fill="auto"/>
            <w:vAlign w:val="center"/>
          </w:tcPr>
          <w:p w14:paraId="57A97A04">
            <w:pPr>
              <w:adjustRightInd w:val="0"/>
              <w:snapToGrid w:val="0"/>
              <w:spacing w:line="25" w:lineRule="atLeast"/>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+14</w:t>
            </w:r>
          </w:p>
        </w:tc>
      </w:tr>
      <w:tr w14:paraId="1F5D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tcPr>
          <w:p w14:paraId="59B41DA2">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242A1F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1362" w:type="dxa"/>
            <w:shd w:val="clear" w:color="auto" w:fill="auto"/>
            <w:vAlign w:val="center"/>
          </w:tcPr>
          <w:p w14:paraId="56C202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废包装材料</w:t>
            </w:r>
          </w:p>
        </w:tc>
        <w:tc>
          <w:tcPr>
            <w:tcW w:w="1710" w:type="dxa"/>
            <w:shd w:val="clear" w:color="auto" w:fill="auto"/>
            <w:vAlign w:val="center"/>
          </w:tcPr>
          <w:p w14:paraId="20C6C2C2">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0.02</w:t>
            </w:r>
          </w:p>
        </w:tc>
        <w:tc>
          <w:tcPr>
            <w:tcW w:w="1525" w:type="dxa"/>
          </w:tcPr>
          <w:p w14:paraId="4DA63FD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0" w:type="auto"/>
          </w:tcPr>
          <w:p w14:paraId="36353113">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74F61CB7">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1589" w:type="dxa"/>
            <w:shd w:val="clear" w:color="auto" w:fill="auto"/>
            <w:vAlign w:val="center"/>
          </w:tcPr>
          <w:p w14:paraId="436D5185">
            <w:pPr>
              <w:keepNext w:val="0"/>
              <w:keepLines w:val="0"/>
              <w:pageBreakBefore w:val="0"/>
              <w:widowControl w:val="0"/>
              <w:kinsoku/>
              <w:wordWrap/>
              <w:overflowPunct/>
              <w:topLinePunct w:val="0"/>
              <w:autoSpaceDE/>
              <w:autoSpaceDN/>
              <w:bidi w:val="0"/>
              <w:adjustRightInd w:val="0"/>
              <w:snapToGrid w:val="0"/>
              <w:spacing w:line="25" w:lineRule="atLeast"/>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0.02</w:t>
            </w:r>
          </w:p>
        </w:tc>
        <w:tc>
          <w:tcPr>
            <w:tcW w:w="1831" w:type="dxa"/>
            <w:shd w:val="clear" w:color="auto" w:fill="auto"/>
            <w:vAlign w:val="center"/>
          </w:tcPr>
          <w:p w14:paraId="45DFCF10">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0.05</w:t>
            </w:r>
          </w:p>
        </w:tc>
        <w:tc>
          <w:tcPr>
            <w:tcW w:w="0" w:type="auto"/>
            <w:shd w:val="clear" w:color="auto" w:fill="auto"/>
            <w:vAlign w:val="center"/>
          </w:tcPr>
          <w:p w14:paraId="0DFDD699">
            <w:pPr>
              <w:adjustRightInd w:val="0"/>
              <w:snapToGrid w:val="0"/>
              <w:spacing w:line="25" w:lineRule="atLeast"/>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+0.03</w:t>
            </w:r>
          </w:p>
        </w:tc>
      </w:tr>
      <w:tr w14:paraId="64A0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tcPr>
          <w:p w14:paraId="42992DFA">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restart"/>
            <w:shd w:val="clear" w:color="auto" w:fill="auto"/>
            <w:vAlign w:val="center"/>
          </w:tcPr>
          <w:p w14:paraId="621DB4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马渡关水厂</w:t>
            </w:r>
          </w:p>
        </w:tc>
        <w:tc>
          <w:tcPr>
            <w:tcW w:w="1362" w:type="dxa"/>
            <w:shd w:val="clear" w:color="auto" w:fill="auto"/>
            <w:vAlign w:val="center"/>
          </w:tcPr>
          <w:p w14:paraId="1583B7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1710" w:type="dxa"/>
            <w:shd w:val="clear" w:color="auto" w:fill="auto"/>
            <w:vAlign w:val="center"/>
          </w:tcPr>
          <w:p w14:paraId="2F4CE3CA">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shd w:val="clear" w:color="auto" w:fill="auto"/>
            <w:vAlign w:val="center"/>
          </w:tcPr>
          <w:p w14:paraId="016C1353">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78646F90">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1920622F">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73</w:t>
            </w:r>
          </w:p>
        </w:tc>
        <w:tc>
          <w:tcPr>
            <w:tcW w:w="1589" w:type="dxa"/>
            <w:shd w:val="clear" w:color="auto" w:fill="auto"/>
            <w:vAlign w:val="center"/>
          </w:tcPr>
          <w:p w14:paraId="757BBC81">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831" w:type="dxa"/>
            <w:shd w:val="clear" w:color="auto" w:fill="auto"/>
            <w:vAlign w:val="center"/>
          </w:tcPr>
          <w:p w14:paraId="02F43551">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73</w:t>
            </w:r>
          </w:p>
        </w:tc>
        <w:tc>
          <w:tcPr>
            <w:tcW w:w="0" w:type="auto"/>
            <w:shd w:val="clear" w:color="auto" w:fill="auto"/>
            <w:vAlign w:val="center"/>
          </w:tcPr>
          <w:p w14:paraId="7D036DD2">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14:paraId="68DC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tcPr>
          <w:p w14:paraId="140BDB1C">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20F2B9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1362" w:type="dxa"/>
            <w:shd w:val="clear" w:color="auto" w:fill="auto"/>
            <w:vAlign w:val="center"/>
          </w:tcPr>
          <w:p w14:paraId="4F6DF0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栅渣及沉砂</w:t>
            </w:r>
          </w:p>
        </w:tc>
        <w:tc>
          <w:tcPr>
            <w:tcW w:w="1710" w:type="dxa"/>
            <w:shd w:val="clear" w:color="auto" w:fill="auto"/>
            <w:vAlign w:val="center"/>
          </w:tcPr>
          <w:p w14:paraId="7BDAA4C8">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shd w:val="clear" w:color="auto" w:fill="auto"/>
            <w:vAlign w:val="center"/>
          </w:tcPr>
          <w:p w14:paraId="119953F4">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729AFAC2">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38CB4DDF">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115.632</w:t>
            </w:r>
          </w:p>
        </w:tc>
        <w:tc>
          <w:tcPr>
            <w:tcW w:w="1589" w:type="dxa"/>
            <w:shd w:val="clear" w:color="auto" w:fill="auto"/>
            <w:vAlign w:val="center"/>
          </w:tcPr>
          <w:p w14:paraId="6C4FF91D">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831" w:type="dxa"/>
            <w:shd w:val="clear" w:color="auto" w:fill="auto"/>
            <w:vAlign w:val="center"/>
          </w:tcPr>
          <w:p w14:paraId="2148CA2C">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115.632</w:t>
            </w:r>
          </w:p>
        </w:tc>
        <w:tc>
          <w:tcPr>
            <w:tcW w:w="0" w:type="auto"/>
            <w:shd w:val="clear" w:color="auto" w:fill="auto"/>
            <w:vAlign w:val="center"/>
          </w:tcPr>
          <w:p w14:paraId="1EF20A90">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14:paraId="25E0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tcPr>
          <w:p w14:paraId="4905E48D">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221F4D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1362" w:type="dxa"/>
            <w:shd w:val="clear" w:color="auto" w:fill="auto"/>
            <w:vAlign w:val="center"/>
          </w:tcPr>
          <w:p w14:paraId="19720C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污泥</w:t>
            </w:r>
          </w:p>
        </w:tc>
        <w:tc>
          <w:tcPr>
            <w:tcW w:w="1710" w:type="dxa"/>
            <w:shd w:val="clear" w:color="auto" w:fill="auto"/>
            <w:vAlign w:val="center"/>
          </w:tcPr>
          <w:p w14:paraId="7495E499">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shd w:val="clear" w:color="auto" w:fill="auto"/>
            <w:vAlign w:val="center"/>
          </w:tcPr>
          <w:p w14:paraId="53201C23">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0671B5E7">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579BF3B9">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1000</w:t>
            </w:r>
          </w:p>
        </w:tc>
        <w:tc>
          <w:tcPr>
            <w:tcW w:w="1589" w:type="dxa"/>
            <w:shd w:val="clear" w:color="auto" w:fill="auto"/>
            <w:vAlign w:val="center"/>
          </w:tcPr>
          <w:p w14:paraId="699283FB">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831" w:type="dxa"/>
            <w:shd w:val="clear" w:color="auto" w:fill="auto"/>
            <w:vAlign w:val="center"/>
          </w:tcPr>
          <w:p w14:paraId="258201BD">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1000</w:t>
            </w:r>
          </w:p>
        </w:tc>
        <w:tc>
          <w:tcPr>
            <w:tcW w:w="0" w:type="auto"/>
            <w:shd w:val="clear" w:color="auto" w:fill="auto"/>
            <w:vAlign w:val="center"/>
          </w:tcPr>
          <w:p w14:paraId="3E324E21">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r w14:paraId="0A49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tcPr>
          <w:p w14:paraId="48B74778">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3AAFBA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1362" w:type="dxa"/>
            <w:shd w:val="clear" w:color="auto" w:fill="auto"/>
            <w:vAlign w:val="center"/>
          </w:tcPr>
          <w:p w14:paraId="3AC882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w:t>
            </w:r>
            <w:r>
              <w:rPr>
                <w:rFonts w:hint="eastAsia" w:ascii="Times New Roman" w:hAnsi="Times New Roman" w:cs="Times New Roman"/>
                <w:color w:val="auto"/>
                <w:sz w:val="21"/>
                <w:szCs w:val="21"/>
                <w:highlight w:val="none"/>
                <w:lang w:val="en-US" w:eastAsia="zh-CN"/>
              </w:rPr>
              <w:t>填料</w:t>
            </w:r>
          </w:p>
        </w:tc>
        <w:tc>
          <w:tcPr>
            <w:tcW w:w="1710" w:type="dxa"/>
            <w:shd w:val="clear" w:color="auto" w:fill="auto"/>
            <w:vAlign w:val="center"/>
          </w:tcPr>
          <w:p w14:paraId="1457CA37">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525" w:type="dxa"/>
            <w:shd w:val="clear" w:color="auto" w:fill="auto"/>
            <w:vAlign w:val="center"/>
          </w:tcPr>
          <w:p w14:paraId="1072D432">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3986A703">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6921A102">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30</w:t>
            </w:r>
          </w:p>
        </w:tc>
        <w:tc>
          <w:tcPr>
            <w:tcW w:w="1589" w:type="dxa"/>
            <w:shd w:val="clear" w:color="auto" w:fill="auto"/>
            <w:vAlign w:val="center"/>
          </w:tcPr>
          <w:p w14:paraId="0C0DF711">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831" w:type="dxa"/>
            <w:shd w:val="clear" w:color="auto" w:fill="auto"/>
            <w:vAlign w:val="center"/>
          </w:tcPr>
          <w:p w14:paraId="34E53773">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30</w:t>
            </w:r>
          </w:p>
        </w:tc>
        <w:tc>
          <w:tcPr>
            <w:tcW w:w="0" w:type="auto"/>
            <w:shd w:val="clear" w:color="auto" w:fill="auto"/>
            <w:vAlign w:val="center"/>
          </w:tcPr>
          <w:p w14:paraId="64CA27F0">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r>
      <w:tr w14:paraId="4400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78" w:type="dxa"/>
            <w:vMerge w:val="continue"/>
          </w:tcPr>
          <w:p w14:paraId="78AC9D95">
            <w:pPr>
              <w:keepNext w:val="0"/>
              <w:keepLines w:val="0"/>
              <w:pageBreakBefore w:val="0"/>
              <w:kinsoku/>
              <w:wordWrap/>
              <w:topLinePunct w:val="0"/>
              <w:bidi w:val="0"/>
              <w:spacing w:line="276" w:lineRule="auto"/>
              <w:ind w:left="0" w:leftChars="0"/>
              <w:jc w:val="center"/>
              <w:rPr>
                <w:rFonts w:hint="default" w:ascii="Times New Roman" w:hAnsi="Times New Roman" w:cs="Times New Roman"/>
                <w:color w:val="auto"/>
                <w:sz w:val="21"/>
                <w:szCs w:val="21"/>
                <w:highlight w:val="none"/>
              </w:rPr>
            </w:pPr>
          </w:p>
        </w:tc>
        <w:tc>
          <w:tcPr>
            <w:tcW w:w="688" w:type="dxa"/>
            <w:vMerge w:val="continue"/>
            <w:shd w:val="clear" w:color="auto" w:fill="auto"/>
            <w:vAlign w:val="center"/>
          </w:tcPr>
          <w:p w14:paraId="26451F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p>
        </w:tc>
        <w:tc>
          <w:tcPr>
            <w:tcW w:w="1362" w:type="dxa"/>
            <w:shd w:val="clear" w:color="auto" w:fill="auto"/>
            <w:vAlign w:val="center"/>
          </w:tcPr>
          <w:p w14:paraId="7B423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废包装材料</w:t>
            </w:r>
          </w:p>
        </w:tc>
        <w:tc>
          <w:tcPr>
            <w:tcW w:w="1710" w:type="dxa"/>
            <w:shd w:val="clear" w:color="auto" w:fill="auto"/>
            <w:vAlign w:val="center"/>
          </w:tcPr>
          <w:p w14:paraId="40E95E47">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525" w:type="dxa"/>
            <w:shd w:val="clear" w:color="auto" w:fill="auto"/>
            <w:vAlign w:val="center"/>
          </w:tcPr>
          <w:p w14:paraId="38B8389D">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47B1F37A">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0" w:type="auto"/>
            <w:shd w:val="clear" w:color="auto" w:fill="auto"/>
            <w:vAlign w:val="center"/>
          </w:tcPr>
          <w:p w14:paraId="4E0A1405">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8</w:t>
            </w:r>
          </w:p>
        </w:tc>
        <w:tc>
          <w:tcPr>
            <w:tcW w:w="1589" w:type="dxa"/>
            <w:shd w:val="clear" w:color="auto" w:fill="auto"/>
            <w:vAlign w:val="center"/>
          </w:tcPr>
          <w:p w14:paraId="4C854436">
            <w:pPr>
              <w:keepNext w:val="0"/>
              <w:keepLines w:val="0"/>
              <w:pageBreakBefore w:val="0"/>
              <w:kinsoku/>
              <w:wordWrap/>
              <w:topLinePunct w:val="0"/>
              <w:bidi w:val="0"/>
              <w:spacing w:line="276" w:lineRule="auto"/>
              <w:ind w:left="0" w:lef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c>
          <w:tcPr>
            <w:tcW w:w="1831" w:type="dxa"/>
            <w:shd w:val="clear" w:color="auto" w:fill="auto"/>
            <w:vAlign w:val="center"/>
          </w:tcPr>
          <w:p w14:paraId="43A29452">
            <w:pPr>
              <w:keepNext w:val="0"/>
              <w:keepLines w:val="0"/>
              <w:pageBreakBefore w:val="0"/>
              <w:widowControl w:val="0"/>
              <w:tabs>
                <w:tab w:val="left" w:pos="1134"/>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0.0</w:t>
            </w:r>
            <w:r>
              <w:rPr>
                <w:rFonts w:hint="eastAsia" w:ascii="Times New Roman" w:hAnsi="Times New Roman" w:cs="Times New Roman"/>
                <w:color w:val="auto"/>
                <w:sz w:val="21"/>
                <w:szCs w:val="21"/>
                <w:highlight w:val="none"/>
                <w:lang w:val="en-US" w:eastAsia="zh-CN"/>
              </w:rPr>
              <w:t>8</w:t>
            </w:r>
          </w:p>
        </w:tc>
        <w:tc>
          <w:tcPr>
            <w:tcW w:w="0" w:type="auto"/>
            <w:shd w:val="clear" w:color="auto" w:fill="auto"/>
            <w:vAlign w:val="center"/>
          </w:tcPr>
          <w:p w14:paraId="39BB0965">
            <w:pPr>
              <w:keepNext w:val="0"/>
              <w:keepLines w:val="0"/>
              <w:pageBreakBefore w:val="0"/>
              <w:kinsoku/>
              <w:wordWrap/>
              <w:topLinePunct w:val="0"/>
              <w:bidi w:val="0"/>
              <w:spacing w:line="276" w:lineRule="auto"/>
              <w:ind w:left="0" w:lef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0</w:t>
            </w:r>
          </w:p>
        </w:tc>
      </w:tr>
    </w:tbl>
    <w:p w14:paraId="35236412">
      <w:pPr>
        <w:keepNext w:val="0"/>
        <w:keepLines w:val="0"/>
        <w:pageBreakBefore w:val="0"/>
        <w:kinsoku/>
        <w:wordWrap/>
        <w:topLinePunct w:val="0"/>
        <w:bidi w:val="0"/>
        <w:ind w:left="0" w:leftChars="0"/>
        <w:rPr>
          <w:rFonts w:hint="default" w:ascii="Times New Roman" w:hAnsi="Times New Roman" w:cs="Times New Roman"/>
          <w:color w:val="auto"/>
          <w:sz w:val="24"/>
          <w:szCs w:val="32"/>
          <w:highlight w:val="none"/>
          <w:lang w:eastAsia="zh-CN"/>
        </w:rPr>
      </w:pPr>
      <w:r>
        <w:rPr>
          <w:rFonts w:hint="default" w:ascii="Times New Roman" w:hAnsi="Times New Roman" w:cs="Times New Roman"/>
          <w:color w:val="auto"/>
          <w:szCs w:val="21"/>
          <w:highlight w:val="none"/>
        </w:rPr>
        <w:t>注：⑥=①+③+④-⑤；⑦=⑥-①。</w:t>
      </w:r>
    </w:p>
    <w:p w14:paraId="2CCC1FC6">
      <w:pPr>
        <w:keepNext w:val="0"/>
        <w:keepLines w:val="0"/>
        <w:pageBreakBefore w:val="0"/>
        <w:kinsoku/>
        <w:wordWrap/>
        <w:topLinePunct w:val="0"/>
        <w:bidi w:val="0"/>
        <w:spacing w:line="360" w:lineRule="auto"/>
        <w:ind w:left="0" w:leftChars="0"/>
        <w:rPr>
          <w:rFonts w:hint="default" w:ascii="Times New Roman" w:hAnsi="Times New Roman" w:cs="Times New Roman"/>
          <w:color w:val="auto"/>
          <w:sz w:val="24"/>
          <w:szCs w:val="32"/>
          <w:highlight w:val="none"/>
          <w:lang w:eastAsia="zh-CN"/>
        </w:rPr>
      </w:pPr>
    </w:p>
    <w:p w14:paraId="14F769BF"/>
    <w:sectPr>
      <w:pgSz w:w="16838" w:h="11906" w:orient="landscape"/>
      <w:pgMar w:top="1440" w:right="1361" w:bottom="1440" w:left="1361"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auto"/>
    <w:pitch w:val="default"/>
    <w:sig w:usb0="00000001" w:usb1="080E0000" w:usb2="00000000" w:usb3="00000000" w:csb0="00040000" w:csb1="00000000"/>
  </w:font>
  <w:font w:name="仿宋">
    <w:altName w:val="仿宋_GB2312"/>
    <w:panose1 w:val="02010609060101010101"/>
    <w:charset w:val="86"/>
    <w:family w:val="modern"/>
    <w:pitch w:val="default"/>
    <w:sig w:usb0="00000000" w:usb1="00000000" w:usb2="00000016" w:usb3="00000000" w:csb0="00040001" w:csb1="00000000"/>
  </w:font>
  <w:font w:name="Arial Black">
    <w:altName w:val="Times New Roman"/>
    <w:panose1 w:val="020B0A04020102020204"/>
    <w:charset w:val="00"/>
    <w:family w:val="swiss"/>
    <w:pitch w:val="default"/>
    <w:sig w:usb0="00000000" w:usb1="00000000" w:usb2="00000000" w:usb3="00000000" w:csb0="6000009F" w:csb1="DFD70000"/>
  </w:font>
  <w:font w:name="方正小标宋_GBK">
    <w:panose1 w:val="03000509000000000000"/>
    <w:charset w:val="86"/>
    <w:family w:val="script"/>
    <w:pitch w:val="default"/>
    <w:sig w:usb0="00000001" w:usb1="080E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宋">
    <w:altName w:val="宋体"/>
    <w:panose1 w:val="00000000000000000000"/>
    <w:charset w:val="00"/>
    <w:family w:val="auto"/>
    <w:pitch w:val="default"/>
    <w:sig w:usb0="00000000" w:usb1="00000000" w:usb2="00000000"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A7CA5">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BB025">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8BB025">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B433B1"/>
    <w:multiLevelType w:val="multilevel"/>
    <w:tmpl w:val="0EB433B1"/>
    <w:lvl w:ilvl="0" w:tentative="0">
      <w:start w:val="1"/>
      <w:numFmt w:val="decimal"/>
      <w:pStyle w:val="2"/>
      <w:suff w:val="nothing"/>
      <w:lvlText w:val="%1　"/>
      <w:lvlJc w:val="left"/>
      <w:pPr>
        <w:ind w:left="945" w:firstLine="0"/>
      </w:pPr>
      <w:rPr>
        <w:rFonts w:hint="eastAsia"/>
      </w:rPr>
    </w:lvl>
    <w:lvl w:ilvl="1" w:tentative="0">
      <w:start w:val="1"/>
      <w:numFmt w:val="decimal"/>
      <w:suff w:val="nothing"/>
      <w:lvlText w:val="%1.%2　"/>
      <w:lvlJc w:val="left"/>
      <w:pPr>
        <w:ind w:left="0" w:firstLine="0"/>
      </w:pPr>
      <w:rPr>
        <w:rFonts w:hint="eastAsia"/>
      </w:rPr>
    </w:lvl>
    <w:lvl w:ilvl="2" w:tentative="0">
      <w:start w:val="1"/>
      <w:numFmt w:val="decimal"/>
      <w:suff w:val="nothing"/>
      <w:lvlText w:val="%1.%2.%3　"/>
      <w:lvlJc w:val="left"/>
      <w:pPr>
        <w:ind w:left="0" w:firstLine="0"/>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mYjU3YmM0NGNkMmZmYzE2MWIyZTFkMTM2NDRjOGIifQ=="/>
  </w:docVars>
  <w:rsids>
    <w:rsidRoot w:val="00172A27"/>
    <w:rsid w:val="00067ECE"/>
    <w:rsid w:val="005A3EE3"/>
    <w:rsid w:val="00623453"/>
    <w:rsid w:val="00CA3AD0"/>
    <w:rsid w:val="00D1231A"/>
    <w:rsid w:val="01177351"/>
    <w:rsid w:val="01206A64"/>
    <w:rsid w:val="013D5FBE"/>
    <w:rsid w:val="013E1EDD"/>
    <w:rsid w:val="01527EDF"/>
    <w:rsid w:val="01536CCC"/>
    <w:rsid w:val="01A86A05"/>
    <w:rsid w:val="01BC1926"/>
    <w:rsid w:val="01D017F2"/>
    <w:rsid w:val="01D01FFF"/>
    <w:rsid w:val="01D4636A"/>
    <w:rsid w:val="01E00CE2"/>
    <w:rsid w:val="01F573F5"/>
    <w:rsid w:val="020166A7"/>
    <w:rsid w:val="0204742C"/>
    <w:rsid w:val="020B0882"/>
    <w:rsid w:val="02300221"/>
    <w:rsid w:val="026370DF"/>
    <w:rsid w:val="02F0273C"/>
    <w:rsid w:val="02F079B0"/>
    <w:rsid w:val="030C0CBD"/>
    <w:rsid w:val="03101E00"/>
    <w:rsid w:val="03292E3E"/>
    <w:rsid w:val="0332397A"/>
    <w:rsid w:val="033E071B"/>
    <w:rsid w:val="035A307B"/>
    <w:rsid w:val="037745F5"/>
    <w:rsid w:val="03C20E03"/>
    <w:rsid w:val="03CB1CCE"/>
    <w:rsid w:val="03D86F36"/>
    <w:rsid w:val="040731F8"/>
    <w:rsid w:val="04095165"/>
    <w:rsid w:val="044A4F10"/>
    <w:rsid w:val="044C0C16"/>
    <w:rsid w:val="045070C7"/>
    <w:rsid w:val="045D5BC2"/>
    <w:rsid w:val="047819B6"/>
    <w:rsid w:val="04AB278A"/>
    <w:rsid w:val="04C72BFE"/>
    <w:rsid w:val="05091A55"/>
    <w:rsid w:val="05127C90"/>
    <w:rsid w:val="05346FC7"/>
    <w:rsid w:val="05363E1F"/>
    <w:rsid w:val="053A4F12"/>
    <w:rsid w:val="05411A20"/>
    <w:rsid w:val="05740256"/>
    <w:rsid w:val="05AB5E10"/>
    <w:rsid w:val="05CD1C2A"/>
    <w:rsid w:val="05CF5FA2"/>
    <w:rsid w:val="05E10DA9"/>
    <w:rsid w:val="06451158"/>
    <w:rsid w:val="068E643C"/>
    <w:rsid w:val="06914503"/>
    <w:rsid w:val="069523FE"/>
    <w:rsid w:val="06954AF6"/>
    <w:rsid w:val="069845E6"/>
    <w:rsid w:val="06A51EF3"/>
    <w:rsid w:val="06C3163B"/>
    <w:rsid w:val="06E646A5"/>
    <w:rsid w:val="06EE319F"/>
    <w:rsid w:val="07677245"/>
    <w:rsid w:val="0794255C"/>
    <w:rsid w:val="07A1446C"/>
    <w:rsid w:val="07AA03DF"/>
    <w:rsid w:val="07DA39BA"/>
    <w:rsid w:val="07F76A43"/>
    <w:rsid w:val="07F9658E"/>
    <w:rsid w:val="080946AB"/>
    <w:rsid w:val="08357E18"/>
    <w:rsid w:val="0847222C"/>
    <w:rsid w:val="085D4452"/>
    <w:rsid w:val="08A16ACD"/>
    <w:rsid w:val="08B01682"/>
    <w:rsid w:val="08C3745F"/>
    <w:rsid w:val="08C6543B"/>
    <w:rsid w:val="08C96CD9"/>
    <w:rsid w:val="08DC4C5E"/>
    <w:rsid w:val="08F1544C"/>
    <w:rsid w:val="090F7036"/>
    <w:rsid w:val="090F74EA"/>
    <w:rsid w:val="092C4981"/>
    <w:rsid w:val="09311994"/>
    <w:rsid w:val="094A03AC"/>
    <w:rsid w:val="094B46B8"/>
    <w:rsid w:val="095617CB"/>
    <w:rsid w:val="09652EA6"/>
    <w:rsid w:val="09716023"/>
    <w:rsid w:val="097F383C"/>
    <w:rsid w:val="099472E7"/>
    <w:rsid w:val="09975029"/>
    <w:rsid w:val="09BE5E69"/>
    <w:rsid w:val="09C13E54"/>
    <w:rsid w:val="09D2336D"/>
    <w:rsid w:val="09D55D74"/>
    <w:rsid w:val="09DC2ACF"/>
    <w:rsid w:val="09E75EDE"/>
    <w:rsid w:val="0A0B51CB"/>
    <w:rsid w:val="0A140428"/>
    <w:rsid w:val="0A7858FE"/>
    <w:rsid w:val="0A886CD4"/>
    <w:rsid w:val="0AB26AC6"/>
    <w:rsid w:val="0ACA17BF"/>
    <w:rsid w:val="0ACC773A"/>
    <w:rsid w:val="0AD36ED6"/>
    <w:rsid w:val="0AF43971"/>
    <w:rsid w:val="0AF76584"/>
    <w:rsid w:val="0AFB3E35"/>
    <w:rsid w:val="0B002E68"/>
    <w:rsid w:val="0B0443BA"/>
    <w:rsid w:val="0B0C10FF"/>
    <w:rsid w:val="0B5A043F"/>
    <w:rsid w:val="0B9B37D9"/>
    <w:rsid w:val="0BA23811"/>
    <w:rsid w:val="0BB51797"/>
    <w:rsid w:val="0C1C1816"/>
    <w:rsid w:val="0C233095"/>
    <w:rsid w:val="0C43257D"/>
    <w:rsid w:val="0C456A1A"/>
    <w:rsid w:val="0C6F6E83"/>
    <w:rsid w:val="0C7D44E0"/>
    <w:rsid w:val="0C8F023A"/>
    <w:rsid w:val="0CA13776"/>
    <w:rsid w:val="0CA90A22"/>
    <w:rsid w:val="0CB10B0C"/>
    <w:rsid w:val="0CE75F36"/>
    <w:rsid w:val="0CF7422C"/>
    <w:rsid w:val="0D0B3D64"/>
    <w:rsid w:val="0D344206"/>
    <w:rsid w:val="0D365CE2"/>
    <w:rsid w:val="0D3B55CD"/>
    <w:rsid w:val="0D3F3A0E"/>
    <w:rsid w:val="0D474670"/>
    <w:rsid w:val="0D4C6FD9"/>
    <w:rsid w:val="0D6358CA"/>
    <w:rsid w:val="0D73125D"/>
    <w:rsid w:val="0D914E3C"/>
    <w:rsid w:val="0DF31680"/>
    <w:rsid w:val="0DF732B0"/>
    <w:rsid w:val="0E031844"/>
    <w:rsid w:val="0E097B78"/>
    <w:rsid w:val="0E0B1216"/>
    <w:rsid w:val="0E3E0721"/>
    <w:rsid w:val="0E3E791A"/>
    <w:rsid w:val="0E6F20D1"/>
    <w:rsid w:val="0E981627"/>
    <w:rsid w:val="0E9D0085"/>
    <w:rsid w:val="0EA53929"/>
    <w:rsid w:val="0EC202DE"/>
    <w:rsid w:val="0ED71A24"/>
    <w:rsid w:val="0ED865FD"/>
    <w:rsid w:val="0EE721D9"/>
    <w:rsid w:val="0EEF1FAA"/>
    <w:rsid w:val="0EFE5203"/>
    <w:rsid w:val="0F346E76"/>
    <w:rsid w:val="0F4F78B0"/>
    <w:rsid w:val="0F584C50"/>
    <w:rsid w:val="0F815DA9"/>
    <w:rsid w:val="0F8734A6"/>
    <w:rsid w:val="0FCB419B"/>
    <w:rsid w:val="0FDC05A2"/>
    <w:rsid w:val="0FE60C31"/>
    <w:rsid w:val="0FEF171B"/>
    <w:rsid w:val="100757EF"/>
    <w:rsid w:val="109261E9"/>
    <w:rsid w:val="10A17768"/>
    <w:rsid w:val="10A35B8B"/>
    <w:rsid w:val="10C5671A"/>
    <w:rsid w:val="10C77FE7"/>
    <w:rsid w:val="10E61059"/>
    <w:rsid w:val="113028E2"/>
    <w:rsid w:val="11313296"/>
    <w:rsid w:val="115B231D"/>
    <w:rsid w:val="11795171"/>
    <w:rsid w:val="119447BB"/>
    <w:rsid w:val="119B1480"/>
    <w:rsid w:val="11D5310E"/>
    <w:rsid w:val="11EC00F4"/>
    <w:rsid w:val="121D79CF"/>
    <w:rsid w:val="1251734D"/>
    <w:rsid w:val="12677142"/>
    <w:rsid w:val="127759F8"/>
    <w:rsid w:val="12AA3A1F"/>
    <w:rsid w:val="12B82803"/>
    <w:rsid w:val="12C9599C"/>
    <w:rsid w:val="12DE5A77"/>
    <w:rsid w:val="13162A0E"/>
    <w:rsid w:val="131A3751"/>
    <w:rsid w:val="13240975"/>
    <w:rsid w:val="133F6D99"/>
    <w:rsid w:val="1363441C"/>
    <w:rsid w:val="136B6F50"/>
    <w:rsid w:val="1380268A"/>
    <w:rsid w:val="1382682A"/>
    <w:rsid w:val="1391117C"/>
    <w:rsid w:val="13994B64"/>
    <w:rsid w:val="139A55D8"/>
    <w:rsid w:val="139E2B38"/>
    <w:rsid w:val="13EE7E50"/>
    <w:rsid w:val="13FD2A60"/>
    <w:rsid w:val="1412709D"/>
    <w:rsid w:val="141760B0"/>
    <w:rsid w:val="141B76AD"/>
    <w:rsid w:val="14636C82"/>
    <w:rsid w:val="1486672B"/>
    <w:rsid w:val="14B04E9E"/>
    <w:rsid w:val="14FB2F80"/>
    <w:rsid w:val="15202312"/>
    <w:rsid w:val="15392139"/>
    <w:rsid w:val="154420C7"/>
    <w:rsid w:val="15474C48"/>
    <w:rsid w:val="156E7814"/>
    <w:rsid w:val="158739AA"/>
    <w:rsid w:val="15CA107C"/>
    <w:rsid w:val="15CD601C"/>
    <w:rsid w:val="15F23AD0"/>
    <w:rsid w:val="15F35395"/>
    <w:rsid w:val="162E2871"/>
    <w:rsid w:val="1653052A"/>
    <w:rsid w:val="16C02D88"/>
    <w:rsid w:val="16C83537"/>
    <w:rsid w:val="16CE50F1"/>
    <w:rsid w:val="16D55FA9"/>
    <w:rsid w:val="170C65FB"/>
    <w:rsid w:val="171A224F"/>
    <w:rsid w:val="17234B3C"/>
    <w:rsid w:val="17413E43"/>
    <w:rsid w:val="17516817"/>
    <w:rsid w:val="176A1687"/>
    <w:rsid w:val="178D2A71"/>
    <w:rsid w:val="17964416"/>
    <w:rsid w:val="17971164"/>
    <w:rsid w:val="17C35302"/>
    <w:rsid w:val="17D650DE"/>
    <w:rsid w:val="17E53404"/>
    <w:rsid w:val="17E77A15"/>
    <w:rsid w:val="17E94CA2"/>
    <w:rsid w:val="17F81198"/>
    <w:rsid w:val="17FB70D6"/>
    <w:rsid w:val="180D1836"/>
    <w:rsid w:val="18241487"/>
    <w:rsid w:val="18302C42"/>
    <w:rsid w:val="183275CF"/>
    <w:rsid w:val="183F2B14"/>
    <w:rsid w:val="18496E19"/>
    <w:rsid w:val="1864257A"/>
    <w:rsid w:val="186E51E3"/>
    <w:rsid w:val="1896721E"/>
    <w:rsid w:val="18FB610D"/>
    <w:rsid w:val="18FC4870"/>
    <w:rsid w:val="195B1BCF"/>
    <w:rsid w:val="199B52F9"/>
    <w:rsid w:val="19B117EF"/>
    <w:rsid w:val="19C72DC1"/>
    <w:rsid w:val="19CC0292"/>
    <w:rsid w:val="19D92AF4"/>
    <w:rsid w:val="19EB47FE"/>
    <w:rsid w:val="1A6E5F75"/>
    <w:rsid w:val="1A815802"/>
    <w:rsid w:val="1A87237C"/>
    <w:rsid w:val="1A976717"/>
    <w:rsid w:val="1AAF3196"/>
    <w:rsid w:val="1AB10FBD"/>
    <w:rsid w:val="1B1D498F"/>
    <w:rsid w:val="1B5E319A"/>
    <w:rsid w:val="1B667E5F"/>
    <w:rsid w:val="1B842DF4"/>
    <w:rsid w:val="1B9E5B39"/>
    <w:rsid w:val="1BBC3DE7"/>
    <w:rsid w:val="1BC06F9C"/>
    <w:rsid w:val="1BC27E9A"/>
    <w:rsid w:val="1BCA303C"/>
    <w:rsid w:val="1BD1056A"/>
    <w:rsid w:val="1BEB19B2"/>
    <w:rsid w:val="1BF200F1"/>
    <w:rsid w:val="1BF70EAC"/>
    <w:rsid w:val="1C2E5379"/>
    <w:rsid w:val="1C603069"/>
    <w:rsid w:val="1C755930"/>
    <w:rsid w:val="1C8834C4"/>
    <w:rsid w:val="1C976113"/>
    <w:rsid w:val="1CA4520B"/>
    <w:rsid w:val="1CA46B22"/>
    <w:rsid w:val="1CA619C0"/>
    <w:rsid w:val="1CC87638"/>
    <w:rsid w:val="1CF57C45"/>
    <w:rsid w:val="1CFE2A12"/>
    <w:rsid w:val="1CFF5E11"/>
    <w:rsid w:val="1D37483E"/>
    <w:rsid w:val="1D513E32"/>
    <w:rsid w:val="1D7E7C3A"/>
    <w:rsid w:val="1DD106B2"/>
    <w:rsid w:val="1DFE521F"/>
    <w:rsid w:val="1E126780"/>
    <w:rsid w:val="1E24619F"/>
    <w:rsid w:val="1E5E7721"/>
    <w:rsid w:val="1E660339"/>
    <w:rsid w:val="1E88366B"/>
    <w:rsid w:val="1E920776"/>
    <w:rsid w:val="1E9D2342"/>
    <w:rsid w:val="1EBD4792"/>
    <w:rsid w:val="1EC11B21"/>
    <w:rsid w:val="1EF51EBE"/>
    <w:rsid w:val="1F044A98"/>
    <w:rsid w:val="1F1D16D5"/>
    <w:rsid w:val="1F214F52"/>
    <w:rsid w:val="1F4C5B16"/>
    <w:rsid w:val="1F532A51"/>
    <w:rsid w:val="1F7973FE"/>
    <w:rsid w:val="1F9279CD"/>
    <w:rsid w:val="1FA0658E"/>
    <w:rsid w:val="1FC52C19"/>
    <w:rsid w:val="1FC64311"/>
    <w:rsid w:val="1FF24910"/>
    <w:rsid w:val="200C2075"/>
    <w:rsid w:val="2014202F"/>
    <w:rsid w:val="202B7A06"/>
    <w:rsid w:val="207B66B3"/>
    <w:rsid w:val="20872F31"/>
    <w:rsid w:val="208D63E6"/>
    <w:rsid w:val="20A951E7"/>
    <w:rsid w:val="20D77EB9"/>
    <w:rsid w:val="20E70E83"/>
    <w:rsid w:val="20FC3683"/>
    <w:rsid w:val="20FF59A2"/>
    <w:rsid w:val="2118189C"/>
    <w:rsid w:val="21224FEE"/>
    <w:rsid w:val="213F1FA9"/>
    <w:rsid w:val="21466CC1"/>
    <w:rsid w:val="21507B40"/>
    <w:rsid w:val="2165104B"/>
    <w:rsid w:val="216A2B5A"/>
    <w:rsid w:val="21725D08"/>
    <w:rsid w:val="21A13168"/>
    <w:rsid w:val="21AB33ED"/>
    <w:rsid w:val="21B52CFF"/>
    <w:rsid w:val="21DF3896"/>
    <w:rsid w:val="21F64426"/>
    <w:rsid w:val="221543C9"/>
    <w:rsid w:val="222E3C91"/>
    <w:rsid w:val="22387BD6"/>
    <w:rsid w:val="225223AA"/>
    <w:rsid w:val="226C5BEF"/>
    <w:rsid w:val="22900BB2"/>
    <w:rsid w:val="22A26186"/>
    <w:rsid w:val="22B3482A"/>
    <w:rsid w:val="22D00801"/>
    <w:rsid w:val="22D629CA"/>
    <w:rsid w:val="22DB7473"/>
    <w:rsid w:val="22F05C60"/>
    <w:rsid w:val="23365EEC"/>
    <w:rsid w:val="235F22BC"/>
    <w:rsid w:val="237B711D"/>
    <w:rsid w:val="23BB7B0A"/>
    <w:rsid w:val="23BE2178"/>
    <w:rsid w:val="23C00991"/>
    <w:rsid w:val="23D305B4"/>
    <w:rsid w:val="23DC41A7"/>
    <w:rsid w:val="23E40F3E"/>
    <w:rsid w:val="23F30CF0"/>
    <w:rsid w:val="24087314"/>
    <w:rsid w:val="241E7C1F"/>
    <w:rsid w:val="242714B6"/>
    <w:rsid w:val="244F40DF"/>
    <w:rsid w:val="247C6EEA"/>
    <w:rsid w:val="24815A86"/>
    <w:rsid w:val="24940D65"/>
    <w:rsid w:val="24A0554C"/>
    <w:rsid w:val="252F7CC9"/>
    <w:rsid w:val="25325415"/>
    <w:rsid w:val="25472F43"/>
    <w:rsid w:val="254C0545"/>
    <w:rsid w:val="25685D6E"/>
    <w:rsid w:val="256C6F12"/>
    <w:rsid w:val="257302A1"/>
    <w:rsid w:val="25923C92"/>
    <w:rsid w:val="259C15A5"/>
    <w:rsid w:val="25A93A08"/>
    <w:rsid w:val="25C555C7"/>
    <w:rsid w:val="25DA20CE"/>
    <w:rsid w:val="260B3316"/>
    <w:rsid w:val="26432B1A"/>
    <w:rsid w:val="264E277B"/>
    <w:rsid w:val="266251D2"/>
    <w:rsid w:val="26693C2B"/>
    <w:rsid w:val="26F64CE5"/>
    <w:rsid w:val="272730F1"/>
    <w:rsid w:val="27402404"/>
    <w:rsid w:val="274D0A53"/>
    <w:rsid w:val="275469F7"/>
    <w:rsid w:val="277B4318"/>
    <w:rsid w:val="27B54BA0"/>
    <w:rsid w:val="27B64475"/>
    <w:rsid w:val="27CD58B4"/>
    <w:rsid w:val="27CE133B"/>
    <w:rsid w:val="27D4352E"/>
    <w:rsid w:val="27F531EF"/>
    <w:rsid w:val="28100A9B"/>
    <w:rsid w:val="282C62CA"/>
    <w:rsid w:val="285B7696"/>
    <w:rsid w:val="28734952"/>
    <w:rsid w:val="28862099"/>
    <w:rsid w:val="289320B5"/>
    <w:rsid w:val="289724F8"/>
    <w:rsid w:val="28D9580E"/>
    <w:rsid w:val="28E25659"/>
    <w:rsid w:val="290851A4"/>
    <w:rsid w:val="29177195"/>
    <w:rsid w:val="29205437"/>
    <w:rsid w:val="29345C93"/>
    <w:rsid w:val="296B7E00"/>
    <w:rsid w:val="29B6075C"/>
    <w:rsid w:val="29BA515E"/>
    <w:rsid w:val="29C54E43"/>
    <w:rsid w:val="29C869CF"/>
    <w:rsid w:val="29CA3CA9"/>
    <w:rsid w:val="2A077FB1"/>
    <w:rsid w:val="2A321A45"/>
    <w:rsid w:val="2A35124B"/>
    <w:rsid w:val="2A563E60"/>
    <w:rsid w:val="2A5A4D9C"/>
    <w:rsid w:val="2AA669B6"/>
    <w:rsid w:val="2AC62557"/>
    <w:rsid w:val="2AF2680F"/>
    <w:rsid w:val="2B063C50"/>
    <w:rsid w:val="2B68108F"/>
    <w:rsid w:val="2B6F5066"/>
    <w:rsid w:val="2B9A6BF0"/>
    <w:rsid w:val="2BD47A9B"/>
    <w:rsid w:val="2BE92273"/>
    <w:rsid w:val="2BEF0CD7"/>
    <w:rsid w:val="2BF73A2E"/>
    <w:rsid w:val="2C0C0B07"/>
    <w:rsid w:val="2C3F0439"/>
    <w:rsid w:val="2C4633EA"/>
    <w:rsid w:val="2C484235"/>
    <w:rsid w:val="2C4E4561"/>
    <w:rsid w:val="2C6941CB"/>
    <w:rsid w:val="2C74019F"/>
    <w:rsid w:val="2C742E35"/>
    <w:rsid w:val="2C7B1E59"/>
    <w:rsid w:val="2CC40D2B"/>
    <w:rsid w:val="2CC969F8"/>
    <w:rsid w:val="2CDD05EA"/>
    <w:rsid w:val="2CED3AD0"/>
    <w:rsid w:val="2D22764F"/>
    <w:rsid w:val="2D600B26"/>
    <w:rsid w:val="2D8C03B0"/>
    <w:rsid w:val="2D8E2BB9"/>
    <w:rsid w:val="2D992C44"/>
    <w:rsid w:val="2DC031A8"/>
    <w:rsid w:val="2DC7118A"/>
    <w:rsid w:val="2DDD2785"/>
    <w:rsid w:val="2E01716D"/>
    <w:rsid w:val="2E027B47"/>
    <w:rsid w:val="2E0D003D"/>
    <w:rsid w:val="2E2F24A3"/>
    <w:rsid w:val="2E3B213B"/>
    <w:rsid w:val="2E615BD5"/>
    <w:rsid w:val="2E78144D"/>
    <w:rsid w:val="2EBC3995"/>
    <w:rsid w:val="2ED17CF5"/>
    <w:rsid w:val="2ED36025"/>
    <w:rsid w:val="2ED818F8"/>
    <w:rsid w:val="2EE919A3"/>
    <w:rsid w:val="2EEA2591"/>
    <w:rsid w:val="2F0B32F8"/>
    <w:rsid w:val="2F3A1C98"/>
    <w:rsid w:val="2F545A65"/>
    <w:rsid w:val="2F8B4A44"/>
    <w:rsid w:val="2FA66A7B"/>
    <w:rsid w:val="2FB14F22"/>
    <w:rsid w:val="3005551A"/>
    <w:rsid w:val="300E25A5"/>
    <w:rsid w:val="30142E97"/>
    <w:rsid w:val="301D1345"/>
    <w:rsid w:val="3027513A"/>
    <w:rsid w:val="30405536"/>
    <w:rsid w:val="3069477A"/>
    <w:rsid w:val="30C423F0"/>
    <w:rsid w:val="30C8448F"/>
    <w:rsid w:val="30E65C78"/>
    <w:rsid w:val="30E958BB"/>
    <w:rsid w:val="311F74EF"/>
    <w:rsid w:val="315D7907"/>
    <w:rsid w:val="31687D65"/>
    <w:rsid w:val="31737B73"/>
    <w:rsid w:val="319172B9"/>
    <w:rsid w:val="31BE0AF5"/>
    <w:rsid w:val="31C46918"/>
    <w:rsid w:val="323B2B02"/>
    <w:rsid w:val="324C037B"/>
    <w:rsid w:val="324E46F3"/>
    <w:rsid w:val="325A543D"/>
    <w:rsid w:val="325D460B"/>
    <w:rsid w:val="32935ADE"/>
    <w:rsid w:val="32C1342C"/>
    <w:rsid w:val="32DB535F"/>
    <w:rsid w:val="32E274CD"/>
    <w:rsid w:val="32E27FAF"/>
    <w:rsid w:val="32E92D40"/>
    <w:rsid w:val="32F522F5"/>
    <w:rsid w:val="32FC70BF"/>
    <w:rsid w:val="33105381"/>
    <w:rsid w:val="3311052A"/>
    <w:rsid w:val="3318166B"/>
    <w:rsid w:val="331C5F64"/>
    <w:rsid w:val="334D105C"/>
    <w:rsid w:val="335C1CAA"/>
    <w:rsid w:val="337B54E4"/>
    <w:rsid w:val="337B5962"/>
    <w:rsid w:val="339A65E9"/>
    <w:rsid w:val="33EA7980"/>
    <w:rsid w:val="33F055F4"/>
    <w:rsid w:val="33F9478A"/>
    <w:rsid w:val="3463107F"/>
    <w:rsid w:val="34835A7A"/>
    <w:rsid w:val="34A57FC6"/>
    <w:rsid w:val="34A9783B"/>
    <w:rsid w:val="34C0691A"/>
    <w:rsid w:val="34CB7B3B"/>
    <w:rsid w:val="34D80120"/>
    <w:rsid w:val="34E00F20"/>
    <w:rsid w:val="34E64E7A"/>
    <w:rsid w:val="34F52A80"/>
    <w:rsid w:val="34F56C2F"/>
    <w:rsid w:val="3500231B"/>
    <w:rsid w:val="350C2997"/>
    <w:rsid w:val="35214386"/>
    <w:rsid w:val="3532368F"/>
    <w:rsid w:val="353F23AA"/>
    <w:rsid w:val="355E77B2"/>
    <w:rsid w:val="357065AB"/>
    <w:rsid w:val="35732866"/>
    <w:rsid w:val="35B31E24"/>
    <w:rsid w:val="35B331A3"/>
    <w:rsid w:val="35CF1523"/>
    <w:rsid w:val="35E12488"/>
    <w:rsid w:val="360833DF"/>
    <w:rsid w:val="361104EB"/>
    <w:rsid w:val="361349CB"/>
    <w:rsid w:val="361620B2"/>
    <w:rsid w:val="3639699D"/>
    <w:rsid w:val="365256CD"/>
    <w:rsid w:val="36665DD1"/>
    <w:rsid w:val="366A111E"/>
    <w:rsid w:val="366F47BE"/>
    <w:rsid w:val="367F61DE"/>
    <w:rsid w:val="36843301"/>
    <w:rsid w:val="368D3DB0"/>
    <w:rsid w:val="36983C3C"/>
    <w:rsid w:val="36C02C1A"/>
    <w:rsid w:val="36D962DA"/>
    <w:rsid w:val="36FB1D8D"/>
    <w:rsid w:val="37125486"/>
    <w:rsid w:val="374A26FF"/>
    <w:rsid w:val="375C522B"/>
    <w:rsid w:val="37623229"/>
    <w:rsid w:val="37731450"/>
    <w:rsid w:val="378B7CA4"/>
    <w:rsid w:val="378C0D4E"/>
    <w:rsid w:val="37E07842"/>
    <w:rsid w:val="380357AD"/>
    <w:rsid w:val="38042FDA"/>
    <w:rsid w:val="38190834"/>
    <w:rsid w:val="38234165"/>
    <w:rsid w:val="383C791F"/>
    <w:rsid w:val="385526A4"/>
    <w:rsid w:val="386540D4"/>
    <w:rsid w:val="38793296"/>
    <w:rsid w:val="38A6778B"/>
    <w:rsid w:val="38AB5962"/>
    <w:rsid w:val="38AC16A8"/>
    <w:rsid w:val="38B4055C"/>
    <w:rsid w:val="38B463CC"/>
    <w:rsid w:val="38CD310A"/>
    <w:rsid w:val="38DF2727"/>
    <w:rsid w:val="38FD3CCF"/>
    <w:rsid w:val="38FE5A9A"/>
    <w:rsid w:val="3902751A"/>
    <w:rsid w:val="39355ABC"/>
    <w:rsid w:val="39417C03"/>
    <w:rsid w:val="39601E3D"/>
    <w:rsid w:val="397B3027"/>
    <w:rsid w:val="39A2691C"/>
    <w:rsid w:val="3A013C4A"/>
    <w:rsid w:val="3A1725C8"/>
    <w:rsid w:val="3A383CAD"/>
    <w:rsid w:val="3A584BAB"/>
    <w:rsid w:val="3A686CB7"/>
    <w:rsid w:val="3A8912E3"/>
    <w:rsid w:val="3AAA60BB"/>
    <w:rsid w:val="3AB57A2D"/>
    <w:rsid w:val="3AC76CAE"/>
    <w:rsid w:val="3AED318F"/>
    <w:rsid w:val="3AED66FA"/>
    <w:rsid w:val="3AF832EC"/>
    <w:rsid w:val="3AFA0DF0"/>
    <w:rsid w:val="3B1B2556"/>
    <w:rsid w:val="3B1E2BED"/>
    <w:rsid w:val="3B3622CB"/>
    <w:rsid w:val="3B4958D4"/>
    <w:rsid w:val="3B52630A"/>
    <w:rsid w:val="3B6613AA"/>
    <w:rsid w:val="3B883ED9"/>
    <w:rsid w:val="3B984165"/>
    <w:rsid w:val="3BBB1A1D"/>
    <w:rsid w:val="3BCE02FA"/>
    <w:rsid w:val="3BD60810"/>
    <w:rsid w:val="3BF44347"/>
    <w:rsid w:val="3BF70EF8"/>
    <w:rsid w:val="3C221C81"/>
    <w:rsid w:val="3C237ED3"/>
    <w:rsid w:val="3C290468"/>
    <w:rsid w:val="3C363409"/>
    <w:rsid w:val="3C3E5D16"/>
    <w:rsid w:val="3C603543"/>
    <w:rsid w:val="3C814BF9"/>
    <w:rsid w:val="3C8921E3"/>
    <w:rsid w:val="3C8B4C2E"/>
    <w:rsid w:val="3CB0379D"/>
    <w:rsid w:val="3CB3037C"/>
    <w:rsid w:val="3CB52AF5"/>
    <w:rsid w:val="3CC6226F"/>
    <w:rsid w:val="3CEA134C"/>
    <w:rsid w:val="3CF63839"/>
    <w:rsid w:val="3D076BA6"/>
    <w:rsid w:val="3D0F35EB"/>
    <w:rsid w:val="3D2E0C50"/>
    <w:rsid w:val="3D402D06"/>
    <w:rsid w:val="3D5E4F3B"/>
    <w:rsid w:val="3D605157"/>
    <w:rsid w:val="3D867FBF"/>
    <w:rsid w:val="3DC36269"/>
    <w:rsid w:val="3DC7212E"/>
    <w:rsid w:val="3DF633C5"/>
    <w:rsid w:val="3E052693"/>
    <w:rsid w:val="3E1201FF"/>
    <w:rsid w:val="3E382184"/>
    <w:rsid w:val="3E3F3D23"/>
    <w:rsid w:val="3E515A13"/>
    <w:rsid w:val="3E544E40"/>
    <w:rsid w:val="3E5A5016"/>
    <w:rsid w:val="3E84008B"/>
    <w:rsid w:val="3E975744"/>
    <w:rsid w:val="3EB71B6D"/>
    <w:rsid w:val="3EC15D4E"/>
    <w:rsid w:val="3EDA1C30"/>
    <w:rsid w:val="3EEF76F3"/>
    <w:rsid w:val="3EF15791"/>
    <w:rsid w:val="3F07087A"/>
    <w:rsid w:val="3F125F36"/>
    <w:rsid w:val="3F1510EC"/>
    <w:rsid w:val="3F1B051F"/>
    <w:rsid w:val="3F3A5232"/>
    <w:rsid w:val="3F3B19D7"/>
    <w:rsid w:val="3F3F7988"/>
    <w:rsid w:val="3F4F0FDF"/>
    <w:rsid w:val="3F5F72A6"/>
    <w:rsid w:val="3F826F77"/>
    <w:rsid w:val="3FC5312E"/>
    <w:rsid w:val="3FC75FF3"/>
    <w:rsid w:val="3FDA77FD"/>
    <w:rsid w:val="3FE83046"/>
    <w:rsid w:val="40057874"/>
    <w:rsid w:val="400B4205"/>
    <w:rsid w:val="409B7847"/>
    <w:rsid w:val="40EA5463"/>
    <w:rsid w:val="413C1125"/>
    <w:rsid w:val="414447B0"/>
    <w:rsid w:val="4175189A"/>
    <w:rsid w:val="417F6812"/>
    <w:rsid w:val="41A2189A"/>
    <w:rsid w:val="41BD0004"/>
    <w:rsid w:val="41DB4DAC"/>
    <w:rsid w:val="41FB2309"/>
    <w:rsid w:val="420330D8"/>
    <w:rsid w:val="423F358D"/>
    <w:rsid w:val="423F745A"/>
    <w:rsid w:val="424E557E"/>
    <w:rsid w:val="425F3C2F"/>
    <w:rsid w:val="42646E38"/>
    <w:rsid w:val="427E044B"/>
    <w:rsid w:val="428C60A6"/>
    <w:rsid w:val="42E30FA0"/>
    <w:rsid w:val="42E625C3"/>
    <w:rsid w:val="42EC0F23"/>
    <w:rsid w:val="42FB5880"/>
    <w:rsid w:val="430A3B9B"/>
    <w:rsid w:val="43155919"/>
    <w:rsid w:val="4329203E"/>
    <w:rsid w:val="433301C0"/>
    <w:rsid w:val="433C5205"/>
    <w:rsid w:val="434370AD"/>
    <w:rsid w:val="435C45EB"/>
    <w:rsid w:val="4360446B"/>
    <w:rsid w:val="43747266"/>
    <w:rsid w:val="438003D7"/>
    <w:rsid w:val="4390082F"/>
    <w:rsid w:val="4391543F"/>
    <w:rsid w:val="43C238FA"/>
    <w:rsid w:val="43E503D2"/>
    <w:rsid w:val="440432E7"/>
    <w:rsid w:val="440920A4"/>
    <w:rsid w:val="4419421C"/>
    <w:rsid w:val="44337121"/>
    <w:rsid w:val="44534B0A"/>
    <w:rsid w:val="449766AD"/>
    <w:rsid w:val="44AD0A30"/>
    <w:rsid w:val="44BC593E"/>
    <w:rsid w:val="44BF3881"/>
    <w:rsid w:val="44C1472D"/>
    <w:rsid w:val="44D66CFC"/>
    <w:rsid w:val="44DE1833"/>
    <w:rsid w:val="44E7657C"/>
    <w:rsid w:val="44FA7C3F"/>
    <w:rsid w:val="45010FCD"/>
    <w:rsid w:val="45013B88"/>
    <w:rsid w:val="451839BA"/>
    <w:rsid w:val="452458BF"/>
    <w:rsid w:val="452847AC"/>
    <w:rsid w:val="452C483D"/>
    <w:rsid w:val="45364E28"/>
    <w:rsid w:val="456C6E01"/>
    <w:rsid w:val="456D554A"/>
    <w:rsid w:val="4584426D"/>
    <w:rsid w:val="45BB491C"/>
    <w:rsid w:val="45BD0F5F"/>
    <w:rsid w:val="45C67B21"/>
    <w:rsid w:val="45CF5743"/>
    <w:rsid w:val="46BC1650"/>
    <w:rsid w:val="46C04AE1"/>
    <w:rsid w:val="46CD758D"/>
    <w:rsid w:val="46DA1B9B"/>
    <w:rsid w:val="47187B27"/>
    <w:rsid w:val="472B3A30"/>
    <w:rsid w:val="4752739E"/>
    <w:rsid w:val="47664E5A"/>
    <w:rsid w:val="476C6D92"/>
    <w:rsid w:val="476F1E82"/>
    <w:rsid w:val="477E657B"/>
    <w:rsid w:val="47A81166"/>
    <w:rsid w:val="47AE4D43"/>
    <w:rsid w:val="47C50090"/>
    <w:rsid w:val="47C52A82"/>
    <w:rsid w:val="48512886"/>
    <w:rsid w:val="48BF214A"/>
    <w:rsid w:val="48C14CFA"/>
    <w:rsid w:val="48C2531D"/>
    <w:rsid w:val="48E649CB"/>
    <w:rsid w:val="48E76EA4"/>
    <w:rsid w:val="48F01575"/>
    <w:rsid w:val="49033A36"/>
    <w:rsid w:val="49295900"/>
    <w:rsid w:val="493643BC"/>
    <w:rsid w:val="497A3F01"/>
    <w:rsid w:val="49991A9A"/>
    <w:rsid w:val="499E328F"/>
    <w:rsid w:val="49CD36F0"/>
    <w:rsid w:val="49DE7B2F"/>
    <w:rsid w:val="49E14F29"/>
    <w:rsid w:val="49E40DEC"/>
    <w:rsid w:val="49EB7B56"/>
    <w:rsid w:val="4A0C3C2F"/>
    <w:rsid w:val="4A6E2C61"/>
    <w:rsid w:val="4A72331D"/>
    <w:rsid w:val="4A857FAB"/>
    <w:rsid w:val="4A89713F"/>
    <w:rsid w:val="4A8C30E7"/>
    <w:rsid w:val="4A90399B"/>
    <w:rsid w:val="4A912EBD"/>
    <w:rsid w:val="4A9E6387"/>
    <w:rsid w:val="4AB66F0D"/>
    <w:rsid w:val="4AD52C9E"/>
    <w:rsid w:val="4AF21ED1"/>
    <w:rsid w:val="4AFA0F21"/>
    <w:rsid w:val="4B3F08B1"/>
    <w:rsid w:val="4B405701"/>
    <w:rsid w:val="4B406C3C"/>
    <w:rsid w:val="4B5124BB"/>
    <w:rsid w:val="4B56030B"/>
    <w:rsid w:val="4BAB1C93"/>
    <w:rsid w:val="4BB171F6"/>
    <w:rsid w:val="4BDD5F4B"/>
    <w:rsid w:val="4C066574"/>
    <w:rsid w:val="4C134EA5"/>
    <w:rsid w:val="4C1F7BF9"/>
    <w:rsid w:val="4C365A00"/>
    <w:rsid w:val="4C3D6D8F"/>
    <w:rsid w:val="4C7E466E"/>
    <w:rsid w:val="4CA071BA"/>
    <w:rsid w:val="4CCC1EC1"/>
    <w:rsid w:val="4CDB3BDA"/>
    <w:rsid w:val="4D0B2CA0"/>
    <w:rsid w:val="4D3161C8"/>
    <w:rsid w:val="4D7178A9"/>
    <w:rsid w:val="4D9B0906"/>
    <w:rsid w:val="4D9B50BA"/>
    <w:rsid w:val="4DB36C56"/>
    <w:rsid w:val="4DC30880"/>
    <w:rsid w:val="4DCF6C1E"/>
    <w:rsid w:val="4DDF0919"/>
    <w:rsid w:val="4DE1345C"/>
    <w:rsid w:val="4E0336C0"/>
    <w:rsid w:val="4E123059"/>
    <w:rsid w:val="4E1577CD"/>
    <w:rsid w:val="4E191136"/>
    <w:rsid w:val="4E20316E"/>
    <w:rsid w:val="4E2A252A"/>
    <w:rsid w:val="4EA578C4"/>
    <w:rsid w:val="4EC8490A"/>
    <w:rsid w:val="4EC86752"/>
    <w:rsid w:val="4ED908C5"/>
    <w:rsid w:val="4EDA0B67"/>
    <w:rsid w:val="4EDE5EDB"/>
    <w:rsid w:val="4EEC071D"/>
    <w:rsid w:val="4F0022F6"/>
    <w:rsid w:val="4F0947BC"/>
    <w:rsid w:val="4F177A4A"/>
    <w:rsid w:val="4F245FE4"/>
    <w:rsid w:val="4F6665FD"/>
    <w:rsid w:val="4FAE0657"/>
    <w:rsid w:val="4FB8672C"/>
    <w:rsid w:val="4FE165FA"/>
    <w:rsid w:val="4FEE344E"/>
    <w:rsid w:val="5059723A"/>
    <w:rsid w:val="50A54201"/>
    <w:rsid w:val="50A9130F"/>
    <w:rsid w:val="50B1385B"/>
    <w:rsid w:val="50CB4033"/>
    <w:rsid w:val="50D65078"/>
    <w:rsid w:val="50EC48E0"/>
    <w:rsid w:val="512A5408"/>
    <w:rsid w:val="512E52BB"/>
    <w:rsid w:val="51390D05"/>
    <w:rsid w:val="5149499E"/>
    <w:rsid w:val="51656957"/>
    <w:rsid w:val="51736DAF"/>
    <w:rsid w:val="51825244"/>
    <w:rsid w:val="518B5331"/>
    <w:rsid w:val="51B32FF8"/>
    <w:rsid w:val="51BE3C46"/>
    <w:rsid w:val="51C94C21"/>
    <w:rsid w:val="52036385"/>
    <w:rsid w:val="520F30DF"/>
    <w:rsid w:val="521A52F6"/>
    <w:rsid w:val="521D4F6D"/>
    <w:rsid w:val="52257019"/>
    <w:rsid w:val="526D40FA"/>
    <w:rsid w:val="527F36C2"/>
    <w:rsid w:val="52955DB2"/>
    <w:rsid w:val="52A837CD"/>
    <w:rsid w:val="52B437F7"/>
    <w:rsid w:val="52B83584"/>
    <w:rsid w:val="52C1379C"/>
    <w:rsid w:val="52D23FA9"/>
    <w:rsid w:val="52E141EC"/>
    <w:rsid w:val="52ED26BB"/>
    <w:rsid w:val="52EF782A"/>
    <w:rsid w:val="52F51BB9"/>
    <w:rsid w:val="52F57BC9"/>
    <w:rsid w:val="52FC79CE"/>
    <w:rsid w:val="532D11DF"/>
    <w:rsid w:val="53345759"/>
    <w:rsid w:val="53694E47"/>
    <w:rsid w:val="536C1D08"/>
    <w:rsid w:val="53772F77"/>
    <w:rsid w:val="53B42CB0"/>
    <w:rsid w:val="53D30E9B"/>
    <w:rsid w:val="53D57D44"/>
    <w:rsid w:val="53ED3F2E"/>
    <w:rsid w:val="53F561A1"/>
    <w:rsid w:val="545677A1"/>
    <w:rsid w:val="546367E9"/>
    <w:rsid w:val="54764CA7"/>
    <w:rsid w:val="547C019D"/>
    <w:rsid w:val="54967E97"/>
    <w:rsid w:val="54AD4386"/>
    <w:rsid w:val="54B440E6"/>
    <w:rsid w:val="54B50CF0"/>
    <w:rsid w:val="54D52900"/>
    <w:rsid w:val="54F05DC7"/>
    <w:rsid w:val="54F85845"/>
    <w:rsid w:val="54F97A07"/>
    <w:rsid w:val="550B0F24"/>
    <w:rsid w:val="551558BC"/>
    <w:rsid w:val="55214D54"/>
    <w:rsid w:val="552B1A30"/>
    <w:rsid w:val="554F7B33"/>
    <w:rsid w:val="5558300C"/>
    <w:rsid w:val="55844554"/>
    <w:rsid w:val="558D41B7"/>
    <w:rsid w:val="55DC75B2"/>
    <w:rsid w:val="55F671B4"/>
    <w:rsid w:val="55FF6E63"/>
    <w:rsid w:val="56000E28"/>
    <w:rsid w:val="561315FA"/>
    <w:rsid w:val="561661F5"/>
    <w:rsid w:val="56690780"/>
    <w:rsid w:val="5697055A"/>
    <w:rsid w:val="56CD10B7"/>
    <w:rsid w:val="56D73EF4"/>
    <w:rsid w:val="56ED75AC"/>
    <w:rsid w:val="57160576"/>
    <w:rsid w:val="573C1A86"/>
    <w:rsid w:val="573E7E5F"/>
    <w:rsid w:val="575B4970"/>
    <w:rsid w:val="576D1CA8"/>
    <w:rsid w:val="57755974"/>
    <w:rsid w:val="578F1899"/>
    <w:rsid w:val="57AA1051"/>
    <w:rsid w:val="582665B9"/>
    <w:rsid w:val="582E6581"/>
    <w:rsid w:val="58390D4E"/>
    <w:rsid w:val="584B452D"/>
    <w:rsid w:val="58C16631"/>
    <w:rsid w:val="58E14F46"/>
    <w:rsid w:val="58E46DCF"/>
    <w:rsid w:val="58F55302"/>
    <w:rsid w:val="58F7026F"/>
    <w:rsid w:val="59157C5E"/>
    <w:rsid w:val="591C0E16"/>
    <w:rsid w:val="59226950"/>
    <w:rsid w:val="59357DDE"/>
    <w:rsid w:val="59387C36"/>
    <w:rsid w:val="593D3ABC"/>
    <w:rsid w:val="5967512B"/>
    <w:rsid w:val="598B4E15"/>
    <w:rsid w:val="59963EF3"/>
    <w:rsid w:val="59C01C6B"/>
    <w:rsid w:val="59DB3743"/>
    <w:rsid w:val="59E83C63"/>
    <w:rsid w:val="59F7786E"/>
    <w:rsid w:val="5A0802B0"/>
    <w:rsid w:val="5A1153B7"/>
    <w:rsid w:val="5A4B528D"/>
    <w:rsid w:val="5A74411C"/>
    <w:rsid w:val="5A980F2F"/>
    <w:rsid w:val="5AA2226A"/>
    <w:rsid w:val="5AE439FC"/>
    <w:rsid w:val="5AF30FCE"/>
    <w:rsid w:val="5AF977F4"/>
    <w:rsid w:val="5AFC08CE"/>
    <w:rsid w:val="5AFC3CC2"/>
    <w:rsid w:val="5AFD48AA"/>
    <w:rsid w:val="5B837078"/>
    <w:rsid w:val="5B9900F2"/>
    <w:rsid w:val="5BCC02DA"/>
    <w:rsid w:val="5BD40D92"/>
    <w:rsid w:val="5BE12E76"/>
    <w:rsid w:val="5BE64117"/>
    <w:rsid w:val="5C115B42"/>
    <w:rsid w:val="5C1A2683"/>
    <w:rsid w:val="5C2E3055"/>
    <w:rsid w:val="5C52505C"/>
    <w:rsid w:val="5CF0057A"/>
    <w:rsid w:val="5D1054AB"/>
    <w:rsid w:val="5D246832"/>
    <w:rsid w:val="5D380EAD"/>
    <w:rsid w:val="5D414205"/>
    <w:rsid w:val="5D4D6706"/>
    <w:rsid w:val="5D711697"/>
    <w:rsid w:val="5D874B35"/>
    <w:rsid w:val="5DA71300"/>
    <w:rsid w:val="5DF9329E"/>
    <w:rsid w:val="5E0927DB"/>
    <w:rsid w:val="5E677792"/>
    <w:rsid w:val="5E875F2A"/>
    <w:rsid w:val="5E895323"/>
    <w:rsid w:val="5EA556FF"/>
    <w:rsid w:val="5ECD523E"/>
    <w:rsid w:val="5EDA221B"/>
    <w:rsid w:val="5EDD1D0C"/>
    <w:rsid w:val="5EE174A3"/>
    <w:rsid w:val="5EE56057"/>
    <w:rsid w:val="5F1A327B"/>
    <w:rsid w:val="5F294A3B"/>
    <w:rsid w:val="5F5415CE"/>
    <w:rsid w:val="5F5A6D0B"/>
    <w:rsid w:val="5F741157"/>
    <w:rsid w:val="5F84008B"/>
    <w:rsid w:val="5FC937C5"/>
    <w:rsid w:val="60193851"/>
    <w:rsid w:val="60233244"/>
    <w:rsid w:val="6038523E"/>
    <w:rsid w:val="6071095D"/>
    <w:rsid w:val="60863BD5"/>
    <w:rsid w:val="608B2AEF"/>
    <w:rsid w:val="60BD0ABE"/>
    <w:rsid w:val="60F1387B"/>
    <w:rsid w:val="61330309"/>
    <w:rsid w:val="61363D34"/>
    <w:rsid w:val="6140641B"/>
    <w:rsid w:val="615D19B1"/>
    <w:rsid w:val="615F4092"/>
    <w:rsid w:val="61722BDF"/>
    <w:rsid w:val="61964177"/>
    <w:rsid w:val="61CA785A"/>
    <w:rsid w:val="61E0275D"/>
    <w:rsid w:val="62232F43"/>
    <w:rsid w:val="62436F7C"/>
    <w:rsid w:val="624B5592"/>
    <w:rsid w:val="624F1172"/>
    <w:rsid w:val="62782028"/>
    <w:rsid w:val="627B455D"/>
    <w:rsid w:val="627E55B4"/>
    <w:rsid w:val="62AF4B8E"/>
    <w:rsid w:val="62C40B19"/>
    <w:rsid w:val="62D905CA"/>
    <w:rsid w:val="62E81A95"/>
    <w:rsid w:val="62EC0DA3"/>
    <w:rsid w:val="63062F5C"/>
    <w:rsid w:val="63092BE9"/>
    <w:rsid w:val="63523195"/>
    <w:rsid w:val="636724EC"/>
    <w:rsid w:val="63790395"/>
    <w:rsid w:val="637A1F7C"/>
    <w:rsid w:val="63C24F56"/>
    <w:rsid w:val="63EB73BE"/>
    <w:rsid w:val="640F4998"/>
    <w:rsid w:val="643D3507"/>
    <w:rsid w:val="643F2D4E"/>
    <w:rsid w:val="6440533B"/>
    <w:rsid w:val="645706A8"/>
    <w:rsid w:val="646313E2"/>
    <w:rsid w:val="64B119E1"/>
    <w:rsid w:val="64DB5214"/>
    <w:rsid w:val="64F349F7"/>
    <w:rsid w:val="64F560D4"/>
    <w:rsid w:val="65295A94"/>
    <w:rsid w:val="65423751"/>
    <w:rsid w:val="65546449"/>
    <w:rsid w:val="65556AA0"/>
    <w:rsid w:val="659B0B9A"/>
    <w:rsid w:val="65A25EB8"/>
    <w:rsid w:val="65FC233E"/>
    <w:rsid w:val="66374E2C"/>
    <w:rsid w:val="66591DEA"/>
    <w:rsid w:val="665A1E94"/>
    <w:rsid w:val="668F2885"/>
    <w:rsid w:val="669D6CE0"/>
    <w:rsid w:val="66AE3C2E"/>
    <w:rsid w:val="66CC325D"/>
    <w:rsid w:val="66F1290C"/>
    <w:rsid w:val="66FB3FFB"/>
    <w:rsid w:val="672A3641"/>
    <w:rsid w:val="6760585F"/>
    <w:rsid w:val="676270AE"/>
    <w:rsid w:val="67915CB0"/>
    <w:rsid w:val="67C6046B"/>
    <w:rsid w:val="67DB0013"/>
    <w:rsid w:val="67E44CD2"/>
    <w:rsid w:val="68011712"/>
    <w:rsid w:val="68077DF9"/>
    <w:rsid w:val="68224AD1"/>
    <w:rsid w:val="682561C2"/>
    <w:rsid w:val="68274789"/>
    <w:rsid w:val="68382701"/>
    <w:rsid w:val="683F3A37"/>
    <w:rsid w:val="686D39F6"/>
    <w:rsid w:val="68701E42"/>
    <w:rsid w:val="68721717"/>
    <w:rsid w:val="6878659F"/>
    <w:rsid w:val="688F34FE"/>
    <w:rsid w:val="68B97D10"/>
    <w:rsid w:val="68D75DBC"/>
    <w:rsid w:val="68EE711C"/>
    <w:rsid w:val="68F91E38"/>
    <w:rsid w:val="690916BA"/>
    <w:rsid w:val="69276457"/>
    <w:rsid w:val="695F613F"/>
    <w:rsid w:val="697257F6"/>
    <w:rsid w:val="69784594"/>
    <w:rsid w:val="69B33D95"/>
    <w:rsid w:val="69E96AA8"/>
    <w:rsid w:val="69F9204A"/>
    <w:rsid w:val="6A140B08"/>
    <w:rsid w:val="6A250150"/>
    <w:rsid w:val="6A5424B9"/>
    <w:rsid w:val="6A5D14F2"/>
    <w:rsid w:val="6A6E4583"/>
    <w:rsid w:val="6A931074"/>
    <w:rsid w:val="6A9556D6"/>
    <w:rsid w:val="6AC22B22"/>
    <w:rsid w:val="6AC24A79"/>
    <w:rsid w:val="6AC56475"/>
    <w:rsid w:val="6AC975E8"/>
    <w:rsid w:val="6B0309E3"/>
    <w:rsid w:val="6B3E5233"/>
    <w:rsid w:val="6B42119C"/>
    <w:rsid w:val="6B6162D1"/>
    <w:rsid w:val="6B8071BE"/>
    <w:rsid w:val="6B8A5F6F"/>
    <w:rsid w:val="6BA20D96"/>
    <w:rsid w:val="6BA25323"/>
    <w:rsid w:val="6BAD2A66"/>
    <w:rsid w:val="6BCC53C4"/>
    <w:rsid w:val="6BD24BF4"/>
    <w:rsid w:val="6BE90AA1"/>
    <w:rsid w:val="6BE96194"/>
    <w:rsid w:val="6C5F32E0"/>
    <w:rsid w:val="6C7C1180"/>
    <w:rsid w:val="6C7E3126"/>
    <w:rsid w:val="6C870C9E"/>
    <w:rsid w:val="6CA33CEF"/>
    <w:rsid w:val="6CB247D7"/>
    <w:rsid w:val="6CB322FE"/>
    <w:rsid w:val="6D040C67"/>
    <w:rsid w:val="6D1C261B"/>
    <w:rsid w:val="6D1E2376"/>
    <w:rsid w:val="6D232A1D"/>
    <w:rsid w:val="6D34599B"/>
    <w:rsid w:val="6D4F2026"/>
    <w:rsid w:val="6D7D2398"/>
    <w:rsid w:val="6D920165"/>
    <w:rsid w:val="6DA22804"/>
    <w:rsid w:val="6DB225B5"/>
    <w:rsid w:val="6DB516A0"/>
    <w:rsid w:val="6DBE28E9"/>
    <w:rsid w:val="6DD20EEB"/>
    <w:rsid w:val="6E05289A"/>
    <w:rsid w:val="6E2E60E0"/>
    <w:rsid w:val="6E3772B6"/>
    <w:rsid w:val="6E5E44B4"/>
    <w:rsid w:val="6EA2087C"/>
    <w:rsid w:val="6EE36ECA"/>
    <w:rsid w:val="6F280D81"/>
    <w:rsid w:val="6F4656AB"/>
    <w:rsid w:val="6F527928"/>
    <w:rsid w:val="6F602316"/>
    <w:rsid w:val="6F6B4CC2"/>
    <w:rsid w:val="6F7530AC"/>
    <w:rsid w:val="6F763470"/>
    <w:rsid w:val="6F8A1A3C"/>
    <w:rsid w:val="6F8C20D7"/>
    <w:rsid w:val="6FBC771B"/>
    <w:rsid w:val="6FED1A99"/>
    <w:rsid w:val="702308B2"/>
    <w:rsid w:val="702459EC"/>
    <w:rsid w:val="705367C8"/>
    <w:rsid w:val="70552A5D"/>
    <w:rsid w:val="70741DA4"/>
    <w:rsid w:val="70AD18CC"/>
    <w:rsid w:val="70E272B2"/>
    <w:rsid w:val="70F55256"/>
    <w:rsid w:val="71090337"/>
    <w:rsid w:val="71144C3B"/>
    <w:rsid w:val="715B3690"/>
    <w:rsid w:val="716F3541"/>
    <w:rsid w:val="717A5889"/>
    <w:rsid w:val="71856B41"/>
    <w:rsid w:val="71877260"/>
    <w:rsid w:val="719B07FD"/>
    <w:rsid w:val="71A37E98"/>
    <w:rsid w:val="71AD5F1B"/>
    <w:rsid w:val="71DB20DB"/>
    <w:rsid w:val="71F3132A"/>
    <w:rsid w:val="72052CDD"/>
    <w:rsid w:val="7205364C"/>
    <w:rsid w:val="721E7E06"/>
    <w:rsid w:val="722B13DE"/>
    <w:rsid w:val="72310522"/>
    <w:rsid w:val="723A6589"/>
    <w:rsid w:val="72DB435C"/>
    <w:rsid w:val="72DF3591"/>
    <w:rsid w:val="72E923C2"/>
    <w:rsid w:val="735955DB"/>
    <w:rsid w:val="735B0460"/>
    <w:rsid w:val="736A4624"/>
    <w:rsid w:val="73CB6B0B"/>
    <w:rsid w:val="73DF73C5"/>
    <w:rsid w:val="73EA07F6"/>
    <w:rsid w:val="73F52501"/>
    <w:rsid w:val="742B2F37"/>
    <w:rsid w:val="74336ED8"/>
    <w:rsid w:val="74611067"/>
    <w:rsid w:val="74A02EDB"/>
    <w:rsid w:val="74FA6D1C"/>
    <w:rsid w:val="75222256"/>
    <w:rsid w:val="75422471"/>
    <w:rsid w:val="754A46E7"/>
    <w:rsid w:val="754E4B00"/>
    <w:rsid w:val="75624B17"/>
    <w:rsid w:val="758F7174"/>
    <w:rsid w:val="75912604"/>
    <w:rsid w:val="75A02214"/>
    <w:rsid w:val="763C200F"/>
    <w:rsid w:val="764E6B8D"/>
    <w:rsid w:val="766B1C6E"/>
    <w:rsid w:val="769C67C3"/>
    <w:rsid w:val="76A61249"/>
    <w:rsid w:val="76AD5AB7"/>
    <w:rsid w:val="76BF5C90"/>
    <w:rsid w:val="76D22094"/>
    <w:rsid w:val="76F8372F"/>
    <w:rsid w:val="771D3258"/>
    <w:rsid w:val="77282397"/>
    <w:rsid w:val="77476464"/>
    <w:rsid w:val="77513458"/>
    <w:rsid w:val="778C0ADA"/>
    <w:rsid w:val="77923BD0"/>
    <w:rsid w:val="77AD4519"/>
    <w:rsid w:val="77C03844"/>
    <w:rsid w:val="77C405E0"/>
    <w:rsid w:val="77ED5B0C"/>
    <w:rsid w:val="77F3544A"/>
    <w:rsid w:val="78252301"/>
    <w:rsid w:val="784309DA"/>
    <w:rsid w:val="78896E24"/>
    <w:rsid w:val="78A2497D"/>
    <w:rsid w:val="78A26007"/>
    <w:rsid w:val="78A321D2"/>
    <w:rsid w:val="78BD6BA4"/>
    <w:rsid w:val="78C47DA6"/>
    <w:rsid w:val="78C83393"/>
    <w:rsid w:val="78FA2CAA"/>
    <w:rsid w:val="790638CF"/>
    <w:rsid w:val="790816E0"/>
    <w:rsid w:val="79450781"/>
    <w:rsid w:val="794565E6"/>
    <w:rsid w:val="798D6F68"/>
    <w:rsid w:val="79997DD2"/>
    <w:rsid w:val="79C1665E"/>
    <w:rsid w:val="79E104AA"/>
    <w:rsid w:val="79E10B53"/>
    <w:rsid w:val="7A1A0982"/>
    <w:rsid w:val="7A4078C7"/>
    <w:rsid w:val="7A515AA2"/>
    <w:rsid w:val="7A553A21"/>
    <w:rsid w:val="7A5C4301"/>
    <w:rsid w:val="7A644ADC"/>
    <w:rsid w:val="7A647486"/>
    <w:rsid w:val="7A6C3430"/>
    <w:rsid w:val="7A7F0907"/>
    <w:rsid w:val="7A850200"/>
    <w:rsid w:val="7AA421D2"/>
    <w:rsid w:val="7AD41939"/>
    <w:rsid w:val="7B493177"/>
    <w:rsid w:val="7B494559"/>
    <w:rsid w:val="7B4E279D"/>
    <w:rsid w:val="7C127041"/>
    <w:rsid w:val="7C335DFF"/>
    <w:rsid w:val="7C5C02BC"/>
    <w:rsid w:val="7C5F55A2"/>
    <w:rsid w:val="7CA77B8F"/>
    <w:rsid w:val="7CBF0117"/>
    <w:rsid w:val="7CD74885"/>
    <w:rsid w:val="7CD77D66"/>
    <w:rsid w:val="7CDF0AEC"/>
    <w:rsid w:val="7CE539D6"/>
    <w:rsid w:val="7CF577D7"/>
    <w:rsid w:val="7CF8312F"/>
    <w:rsid w:val="7D265E5F"/>
    <w:rsid w:val="7D335E2E"/>
    <w:rsid w:val="7D641299"/>
    <w:rsid w:val="7D6E7A51"/>
    <w:rsid w:val="7D7E4647"/>
    <w:rsid w:val="7D891584"/>
    <w:rsid w:val="7DA27FCE"/>
    <w:rsid w:val="7DA34B33"/>
    <w:rsid w:val="7DB54128"/>
    <w:rsid w:val="7DCC01A6"/>
    <w:rsid w:val="7E195901"/>
    <w:rsid w:val="7E385937"/>
    <w:rsid w:val="7E4A701D"/>
    <w:rsid w:val="7E5D4759"/>
    <w:rsid w:val="7E6F7B55"/>
    <w:rsid w:val="7E855D33"/>
    <w:rsid w:val="7E9D3FBA"/>
    <w:rsid w:val="7EE34130"/>
    <w:rsid w:val="7EEB5A59"/>
    <w:rsid w:val="7EEE0B48"/>
    <w:rsid w:val="7EFA7162"/>
    <w:rsid w:val="7F1B68E5"/>
    <w:rsid w:val="7F34107C"/>
    <w:rsid w:val="7F364DF4"/>
    <w:rsid w:val="7F571F14"/>
    <w:rsid w:val="7FBB354B"/>
    <w:rsid w:val="7FDA2BF7"/>
    <w:rsid w:val="FDBB4AD2"/>
    <w:rsid w:val="FE6FE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3"/>
    <w:qFormat/>
    <w:uiPriority w:val="0"/>
    <w:pPr>
      <w:numPr>
        <w:ilvl w:val="0"/>
        <w:numId w:val="1"/>
      </w:numPr>
      <w:spacing w:before="360" w:after="120" w:line="400" w:lineRule="exact"/>
      <w:outlineLvl w:val="0"/>
    </w:pPr>
    <w:rPr>
      <w:rFonts w:ascii="Times New Roman" w:hAnsi="Times New Roman" w:eastAsia="宋体" w:cs="宋体"/>
      <w:b/>
      <w:bCs/>
      <w:kern w:val="2"/>
      <w:sz w:val="28"/>
      <w:lang w:val="en-US" w:eastAsia="zh-CN" w:bidi="ar-SA"/>
    </w:rPr>
  </w:style>
  <w:style w:type="paragraph" w:styleId="4">
    <w:name w:val="heading 2"/>
    <w:basedOn w:val="1"/>
    <w:next w:val="1"/>
    <w:semiHidden/>
    <w:unhideWhenUsed/>
    <w:qFormat/>
    <w:uiPriority w:val="0"/>
    <w:pPr>
      <w:keepNext/>
      <w:keepLines/>
      <w:spacing w:beforeLines="0" w:beforeAutospacing="0" w:afterLines="0" w:afterAutospacing="0" w:line="360" w:lineRule="auto"/>
      <w:outlineLvl w:val="1"/>
    </w:pPr>
    <w:rPr>
      <w:rFonts w:ascii="Arial" w:hAnsi="Arial" w:eastAsia="黑体" w:cs="Times New Roman"/>
      <w:sz w:val="30"/>
      <w:lang w:eastAsia="zh-TW"/>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3">
    <w:name w:val="rpt_正文"/>
    <w:qFormat/>
    <w:uiPriority w:val="0"/>
    <w:pPr>
      <w:spacing w:line="400" w:lineRule="exact"/>
      <w:ind w:firstLine="480" w:firstLineChars="200"/>
    </w:pPr>
    <w:rPr>
      <w:rFonts w:ascii="Times New Roman" w:hAnsi="Times New Roman" w:eastAsia="宋体" w:cs="宋体"/>
      <w:kern w:val="2"/>
      <w:sz w:val="24"/>
      <w:lang w:val="en-US" w:eastAsia="zh-CN" w:bidi="ar-SA"/>
    </w:rPr>
  </w:style>
  <w:style w:type="paragraph" w:styleId="6">
    <w:name w:val="List 3"/>
    <w:basedOn w:val="1"/>
    <w:next w:val="1"/>
    <w:qFormat/>
    <w:uiPriority w:val="0"/>
    <w:pPr>
      <w:adjustRightInd w:val="0"/>
      <w:spacing w:line="240" w:lineRule="auto"/>
      <w:ind w:firstLine="0" w:firstLineChars="0"/>
      <w:jc w:val="center"/>
      <w:textAlignment w:val="baseline"/>
    </w:pPr>
    <w:rPr>
      <w:kern w:val="0"/>
      <w:sz w:val="21"/>
      <w:szCs w:val="21"/>
    </w:rPr>
  </w:style>
  <w:style w:type="paragraph" w:styleId="7">
    <w:name w:val="Normal Indent"/>
    <w:basedOn w:val="1"/>
    <w:qFormat/>
    <w:uiPriority w:val="0"/>
    <w:pPr>
      <w:ind w:firstLine="420" w:firstLineChars="200"/>
    </w:pPr>
  </w:style>
  <w:style w:type="paragraph" w:styleId="8">
    <w:name w:val="caption"/>
    <w:basedOn w:val="1"/>
    <w:next w:val="1"/>
    <w:qFormat/>
    <w:uiPriority w:val="0"/>
    <w:pPr>
      <w:spacing w:before="240" w:after="60"/>
      <w:jc w:val="center"/>
    </w:pPr>
    <w:rPr>
      <w:rFonts w:ascii="Arial" w:hAnsi="Arial" w:cs="Arial"/>
      <w:sz w:val="22"/>
      <w:szCs w:val="20"/>
    </w:rPr>
  </w:style>
  <w:style w:type="paragraph" w:styleId="9">
    <w:name w:val="toa heading"/>
    <w:basedOn w:val="1"/>
    <w:next w:val="1"/>
    <w:qFormat/>
    <w:uiPriority w:val="0"/>
    <w:rPr>
      <w:rFonts w:ascii="Arial" w:hAnsi="Arial"/>
      <w:sz w:val="24"/>
    </w:rPr>
  </w:style>
  <w:style w:type="paragraph" w:styleId="10">
    <w:name w:val="annotation text"/>
    <w:basedOn w:val="1"/>
    <w:unhideWhenUsed/>
    <w:qFormat/>
    <w:uiPriority w:val="99"/>
    <w:pPr>
      <w:jc w:val="left"/>
    </w:pPr>
  </w:style>
  <w:style w:type="paragraph" w:styleId="11">
    <w:name w:val="Body Text"/>
    <w:basedOn w:val="1"/>
    <w:next w:val="1"/>
    <w:qFormat/>
    <w:uiPriority w:val="0"/>
    <w:pPr>
      <w:spacing w:after="120"/>
    </w:pPr>
    <w:rPr>
      <w:rFonts w:cs="Times New Roman"/>
      <w:kern w:val="0"/>
      <w:sz w:val="20"/>
      <w:szCs w:val="24"/>
    </w:rPr>
  </w:style>
  <w:style w:type="paragraph" w:styleId="12">
    <w:name w:val="Body Text Indent"/>
    <w:basedOn w:val="1"/>
    <w:next w:val="13"/>
    <w:unhideWhenUsed/>
    <w:qFormat/>
    <w:uiPriority w:val="99"/>
    <w:pPr>
      <w:spacing w:after="120"/>
      <w:ind w:left="420" w:leftChars="200"/>
    </w:pPr>
  </w:style>
  <w:style w:type="paragraph" w:customStyle="1" w:styleId="1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4">
    <w:name w:val="Plain Text"/>
    <w:basedOn w:val="1"/>
    <w:qFormat/>
    <w:uiPriority w:val="0"/>
    <w:rPr>
      <w:rFonts w:ascii="宋体" w:hAnsi="Courier New"/>
      <w:sz w:val="28"/>
    </w:rPr>
  </w:style>
  <w:style w:type="paragraph" w:styleId="15">
    <w:name w:val="Body Text Indent 2"/>
    <w:basedOn w:val="1"/>
    <w:next w:val="16"/>
    <w:qFormat/>
    <w:uiPriority w:val="0"/>
    <w:pPr>
      <w:spacing w:after="120" w:afterLines="0" w:line="480" w:lineRule="auto"/>
      <w:ind w:left="420" w:leftChars="200"/>
    </w:pPr>
  </w:style>
  <w:style w:type="paragraph" w:customStyle="1" w:styleId="16">
    <w:name w:val="简单回函地址"/>
    <w:basedOn w:val="1"/>
    <w:next w:val="17"/>
    <w:qFormat/>
    <w:uiPriority w:val="0"/>
    <w:pPr>
      <w:widowControl/>
    </w:pPr>
    <w:rPr>
      <w:rFonts w:ascii="宋体" w:hAnsi="宋体" w:cs="宋体"/>
      <w:kern w:val="0"/>
      <w:szCs w:val="20"/>
    </w:rPr>
  </w:style>
  <w:style w:type="paragraph" w:customStyle="1" w:styleId="17">
    <w:name w:val="正文2"/>
    <w:basedOn w:val="12"/>
    <w:next w:val="1"/>
    <w:qFormat/>
    <w:uiPriority w:val="0"/>
    <w:pPr>
      <w:spacing w:line="360" w:lineRule="auto"/>
    </w:pPr>
    <w:rPr>
      <w:rFonts w:eastAsia="仿宋_GB2312"/>
      <w:color w:val="auto"/>
      <w:szCs w:val="28"/>
      <w:lang w:val="zh-CN"/>
    </w:rPr>
  </w:style>
  <w:style w:type="paragraph" w:styleId="18">
    <w:name w:val="footer"/>
    <w:basedOn w:val="1"/>
    <w:unhideWhenUsed/>
    <w:qFormat/>
    <w:uiPriority w:val="99"/>
    <w:pPr>
      <w:tabs>
        <w:tab w:val="center" w:pos="4153"/>
        <w:tab w:val="right" w:pos="8306"/>
      </w:tabs>
      <w:snapToGrid w:val="0"/>
      <w:jc w:val="left"/>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Body Text Indent 3"/>
    <w:basedOn w:val="1"/>
    <w:next w:val="4"/>
    <w:unhideWhenUsed/>
    <w:qFormat/>
    <w:uiPriority w:val="0"/>
    <w:pPr>
      <w:spacing w:after="120"/>
      <w:ind w:left="420" w:leftChars="200"/>
    </w:pPr>
    <w:rPr>
      <w:rFonts w:cs="Times New Roman"/>
      <w:sz w:val="16"/>
      <w:szCs w:val="16"/>
      <w:lang w:val="zh-CN" w:eastAsia="zh-CN"/>
    </w:rPr>
  </w:style>
  <w:style w:type="paragraph" w:styleId="21">
    <w:name w:val="table of figures"/>
    <w:basedOn w:val="1"/>
    <w:next w:val="1"/>
    <w:qFormat/>
    <w:uiPriority w:val="0"/>
    <w:pPr>
      <w:ind w:leftChars="200" w:hanging="200" w:hangingChars="200"/>
    </w:pPr>
    <w:rPr>
      <w:szCs w:val="24"/>
    </w:rPr>
  </w:style>
  <w:style w:type="paragraph" w:styleId="2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3">
    <w:name w:val="Body Text First Indent"/>
    <w:basedOn w:val="11"/>
    <w:next w:val="24"/>
    <w:qFormat/>
    <w:uiPriority w:val="0"/>
    <w:pPr>
      <w:ind w:firstLine="420" w:firstLineChars="100"/>
    </w:pPr>
  </w:style>
  <w:style w:type="paragraph" w:styleId="24">
    <w:name w:val="Body Text First Indent 2"/>
    <w:basedOn w:val="12"/>
    <w:next w:val="1"/>
    <w:qFormat/>
    <w:uiPriority w:val="0"/>
    <w:pPr>
      <w:widowControl/>
      <w:spacing w:after="120"/>
      <w:ind w:left="420" w:leftChars="200" w:firstLine="420"/>
      <w:jc w:val="left"/>
    </w:pPr>
    <w:rPr>
      <w:rFonts w:ascii="Times New Roman" w:eastAsia="宋体"/>
      <w:kern w:val="0"/>
      <w:sz w:val="20"/>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Hyperlink"/>
    <w:basedOn w:val="27"/>
    <w:qFormat/>
    <w:uiPriority w:val="0"/>
    <w:rPr>
      <w:color w:val="0000FF"/>
      <w:u w:val="single"/>
    </w:rPr>
  </w:style>
  <w:style w:type="paragraph" w:customStyle="1" w:styleId="30">
    <w:name w:val="章节目录"/>
    <w:basedOn w:val="1"/>
    <w:qFormat/>
    <w:uiPriority w:val="0"/>
    <w:pPr>
      <w:spacing w:line="360" w:lineRule="auto"/>
      <w:outlineLvl w:val="0"/>
    </w:pPr>
    <w:rPr>
      <w:b/>
      <w:sz w:val="28"/>
      <w:szCs w:val="28"/>
    </w:rPr>
  </w:style>
  <w:style w:type="paragraph" w:customStyle="1" w:styleId="3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3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33">
    <w:name w:val="Table Grid_0"/>
    <w:basedOn w:val="2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
    <w:name w:val="_Style 377"/>
    <w:basedOn w:val="1"/>
    <w:qFormat/>
    <w:uiPriority w:val="0"/>
    <w:pPr>
      <w:widowControl/>
    </w:pPr>
  </w:style>
  <w:style w:type="paragraph" w:customStyle="1" w:styleId="35">
    <w:name w:val="Table Paragraph"/>
    <w:basedOn w:val="1"/>
    <w:qFormat/>
    <w:uiPriority w:val="0"/>
    <w:rPr>
      <w:rFonts w:cs="Times New Roman"/>
    </w:rPr>
  </w:style>
  <w:style w:type="paragraph" w:customStyle="1" w:styleId="36">
    <w:name w:val="s4正文"/>
    <w:basedOn w:val="1"/>
    <w:qFormat/>
    <w:uiPriority w:val="0"/>
    <w:pPr>
      <w:spacing w:line="360" w:lineRule="auto"/>
      <w:ind w:firstLine="480" w:firstLineChars="200"/>
    </w:pPr>
    <w:rPr>
      <w:rFonts w:cs="宋体"/>
      <w:sz w:val="24"/>
      <w:szCs w:val="20"/>
    </w:rPr>
  </w:style>
  <w:style w:type="paragraph" w:customStyle="1" w:styleId="37">
    <w:name w:val="Default"/>
    <w:unhideWhenUsed/>
    <w:qFormat/>
    <w:uiPriority w:val="99"/>
    <w:pPr>
      <w:widowControl w:val="0"/>
      <w:autoSpaceDE w:val="0"/>
      <w:autoSpaceDN w:val="0"/>
      <w:adjustRightInd w:val="0"/>
    </w:pPr>
    <w:rPr>
      <w:rFonts w:hint="eastAsia" w:ascii="黑体" w:hAnsi="黑体" w:eastAsia="黑体" w:cs="Times New Roman"/>
      <w:color w:val="000000"/>
      <w:sz w:val="24"/>
      <w:szCs w:val="22"/>
      <w:lang w:val="en-US" w:eastAsia="zh-CN" w:bidi="ar-SA"/>
    </w:rPr>
  </w:style>
  <w:style w:type="paragraph" w:customStyle="1" w:styleId="38">
    <w:name w:val="rpt_表项"/>
    <w:basedOn w:val="1"/>
    <w:qFormat/>
    <w:uiPriority w:val="0"/>
    <w:pPr>
      <w:spacing w:before="60" w:after="60"/>
      <w:jc w:val="center"/>
    </w:pPr>
    <w:rPr>
      <w:rFonts w:cs="宋体"/>
      <w:sz w:val="22"/>
      <w:szCs w:val="20"/>
    </w:rPr>
  </w:style>
  <w:style w:type="paragraph" w:customStyle="1" w:styleId="39">
    <w:name w:val="表格内容"/>
    <w:basedOn w:val="7"/>
    <w:next w:val="1"/>
    <w:qFormat/>
    <w:uiPriority w:val="0"/>
    <w:pPr>
      <w:jc w:val="center"/>
    </w:pPr>
    <w:rPr>
      <w:rFonts w:eastAsia="Times New Roman" w:cs="Times New Roman"/>
      <w:kern w:val="0"/>
      <w:sz w:val="20"/>
      <w:szCs w:val="21"/>
    </w:rPr>
  </w:style>
  <w:style w:type="character" w:customStyle="1" w:styleId="40">
    <w:name w:val="font11"/>
    <w:basedOn w:val="27"/>
    <w:qFormat/>
    <w:uiPriority w:val="0"/>
    <w:rPr>
      <w:rFonts w:hint="default" w:ascii="Times New Roman" w:hAnsi="Times New Roman" w:cs="Times New Roman"/>
      <w:color w:val="000000"/>
      <w:sz w:val="21"/>
      <w:szCs w:val="21"/>
      <w:u w:val="none"/>
    </w:rPr>
  </w:style>
  <w:style w:type="character" w:customStyle="1" w:styleId="41">
    <w:name w:val="font31"/>
    <w:basedOn w:val="27"/>
    <w:qFormat/>
    <w:uiPriority w:val="0"/>
    <w:rPr>
      <w:rFonts w:hint="default" w:ascii="Times New Roman" w:hAnsi="Times New Roman" w:cs="Times New Roman"/>
      <w:color w:val="000000"/>
      <w:sz w:val="21"/>
      <w:szCs w:val="21"/>
      <w:u w:val="none"/>
      <w:vertAlign w:val="superscript"/>
    </w:rPr>
  </w:style>
  <w:style w:type="character" w:customStyle="1" w:styleId="42">
    <w:name w:val="font41"/>
    <w:basedOn w:val="27"/>
    <w:qFormat/>
    <w:uiPriority w:val="0"/>
    <w:rPr>
      <w:rFonts w:hint="default" w:ascii="Times New Roman" w:hAnsi="Times New Roman" w:cs="Times New Roman"/>
      <w:color w:val="000000"/>
      <w:sz w:val="21"/>
      <w:szCs w:val="21"/>
      <w:u w:val="none"/>
    </w:rPr>
  </w:style>
  <w:style w:type="character" w:customStyle="1" w:styleId="43">
    <w:name w:val="font01"/>
    <w:basedOn w:val="27"/>
    <w:qFormat/>
    <w:uiPriority w:val="0"/>
    <w:rPr>
      <w:rFonts w:hint="default" w:ascii="Times New Roman" w:hAnsi="Times New Roman" w:cs="Times New Roman"/>
      <w:color w:val="000000"/>
      <w:sz w:val="21"/>
      <w:szCs w:val="21"/>
      <w:u w:val="none"/>
      <w:vertAlign w:val="superscript"/>
    </w:rPr>
  </w:style>
  <w:style w:type="character" w:customStyle="1" w:styleId="44">
    <w:name w:val="font91"/>
    <w:basedOn w:val="27"/>
    <w:qFormat/>
    <w:uiPriority w:val="0"/>
    <w:rPr>
      <w:rFonts w:hint="eastAsia" w:ascii="宋体" w:hAnsi="宋体" w:eastAsia="宋体" w:cs="宋体"/>
      <w:color w:val="000000"/>
      <w:sz w:val="20"/>
      <w:szCs w:val="20"/>
      <w:u w:val="none"/>
    </w:rPr>
  </w:style>
  <w:style w:type="character" w:customStyle="1" w:styleId="45">
    <w:name w:val="font121"/>
    <w:basedOn w:val="27"/>
    <w:qFormat/>
    <w:uiPriority w:val="0"/>
    <w:rPr>
      <w:rFonts w:hint="eastAsia" w:ascii="宋体" w:hAnsi="宋体" w:eastAsia="宋体" w:cs="宋体"/>
      <w:color w:val="000000"/>
      <w:sz w:val="18"/>
      <w:szCs w:val="18"/>
      <w:u w:val="none"/>
    </w:rPr>
  </w:style>
  <w:style w:type="paragraph" w:customStyle="1" w:styleId="46">
    <w:name w:val="1、L表内字"/>
    <w:basedOn w:val="1"/>
    <w:qFormat/>
    <w:uiPriority w:val="0"/>
    <w:pPr>
      <w:adjustRightInd w:val="0"/>
      <w:snapToGrid w:val="0"/>
      <w:spacing w:line="240" w:lineRule="auto"/>
      <w:ind w:firstLine="0" w:firstLineChars="0"/>
      <w:jc w:val="center"/>
    </w:pPr>
    <w:rPr>
      <w:color w:val="000000"/>
      <w:sz w:val="21"/>
      <w:szCs w:val="21"/>
    </w:rPr>
  </w:style>
  <w:style w:type="character" w:customStyle="1" w:styleId="47">
    <w:name w:val="font21"/>
    <w:qFormat/>
    <w:uiPriority w:val="0"/>
    <w:rPr>
      <w:rFonts w:hint="default" w:ascii="Times New Roman" w:hAnsi="Times New Roman" w:cs="Times New Roman"/>
      <w:color w:val="000000"/>
      <w:sz w:val="24"/>
      <w:szCs w:val="24"/>
      <w:u w:val="none"/>
    </w:rPr>
  </w:style>
  <w:style w:type="paragraph" w:customStyle="1" w:styleId="48">
    <w:name w:val="标准样式"/>
    <w:qFormat/>
    <w:uiPriority w:val="0"/>
    <w:pPr>
      <w:widowControl w:val="0"/>
      <w:spacing w:line="600" w:lineRule="exact"/>
      <w:ind w:firstLine="567"/>
      <w:jc w:val="both"/>
    </w:pPr>
    <w:rPr>
      <w:rFonts w:ascii="Calibri" w:hAnsi="Times New Roman" w:eastAsia="宋体" w:cs="Times New Roman"/>
      <w:kern w:val="2"/>
      <w:sz w:val="21"/>
      <w:lang w:val="en-US" w:eastAsia="zh-CN" w:bidi="ar-SA"/>
    </w:rPr>
  </w:style>
  <w:style w:type="paragraph" w:customStyle="1" w:styleId="49">
    <w:name w:val="表格文字"/>
    <w:basedOn w:val="1"/>
    <w:next w:val="1"/>
    <w:qFormat/>
    <w:uiPriority w:val="99"/>
    <w:pPr>
      <w:jc w:val="center"/>
    </w:pPr>
    <w:rPr>
      <w:rFonts w:ascii="仿宋_GB2312" w:hAnsi="Arial Black" w:eastAsia="仿宋_GB2312"/>
      <w:kern w:val="44"/>
    </w:rPr>
  </w:style>
  <w:style w:type="paragraph" w:customStyle="1" w:styleId="50">
    <w:name w:val="WWW正文正文"/>
    <w:basedOn w:val="1"/>
    <w:autoRedefine/>
    <w:qFormat/>
    <w:uiPriority w:val="0"/>
    <w:pPr>
      <w:widowControl/>
      <w:spacing w:line="360" w:lineRule="auto"/>
      <w:ind w:firstLine="480" w:firstLineChars="200"/>
    </w:pPr>
    <w:rPr>
      <w:kern w:val="0"/>
      <w:sz w:val="24"/>
    </w:rPr>
  </w:style>
  <w:style w:type="paragraph" w:customStyle="1" w:styleId="51">
    <w:name w:val="表格文字-五号"/>
    <w:basedOn w:val="1"/>
    <w:next w:val="1"/>
    <w:qFormat/>
    <w:uiPriority w:val="0"/>
    <w:pPr>
      <w:tabs>
        <w:tab w:val="left" w:pos="2340"/>
      </w:tabs>
      <w:jc w:val="center"/>
    </w:pPr>
  </w:style>
  <w:style w:type="paragraph" w:customStyle="1" w:styleId="52">
    <w:name w:val="表头"/>
    <w:basedOn w:val="11"/>
    <w:next w:val="1"/>
    <w:qFormat/>
    <w:uiPriority w:val="0"/>
    <w:pPr>
      <w:spacing w:line="360" w:lineRule="auto"/>
      <w:jc w:val="center"/>
    </w:pPr>
    <w:rPr>
      <w:rFonts w:eastAsia="黑体" w:cs="Times New Roman"/>
      <w:color w:val="FF0000"/>
      <w:szCs w:val="21"/>
    </w:rPr>
  </w:style>
  <w:style w:type="paragraph" w:customStyle="1" w:styleId="53">
    <w:name w:val="正文标题"/>
    <w:basedOn w:val="1"/>
    <w:qFormat/>
    <w:uiPriority w:val="0"/>
    <w:pPr>
      <w:spacing w:line="360" w:lineRule="auto"/>
      <w:ind w:firstLine="200" w:firstLineChars="200"/>
      <w:outlineLvl w:val="4"/>
    </w:pPr>
    <w:rPr>
      <w:b/>
      <w:sz w:val="24"/>
      <w:szCs w:val="24"/>
    </w:rPr>
  </w:style>
  <w:style w:type="paragraph" w:styleId="54">
    <w:name w:val="List Paragraph"/>
    <w:basedOn w:val="1"/>
    <w:qFormat/>
    <w:uiPriority w:val="99"/>
    <w:pPr>
      <w:ind w:firstLine="420" w:firstLineChars="200"/>
    </w:pPr>
  </w:style>
  <w:style w:type="paragraph" w:customStyle="1" w:styleId="55">
    <w:name w:val="Table Text"/>
    <w:basedOn w:val="1"/>
    <w:semiHidden/>
    <w:qFormat/>
    <w:uiPriority w:val="0"/>
    <w:rPr>
      <w:rFonts w:ascii="仿宋" w:hAnsi="仿宋" w:eastAsia="仿宋" w:cs="仿宋"/>
      <w:sz w:val="20"/>
      <w:szCs w:val="20"/>
      <w:lang w:val="en-US" w:eastAsia="en-US" w:bidi="ar-SA"/>
    </w:rPr>
  </w:style>
  <w:style w:type="table" w:customStyle="1" w:styleId="5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2.wmf"/><Relationship Id="rId34" Type="http://schemas.openxmlformats.org/officeDocument/2006/relationships/oleObject" Target="embeddings/oleObject9.bin"/><Relationship Id="rId33" Type="http://schemas.openxmlformats.org/officeDocument/2006/relationships/image" Target="media/image21.wmf"/><Relationship Id="rId32" Type="http://schemas.openxmlformats.org/officeDocument/2006/relationships/oleObject" Target="embeddings/oleObject8.bin"/><Relationship Id="rId31" Type="http://schemas.openxmlformats.org/officeDocument/2006/relationships/image" Target="media/image20.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9.wmf"/><Relationship Id="rId28" Type="http://schemas.openxmlformats.org/officeDocument/2006/relationships/oleObject" Target="embeddings/oleObject6.bin"/><Relationship Id="rId27" Type="http://schemas.openxmlformats.org/officeDocument/2006/relationships/image" Target="media/image18.wmf"/><Relationship Id="rId26" Type="http://schemas.openxmlformats.org/officeDocument/2006/relationships/oleObject" Target="embeddings/oleObject5.bin"/><Relationship Id="rId25" Type="http://schemas.openxmlformats.org/officeDocument/2006/relationships/image" Target="media/image17.png"/><Relationship Id="rId24" Type="http://schemas.openxmlformats.org/officeDocument/2006/relationships/image" Target="media/image16.wmf"/><Relationship Id="rId23" Type="http://schemas.openxmlformats.org/officeDocument/2006/relationships/oleObject" Target="embeddings/oleObject4.bin"/><Relationship Id="rId22" Type="http://schemas.openxmlformats.org/officeDocument/2006/relationships/image" Target="media/image15.wmf"/><Relationship Id="rId21" Type="http://schemas.openxmlformats.org/officeDocument/2006/relationships/oleObject" Target="embeddings/oleObject3.bin"/><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emf"/><Relationship Id="rId16" Type="http://schemas.openxmlformats.org/officeDocument/2006/relationships/oleObject" Target="embeddings/oleObject2.bin"/><Relationship Id="rId15" Type="http://schemas.openxmlformats.org/officeDocument/2006/relationships/image" Target="media/image10.emf"/><Relationship Id="rId14" Type="http://schemas.openxmlformats.org/officeDocument/2006/relationships/oleObject" Target="embeddings/oleObject1.bin"/><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145</Words>
  <Characters>171</Characters>
  <Lines>0</Lines>
  <Paragraphs>0</Paragraphs>
  <TotalTime>11</TotalTime>
  <ScaleCrop>false</ScaleCrop>
  <LinksUpToDate>false</LinksUpToDate>
  <CharactersWithSpaces>227</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2023-04-07T10:39:00Z</dcterms:created>
  <dc:creator>Administrator</dc:creator>
  <cp:lastModifiedBy>XHX-HBJ-0013</cp:lastModifiedBy>
  <dcterms:modified xsi:type="dcterms:W3CDTF">2025-12-04T16:33:20Z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EA5BCCDCF5EA73E97A413169AD6AC702_43</vt:lpwstr>
  </property>
  <property fmtid="{D5CDD505-2E9C-101B-9397-08002B2CF9AE}" pid="4" name="KSOTemplateDocerSaveRecord">
    <vt:lpwstr>eyJoZGlkIjoiYzk1NTJjYmYwZGVkZGRmNWUzYjhlNTY3MDY0ZGY5ZTYiLCJ1c2VySWQiOiI0MjIxNDIzMDMifQ==</vt:lpwstr>
  </property>
</Properties>
</file>